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Engineering Consulting Engagement Letter</w:t>
      </w:r>
    </w:p>
    <w:p>
      <w:pPr>
        <w:pStyle w:val="Subtitle"/>
      </w:pPr>
      <w:r>
        <w:t xml:space="preserve">Custom Computer System Design &amp; Integration Services</w:t>
      </w:r>
    </w:p>
    <w:p>
      <w:pPr>
        <w:pStyle w:val="Author"/>
      </w:pPr>
      <w:r>
        <w:t xml:space="preserve">Terminal Renaissance Engineering Consultants</w:t>
      </w:r>
    </w:p>
    <w:p>
      <w:pPr>
        <w:pStyle w:val="Date"/>
      </w:pPr>
      <w:r>
        <w:t xml:space="preserve">2025-06-25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9" w:name="engineering-consulting-engagement-letter"/>
    <w:p>
      <w:pPr>
        <w:pStyle w:val="Heading1"/>
      </w:pPr>
      <w:r>
        <w:rPr>
          <w:rStyle w:val="SectionNumber"/>
        </w:rPr>
        <w:t xml:space="preserve">1</w:t>
      </w:r>
      <w:r>
        <w:tab/>
      </w:r>
      <w:r>
        <w:t xml:space="preserve">Engineering Consulting Engagement Letter</w:t>
      </w:r>
    </w:p>
    <w:p>
      <w:pPr>
        <w:pStyle w:val="FirstParagraph"/>
      </w:pPr>
      <w:r>
        <w:rPr>
          <w:b/>
          <w:bCs/>
        </w:rPr>
        <w:t xml:space="preserve">Custom Computer System Design &amp; Integration Services</w:t>
      </w:r>
    </w:p>
    <w:p>
      <w:r>
        <w:pict>
          <v:rect style="width:0;height:1.5pt" o:hralign="center" o:hrstd="t" o:hr="t"/>
        </w:pict>
      </w:r>
    </w:p>
    <w:bookmarkStart w:id="10" w:name="executive-summary"/>
    <w:p>
      <w:pPr>
        <w:pStyle w:val="Heading2"/>
      </w:pPr>
      <w:r>
        <w:rPr>
          <w:rStyle w:val="SectionNumber"/>
        </w:rPr>
        <w:t xml:space="preserve">1.1</w:t>
      </w:r>
      <w:r>
        <w:tab/>
      </w:r>
      <w:r>
        <w:t xml:space="preserve">Executive Summary</w:t>
      </w:r>
    </w:p>
    <w:p>
      <w:pPr>
        <w:pStyle w:val="FirstParagraph"/>
      </w:pPr>
      <w:r>
        <w:t xml:space="preserve">This Engineering Consulting Engagement Letter (</w:t>
      </w:r>
      <w:r>
        <w:t xml:space="preserve">“Agreement”</w:t>
      </w:r>
      <w:r>
        <w:t xml:space="preserve">) establishes the professional relationship between</w:t>
      </w:r>
      <w:r>
        <w:t xml:space="preserve"> </w:t>
      </w:r>
      <w:r>
        <w:rPr>
          <w:b/>
          <w:bCs/>
        </w:rPr>
        <w:t xml:space="preserve">Terminal Renaissance Engineering Consultants</w:t>
      </w:r>
      <w:r>
        <w:t xml:space="preserve"> </w:t>
      </w:r>
      <w:r>
        <w:t xml:space="preserve">(</w:t>
      </w:r>
      <w:r>
        <w:t xml:space="preserve">“TREC”</w:t>
      </w:r>
      <w:r>
        <w:t xml:space="preserve">,</w:t>
      </w:r>
      <w:r>
        <w:t xml:space="preserve"> </w:t>
      </w:r>
      <w:r>
        <w:t xml:space="preserve">“Consultant”</w:t>
      </w:r>
      <w:r>
        <w:t xml:space="preserve">) and</w:t>
      </w:r>
      <w:r>
        <w:t xml:space="preserve"> </w:t>
      </w:r>
      <w:r>
        <w:rPr>
          <w:b/>
          <w:bCs/>
        </w:rPr>
        <w:t xml:space="preserve">Quantum Computing Solutions, Inc.</w:t>
      </w:r>
      <w:r>
        <w:t xml:space="preserve"> </w:t>
      </w:r>
      <w:r>
        <w:t xml:space="preserve">(</w:t>
      </w:r>
      <w:r>
        <w:t xml:space="preserve">“QCS”</w:t>
      </w:r>
      <w:r>
        <w:t xml:space="preserve">,</w:t>
      </w:r>
      <w:r>
        <w:t xml:space="preserve"> </w:t>
      </w:r>
      <w:r>
        <w:t xml:space="preserve">“Client”</w:t>
      </w:r>
      <w:r>
        <w:t xml:space="preserve">) for the design, development, and integration of a custom hybrid computing system combining traditional von Neumann architecture with quantum acceleration capabilities.</w:t>
      </w:r>
    </w:p>
    <w:p>
      <w:pPr>
        <w:pStyle w:val="BlockText"/>
      </w:pPr>
      <w:r>
        <w:t xml:space="preserve">“The best way to have a good idea is to have a lot of ideas.”</w:t>
      </w:r>
    </w:p>
    <w:p>
      <w:pPr>
        <w:pStyle w:val="BlockText"/>
      </w:pPr>
      <w:r>
        <w:t xml:space="preserve">— Linus Pauling, Nobel Prize Winner</w:t>
      </w:r>
      <w:r>
        <w:rPr>
          <w:rStyle w:val="FootnoteReference"/>
        </w:rPr>
        <w:footnoteReference w:id="9"/>
      </w:r>
    </w:p>
    <w:p>
      <w:pPr>
        <w:pStyle w:val="FirstParagraph"/>
      </w:pPr>
      <w:r>
        <w:t xml:space="preserve">This engagement represents a convergence of classical and quantum computing paradigms, requiring unprecedented engineering precision and innovative system architecture approaches.</w:t>
      </w:r>
    </w:p>
    <w:p>
      <w:r>
        <w:pict>
          <v:rect style="width:0;height:1.5pt" o:hralign="center" o:hrstd="t" o:hr="t"/>
        </w:pict>
      </w:r>
    </w:p>
    <w:bookmarkEnd w:id="10"/>
    <w:bookmarkStart w:id="17" w:name="i.-scope-of-work"/>
    <w:p>
      <w:pPr>
        <w:pStyle w:val="Heading2"/>
      </w:pPr>
      <w:r>
        <w:rPr>
          <w:rStyle w:val="SectionNumber"/>
        </w:rPr>
        <w:t xml:space="preserve">1.2</w:t>
      </w:r>
      <w:r>
        <w:tab/>
      </w:r>
      <w:r>
        <w:t xml:space="preserve">I. Scope of Work</w:t>
      </w:r>
    </w:p>
    <w:bookmarkStart w:id="14" w:name="primary-engineering-deliverables"/>
    <w:p>
      <w:pPr>
        <w:pStyle w:val="Heading3"/>
      </w:pPr>
      <w:r>
        <w:rPr>
          <w:rStyle w:val="SectionNumber"/>
        </w:rPr>
        <w:t xml:space="preserve">1.2.1</w:t>
      </w:r>
      <w:r>
        <w:tab/>
      </w:r>
      <w:r>
        <w:t xml:space="preserve">1.1 Primary Engineering Deliverables</w:t>
      </w:r>
    </w:p>
    <w:p>
      <w:pPr>
        <w:pStyle w:val="FirstParagraph"/>
      </w:pPr>
      <w:r>
        <w:t xml:space="preserve">The Consultant agrees to provide the following professional engineering services:</w:t>
      </w:r>
    </w:p>
    <w:bookmarkStart w:id="11" w:name="phase-i-system-architecture-design"/>
    <w:p>
      <w:pPr>
        <w:pStyle w:val="Heading4"/>
      </w:pPr>
      <w:r>
        <w:rPr>
          <w:rStyle w:val="SectionNumber"/>
        </w:rPr>
        <w:t xml:space="preserve">1.2.1.1</w:t>
      </w:r>
      <w:r>
        <w:tab/>
      </w:r>
      <w:r>
        <w:rPr>
          <w:b/>
          <w:bCs/>
        </w:rPr>
        <w:t xml:space="preserve">Phase I: System Architecture &amp; Design</w:t>
      </w:r>
    </w:p>
    <w:p>
      <w:pPr>
        <w:pStyle w:val="Compact"/>
        <w:numPr>
          <w:ilvl w:val="0"/>
          <w:numId w:val="1001"/>
        </w:numPr>
      </w:pPr>
      <w:r>
        <w:t xml:space="preserve">Complete system requirements analysis and specification</w:t>
      </w:r>
    </w:p>
    <w:p>
      <w:pPr>
        <w:pStyle w:val="Compact"/>
        <w:numPr>
          <w:ilvl w:val="0"/>
          <w:numId w:val="1002"/>
        </w:numPr>
      </w:pPr>
      <w:r>
        <w:t xml:space="preserve">High-level architecture design with quantum-classical interface</w:t>
      </w:r>
    </w:p>
    <w:p>
      <w:pPr>
        <w:pStyle w:val="Compact"/>
        <w:numPr>
          <w:ilvl w:val="0"/>
          <w:numId w:val="1003"/>
        </w:numPr>
      </w:pPr>
      <w:r>
        <w:t xml:space="preserve">Component selection and vendor qualification</w:t>
      </w:r>
    </w:p>
    <w:p>
      <w:pPr>
        <w:pStyle w:val="Compact"/>
        <w:numPr>
          <w:ilvl w:val="0"/>
          <w:numId w:val="1004"/>
        </w:numPr>
      </w:pPr>
      <w:r>
        <w:t xml:space="preserve">Risk assessment and mitigation planning</w:t>
      </w:r>
    </w:p>
    <w:p>
      <w:pPr>
        <w:pStyle w:val="Compact"/>
        <w:numPr>
          <w:ilvl w:val="0"/>
          <w:numId w:val="1005"/>
        </w:numPr>
      </w:pPr>
      <w:r>
        <w:t xml:space="preserve">Initial feasibility study (completed)</w:t>
      </w:r>
    </w:p>
    <w:bookmarkEnd w:id="11"/>
    <w:bookmarkStart w:id="12" w:name="phase-ii-hardware-development"/>
    <w:p>
      <w:pPr>
        <w:pStyle w:val="Heading4"/>
      </w:pPr>
      <w:r>
        <w:rPr>
          <w:rStyle w:val="SectionNumber"/>
        </w:rPr>
        <w:t xml:space="preserve">1.2.1.2</w:t>
      </w:r>
      <w:r>
        <w:tab/>
      </w:r>
      <w:r>
        <w:rPr>
          <w:b/>
          <w:bCs/>
        </w:rPr>
        <w:t xml:space="preserve">Phase II: Hardware Development</w:t>
      </w:r>
    </w:p>
    <w:p>
      <w:pPr>
        <w:pStyle w:val="Compact"/>
        <w:numPr>
          <w:ilvl w:val="0"/>
          <w:numId w:val="1006"/>
        </w:numPr>
      </w:pPr>
      <w:r>
        <w:t xml:space="preserve">Custom PCB design and layout</w:t>
      </w:r>
    </w:p>
    <w:p>
      <w:pPr>
        <w:pStyle w:val="Compact"/>
        <w:numPr>
          <w:ilvl w:val="0"/>
          <w:numId w:val="1007"/>
        </w:numPr>
      </w:pPr>
      <w:r>
        <w:t xml:space="preserve">FPGA configuration and HDL development</w:t>
      </w:r>
    </w:p>
    <w:p>
      <w:pPr>
        <w:pStyle w:val="Compact"/>
        <w:numPr>
          <w:ilvl w:val="0"/>
          <w:numId w:val="1008"/>
        </w:numPr>
      </w:pPr>
      <w:r>
        <w:t xml:space="preserve">Thermal management system design</w:t>
      </w:r>
    </w:p>
    <w:p>
      <w:pPr>
        <w:pStyle w:val="Compact"/>
        <w:numPr>
          <w:ilvl w:val="0"/>
          <w:numId w:val="1009"/>
        </w:numPr>
      </w:pPr>
      <w:r>
        <w:t xml:space="preserve">Power distribution network optimization</w:t>
      </w:r>
    </w:p>
    <w:bookmarkEnd w:id="12"/>
    <w:bookmarkStart w:id="13" w:name="phase-iii-software-integration"/>
    <w:p>
      <w:pPr>
        <w:pStyle w:val="Heading4"/>
      </w:pPr>
      <w:r>
        <w:rPr>
          <w:rStyle w:val="SectionNumber"/>
        </w:rPr>
        <w:t xml:space="preserve">1.2.1.3</w:t>
      </w:r>
      <w:r>
        <w:tab/>
      </w:r>
      <w:r>
        <w:rPr>
          <w:b/>
          <w:bCs/>
        </w:rPr>
        <w:t xml:space="preserve">Phase III: Software Integration</w:t>
      </w:r>
    </w:p>
    <w:p>
      <w:pPr>
        <w:pStyle w:val="Compact"/>
        <w:numPr>
          <w:ilvl w:val="0"/>
          <w:numId w:val="1010"/>
        </w:numPr>
      </w:pPr>
      <w:r>
        <w:t xml:space="preserve">Low-level firmware development</w:t>
      </w:r>
    </w:p>
    <w:p>
      <w:pPr>
        <w:pStyle w:val="Compact"/>
        <w:numPr>
          <w:ilvl w:val="0"/>
          <w:numId w:val="1011"/>
        </w:numPr>
      </w:pPr>
      <w:r>
        <w:t xml:space="preserve">Device driver implementation</w:t>
      </w:r>
    </w:p>
    <w:p>
      <w:pPr>
        <w:pStyle w:val="Compact"/>
        <w:numPr>
          <w:ilvl w:val="0"/>
          <w:numId w:val="1012"/>
        </w:numPr>
      </w:pPr>
      <w:r>
        <w:t xml:space="preserve">API design and documentation</w:t>
      </w:r>
    </w:p>
    <w:p>
      <w:pPr>
        <w:pStyle w:val="Compact"/>
        <w:numPr>
          <w:ilvl w:val="0"/>
          <w:numId w:val="1013"/>
        </w:numPr>
      </w:pPr>
      <w:r>
        <w:t xml:space="preserve">Performance optimization and testing</w:t>
      </w:r>
    </w:p>
    <w:bookmarkEnd w:id="13"/>
    <w:bookmarkEnd w:id="14"/>
    <w:bookmarkStart w:id="15" w:name="technical-specifications"/>
    <w:p>
      <w:pPr>
        <w:pStyle w:val="Heading3"/>
      </w:pPr>
      <w:r>
        <w:rPr>
          <w:rStyle w:val="SectionNumber"/>
        </w:rPr>
        <w:t xml:space="preserve">1.2.2</w:t>
      </w:r>
      <w:r>
        <w:tab/>
      </w:r>
      <w:r>
        <w:t xml:space="preserve">1.2 Technical Specifications</w:t>
      </w:r>
    </w:p>
    <w:p>
      <w:pPr>
        <w:pStyle w:val="FirstParagraph"/>
      </w:pPr>
      <w:r>
        <w:t xml:space="preserve">The custom system shall incorporate the following technical requirements:</w:t>
      </w:r>
    </w:p>
    <w:p>
      <w:pPr>
        <w:pStyle w:val="DefinitionTerm"/>
      </w:pPr>
      <w:r>
        <w:t xml:space="preserve">System Architecture</w:t>
      </w:r>
    </w:p>
    <w:p>
      <w:pPr>
        <w:pStyle w:val="Definition"/>
      </w:pPr>
      <w:r>
        <w:t xml:space="preserve">A hybrid computing platform integrating traditional CPU/GPU processing with quantum acceleration units, designed for real-time computational workloads requiring both classical and quantum processing capabilities.</w:t>
      </w:r>
    </w:p>
    <w:p>
      <w:pPr>
        <w:pStyle w:val="DefinitionTerm"/>
      </w:pPr>
      <w:r>
        <w:t xml:space="preserve">Performance Targets</w:t>
      </w:r>
    </w:p>
    <w:p>
      <w:pPr>
        <w:pStyle w:val="Compact"/>
        <w:numPr>
          <w:ilvl w:val="0"/>
          <w:numId w:val="1014"/>
        </w:numPr>
      </w:pPr>
      <w:r>
        <w:t xml:space="preserve">Classical processing: ≥ 1 TFLOPS sustained performance</w:t>
      </w:r>
    </w:p>
    <w:p>
      <w:pPr>
        <w:pStyle w:val="Compact"/>
        <w:numPr>
          <w:ilvl w:val="1"/>
          <w:numId w:val="1015"/>
        </w:numPr>
      </w:pPr>
      <w:r>
        <w:t xml:space="preserve">Quantum processing: ≥ 50 logical qubits with 99.9% fidelity</w:t>
      </w:r>
    </w:p>
    <w:p>
      <w:pPr>
        <w:pStyle w:val="Compact"/>
        <w:numPr>
          <w:ilvl w:val="1"/>
          <w:numId w:val="1015"/>
        </w:numPr>
      </w:pPr>
      <w:r>
        <w:t xml:space="preserve">Inter-system latency: ≤ 100 nanoseconds</w:t>
      </w:r>
    </w:p>
    <w:p>
      <w:pPr>
        <w:pStyle w:val="Compact"/>
        <w:numPr>
          <w:ilvl w:val="1"/>
          <w:numId w:val="1015"/>
        </w:numPr>
      </w:pPr>
      <w:r>
        <w:t xml:space="preserve">Power consumption: ≤ 2kW total system power</w:t>
      </w:r>
    </w:p>
    <w:p>
      <w:pPr>
        <w:pStyle w:val="DefinitionTerm"/>
      </w:pPr>
      <w:r>
        <w:t xml:space="preserve">Interface Requirements</w:t>
      </w:r>
    </w:p>
    <w:p>
      <w:pPr>
        <w:pStyle w:val="Compact"/>
        <w:numPr>
          <w:ilvl w:val="0"/>
          <w:numId w:val="1016"/>
        </w:numPr>
      </w:pPr>
      <w:r>
        <w:t xml:space="preserve">PCIe 5.0 compatibility for classical components</w:t>
      </w:r>
    </w:p>
    <w:p>
      <w:pPr>
        <w:pStyle w:val="Compact"/>
        <w:numPr>
          <w:ilvl w:val="1"/>
          <w:numId w:val="1017"/>
        </w:numPr>
      </w:pPr>
      <w:r>
        <w:t xml:space="preserve">Custom high-speed quantum interface (proprietary)</w:t>
      </w:r>
    </w:p>
    <w:p>
      <w:pPr>
        <w:pStyle w:val="Compact"/>
        <w:numPr>
          <w:ilvl w:val="1"/>
          <w:numId w:val="1017"/>
        </w:numPr>
      </w:pPr>
      <w:r>
        <w:t xml:space="preserve">Ethernet 100GbE for network connectivity</w:t>
      </w:r>
    </w:p>
    <w:p>
      <w:pPr>
        <w:pStyle w:val="Compact"/>
        <w:numPr>
          <w:ilvl w:val="1"/>
          <w:numId w:val="1017"/>
        </w:numPr>
      </w:pPr>
      <w:r>
        <w:t xml:space="preserve">USB 3.2 Gen 2 for peripheral connectivity</w:t>
      </w:r>
    </w:p>
    <w:bookmarkEnd w:id="15"/>
    <w:bookmarkStart w:id="16" w:name="engineering-methodology"/>
    <w:p>
      <w:pPr>
        <w:pStyle w:val="Heading3"/>
      </w:pPr>
      <w:r>
        <w:rPr>
          <w:rStyle w:val="SectionNumber"/>
        </w:rPr>
        <w:t xml:space="preserve">1.2.3</w:t>
      </w:r>
      <w:r>
        <w:tab/>
      </w:r>
      <w:r>
        <w:t xml:space="preserve">1.3 Engineering Methodology</w:t>
      </w:r>
    </w:p>
    <w:p>
      <w:pPr>
        <w:pStyle w:val="FirstParagraph"/>
      </w:pPr>
      <w:r>
        <w:t xml:space="preserve">Our approach leverages constraint-based design principles, following the mathematical relationship:</w:t>
      </w:r>
    </w:p>
    <w:p>
      <w:pPr>
        <w:pStyle w:val="BodyText"/>
      </w:pPr>
      <m:oMathPara>
        <m:oMathParaPr>
          <m:jc m:val="center"/>
        </m:oMathParaPr>
        <m:oMath>
          <m:r>
            <m:rPr>
              <m:nor/>
              <m:sty m:val="p"/>
            </m:rPr>
            <m:t>Design Optimality</m:t>
          </m:r>
          <m:r>
            <m:rPr>
              <m:sty m:val="p"/>
            </m:rPr>
            <m:t>=</m:t>
          </m:r>
          <m:f>
            <m:fPr>
              <m:type m:val="bar"/>
            </m:fPr>
            <m:num>
              <m:nary>
                <m:naryPr>
                  <m:chr m:val="∑"/>
                  <m:limLoc m:val="undOvr"/>
                  <m:subHide m:val="off"/>
                  <m:supHide m:val="off"/>
                </m:naryPr>
                <m:sub>
                  <m:r>
                    <m:t>i</m:t>
                  </m:r>
                  <m:r>
                    <m:rPr>
                      <m:sty m:val="p"/>
                    </m:rPr>
                    <m:t>=</m:t>
                  </m:r>
                  <m:r>
                    <m:t>1</m:t>
                  </m:r>
                </m:sub>
                <m:sup>
                  <m:r>
                    <m:t>n</m:t>
                  </m:r>
                </m:sup>
                <m:e>
                  <m:sSub>
                    <m:e>
                      <m:r>
                        <m:rPr>
                          <m:nor/>
                          <m:sty m:val="p"/>
                        </m:rPr>
                        <m:t>Performance</m:t>
                      </m:r>
                    </m:e>
                    <m:sub>
                      <m:r>
                        <m:t>i</m:t>
                      </m:r>
                    </m:sub>
                  </m:sSub>
                </m:e>
              </m:nary>
              <m:r>
                <m:rPr>
                  <m:sty m:val="p"/>
                </m:rPr>
                <m:t>×</m:t>
              </m:r>
              <m:sSub>
                <m:e>
                  <m:r>
                    <m:rPr>
                      <m:nor/>
                      <m:sty m:val="p"/>
                    </m:rPr>
                    <m:t>Weight</m:t>
                  </m:r>
                </m:e>
                <m:sub>
                  <m:r>
                    <m:t>i</m:t>
                  </m:r>
                </m:sub>
              </m:sSub>
            </m:num>
            <m:den>
              <m:nary>
                <m:naryPr>
                  <m:chr m:val="∑"/>
                  <m:limLoc m:val="undOvr"/>
                  <m:subHide m:val="off"/>
                  <m:supHide m:val="off"/>
                </m:naryPr>
                <m:sub>
                  <m:r>
                    <m:t>j</m:t>
                  </m:r>
                  <m:r>
                    <m:rPr>
                      <m:sty m:val="p"/>
                    </m:rPr>
                    <m:t>=</m:t>
                  </m:r>
                  <m:r>
                    <m:t>1</m:t>
                  </m:r>
                </m:sub>
                <m:sup>
                  <m:r>
                    <m:t>m</m:t>
                  </m:r>
                </m:sup>
                <m:e>
                  <m:sSub>
                    <m:e>
                      <m:r>
                        <m:rPr>
                          <m:nor/>
                          <m:sty m:val="p"/>
                        </m:rPr>
                        <m:t>Constraint</m:t>
                      </m:r>
                    </m:e>
                    <m:sub>
                      <m:r>
                        <m:t>j</m:t>
                      </m:r>
                    </m:sub>
                  </m:sSub>
                </m:e>
              </m:nary>
              <m:r>
                <m:rPr>
                  <m:sty m:val="p"/>
                </m:rPr>
                <m:t>×</m:t>
              </m:r>
              <m:sSub>
                <m:e>
                  <m:r>
                    <m:rPr>
                      <m:nor/>
                      <m:sty m:val="p"/>
                    </m:rPr>
                    <m:t>Penalty</m:t>
                  </m:r>
                </m:e>
                <m:sub>
                  <m:r>
                    <m:t>j</m:t>
                  </m:r>
                </m:sub>
              </m:sSub>
            </m:den>
          </m:f>
        </m:oMath>
      </m:oMathPara>
    </w:p>
    <w:p>
      <w:pPr>
        <w:pStyle w:val="FirstParagraph"/>
      </w:pPr>
      <w:r>
        <w:t xml:space="preserve">Where performance metrics are weighted against constraint penalties to achieve optimal system balance.</w:t>
      </w:r>
    </w:p>
    <w:p>
      <w:pPr>
        <w:pStyle w:val="BodyText"/>
      </w:pPr>
      <w:r>
        <w:t xml:space="preserve">The development process follows established engineering practices:</w:t>
      </w:r>
    </w:p>
    <w:p>
      <w:pPr>
        <w:pStyle w:val="SourceCode"/>
      </w:pPr>
      <w:r>
        <w:rPr>
          <w:rStyle w:val="CommentTok"/>
        </w:rPr>
        <w:t xml:space="preserve">// Example VHDL entity declaration for quantum interface</w:t>
      </w:r>
      <w:r>
        <w:br/>
      </w:r>
      <w:r>
        <w:rPr>
          <w:rStyle w:val="NormalTok"/>
        </w:rPr>
        <w:t xml:space="preserve">entity quantum_interface is</w:t>
      </w:r>
      <w:r>
        <w:br/>
      </w:r>
      <w:r>
        <w:rPr>
          <w:rStyle w:val="NormalTok"/>
        </w:rPr>
        <w:t xml:space="preserve">    generic </w:t>
      </w:r>
      <w:r>
        <w:rPr>
          <w:rStyle w:val="OperatorTok"/>
        </w:rPr>
        <w:t xml:space="preserve">(</w:t>
      </w:r>
      <w:r>
        <w:br/>
      </w:r>
      <w:r>
        <w:rPr>
          <w:rStyle w:val="NormalTok"/>
        </w:rPr>
        <w:t xml:space="preserve">        </w:t>
      </w:r>
      <w:r>
        <w:rPr>
          <w:rStyle w:val="DecValTok"/>
        </w:rPr>
        <w:t xml:space="preserve">DATA_WIDTH :</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64</w:t>
      </w:r>
      <w:r>
        <w:rPr>
          <w:rStyle w:val="OperatorTok"/>
        </w:rPr>
        <w:t xml:space="preserve">;</w:t>
      </w:r>
      <w:r>
        <w:br/>
      </w:r>
      <w:r>
        <w:rPr>
          <w:rStyle w:val="NormalTok"/>
        </w:rPr>
        <w:t xml:space="preserve">        </w:t>
      </w:r>
      <w:r>
        <w:rPr>
          <w:rStyle w:val="DecValTok"/>
        </w:rPr>
        <w:t xml:space="preserve">QUBIT_COUNT :</w:t>
      </w:r>
      <w:r>
        <w:rPr>
          <w:rStyle w:val="NormalTok"/>
        </w:rPr>
        <w:t xml:space="preserve"> </w:t>
      </w:r>
      <w:r>
        <w:rPr>
          <w:rStyle w:val="DataTypeTok"/>
        </w:rPr>
        <w:t xml:space="preserve">integer</w:t>
      </w:r>
      <w:r>
        <w:rPr>
          <w:rStyle w:val="NormalTok"/>
        </w:rPr>
        <w:t xml:space="preserve"> </w:t>
      </w:r>
      <w:r>
        <w:rPr>
          <w:rStyle w:val="OperatorTok"/>
        </w:rPr>
        <w:t xml:space="preserve">:=</w:t>
      </w:r>
      <w:r>
        <w:rPr>
          <w:rStyle w:val="NormalTok"/>
        </w:rPr>
        <w:t xml:space="preserve"> </w:t>
      </w:r>
      <w:r>
        <w:rPr>
          <w:rStyle w:val="DecValTok"/>
        </w:rPr>
        <w:t xml:space="preserve">50</w:t>
      </w:r>
      <w:r>
        <w:br/>
      </w:r>
      <w:r>
        <w:rPr>
          <w:rStyle w:val="NormalTok"/>
        </w:rPr>
        <w:t xml:space="preserve">    </w:t>
      </w:r>
      <w:r>
        <w:rPr>
          <w:rStyle w:val="OperatorTok"/>
        </w:rPr>
        <w:t xml:space="preserve">);</w:t>
      </w:r>
      <w:r>
        <w:br/>
      </w:r>
      <w:r>
        <w:rPr>
          <w:rStyle w:val="NormalTok"/>
        </w:rPr>
        <w:t xml:space="preserve">    port </w:t>
      </w:r>
      <w:r>
        <w:rPr>
          <w:rStyle w:val="OperatorTok"/>
        </w:rPr>
        <w:t xml:space="preserve">(</w:t>
      </w:r>
      <w:r>
        <w:br/>
      </w:r>
      <w:r>
        <w:rPr>
          <w:rStyle w:val="NormalTok"/>
        </w:rPr>
        <w:t xml:space="preserve">        </w:t>
      </w:r>
      <w:r>
        <w:rPr>
          <w:rStyle w:val="DecValTok"/>
        </w:rPr>
        <w:t xml:space="preserve">clk :</w:t>
      </w:r>
      <w:r>
        <w:rPr>
          <w:rStyle w:val="NormalTok"/>
        </w:rPr>
        <w:t xml:space="preserve"> in std_logic</w:t>
      </w:r>
      <w:r>
        <w:rPr>
          <w:rStyle w:val="OperatorTok"/>
        </w:rPr>
        <w:t xml:space="preserve">;</w:t>
      </w:r>
      <w:r>
        <w:br/>
      </w:r>
      <w:r>
        <w:rPr>
          <w:rStyle w:val="NormalTok"/>
        </w:rPr>
        <w:t xml:space="preserve">        </w:t>
      </w:r>
      <w:r>
        <w:rPr>
          <w:rStyle w:val="DecValTok"/>
        </w:rPr>
        <w:t xml:space="preserve">reset :</w:t>
      </w:r>
      <w:r>
        <w:rPr>
          <w:rStyle w:val="NormalTok"/>
        </w:rPr>
        <w:t xml:space="preserve"> in std_logic</w:t>
      </w:r>
      <w:r>
        <w:rPr>
          <w:rStyle w:val="OperatorTok"/>
        </w:rPr>
        <w:t xml:space="preserve">;</w:t>
      </w:r>
      <w:r>
        <w:br/>
      </w:r>
      <w:r>
        <w:rPr>
          <w:rStyle w:val="NormalTok"/>
        </w:rPr>
        <w:t xml:space="preserve">        </w:t>
      </w:r>
      <w:r>
        <w:rPr>
          <w:rStyle w:val="DecValTok"/>
        </w:rPr>
        <w:t xml:space="preserve">classical_data :</w:t>
      </w:r>
      <w:r>
        <w:rPr>
          <w:rStyle w:val="NormalTok"/>
        </w:rPr>
        <w:t xml:space="preserve"> in std_logic_vector</w:t>
      </w:r>
      <w:r>
        <w:rPr>
          <w:rStyle w:val="OperatorTok"/>
        </w:rPr>
        <w:t xml:space="preserve">(</w:t>
      </w:r>
      <w:r>
        <w:rPr>
          <w:rStyle w:val="NormalTok"/>
        </w:rPr>
        <w:t xml:space="preserve">DATA_WIDTH</w:t>
      </w:r>
      <w:r>
        <w:rPr>
          <w:rStyle w:val="DecValTok"/>
        </w:rPr>
        <w:t xml:space="preserve">-1</w:t>
      </w:r>
      <w:r>
        <w:rPr>
          <w:rStyle w:val="NormalTok"/>
        </w:rPr>
        <w:t xml:space="preserve"> downto </w:t>
      </w:r>
      <w:r>
        <w:rPr>
          <w:rStyle w:val="DecValTok"/>
        </w:rPr>
        <w:t xml:space="preserve">0</w:t>
      </w:r>
      <w:r>
        <w:rPr>
          <w:rStyle w:val="OperatorTok"/>
        </w:rPr>
        <w:t xml:space="preserve">);</w:t>
      </w:r>
      <w:r>
        <w:br/>
      </w:r>
      <w:r>
        <w:rPr>
          <w:rStyle w:val="NormalTok"/>
        </w:rPr>
        <w:t xml:space="preserve">        </w:t>
      </w:r>
      <w:r>
        <w:rPr>
          <w:rStyle w:val="DecValTok"/>
        </w:rPr>
        <w:t xml:space="preserve">quantum_state :</w:t>
      </w:r>
      <w:r>
        <w:rPr>
          <w:rStyle w:val="NormalTok"/>
        </w:rPr>
        <w:t xml:space="preserve"> out quantum_state_type</w:t>
      </w:r>
      <w:r>
        <w:rPr>
          <w:rStyle w:val="OperatorTok"/>
        </w:rPr>
        <w:t xml:space="preserve">;</w:t>
      </w:r>
      <w:r>
        <w:br/>
      </w:r>
      <w:r>
        <w:rPr>
          <w:rStyle w:val="NormalTok"/>
        </w:rPr>
        <w:t xml:space="preserve">        </w:t>
      </w:r>
      <w:r>
        <w:rPr>
          <w:rStyle w:val="DecValTok"/>
        </w:rPr>
        <w:t xml:space="preserve">measurement_result :</w:t>
      </w:r>
      <w:r>
        <w:rPr>
          <w:rStyle w:val="NormalTok"/>
        </w:rPr>
        <w:t xml:space="preserve"> in measurement_vector_type</w:t>
      </w:r>
      <w:r>
        <w:br/>
      </w:r>
      <w:r>
        <w:rPr>
          <w:rStyle w:val="NormalTok"/>
        </w:rPr>
        <w:t xml:space="preserve">    </w:t>
      </w:r>
      <w:r>
        <w:rPr>
          <w:rStyle w:val="OperatorTok"/>
        </w:rPr>
        <w:t xml:space="preserve">);</w:t>
      </w:r>
      <w:r>
        <w:br/>
      </w:r>
      <w:r>
        <w:rPr>
          <w:rStyle w:val="KeywordTok"/>
        </w:rPr>
        <w:t xml:space="preserve">end</w:t>
      </w:r>
      <w:r>
        <w:rPr>
          <w:rStyle w:val="NormalTok"/>
        </w:rPr>
        <w:t xml:space="preserve"> entity quantum_interface</w:t>
      </w:r>
      <w:r>
        <w:rPr>
          <w:rStyle w:val="OperatorTok"/>
        </w:rPr>
        <w:t xml:space="preserve">;</w:t>
      </w:r>
    </w:p>
    <w:p>
      <w:r>
        <w:pict>
          <v:rect style="width:0;height:1.5pt" o:hralign="center" o:hrstd="t" o:hr="t"/>
        </w:pict>
      </w:r>
    </w:p>
    <w:bookmarkEnd w:id="16"/>
    <w:bookmarkEnd w:id="17"/>
    <w:bookmarkStart w:id="19" w:name="ii.-project-timeline-milestones"/>
    <w:p>
      <w:pPr>
        <w:pStyle w:val="Heading2"/>
      </w:pPr>
      <w:r>
        <w:rPr>
          <w:rStyle w:val="SectionNumber"/>
        </w:rPr>
        <w:t xml:space="preserve">1.3</w:t>
      </w:r>
      <w:r>
        <w:tab/>
      </w:r>
      <w:r>
        <w:t xml:space="preserve">II. Project Timeline &amp; Milestones</w:t>
      </w:r>
    </w:p>
    <w:tbl>
      <w:tblPr>
        <w:tblStyle w:val="Table"/>
        <w:tblW w:type="pct" w:w="5000"/>
        <w:tblLayout w:type="fixed"/>
        <w:tblLook w:firstRow="1" w:lastRow="0" w:firstColumn="0" w:lastColumn="0" w:noHBand="0" w:noVBand="0" w:val="0020"/>
      </w:tblPr>
      <w:tblGrid>
        <w:gridCol w:w="1007"/>
        <w:gridCol w:w="1584"/>
        <w:gridCol w:w="1440"/>
        <w:gridCol w:w="2015"/>
        <w:gridCol w:w="1872"/>
      </w:tblGrid>
      <w:tr>
        <w:trPr>
          <w:tblHeader w:val="on"/>
        </w:trPr>
        <w:tc>
          <w:tcPr/>
          <w:p>
            <w:pPr>
              <w:pStyle w:val="Compact"/>
              <w:jc w:val="left"/>
            </w:pPr>
            <w:r>
              <w:t xml:space="preserve">Phase</w:t>
            </w:r>
          </w:p>
        </w:tc>
        <w:tc>
          <w:tcPr/>
          <w:p>
            <w:pPr>
              <w:pStyle w:val="Compact"/>
              <w:jc w:val="left"/>
            </w:pPr>
            <w:r>
              <w:t xml:space="preserve">Milestone</w:t>
            </w:r>
          </w:p>
        </w:tc>
        <w:tc>
          <w:tcPr/>
          <w:p>
            <w:pPr>
              <w:pStyle w:val="Compact"/>
              <w:jc w:val="left"/>
            </w:pPr>
            <w:r>
              <w:t xml:space="preserve">Duration</w:t>
            </w:r>
          </w:p>
        </w:tc>
        <w:tc>
          <w:tcPr/>
          <w:p>
            <w:pPr>
              <w:pStyle w:val="Compact"/>
              <w:jc w:val="left"/>
            </w:pPr>
            <w:r>
              <w:t xml:space="preserve">Dependencies</w:t>
            </w:r>
          </w:p>
        </w:tc>
        <w:tc>
          <w:tcPr/>
          <w:p>
            <w:pPr>
              <w:pStyle w:val="Compact"/>
              <w:jc w:val="left"/>
            </w:pPr>
            <w:r>
              <w:t xml:space="preserve">Deliverable</w:t>
            </w:r>
          </w:p>
        </w:tc>
      </w:tr>
      <w:tr>
        <w:tc>
          <w:tcPr/>
          <w:p>
            <w:pPr>
              <w:pStyle w:val="Compact"/>
              <w:jc w:val="left"/>
            </w:pPr>
            <w:r>
              <w:rPr>
                <w:b/>
                <w:bCs/>
              </w:rPr>
              <w:t xml:space="preserve">I</w:t>
            </w:r>
          </w:p>
        </w:tc>
        <w:tc>
          <w:tcPr/>
          <w:p>
            <w:pPr>
              <w:pStyle w:val="Compact"/>
              <w:jc w:val="left"/>
            </w:pPr>
            <w:r>
              <w:t xml:space="preserve">Requirements Complete</w:t>
            </w:r>
          </w:p>
        </w:tc>
        <w:tc>
          <w:tcPr/>
          <w:p>
            <w:pPr>
              <w:pStyle w:val="Compact"/>
              <w:jc w:val="left"/>
            </w:pPr>
            <w:r>
              <w:t xml:space="preserve">3 weeks</w:t>
            </w:r>
          </w:p>
        </w:tc>
        <w:tc>
          <w:tcPr/>
          <w:p>
            <w:pPr>
              <w:pStyle w:val="Compact"/>
              <w:jc w:val="left"/>
            </w:pPr>
            <w:r>
              <w:t xml:space="preserve">Client specifications</w:t>
            </w:r>
          </w:p>
        </w:tc>
        <w:tc>
          <w:tcPr/>
          <w:p>
            <w:pPr>
              <w:pStyle w:val="Compact"/>
              <w:jc w:val="left"/>
            </w:pPr>
            <w:r>
              <w:t xml:space="preserve">Requirements Document</w:t>
            </w:r>
          </w:p>
        </w:tc>
      </w:tr>
      <w:tr>
        <w:tc>
          <w:tcPr/>
          <w:p>
            <w:pPr>
              <w:pStyle w:val="Compact"/>
              <w:jc w:val="left"/>
            </w:pPr>
            <w:r>
              <w:rPr>
                <w:b/>
                <w:bCs/>
              </w:rPr>
              <w:t xml:space="preserve">I</w:t>
            </w:r>
          </w:p>
        </w:tc>
        <w:tc>
          <w:tcPr/>
          <w:p>
            <w:pPr>
              <w:pStyle w:val="Compact"/>
              <w:jc w:val="left"/>
            </w:pPr>
            <w:r>
              <w:t xml:space="preserve">Architecture Design</w:t>
            </w:r>
          </w:p>
        </w:tc>
        <w:tc>
          <w:tcPr/>
          <w:p>
            <w:pPr>
              <w:pStyle w:val="Compact"/>
              <w:jc w:val="left"/>
            </w:pPr>
            <w:r>
              <w:t xml:space="preserve">4 weeks</w:t>
            </w:r>
          </w:p>
        </w:tc>
        <w:tc>
          <w:tcPr/>
          <w:p>
            <w:pPr>
              <w:pStyle w:val="Compact"/>
              <w:jc w:val="left"/>
            </w:pPr>
            <w:r>
              <w:t xml:space="preserve">Requirements</w:t>
            </w:r>
          </w:p>
        </w:tc>
        <w:tc>
          <w:tcPr/>
          <w:p>
            <w:pPr>
              <w:pStyle w:val="Compact"/>
              <w:jc w:val="left"/>
            </w:pPr>
            <w:r>
              <w:t xml:space="preserve">Architecture Specification</w:t>
            </w:r>
          </w:p>
        </w:tc>
      </w:tr>
      <w:tr>
        <w:tc>
          <w:tcPr/>
          <w:p>
            <w:pPr>
              <w:pStyle w:val="Compact"/>
              <w:jc w:val="left"/>
            </w:pPr>
            <w:r>
              <w:rPr>
                <w:b/>
                <w:bCs/>
              </w:rPr>
              <w:t xml:space="preserve">I</w:t>
            </w:r>
          </w:p>
        </w:tc>
        <w:tc>
          <w:tcPr/>
          <w:p>
            <w:pPr>
              <w:pStyle w:val="Compact"/>
              <w:jc w:val="left"/>
            </w:pPr>
            <w:r>
              <w:t xml:space="preserve">Component Selection</w:t>
            </w:r>
          </w:p>
        </w:tc>
        <w:tc>
          <w:tcPr/>
          <w:p>
            <w:pPr>
              <w:pStyle w:val="Compact"/>
              <w:jc w:val="left"/>
            </w:pPr>
            <w:r>
              <w:t xml:space="preserve">2 weeks</w:t>
            </w:r>
          </w:p>
        </w:tc>
        <w:tc>
          <w:tcPr/>
          <w:p>
            <w:pPr>
              <w:pStyle w:val="Compact"/>
              <w:jc w:val="left"/>
            </w:pPr>
            <w:r>
              <w:t xml:space="preserve">Architecture</w:t>
            </w:r>
          </w:p>
        </w:tc>
        <w:tc>
          <w:tcPr/>
          <w:p>
            <w:pPr>
              <w:pStyle w:val="Compact"/>
              <w:jc w:val="left"/>
            </w:pPr>
            <w:r>
              <w:t xml:space="preserve">Bill of Materials</w:t>
            </w:r>
          </w:p>
        </w:tc>
      </w:tr>
      <w:tr>
        <w:tc>
          <w:tcPr/>
          <w:p>
            <w:pPr>
              <w:pStyle w:val="Compact"/>
              <w:jc w:val="left"/>
            </w:pPr>
            <w:r>
              <w:rPr>
                <w:b/>
                <w:bCs/>
              </w:rPr>
              <w:t xml:space="preserve">II</w:t>
            </w:r>
          </w:p>
        </w:tc>
        <w:tc>
          <w:tcPr/>
          <w:p>
            <w:pPr>
              <w:pStyle w:val="Compact"/>
              <w:jc w:val="left"/>
            </w:pPr>
            <w:r>
              <w:t xml:space="preserve">PCB Design</w:t>
            </w:r>
          </w:p>
        </w:tc>
        <w:tc>
          <w:tcPr/>
          <w:p>
            <w:pPr>
              <w:pStyle w:val="Compact"/>
              <w:jc w:val="left"/>
            </w:pPr>
            <w:r>
              <w:t xml:space="preserve">6 weeks</w:t>
            </w:r>
          </w:p>
        </w:tc>
        <w:tc>
          <w:tcPr/>
          <w:p>
            <w:pPr>
              <w:pStyle w:val="Compact"/>
              <w:jc w:val="left"/>
            </w:pPr>
            <w:r>
              <w:t xml:space="preserve">Components</w:t>
            </w:r>
          </w:p>
        </w:tc>
        <w:tc>
          <w:tcPr/>
          <w:p>
            <w:pPr>
              <w:pStyle w:val="Compact"/>
              <w:jc w:val="left"/>
            </w:pPr>
            <w:r>
              <w:t xml:space="preserve">PCB Layouts &amp; Gerbers</w:t>
            </w:r>
          </w:p>
        </w:tc>
      </w:tr>
      <w:tr>
        <w:tc>
          <w:tcPr/>
          <w:p>
            <w:pPr>
              <w:pStyle w:val="Compact"/>
              <w:jc w:val="left"/>
            </w:pPr>
            <w:r>
              <w:rPr>
                <w:b/>
                <w:bCs/>
              </w:rPr>
              <w:t xml:space="preserve">II</w:t>
            </w:r>
          </w:p>
        </w:tc>
        <w:tc>
          <w:tcPr/>
          <w:p>
            <w:pPr>
              <w:pStyle w:val="Compact"/>
              <w:jc w:val="left"/>
            </w:pPr>
            <w:r>
              <w:t xml:space="preserve">FPGA Development</w:t>
            </w:r>
          </w:p>
        </w:tc>
        <w:tc>
          <w:tcPr/>
          <w:p>
            <w:pPr>
              <w:pStyle w:val="Compact"/>
              <w:jc w:val="left"/>
            </w:pPr>
            <w:r>
              <w:t xml:space="preserve">8 weeks</w:t>
            </w:r>
          </w:p>
        </w:tc>
        <w:tc>
          <w:tcPr/>
          <w:p>
            <w:pPr>
              <w:pStyle w:val="Compact"/>
              <w:jc w:val="left"/>
            </w:pPr>
            <w:r>
              <w:t xml:space="preserve">PCB Design</w:t>
            </w:r>
          </w:p>
        </w:tc>
        <w:tc>
          <w:tcPr/>
          <w:p>
            <w:pPr>
              <w:pStyle w:val="Compact"/>
              <w:jc w:val="left"/>
            </w:pPr>
            <w:r>
              <w:t xml:space="preserve">HDL Code &amp; Bitstreams</w:t>
            </w:r>
          </w:p>
        </w:tc>
      </w:tr>
      <w:tr>
        <w:tc>
          <w:tcPr/>
          <w:p>
            <w:pPr>
              <w:pStyle w:val="Compact"/>
              <w:jc w:val="left"/>
            </w:pPr>
            <w:r>
              <w:rPr>
                <w:b/>
                <w:bCs/>
              </w:rPr>
              <w:t xml:space="preserve">II</w:t>
            </w:r>
          </w:p>
        </w:tc>
        <w:tc>
          <w:tcPr/>
          <w:p>
            <w:pPr>
              <w:pStyle w:val="Compact"/>
              <w:jc w:val="left"/>
            </w:pPr>
            <w:r>
              <w:t xml:space="preserve">Prototype Assembly</w:t>
            </w:r>
          </w:p>
        </w:tc>
        <w:tc>
          <w:tcPr/>
          <w:p>
            <w:pPr>
              <w:pStyle w:val="Compact"/>
              <w:jc w:val="left"/>
            </w:pPr>
            <w:r>
              <w:t xml:space="preserve">4 weeks</w:t>
            </w:r>
          </w:p>
        </w:tc>
        <w:tc>
          <w:tcPr/>
          <w:p>
            <w:pPr>
              <w:pStyle w:val="Compact"/>
              <w:jc w:val="left"/>
            </w:pPr>
            <w:r>
              <w:t xml:space="preserve">PCB, Components</w:t>
            </w:r>
          </w:p>
        </w:tc>
        <w:tc>
          <w:tcPr/>
          <w:p>
            <w:pPr>
              <w:pStyle w:val="Compact"/>
              <w:jc w:val="left"/>
            </w:pPr>
            <w:r>
              <w:t xml:space="preserve">Working Prototype</w:t>
            </w:r>
          </w:p>
        </w:tc>
      </w:tr>
      <w:tr>
        <w:tc>
          <w:tcPr/>
          <w:p>
            <w:pPr>
              <w:pStyle w:val="Compact"/>
              <w:jc w:val="left"/>
            </w:pPr>
            <w:r>
              <w:rPr>
                <w:b/>
                <w:bCs/>
              </w:rPr>
              <w:t xml:space="preserve">III</w:t>
            </w:r>
          </w:p>
        </w:tc>
        <w:tc>
          <w:tcPr/>
          <w:p>
            <w:pPr>
              <w:pStyle w:val="Compact"/>
              <w:jc w:val="left"/>
            </w:pPr>
            <w:r>
              <w:t xml:space="preserve">Firmware Development</w:t>
            </w:r>
          </w:p>
        </w:tc>
        <w:tc>
          <w:tcPr/>
          <w:p>
            <w:pPr>
              <w:pStyle w:val="Compact"/>
              <w:jc w:val="left"/>
            </w:pPr>
            <w:r>
              <w:t xml:space="preserve">6 weeks</w:t>
            </w:r>
          </w:p>
        </w:tc>
        <w:tc>
          <w:tcPr/>
          <w:p>
            <w:pPr>
              <w:pStyle w:val="Compact"/>
              <w:jc w:val="left"/>
            </w:pPr>
            <w:r>
              <w:t xml:space="preserve">Prototype</w:t>
            </w:r>
          </w:p>
        </w:tc>
        <w:tc>
          <w:tcPr/>
          <w:p>
            <w:pPr>
              <w:pStyle w:val="Compact"/>
              <w:jc w:val="left"/>
            </w:pPr>
            <w:r>
              <w:t xml:space="preserve">Firmware Package</w:t>
            </w:r>
          </w:p>
        </w:tc>
      </w:tr>
      <w:tr>
        <w:tc>
          <w:tcPr/>
          <w:p>
            <w:pPr>
              <w:pStyle w:val="Compact"/>
              <w:jc w:val="left"/>
            </w:pPr>
            <w:r>
              <w:rPr>
                <w:b/>
                <w:bCs/>
              </w:rPr>
              <w:t xml:space="preserve">III</w:t>
            </w:r>
          </w:p>
        </w:tc>
        <w:tc>
          <w:tcPr/>
          <w:p>
            <w:pPr>
              <w:pStyle w:val="Compact"/>
              <w:jc w:val="left"/>
            </w:pPr>
            <w:r>
              <w:t xml:space="preserve">Driver Development</w:t>
            </w:r>
          </w:p>
        </w:tc>
        <w:tc>
          <w:tcPr/>
          <w:p>
            <w:pPr>
              <w:pStyle w:val="Compact"/>
              <w:jc w:val="left"/>
            </w:pPr>
            <w:r>
              <w:t xml:space="preserve">4 weeks</w:t>
            </w:r>
          </w:p>
        </w:tc>
        <w:tc>
          <w:tcPr/>
          <w:p>
            <w:pPr>
              <w:pStyle w:val="Compact"/>
              <w:jc w:val="left"/>
            </w:pPr>
            <w:r>
              <w:t xml:space="preserve">Firmware</w:t>
            </w:r>
          </w:p>
        </w:tc>
        <w:tc>
          <w:tcPr/>
          <w:p>
            <w:pPr>
              <w:pStyle w:val="Compact"/>
              <w:jc w:val="left"/>
            </w:pPr>
            <w:r>
              <w:t xml:space="preserve">Driver Package</w:t>
            </w:r>
          </w:p>
        </w:tc>
      </w:tr>
      <w:tr>
        <w:tc>
          <w:tcPr/>
          <w:p>
            <w:pPr>
              <w:pStyle w:val="Compact"/>
              <w:jc w:val="left"/>
            </w:pPr>
            <w:r>
              <w:rPr>
                <w:b/>
                <w:bCs/>
              </w:rPr>
              <w:t xml:space="preserve">III</w:t>
            </w:r>
          </w:p>
        </w:tc>
        <w:tc>
          <w:tcPr/>
          <w:p>
            <w:pPr>
              <w:pStyle w:val="Compact"/>
              <w:jc w:val="left"/>
            </w:pPr>
            <w:r>
              <w:t xml:space="preserve">Testing &amp; Validation</w:t>
            </w:r>
          </w:p>
        </w:tc>
        <w:tc>
          <w:tcPr/>
          <w:p>
            <w:pPr>
              <w:pStyle w:val="Compact"/>
              <w:jc w:val="left"/>
            </w:pPr>
            <w:r>
              <w:t xml:space="preserve">3 weeks</w:t>
            </w:r>
          </w:p>
        </w:tc>
        <w:tc>
          <w:tcPr/>
          <w:p>
            <w:pPr>
              <w:pStyle w:val="Compact"/>
              <w:jc w:val="left"/>
            </w:pPr>
            <w:r>
              <w:t xml:space="preserve">Complete System</w:t>
            </w:r>
          </w:p>
        </w:tc>
        <w:tc>
          <w:tcPr/>
          <w:p>
            <w:pPr>
              <w:pStyle w:val="Compact"/>
              <w:jc w:val="left"/>
            </w:pPr>
            <w:r>
              <w:t xml:space="preserve">Test Reports</w:t>
            </w:r>
          </w:p>
        </w:tc>
      </w:tr>
      <w:tr>
        <w:tc>
          <w:tcPr/>
          <w:p>
            <w:pPr>
              <w:pStyle w:val="Compact"/>
              <w:jc w:val="left"/>
            </w:pPr>
            <w:r>
              <w:rPr>
                <w:b/>
                <w:bCs/>
              </w:rPr>
              <w:t xml:space="preserve">III</w:t>
            </w:r>
          </w:p>
        </w:tc>
        <w:tc>
          <w:tcPr/>
          <w:p>
            <w:pPr>
              <w:pStyle w:val="Compact"/>
              <w:jc w:val="left"/>
            </w:pPr>
            <w:r>
              <w:t xml:space="preserve">Documentation</w:t>
            </w:r>
          </w:p>
        </w:tc>
        <w:tc>
          <w:tcPr/>
          <w:p>
            <w:pPr>
              <w:pStyle w:val="Compact"/>
              <w:jc w:val="left"/>
            </w:pPr>
            <w:r>
              <w:t xml:space="preserve">2 weeks</w:t>
            </w:r>
          </w:p>
        </w:tc>
        <w:tc>
          <w:tcPr/>
          <w:p>
            <w:pPr>
              <w:pStyle w:val="Compact"/>
              <w:jc w:val="left"/>
            </w:pPr>
            <w:r>
              <w:t xml:space="preserve">All phases</w:t>
            </w:r>
          </w:p>
        </w:tc>
        <w:tc>
          <w:tcPr/>
          <w:p>
            <w:pPr>
              <w:pStyle w:val="Compact"/>
              <w:jc w:val="left"/>
            </w:pPr>
            <w:r>
              <w:t xml:space="preserve">Complete Documentation</w:t>
            </w:r>
          </w:p>
        </w:tc>
      </w:tr>
    </w:tbl>
    <w:p>
      <w:pPr>
        <w:pStyle w:val="BodyText"/>
      </w:pPr>
      <w:r>
        <w:rPr>
          <w:b/>
          <w:bCs/>
        </w:rPr>
        <w:t xml:space="preserve">Total Project Duration:</w:t>
      </w:r>
      <w:r>
        <w:t xml:space="preserve"> </w:t>
      </w:r>
      <w:r>
        <w:t xml:space="preserve">42 weeks (approximately 10.5 months)</w:t>
      </w:r>
    </w:p>
    <w:bookmarkStart w:id="18" w:name="critical-path-analysis"/>
    <w:p>
      <w:pPr>
        <w:pStyle w:val="Heading3"/>
      </w:pPr>
      <w:r>
        <w:rPr>
          <w:rStyle w:val="SectionNumber"/>
        </w:rPr>
        <w:t xml:space="preserve">1.3.1</w:t>
      </w:r>
      <w:r>
        <w:tab/>
      </w:r>
      <w:r>
        <w:t xml:space="preserve">2.1 Critical Path Analysis</w:t>
      </w:r>
    </w:p>
    <w:p>
      <w:pPr>
        <w:pStyle w:val="FirstParagraph"/>
      </w:pPr>
      <w:r>
        <w:t xml:space="preserve">The project’s critical path includes:</w:t>
      </w:r>
    </w:p>
    <w:p>
      <w:pPr>
        <w:pStyle w:val="Compact"/>
        <w:numPr>
          <w:ilvl w:val="0"/>
          <w:numId w:val="1018"/>
        </w:numPr>
      </w:pPr>
      <w:r>
        <w:rPr>
          <w:b/>
          <w:bCs/>
        </w:rPr>
        <w:t xml:space="preserve">Quantum Interface Design</w:t>
      </w:r>
      <w:r>
        <w:t xml:space="preserve"> </w:t>
      </w:r>
      <w:r>
        <w:t xml:space="preserve">— Most technically challenging component</w:t>
      </w:r>
    </w:p>
    <w:p>
      <w:pPr>
        <w:pStyle w:val="Compact"/>
        <w:numPr>
          <w:ilvl w:val="0"/>
          <w:numId w:val="1018"/>
        </w:numPr>
      </w:pPr>
      <w:r>
        <w:rPr>
          <w:b/>
          <w:bCs/>
        </w:rPr>
        <w:t xml:space="preserve">Thermal Management</w:t>
      </w:r>
      <w:r>
        <w:t xml:space="preserve"> </w:t>
      </w:r>
      <w:r>
        <w:t xml:space="preserve">— Critical for system reliability</w:t>
      </w:r>
    </w:p>
    <w:p>
      <w:pPr>
        <w:pStyle w:val="Compact"/>
        <w:numPr>
          <w:ilvl w:val="0"/>
          <w:numId w:val="1018"/>
        </w:numPr>
      </w:pPr>
      <w:r>
        <w:rPr>
          <w:b/>
          <w:bCs/>
        </w:rPr>
        <w:t xml:space="preserve">Inter-system Communication Protocol</w:t>
      </w:r>
      <w:r>
        <w:t xml:space="preserve"> </w:t>
      </w:r>
      <w:r>
        <w:t xml:space="preserve">— Performance bottleneck risk</w:t>
      </w:r>
    </w:p>
    <w:p>
      <w:pPr>
        <w:pStyle w:val="Compact"/>
        <w:numPr>
          <w:ilvl w:val="0"/>
          <w:numId w:val="1018"/>
        </w:numPr>
      </w:pPr>
      <w:r>
        <w:rPr>
          <w:b/>
          <w:bCs/>
        </w:rPr>
        <w:t xml:space="preserve">Regulatory Compliance</w:t>
      </w:r>
      <w:r>
        <w:t xml:space="preserve"> </w:t>
      </w:r>
      <w:r>
        <w:t xml:space="preserve">— EMI/EMC certification requirements</w:t>
      </w:r>
    </w:p>
    <w:p>
      <w:r>
        <w:pict>
          <v:rect style="width:0;height:1.5pt" o:hralign="center" o:hrstd="t" o:hr="t"/>
        </w:pict>
      </w:r>
    </w:p>
    <w:bookmarkEnd w:id="18"/>
    <w:bookmarkEnd w:id="19"/>
    <w:bookmarkStart w:id="24" w:name="iii.-professional-fees-billing-structure"/>
    <w:p>
      <w:pPr>
        <w:pStyle w:val="Heading2"/>
      </w:pPr>
      <w:r>
        <w:rPr>
          <w:rStyle w:val="SectionNumber"/>
        </w:rPr>
        <w:t xml:space="preserve">1.4</w:t>
      </w:r>
      <w:r>
        <w:tab/>
      </w:r>
      <w:r>
        <w:t xml:space="preserve">III. Professional Fees &amp; Billing Structure</w:t>
      </w:r>
    </w:p>
    <w:bookmarkStart w:id="21" w:name="hourly-rate-structure"/>
    <w:p>
      <w:pPr>
        <w:pStyle w:val="Heading3"/>
      </w:pPr>
      <w:r>
        <w:rPr>
          <w:rStyle w:val="SectionNumber"/>
        </w:rPr>
        <w:t xml:space="preserve">1.4.1</w:t>
      </w:r>
      <w:r>
        <w:tab/>
      </w:r>
      <w:r>
        <w:t xml:space="preserve">3.1 Hourly Rate Structure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Role</w:t>
            </w:r>
          </w:p>
        </w:tc>
        <w:tc>
          <w:tcPr/>
          <w:p>
            <w:pPr>
              <w:pStyle w:val="Compact"/>
              <w:jc w:val="left"/>
            </w:pPr>
            <w:r>
              <w:t xml:space="preserve">Standard Rate</w:t>
            </w:r>
          </w:p>
        </w:tc>
        <w:tc>
          <w:tcPr/>
          <w:p>
            <w:pPr>
              <w:pStyle w:val="Compact"/>
              <w:jc w:val="left"/>
            </w:pPr>
            <w:r>
              <w:t xml:space="preserve">Premium Rate</w:t>
            </w:r>
            <w:r>
              <w:rPr>
                <w:rStyle w:val="FootnoteReference"/>
              </w:rPr>
              <w:footnoteReference w:id="20"/>
            </w:r>
          </w:p>
        </w:tc>
        <w:tc>
          <w:tcPr/>
          <w:p>
            <w:pPr>
              <w:pStyle w:val="Compact"/>
              <w:jc w:val="left"/>
            </w:pPr>
            <w:r>
              <w:t xml:space="preserve">After Hours</w:t>
            </w:r>
          </w:p>
        </w:tc>
      </w:tr>
      <w:tr>
        <w:tc>
          <w:tcPr/>
          <w:p>
            <w:pPr>
              <w:pStyle w:val="Compact"/>
              <w:jc w:val="left"/>
            </w:pPr>
            <w:r>
              <w:rPr>
                <w:b/>
                <w:bCs/>
              </w:rPr>
              <w:t xml:space="preserve">Principal Engineer</w:t>
            </w:r>
          </w:p>
        </w:tc>
        <w:tc>
          <w:tcPr/>
          <w:p>
            <w:pPr>
              <w:pStyle w:val="Compact"/>
              <w:jc w:val="left"/>
            </w:pPr>
            <w:r>
              <w:t xml:space="preserve">$275/hour</w:t>
            </w:r>
          </w:p>
        </w:tc>
        <w:tc>
          <w:tcPr/>
          <w:p>
            <w:pPr>
              <w:pStyle w:val="Compact"/>
              <w:jc w:val="left"/>
            </w:pPr>
            <w:r>
              <w:t xml:space="preserve">$330/hour</w:t>
            </w:r>
          </w:p>
        </w:tc>
        <w:tc>
          <w:tcPr/>
          <w:p>
            <w:pPr>
              <w:pStyle w:val="Compact"/>
              <w:jc w:val="left"/>
            </w:pPr>
            <w:r>
              <w:t xml:space="preserve">$412.50/hour</w:t>
            </w:r>
          </w:p>
        </w:tc>
      </w:tr>
      <w:tr>
        <w:tc>
          <w:tcPr/>
          <w:p>
            <w:pPr>
              <w:pStyle w:val="Compact"/>
              <w:jc w:val="left"/>
            </w:pPr>
            <w:r>
              <w:rPr>
                <w:b/>
                <w:bCs/>
              </w:rPr>
              <w:t xml:space="preserve">Senior Engineer</w:t>
            </w:r>
          </w:p>
        </w:tc>
        <w:tc>
          <w:tcPr/>
          <w:p>
            <w:pPr>
              <w:pStyle w:val="Compact"/>
              <w:jc w:val="left"/>
            </w:pPr>
            <w:r>
              <w:t xml:space="preserve">$225/hour</w:t>
            </w:r>
          </w:p>
        </w:tc>
        <w:tc>
          <w:tcPr/>
          <w:p>
            <w:pPr>
              <w:pStyle w:val="Compact"/>
              <w:jc w:val="left"/>
            </w:pPr>
            <w:r>
              <w:t xml:space="preserve">$270/hour</w:t>
            </w:r>
          </w:p>
        </w:tc>
        <w:tc>
          <w:tcPr/>
          <w:p>
            <w:pPr>
              <w:pStyle w:val="Compact"/>
              <w:jc w:val="left"/>
            </w:pPr>
            <w:r>
              <w:t xml:space="preserve">$337.50/hour</w:t>
            </w:r>
          </w:p>
        </w:tc>
      </w:tr>
      <w:tr>
        <w:tc>
          <w:tcPr/>
          <w:p>
            <w:pPr>
              <w:pStyle w:val="Compact"/>
              <w:jc w:val="left"/>
            </w:pPr>
            <w:r>
              <w:rPr>
                <w:b/>
                <w:bCs/>
              </w:rPr>
              <w:t xml:space="preserve">Design Engineer</w:t>
            </w:r>
          </w:p>
        </w:tc>
        <w:tc>
          <w:tcPr/>
          <w:p>
            <w:pPr>
              <w:pStyle w:val="Compact"/>
              <w:jc w:val="left"/>
            </w:pPr>
            <w:r>
              <w:t xml:space="preserve">$175/hour</w:t>
            </w:r>
          </w:p>
        </w:tc>
        <w:tc>
          <w:tcPr/>
          <w:p>
            <w:pPr>
              <w:pStyle w:val="Compact"/>
              <w:jc w:val="left"/>
            </w:pPr>
            <w:r>
              <w:t xml:space="preserve">$210/hour</w:t>
            </w:r>
          </w:p>
        </w:tc>
        <w:tc>
          <w:tcPr/>
          <w:p>
            <w:pPr>
              <w:pStyle w:val="Compact"/>
              <w:jc w:val="left"/>
            </w:pPr>
            <w:r>
              <w:t xml:space="preserve">$262.50/hour</w:t>
            </w:r>
          </w:p>
        </w:tc>
      </w:tr>
      <w:tr>
        <w:tc>
          <w:tcPr/>
          <w:p>
            <w:pPr>
              <w:pStyle w:val="Compact"/>
              <w:jc w:val="left"/>
            </w:pPr>
            <w:r>
              <w:rPr>
                <w:b/>
                <w:bCs/>
              </w:rPr>
              <w:t xml:space="preserve">Junior Engineer</w:t>
            </w:r>
          </w:p>
        </w:tc>
        <w:tc>
          <w:tcPr/>
          <w:p>
            <w:pPr>
              <w:pStyle w:val="Compact"/>
              <w:jc w:val="left"/>
            </w:pPr>
            <w:r>
              <w:t xml:space="preserve">$125/hour</w:t>
            </w:r>
          </w:p>
        </w:tc>
        <w:tc>
          <w:tcPr/>
          <w:p>
            <w:pPr>
              <w:pStyle w:val="Compact"/>
              <w:jc w:val="left"/>
            </w:pPr>
            <w:r>
              <w:t xml:space="preserve">$150/hour</w:t>
            </w:r>
          </w:p>
        </w:tc>
        <w:tc>
          <w:tcPr/>
          <w:p>
            <w:pPr>
              <w:pStyle w:val="Compact"/>
              <w:jc w:val="left"/>
            </w:pPr>
            <w:r>
              <w:t xml:space="preserve">$187.50/hour</w:t>
            </w:r>
          </w:p>
        </w:tc>
      </w:tr>
      <w:tr>
        <w:tc>
          <w:tcPr/>
          <w:p>
            <w:pPr>
              <w:pStyle w:val="Compact"/>
              <w:jc w:val="left"/>
            </w:pPr>
            <w:r>
              <w:rPr>
                <w:b/>
                <w:bCs/>
              </w:rPr>
              <w:t xml:space="preserve">Technical Writer</w:t>
            </w:r>
          </w:p>
        </w:tc>
        <w:tc>
          <w:tcPr/>
          <w:p>
            <w:pPr>
              <w:pStyle w:val="Compact"/>
              <w:jc w:val="left"/>
            </w:pPr>
            <w:r>
              <w:t xml:space="preserve">$95/hour</w:t>
            </w:r>
          </w:p>
        </w:tc>
        <w:tc>
          <w:tcPr/>
          <w:p>
            <w:pPr>
              <w:pStyle w:val="Compact"/>
              <w:jc w:val="left"/>
            </w:pPr>
            <w:r>
              <w:t xml:space="preserve">$114/hour</w:t>
            </w:r>
          </w:p>
        </w:tc>
        <w:tc>
          <w:tcPr/>
          <w:p>
            <w:pPr>
              <w:pStyle w:val="Compact"/>
              <w:jc w:val="left"/>
            </w:pPr>
            <w:r>
              <w:t xml:space="preserve">$142.50/hour</w:t>
            </w:r>
          </w:p>
        </w:tc>
      </w:tr>
    </w:tbl>
    <w:bookmarkEnd w:id="21"/>
    <w:bookmarkStart w:id="22" w:name="fixed-price-options"/>
    <w:p>
      <w:pPr>
        <w:pStyle w:val="Heading3"/>
      </w:pPr>
      <w:r>
        <w:rPr>
          <w:rStyle w:val="SectionNumber"/>
        </w:rPr>
        <w:t xml:space="preserve">1.4.2</w:t>
      </w:r>
      <w:r>
        <w:tab/>
      </w:r>
      <w:r>
        <w:t xml:space="preserve">3.2 Fixed-Price Options</w:t>
      </w:r>
    </w:p>
    <w:p>
      <w:pPr>
        <w:pStyle w:val="DefinitionTerm"/>
      </w:pPr>
      <w:r>
        <w:rPr>
          <w:b/>
          <w:bCs/>
        </w:rPr>
        <w:t xml:space="preserve">Option A: Complete System Development</w:t>
      </w:r>
    </w:p>
    <w:p>
      <w:pPr>
        <w:pStyle w:val="Definition"/>
      </w:pPr>
      <w:r>
        <w:rPr>
          <w:b/>
          <w:bCs/>
        </w:rPr>
        <w:t xml:space="preserve">Total Fixed Price:</w:t>
      </w:r>
      <w:r>
        <w:t xml:space="preserve"> </w:t>
      </w:r>
      <w:r>
        <w:t xml:space="preserve">$485,000</w:t>
      </w:r>
    </w:p>
    <w:p>
      <w:pPr>
        <w:pStyle w:val="Definition"/>
      </w:pPr>
      <w:r>
        <w:t xml:space="preserve">Includes all phases with guaranteed deliverables</w:t>
      </w:r>
    </w:p>
    <w:p>
      <w:pPr>
        <w:pStyle w:val="Definition"/>
      </w:pPr>
      <w:r>
        <w:t xml:space="preserve">15% savings compared to hourly billing</w:t>
      </w:r>
    </w:p>
    <w:p>
      <w:pPr>
        <w:pStyle w:val="Definition"/>
      </w:pPr>
      <w:r>
        <w:t xml:space="preserve">Fixed timeline commitment required</w:t>
      </w:r>
    </w:p>
    <w:p>
      <w:pPr>
        <w:pStyle w:val="DefinitionTerm"/>
      </w:pPr>
      <w:r>
        <w:rPr>
          <w:b/>
          <w:bCs/>
        </w:rPr>
        <w:t xml:space="preserve">Option B: Phased Fixed Pricing</w:t>
      </w:r>
    </w:p>
    <w:p>
      <w:pPr>
        <w:pStyle w:val="Definition"/>
      </w:pPr>
      <w:r>
        <w:rPr>
          <w:b/>
          <w:bCs/>
        </w:rPr>
        <w:t xml:space="preserve">Phase I:</w:t>
      </w:r>
      <w:r>
        <w:t xml:space="preserve"> </w:t>
      </w:r>
      <w:r>
        <w:t xml:space="preserve">$95,000 (Architecture &amp; Design)</w:t>
      </w:r>
    </w:p>
    <w:p>
      <w:pPr>
        <w:pStyle w:val="Definition"/>
      </w:pPr>
      <w:r>
        <w:rPr>
          <w:b/>
          <w:bCs/>
        </w:rPr>
        <w:t xml:space="preserve">Phase II:</w:t>
      </w:r>
      <w:r>
        <w:t xml:space="preserve"> </w:t>
      </w:r>
      <w:r>
        <w:t xml:space="preserve">$195,000 (Hardware Development)</w:t>
      </w:r>
    </w:p>
    <w:p>
      <w:pPr>
        <w:pStyle w:val="Definition"/>
      </w:pPr>
      <w:r>
        <w:rPr>
          <w:b/>
          <w:bCs/>
        </w:rPr>
        <w:t xml:space="preserve">Phase III:</w:t>
      </w:r>
      <w:r>
        <w:t xml:space="preserve"> </w:t>
      </w:r>
      <w:r>
        <w:t xml:space="preserve">$165,000 (Software Integration)</w:t>
      </w:r>
    </w:p>
    <w:p>
      <w:pPr>
        <w:pStyle w:val="Definition"/>
      </w:pPr>
      <w:r>
        <w:rPr>
          <w:b/>
          <w:bCs/>
        </w:rPr>
        <w:t xml:space="preserve">Total:</w:t>
      </w:r>
      <w:r>
        <w:t xml:space="preserve"> </w:t>
      </w:r>
      <w:r>
        <w:t xml:space="preserve">$455,000 (6% savings)</w:t>
      </w:r>
    </w:p>
    <w:bookmarkEnd w:id="22"/>
    <w:bookmarkStart w:id="23" w:name="expenses-additional-costs"/>
    <w:p>
      <w:pPr>
        <w:pStyle w:val="Heading3"/>
      </w:pPr>
      <w:r>
        <w:rPr>
          <w:rStyle w:val="SectionNumber"/>
        </w:rPr>
        <w:t xml:space="preserve">1.4.3</w:t>
      </w:r>
      <w:r>
        <w:tab/>
      </w:r>
      <w:r>
        <w:t xml:space="preserve">3.3 Expenses &amp; Additional Costs</w:t>
      </w:r>
    </w:p>
    <w:p>
      <w:pPr>
        <w:pStyle w:val="FirstParagraph"/>
      </w:pPr>
      <w:r>
        <w:t xml:space="preserve">Reimbursable expenses include:</w:t>
      </w:r>
    </w:p>
    <w:p>
      <w:pPr>
        <w:pStyle w:val="Compact"/>
        <w:numPr>
          <w:ilvl w:val="0"/>
          <w:numId w:val="1019"/>
        </w:numPr>
      </w:pPr>
      <w:r>
        <w:rPr>
          <w:b/>
          <w:bCs/>
        </w:rPr>
        <w:t xml:space="preserve">Prototype Materials:</w:t>
      </w:r>
      <w:r>
        <w:t xml:space="preserve"> </w:t>
      </w:r>
      <w:r>
        <w:t xml:space="preserve">Actual cost + 10% handling fee</w:t>
      </w:r>
    </w:p>
    <w:p>
      <w:pPr>
        <w:pStyle w:val="Compact"/>
        <w:numPr>
          <w:ilvl w:val="0"/>
          <w:numId w:val="1019"/>
        </w:numPr>
      </w:pPr>
      <w:r>
        <w:rPr>
          <w:b/>
          <w:bCs/>
        </w:rPr>
        <w:t xml:space="preserve">Software Licenses:</w:t>
      </w:r>
      <w:r>
        <w:t xml:space="preserve"> </w:t>
      </w:r>
      <w:r>
        <w:t xml:space="preserve">At cost (EDA tools, simulation software)</w:t>
      </w:r>
    </w:p>
    <w:p>
      <w:pPr>
        <w:pStyle w:val="Compact"/>
        <w:numPr>
          <w:ilvl w:val="0"/>
          <w:numId w:val="1019"/>
        </w:numPr>
      </w:pPr>
      <w:r>
        <w:rPr>
          <w:b/>
          <w:bCs/>
        </w:rPr>
        <w:t xml:space="preserve">Test Equipment Rental:</w:t>
      </w:r>
      <w:r>
        <w:t xml:space="preserve"> </w:t>
      </w:r>
      <w:r>
        <w:t xml:space="preserve">Actual cost + 5% handling fee</w:t>
      </w:r>
    </w:p>
    <w:p>
      <w:pPr>
        <w:pStyle w:val="Compact"/>
        <w:numPr>
          <w:ilvl w:val="0"/>
          <w:numId w:val="1019"/>
        </w:numPr>
      </w:pPr>
      <w:r>
        <w:rPr>
          <w:b/>
          <w:bCs/>
        </w:rPr>
        <w:t xml:space="preserve">Travel &amp; Accommodation:</w:t>
      </w:r>
      <w:r>
        <w:t xml:space="preserve"> </w:t>
      </w:r>
      <w:r>
        <w:t xml:space="preserve">Per company policy, pre-approved</w:t>
      </w:r>
    </w:p>
    <w:p>
      <w:pPr>
        <w:pStyle w:val="Compact"/>
        <w:numPr>
          <w:ilvl w:val="0"/>
          <w:numId w:val="1019"/>
        </w:numPr>
      </w:pPr>
      <w:r>
        <w:rPr>
          <w:b/>
          <w:bCs/>
        </w:rPr>
        <w:t xml:space="preserve">Third-party Services:</w:t>
      </w:r>
      <w:r>
        <w:t xml:space="preserve"> </w:t>
      </w:r>
      <w:r>
        <w:t xml:space="preserve">Fabrication, assembly, testing services</w:t>
      </w:r>
    </w:p>
    <w:p>
      <w:pPr>
        <w:pStyle w:val="FirstParagraph"/>
      </w:pPr>
      <w:r>
        <w:rPr>
          <w:b/>
          <w:bCs/>
          <w:i/>
          <w:iCs/>
        </w:rPr>
        <w:t xml:space="preserve">Note:</w:t>
      </w:r>
      <w:r>
        <w:t xml:space="preserve"> </w:t>
      </w:r>
      <w:r>
        <w:rPr>
          <w:i/>
          <w:iCs/>
        </w:rPr>
        <w:t xml:space="preserve">All expenses require prior written approval for amounts exceeding $1,000 per line item.</w:t>
      </w:r>
    </w:p>
    <w:p>
      <w:r>
        <w:pict>
          <v:rect style="width:0;height:1.5pt" o:hralign="center" o:hrstd="t" o:hr="t"/>
        </w:pict>
      </w:r>
    </w:p>
    <w:bookmarkEnd w:id="23"/>
    <w:bookmarkEnd w:id="24"/>
    <w:bookmarkStart w:id="36" w:name="iv.-terms-conditions"/>
    <w:p>
      <w:pPr>
        <w:pStyle w:val="Heading2"/>
      </w:pPr>
      <w:r>
        <w:rPr>
          <w:rStyle w:val="SectionNumber"/>
        </w:rPr>
        <w:t xml:space="preserve">1.5</w:t>
      </w:r>
      <w:r>
        <w:tab/>
      </w:r>
      <w:r>
        <w:t xml:space="preserve">IV. Terms &amp; Conditions</w:t>
      </w:r>
    </w:p>
    <w:bookmarkStart w:id="25" w:name="payment-terms"/>
    <w:p>
      <w:pPr>
        <w:pStyle w:val="Heading3"/>
      </w:pPr>
      <w:r>
        <w:rPr>
          <w:rStyle w:val="SectionNumber"/>
        </w:rPr>
        <w:t xml:space="preserve">1.5.1</w:t>
      </w:r>
      <w:r>
        <w:tab/>
      </w:r>
      <w:r>
        <w:t xml:space="preserve">4.1 Payment Terms</w:t>
      </w:r>
    </w:p>
    <w:p>
      <w:pPr>
        <w:pStyle w:val="FirstParagraph"/>
      </w:pPr>
      <w:r>
        <w:rPr>
          <w:b/>
          <w:bCs/>
        </w:rPr>
        <w:t xml:space="preserve">Billing Cycle:</w:t>
      </w:r>
      <w:r>
        <w:t xml:space="preserve"> </w:t>
      </w:r>
      <w:r>
        <w:t xml:space="preserve">Monthly invoicing on the 1st of each month</w:t>
      </w:r>
      <w:r>
        <w:t xml:space="preserve"> </w:t>
      </w:r>
      <w:r>
        <w:rPr>
          <w:b/>
          <w:bCs/>
        </w:rPr>
        <w:t xml:space="preserve">Payment Terms:</w:t>
      </w:r>
      <w:r>
        <w:t xml:space="preserve"> </w:t>
      </w:r>
      <w:r>
        <w:t xml:space="preserve">Net 30 days from invoice date</w:t>
      </w:r>
      <w:r>
        <w:br/>
      </w:r>
      <w:r>
        <w:rPr>
          <w:b/>
          <w:bCs/>
        </w:rPr>
        <w:t xml:space="preserve">Late Payment:</w:t>
      </w:r>
      <w:r>
        <w:t xml:space="preserve"> </w:t>
      </w:r>
      <w:r>
        <w:t xml:space="preserve">1.5% per month (18% APR) on overdue amounts</w:t>
      </w:r>
      <w:r>
        <w:br/>
      </w:r>
      <w:r>
        <w:rPr>
          <w:b/>
          <w:bCs/>
        </w:rPr>
        <w:t xml:space="preserve">Retainer:</w:t>
      </w:r>
      <w:r>
        <w:t xml:space="preserve"> </w:t>
      </w:r>
      <w:r>
        <w:t xml:space="preserve">25% of estimated project cost due upon signing</w:t>
      </w:r>
    </w:p>
    <w:bookmarkEnd w:id="25"/>
    <w:bookmarkStart w:id="29" w:name="intellectual-property-rights"/>
    <w:p>
      <w:pPr>
        <w:pStyle w:val="Heading3"/>
      </w:pPr>
      <w:r>
        <w:rPr>
          <w:rStyle w:val="SectionNumber"/>
        </w:rPr>
        <w:t xml:space="preserve">1.5.2</w:t>
      </w:r>
      <w:r>
        <w:tab/>
      </w:r>
      <w:r>
        <w:t xml:space="preserve">4.2 Intellectual Property Rights</w:t>
      </w:r>
    </w:p>
    <w:p>
      <w:pPr>
        <w:pStyle w:val="FirstParagraph"/>
      </w:pPr>
      <w:r>
        <w:t xml:space="preserve">All work performed under this Agreement shall be subject to the following IP provisions:</w:t>
      </w:r>
    </w:p>
    <w:bookmarkStart w:id="26" w:name="client-owned-ip"/>
    <w:p>
      <w:pPr>
        <w:pStyle w:val="Heading4"/>
      </w:pPr>
      <w:r>
        <w:rPr>
          <w:rStyle w:val="SectionNumber"/>
        </w:rPr>
        <w:t xml:space="preserve">1.5.2.1</w:t>
      </w:r>
      <w:r>
        <w:tab/>
      </w:r>
      <w:r>
        <w:rPr>
          <w:b/>
          <w:bCs/>
        </w:rPr>
        <w:t xml:space="preserve">Client-Owned IP</w:t>
      </w:r>
    </w:p>
    <w:p>
      <w:pPr>
        <w:pStyle w:val="Compact"/>
        <w:numPr>
          <w:ilvl w:val="0"/>
          <w:numId w:val="1020"/>
        </w:numPr>
      </w:pPr>
      <w:r>
        <w:t xml:space="preserve">Final deliverables and documentation</w:t>
      </w:r>
    </w:p>
    <w:p>
      <w:pPr>
        <w:pStyle w:val="Compact"/>
        <w:numPr>
          <w:ilvl w:val="0"/>
          <w:numId w:val="1020"/>
        </w:numPr>
      </w:pPr>
      <w:r>
        <w:t xml:space="preserve">Custom software developed specifically for Client</w:t>
      </w:r>
    </w:p>
    <w:p>
      <w:pPr>
        <w:pStyle w:val="Compact"/>
        <w:numPr>
          <w:ilvl w:val="0"/>
          <w:numId w:val="1020"/>
        </w:numPr>
      </w:pPr>
      <w:r>
        <w:t xml:space="preserve">System specifications and architectural designs</w:t>
      </w:r>
    </w:p>
    <w:bookmarkEnd w:id="26"/>
    <w:bookmarkStart w:id="27" w:name="consultant-retained-ip"/>
    <w:p>
      <w:pPr>
        <w:pStyle w:val="Heading4"/>
      </w:pPr>
      <w:r>
        <w:rPr>
          <w:rStyle w:val="SectionNumber"/>
        </w:rPr>
        <w:t xml:space="preserve">1.5.2.2</w:t>
      </w:r>
      <w:r>
        <w:tab/>
      </w:r>
      <w:r>
        <w:rPr>
          <w:b/>
          <w:bCs/>
        </w:rPr>
        <w:t xml:space="preserve">Consultant-Retained IP</w:t>
      </w:r>
    </w:p>
    <w:p>
      <w:pPr>
        <w:pStyle w:val="Compact"/>
        <w:numPr>
          <w:ilvl w:val="0"/>
          <w:numId w:val="1021"/>
        </w:numPr>
      </w:pPr>
      <w:r>
        <w:t xml:space="preserve">Pre-existing methodologies and tools</w:t>
      </w:r>
    </w:p>
    <w:p>
      <w:pPr>
        <w:pStyle w:val="Compact"/>
        <w:numPr>
          <w:ilvl w:val="0"/>
          <w:numId w:val="1021"/>
        </w:numPr>
      </w:pPr>
      <w:r>
        <w:t xml:space="preserve">General engineering knowledge and experience</w:t>
      </w:r>
    </w:p>
    <w:p>
      <w:pPr>
        <w:pStyle w:val="Compact"/>
        <w:numPr>
          <w:ilvl w:val="0"/>
          <w:numId w:val="1021"/>
        </w:numPr>
      </w:pPr>
      <w:r>
        <w:t xml:space="preserve">Reusable code libraries and frameworks</w:t>
      </w:r>
    </w:p>
    <w:bookmarkEnd w:id="27"/>
    <w:bookmarkStart w:id="28" w:name="joint-ip"/>
    <w:p>
      <w:pPr>
        <w:pStyle w:val="Heading4"/>
      </w:pPr>
      <w:r>
        <w:rPr>
          <w:rStyle w:val="SectionNumber"/>
        </w:rPr>
        <w:t xml:space="preserve">1.5.2.3</w:t>
      </w:r>
      <w:r>
        <w:tab/>
      </w:r>
      <w:r>
        <w:rPr>
          <w:b/>
          <w:bCs/>
        </w:rPr>
        <w:t xml:space="preserve">Joint IP</w:t>
      </w:r>
    </w:p>
    <w:p>
      <w:pPr>
        <w:pStyle w:val="Compact"/>
        <w:numPr>
          <w:ilvl w:val="0"/>
          <w:numId w:val="1022"/>
        </w:numPr>
      </w:pPr>
      <w:r>
        <w:t xml:space="preserve">Novel inventions arising from collaboration</w:t>
      </w:r>
    </w:p>
    <w:p>
      <w:pPr>
        <w:pStyle w:val="Compact"/>
        <w:numPr>
          <w:ilvl w:val="0"/>
          <w:numId w:val="1022"/>
        </w:numPr>
      </w:pPr>
      <w:r>
        <w:t xml:space="preserve">Patentable innovations requiring both parties’ expertise</w:t>
      </w:r>
    </w:p>
    <w:p>
      <w:pPr>
        <w:pStyle w:val="Compact"/>
        <w:numPr>
          <w:ilvl w:val="0"/>
          <w:numId w:val="1022"/>
        </w:numPr>
      </w:pPr>
      <w:r>
        <w:t xml:space="preserve">Shared ownership with mutual licensing rights</w:t>
      </w:r>
    </w:p>
    <w:bookmarkEnd w:id="28"/>
    <w:bookmarkEnd w:id="29"/>
    <w:bookmarkStart w:id="30" w:name="confidentiality-non-disclosure"/>
    <w:p>
      <w:pPr>
        <w:pStyle w:val="Heading3"/>
      </w:pPr>
      <w:r>
        <w:rPr>
          <w:rStyle w:val="SectionNumber"/>
        </w:rPr>
        <w:t xml:space="preserve">1.5.3</w:t>
      </w:r>
      <w:r>
        <w:tab/>
      </w:r>
      <w:r>
        <w:t xml:space="preserve">4.3 Confidentiality &amp; Non-Disclosure</w:t>
      </w:r>
    </w:p>
    <w:p>
      <w:pPr>
        <w:pStyle w:val="FirstParagraph"/>
      </w:pPr>
      <w:r>
        <w:t xml:space="preserve">Both parties acknowledge that confidential information will be exchanged during this engagement. Each party agrees to:</w:t>
      </w:r>
    </w:p>
    <w:p>
      <w:pPr>
        <w:pStyle w:val="Compact"/>
        <w:numPr>
          <w:ilvl w:val="0"/>
          <w:numId w:val="1023"/>
        </w:numPr>
      </w:pPr>
      <w:r>
        <w:rPr>
          <w:b/>
          <w:bCs/>
        </w:rPr>
        <w:t xml:space="preserve">Maintain strict confidentiality</w:t>
      </w:r>
      <w:r>
        <w:t xml:space="preserve"> </w:t>
      </w:r>
      <w:r>
        <w:t xml:space="preserve">of all proprietary information</w:t>
      </w:r>
    </w:p>
    <w:p>
      <w:pPr>
        <w:pStyle w:val="Compact"/>
        <w:numPr>
          <w:ilvl w:val="0"/>
          <w:numId w:val="1023"/>
        </w:numPr>
      </w:pPr>
      <w:r>
        <w:rPr>
          <w:b/>
          <w:bCs/>
        </w:rPr>
        <w:t xml:space="preserve">Limit access</w:t>
      </w:r>
      <w:r>
        <w:t xml:space="preserve"> </w:t>
      </w:r>
      <w:r>
        <w:t xml:space="preserve">to authorized personnel only</w:t>
      </w:r>
    </w:p>
    <w:p>
      <w:pPr>
        <w:pStyle w:val="Compact"/>
        <w:numPr>
          <w:ilvl w:val="0"/>
          <w:numId w:val="1023"/>
        </w:numPr>
      </w:pPr>
      <w:r>
        <w:rPr>
          <w:b/>
          <w:bCs/>
        </w:rPr>
        <w:t xml:space="preserve">Return or destroy</w:t>
      </w:r>
      <w:r>
        <w:t xml:space="preserve"> </w:t>
      </w:r>
      <w:r>
        <w:t xml:space="preserve">confidential materials upon request</w:t>
      </w:r>
    </w:p>
    <w:p>
      <w:pPr>
        <w:pStyle w:val="Compact"/>
        <w:numPr>
          <w:ilvl w:val="0"/>
          <w:numId w:val="1023"/>
        </w:numPr>
      </w:pPr>
      <w:r>
        <w:rPr>
          <w:b/>
          <w:bCs/>
        </w:rPr>
        <w:t xml:space="preserve">Comply with export control</w:t>
      </w:r>
      <w:r>
        <w:t xml:space="preserve"> </w:t>
      </w:r>
      <w:r>
        <w:t xml:space="preserve">regulations for technical data</w:t>
      </w:r>
    </w:p>
    <w:p>
      <w:pPr>
        <w:pStyle w:val="FirstParagraph"/>
      </w:pPr>
      <w:r>
        <w:t xml:space="preserve">The obligation of confidentiality shall survive termination of this Agreement for a period of</w:t>
      </w:r>
      <w:r>
        <w:t xml:space="preserve"> </w:t>
      </w:r>
      <w:r>
        <w:rPr>
          <w:b/>
          <w:bCs/>
        </w:rPr>
        <w:t xml:space="preserve">five (5) years</w:t>
      </w:r>
      <w:r>
        <w:t xml:space="preserve">.</w:t>
      </w:r>
    </w:p>
    <w:bookmarkEnd w:id="30"/>
    <w:bookmarkStart w:id="34" w:name="professional-standards-liability"/>
    <w:p>
      <w:pPr>
        <w:pStyle w:val="Heading3"/>
      </w:pPr>
      <w:r>
        <w:rPr>
          <w:rStyle w:val="SectionNumber"/>
        </w:rPr>
        <w:t xml:space="preserve">1.5.4</w:t>
      </w:r>
      <w:r>
        <w:tab/>
      </w:r>
      <w:r>
        <w:t xml:space="preserve">4.4 Professional Standards &amp; Liability</w:t>
      </w:r>
    </w:p>
    <w:bookmarkStart w:id="31" w:name="professional-standards"/>
    <w:p>
      <w:pPr>
        <w:pStyle w:val="Heading4"/>
      </w:pPr>
      <w:r>
        <w:rPr>
          <w:rStyle w:val="SectionNumber"/>
        </w:rPr>
        <w:t xml:space="preserve">1.5.4.1</w:t>
      </w:r>
      <w:r>
        <w:tab/>
      </w:r>
      <w:r>
        <w:rPr>
          <w:b/>
          <w:bCs/>
        </w:rPr>
        <w:t xml:space="preserve">Professional Standards</w:t>
      </w:r>
    </w:p>
    <w:p>
      <w:pPr>
        <w:pStyle w:val="FirstParagraph"/>
      </w:pPr>
      <w:r>
        <w:t xml:space="preserve">TREC warrants that all services will be performed in accordance with:</w:t>
      </w:r>
      <w:r>
        <w:t xml:space="preserve"> </w:t>
      </w:r>
      <w:r>
        <w:t xml:space="preserve">- IEEE standards for engineering practice</w:t>
      </w:r>
      <w:r>
        <w:t xml:space="preserve"> </w:t>
      </w:r>
      <w:r>
        <w:t xml:space="preserve">- Industry best practices for electronic system design</w:t>
      </w:r>
      <w:r>
        <w:t xml:space="preserve"> </w:t>
      </w:r>
      <w:r>
        <w:t xml:space="preserve">- Applicable federal and state regulations</w:t>
      </w:r>
      <w:r>
        <w:t xml:space="preserve"> </w:t>
      </w:r>
      <w:r>
        <w:t xml:space="preserve">- Professional engineering codes of ethics</w:t>
      </w:r>
    </w:p>
    <w:bookmarkEnd w:id="31"/>
    <w:bookmarkStart w:id="32" w:name="limitation-of-liability"/>
    <w:p>
      <w:pPr>
        <w:pStyle w:val="Heading4"/>
      </w:pPr>
      <w:r>
        <w:rPr>
          <w:rStyle w:val="SectionNumber"/>
        </w:rPr>
        <w:t xml:space="preserve">1.5.4.2</w:t>
      </w:r>
      <w:r>
        <w:tab/>
      </w:r>
      <w:r>
        <w:rPr>
          <w:b/>
          <w:bCs/>
        </w:rPr>
        <w:t xml:space="preserve">Limitation of Liability</w:t>
      </w:r>
    </w:p>
    <w:p>
      <w:pPr>
        <w:pStyle w:val="FirstParagraph"/>
      </w:pPr>
      <w:r>
        <w:t xml:space="preserve">TREC’s total liability under this Agreement shall not exceed the total fees paid by Client. TREC shall not be liable for:</w:t>
      </w:r>
      <w:r>
        <w:t xml:space="preserve"> </w:t>
      </w:r>
      <w:r>
        <w:t xml:space="preserve">- Consequential or indirect damages</w:t>
      </w:r>
      <w:r>
        <w:t xml:space="preserve"> </w:t>
      </w:r>
      <w:r>
        <w:t xml:space="preserve">- Loss of profits or business opportunities</w:t>
      </w:r>
      <w:r>
        <w:br/>
      </w:r>
      <w:r>
        <w:t xml:space="preserve">- Damages arising from Client’s use of deliverables</w:t>
      </w:r>
      <w:r>
        <w:t xml:space="preserve"> </w:t>
      </w:r>
      <w:r>
        <w:t xml:space="preserve">- Third-party claims against Client</w:t>
      </w:r>
    </w:p>
    <w:bookmarkEnd w:id="32"/>
    <w:bookmarkStart w:id="33" w:name="professional-indemnity"/>
    <w:p>
      <w:pPr>
        <w:pStyle w:val="Heading4"/>
      </w:pPr>
      <w:r>
        <w:rPr>
          <w:rStyle w:val="SectionNumber"/>
        </w:rPr>
        <w:t xml:space="preserve">1.5.4.3</w:t>
      </w:r>
      <w:r>
        <w:tab/>
      </w:r>
      <w:r>
        <w:rPr>
          <w:b/>
          <w:bCs/>
        </w:rPr>
        <w:t xml:space="preserve">Professional Indemnity</w:t>
      </w:r>
    </w:p>
    <w:p>
      <w:pPr>
        <w:pStyle w:val="FirstParagraph"/>
      </w:pPr>
      <w:r>
        <w:t xml:space="preserve">TREC maintains professional liability insurance of $2,000,000 per occurrence and $5,000,000 aggregate through [Insurance Provider Name].</w:t>
      </w:r>
    </w:p>
    <w:bookmarkEnd w:id="33"/>
    <w:bookmarkEnd w:id="34"/>
    <w:bookmarkStart w:id="35" w:name="termination-provisions"/>
    <w:p>
      <w:pPr>
        <w:pStyle w:val="Heading3"/>
      </w:pPr>
      <w:r>
        <w:rPr>
          <w:rStyle w:val="SectionNumber"/>
        </w:rPr>
        <w:t xml:space="preserve">1.5.5</w:t>
      </w:r>
      <w:r>
        <w:tab/>
      </w:r>
      <w:r>
        <w:t xml:space="preserve">4.5 Termination Provisions</w:t>
      </w:r>
    </w:p>
    <w:p>
      <w:pPr>
        <w:pStyle w:val="FirstParagraph"/>
      </w:pPr>
      <w:r>
        <w:t xml:space="preserve">Either party may terminate this Agreement with</w:t>
      </w:r>
      <w:r>
        <w:t xml:space="preserve"> </w:t>
      </w:r>
      <w:r>
        <w:rPr>
          <w:b/>
          <w:bCs/>
        </w:rPr>
        <w:t xml:space="preserve">thirty (30) days written notice</w:t>
      </w:r>
      <w:r>
        <w:t xml:space="preserve">. Upon termination:</w:t>
      </w:r>
    </w:p>
    <w:p>
      <w:pPr>
        <w:pStyle w:val="Compact"/>
        <w:numPr>
          <w:ilvl w:val="0"/>
          <w:numId w:val="1024"/>
        </w:numPr>
      </w:pPr>
      <w:r>
        <w:rPr>
          <w:b/>
          <w:bCs/>
        </w:rPr>
        <w:t xml:space="preserve">Work Product:</w:t>
      </w:r>
      <w:r>
        <w:t xml:space="preserve"> </w:t>
      </w:r>
      <w:r>
        <w:t xml:space="preserve">Client receives all completed deliverables</w:t>
      </w:r>
    </w:p>
    <w:p>
      <w:pPr>
        <w:pStyle w:val="Compact"/>
        <w:numPr>
          <w:ilvl w:val="0"/>
          <w:numId w:val="1024"/>
        </w:numPr>
      </w:pPr>
      <w:r>
        <w:rPr>
          <w:b/>
          <w:bCs/>
        </w:rPr>
        <w:t xml:space="preserve">Payment:</w:t>
      </w:r>
      <w:r>
        <w:t xml:space="preserve"> </w:t>
      </w:r>
      <w:r>
        <w:t xml:space="preserve">Client pays for all work performed through termination date</w:t>
      </w:r>
    </w:p>
    <w:p>
      <w:pPr>
        <w:pStyle w:val="Compact"/>
        <w:numPr>
          <w:ilvl w:val="0"/>
          <w:numId w:val="1024"/>
        </w:numPr>
      </w:pPr>
      <w:r>
        <w:rPr>
          <w:b/>
          <w:bCs/>
        </w:rPr>
        <w:t xml:space="preserve">Materials:</w:t>
      </w:r>
      <w:r>
        <w:t xml:space="preserve"> </w:t>
      </w:r>
      <w:r>
        <w:t xml:space="preserve">Each party returns confidential materials to the other</w:t>
      </w:r>
    </w:p>
    <w:p>
      <w:pPr>
        <w:pStyle w:val="Compact"/>
        <w:numPr>
          <w:ilvl w:val="0"/>
          <w:numId w:val="1024"/>
        </w:numPr>
      </w:pPr>
      <w:r>
        <w:rPr>
          <w:b/>
          <w:bCs/>
        </w:rPr>
        <w:t xml:space="preserve">Ongoing Obligations:</w:t>
      </w:r>
      <w:r>
        <w:t xml:space="preserve"> </w:t>
      </w:r>
      <w:r>
        <w:t xml:space="preserve">Confidentiality and IP provisions survive</w:t>
      </w:r>
    </w:p>
    <w:p>
      <w:r>
        <w:pict>
          <v:rect style="width:0;height:1.5pt" o:hralign="center" o:hrstd="t" o:hr="t"/>
        </w:pict>
      </w:r>
    </w:p>
    <w:bookmarkEnd w:id="35"/>
    <w:bookmarkEnd w:id="36"/>
    <w:bookmarkStart w:id="39" w:name="v.-risk-management-warranties"/>
    <w:p>
      <w:pPr>
        <w:pStyle w:val="Heading2"/>
      </w:pPr>
      <w:r>
        <w:rPr>
          <w:rStyle w:val="SectionNumber"/>
        </w:rPr>
        <w:t xml:space="preserve">1.6</w:t>
      </w:r>
      <w:r>
        <w:tab/>
      </w:r>
      <w:r>
        <w:t xml:space="preserve">V. Risk Management &amp; Warranties</w:t>
      </w:r>
    </w:p>
    <w:bookmarkStart w:id="37" w:name="technical-risks"/>
    <w:p>
      <w:pPr>
        <w:pStyle w:val="Heading3"/>
      </w:pPr>
      <w:r>
        <w:rPr>
          <w:rStyle w:val="SectionNumber"/>
        </w:rPr>
        <w:t xml:space="preserve">1.6.1</w:t>
      </w:r>
      <w:r>
        <w:tab/>
      </w:r>
      <w:r>
        <w:t xml:space="preserve">5.1 Technical Risks</w:t>
      </w:r>
    </w:p>
    <w:tbl>
      <w:tblPr>
        <w:tblStyle w:val="Table"/>
        <w:tblW w:type="pct" w:w="5000"/>
        <w:tblLayout w:type="fixed"/>
        <w:tblLook w:firstRow="1" w:lastRow="0" w:firstColumn="0" w:lastColumn="0" w:noHBand="0" w:noVBand="0" w:val="0020"/>
      </w:tblPr>
      <w:tblGrid>
        <w:gridCol w:w="2121"/>
        <w:gridCol w:w="1697"/>
        <w:gridCol w:w="1131"/>
        <w:gridCol w:w="2970"/>
      </w:tblGrid>
      <w:tr>
        <w:trPr>
          <w:tblHeader w:val="on"/>
        </w:trPr>
        <w:tc>
          <w:tcPr/>
          <w:p>
            <w:pPr>
              <w:pStyle w:val="Compact"/>
              <w:jc w:val="left"/>
            </w:pPr>
            <w:r>
              <w:t xml:space="preserve">Risk Category</w:t>
            </w:r>
          </w:p>
        </w:tc>
        <w:tc>
          <w:tcPr/>
          <w:p>
            <w:pPr>
              <w:pStyle w:val="Compact"/>
              <w:jc w:val="left"/>
            </w:pPr>
            <w:r>
              <w:t xml:space="preserve">Probability</w:t>
            </w:r>
          </w:p>
        </w:tc>
        <w:tc>
          <w:tcPr/>
          <w:p>
            <w:pPr>
              <w:pStyle w:val="Compact"/>
              <w:jc w:val="left"/>
            </w:pPr>
            <w:r>
              <w:t xml:space="preserve">Impact</w:t>
            </w:r>
          </w:p>
        </w:tc>
        <w:tc>
          <w:tcPr/>
          <w:p>
            <w:pPr>
              <w:pStyle w:val="Compact"/>
              <w:jc w:val="left"/>
            </w:pPr>
            <w:r>
              <w:t xml:space="preserve">Mitigation Strategy</w:t>
            </w:r>
          </w:p>
        </w:tc>
      </w:tr>
      <w:tr>
        <w:tc>
          <w:tcPr/>
          <w:p>
            <w:pPr>
              <w:pStyle w:val="Compact"/>
              <w:jc w:val="left"/>
            </w:pPr>
            <w:r>
              <w:rPr>
                <w:b/>
                <w:bCs/>
              </w:rPr>
              <w:t xml:space="preserve">Quantum Decoherence</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Multiple error correction schemes</w:t>
            </w:r>
          </w:p>
        </w:tc>
      </w:tr>
      <w:tr>
        <w:tc>
          <w:tcPr/>
          <w:p>
            <w:pPr>
              <w:pStyle w:val="Compact"/>
              <w:jc w:val="left"/>
            </w:pPr>
            <w:r>
              <w:rPr>
                <w:b/>
                <w:bCs/>
              </w:rPr>
              <w:t xml:space="preserve">Thermal Management</w:t>
            </w:r>
          </w:p>
        </w:tc>
        <w:tc>
          <w:tcPr/>
          <w:p>
            <w:pPr>
              <w:pStyle w:val="Compact"/>
              <w:jc w:val="left"/>
            </w:pPr>
            <w:r>
              <w:t xml:space="preserve">Low</w:t>
            </w:r>
          </w:p>
        </w:tc>
        <w:tc>
          <w:tcPr/>
          <w:p>
            <w:pPr>
              <w:pStyle w:val="Compact"/>
              <w:jc w:val="left"/>
            </w:pPr>
            <w:r>
              <w:t xml:space="preserve">High</w:t>
            </w:r>
          </w:p>
        </w:tc>
        <w:tc>
          <w:tcPr/>
          <w:p>
            <w:pPr>
              <w:pStyle w:val="Compact"/>
              <w:jc w:val="left"/>
            </w:pPr>
            <w:r>
              <w:t xml:space="preserve">Redundant cooling systems</w:t>
            </w:r>
          </w:p>
        </w:tc>
      </w:tr>
      <w:tr>
        <w:tc>
          <w:tcPr/>
          <w:p>
            <w:pPr>
              <w:pStyle w:val="Compact"/>
              <w:jc w:val="left"/>
            </w:pPr>
            <w:r>
              <w:rPr>
                <w:b/>
                <w:bCs/>
              </w:rPr>
              <w:t xml:space="preserve">EMI Interference</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Comprehensive shielding design</w:t>
            </w:r>
          </w:p>
        </w:tc>
      </w:tr>
      <w:tr>
        <w:tc>
          <w:tcPr/>
          <w:p>
            <w:pPr>
              <w:pStyle w:val="Compact"/>
              <w:jc w:val="left"/>
            </w:pPr>
            <w:r>
              <w:rPr>
                <w:b/>
                <w:bCs/>
              </w:rPr>
              <w:t xml:space="preserve">Supply Chain Delays</w:t>
            </w:r>
          </w:p>
        </w:tc>
        <w:tc>
          <w:tcPr/>
          <w:p>
            <w:pPr>
              <w:pStyle w:val="Compact"/>
              <w:jc w:val="left"/>
            </w:pPr>
            <w:r>
              <w:t xml:space="preserve">High</w:t>
            </w:r>
          </w:p>
        </w:tc>
        <w:tc>
          <w:tcPr/>
          <w:p>
            <w:pPr>
              <w:pStyle w:val="Compact"/>
              <w:jc w:val="left"/>
            </w:pPr>
            <w:r>
              <w:t xml:space="preserve">Medium</w:t>
            </w:r>
          </w:p>
        </w:tc>
        <w:tc>
          <w:tcPr/>
          <w:p>
            <w:pPr>
              <w:pStyle w:val="Compact"/>
              <w:jc w:val="left"/>
            </w:pPr>
            <w:r>
              <w:t xml:space="preserve">Multiple vendor qualification</w:t>
            </w:r>
          </w:p>
        </w:tc>
      </w:tr>
      <w:tr>
        <w:tc>
          <w:tcPr/>
          <w:p>
            <w:pPr>
              <w:pStyle w:val="Compact"/>
              <w:jc w:val="left"/>
            </w:pPr>
            <w:r>
              <w:rPr>
                <w:b/>
                <w:bCs/>
              </w:rPr>
              <w:t xml:space="preserve">Performance Shortfall</w:t>
            </w:r>
          </w:p>
        </w:tc>
        <w:tc>
          <w:tcPr/>
          <w:p>
            <w:pPr>
              <w:pStyle w:val="Compact"/>
              <w:jc w:val="left"/>
            </w:pPr>
            <w:r>
              <w:t xml:space="preserve">Low</w:t>
            </w:r>
          </w:p>
        </w:tc>
        <w:tc>
          <w:tcPr/>
          <w:p>
            <w:pPr>
              <w:pStyle w:val="Compact"/>
              <w:jc w:val="left"/>
            </w:pPr>
            <w:r>
              <w:t xml:space="preserve">High</w:t>
            </w:r>
          </w:p>
        </w:tc>
        <w:tc>
          <w:tcPr/>
          <w:p>
            <w:pPr>
              <w:pStyle w:val="Compact"/>
              <w:jc w:val="left"/>
            </w:pPr>
            <w:r>
              <w:t xml:space="preserve">Conservative design margins</w:t>
            </w:r>
          </w:p>
        </w:tc>
      </w:tr>
    </w:tbl>
    <w:bookmarkEnd w:id="37"/>
    <w:bookmarkStart w:id="38" w:name="warranties-guarantees"/>
    <w:p>
      <w:pPr>
        <w:pStyle w:val="Heading3"/>
      </w:pPr>
      <w:r>
        <w:rPr>
          <w:rStyle w:val="SectionNumber"/>
        </w:rPr>
        <w:t xml:space="preserve">1.6.2</w:t>
      </w:r>
      <w:r>
        <w:tab/>
      </w:r>
      <w:r>
        <w:t xml:space="preserve">5.2 Warranties &amp; Guarantees</w:t>
      </w:r>
    </w:p>
    <w:p>
      <w:pPr>
        <w:pStyle w:val="FirstParagraph"/>
      </w:pPr>
      <w:r>
        <w:rPr>
          <w:b/>
          <w:bCs/>
        </w:rPr>
        <w:t xml:space="preserve">Design Warranty:</w:t>
      </w:r>
      <w:r>
        <w:t xml:space="preserve"> </w:t>
      </w:r>
      <w:r>
        <w:t xml:space="preserve">12 months from final delivery</w:t>
      </w:r>
      <w:r>
        <w:br/>
      </w:r>
      <w:r>
        <w:rPr>
          <w:b/>
          <w:bCs/>
        </w:rPr>
        <w:t xml:space="preserve">Workmanship Warranty:</w:t>
      </w:r>
      <w:r>
        <w:t xml:space="preserve"> </w:t>
      </w:r>
      <w:r>
        <w:t xml:space="preserve">6 months from prototype delivery</w:t>
      </w:r>
      <w:r>
        <w:br/>
      </w:r>
      <w:r>
        <w:rPr>
          <w:b/>
          <w:bCs/>
        </w:rPr>
        <w:t xml:space="preserve">Performance Guarantee:</w:t>
      </w:r>
      <w:r>
        <w:t xml:space="preserve"> </w:t>
      </w:r>
      <w:r>
        <w:t xml:space="preserve">System meets 95% of specified performance targets</w:t>
      </w:r>
    </w:p>
    <w:p>
      <w:pPr>
        <w:pStyle w:val="BodyText"/>
      </w:pPr>
      <w:r>
        <w:rPr>
          <w:i/>
          <w:iCs/>
        </w:rPr>
        <w:t xml:space="preserve">The quantum processing performance depends on environmental factors and quantum state preparation, which are partially outside Consultant’s control.</w:t>
      </w:r>
    </w:p>
    <w:p>
      <w:r>
        <w:pict>
          <v:rect style="width:0;height:1.5pt" o:hralign="center" o:hrstd="t" o:hr="t"/>
        </w:pict>
      </w:r>
    </w:p>
    <w:bookmarkEnd w:id="38"/>
    <w:bookmarkEnd w:id="39"/>
    <w:bookmarkStart w:id="43" w:name="vi.-special-provisions"/>
    <w:p>
      <w:pPr>
        <w:pStyle w:val="Heading2"/>
      </w:pPr>
      <w:r>
        <w:rPr>
          <w:rStyle w:val="SectionNumber"/>
        </w:rPr>
        <w:t xml:space="preserve">1.7</w:t>
      </w:r>
      <w:r>
        <w:tab/>
      </w:r>
      <w:r>
        <w:t xml:space="preserve">VI. Special Provisions</w:t>
      </w:r>
    </w:p>
    <w:bookmarkStart w:id="40" w:name="regulatory-compliance"/>
    <w:p>
      <w:pPr>
        <w:pStyle w:val="Heading3"/>
      </w:pPr>
      <w:r>
        <w:rPr>
          <w:rStyle w:val="SectionNumber"/>
        </w:rPr>
        <w:t xml:space="preserve">1.7.1</w:t>
      </w:r>
      <w:r>
        <w:tab/>
      </w:r>
      <w:r>
        <w:t xml:space="preserve">6.1 Regulatory Compliance</w:t>
      </w:r>
    </w:p>
    <w:p>
      <w:pPr>
        <w:pStyle w:val="FirstParagraph"/>
      </w:pPr>
      <w:r>
        <w:t xml:space="preserve">The system design shall comply with:</w:t>
      </w:r>
    </w:p>
    <w:p>
      <w:pPr>
        <w:pStyle w:val="Compact"/>
        <w:numPr>
          <w:ilvl w:val="0"/>
          <w:numId w:val="1025"/>
        </w:numPr>
      </w:pPr>
      <w:r>
        <w:rPr>
          <w:b/>
          <w:bCs/>
        </w:rPr>
        <w:t xml:space="preserve">FCC Part 15</w:t>
      </w:r>
      <w:r>
        <w:t xml:space="preserve"> </w:t>
      </w:r>
      <w:r>
        <w:t xml:space="preserve">(Electromagnetic Compatibility)</w:t>
      </w:r>
    </w:p>
    <w:p>
      <w:pPr>
        <w:pStyle w:val="Compact"/>
        <w:numPr>
          <w:ilvl w:val="0"/>
          <w:numId w:val="1025"/>
        </w:numPr>
      </w:pPr>
      <w:r>
        <w:rPr>
          <w:b/>
          <w:bCs/>
        </w:rPr>
        <w:t xml:space="preserve">ITAR</w:t>
      </w:r>
      <w:r>
        <w:t xml:space="preserve"> </w:t>
      </w:r>
      <w:r>
        <w:t xml:space="preserve">(International Traffic in Arms Regulations) — if applicable</w:t>
      </w:r>
    </w:p>
    <w:p>
      <w:pPr>
        <w:pStyle w:val="Compact"/>
        <w:numPr>
          <w:ilvl w:val="0"/>
          <w:numId w:val="1025"/>
        </w:numPr>
      </w:pPr>
      <w:r>
        <w:rPr>
          <w:b/>
          <w:bCs/>
        </w:rPr>
        <w:t xml:space="preserve">EAR</w:t>
      </w:r>
      <w:r>
        <w:t xml:space="preserve"> </w:t>
      </w:r>
      <w:r>
        <w:t xml:space="preserve">(Export Administration Regulations)</w:t>
      </w:r>
    </w:p>
    <w:p>
      <w:pPr>
        <w:pStyle w:val="Compact"/>
        <w:numPr>
          <w:ilvl w:val="0"/>
          <w:numId w:val="1025"/>
        </w:numPr>
      </w:pPr>
      <w:r>
        <w:rPr>
          <w:b/>
          <w:bCs/>
        </w:rPr>
        <w:t xml:space="preserve">ROHS</w:t>
      </w:r>
      <w:r>
        <w:t xml:space="preserve"> </w:t>
      </w:r>
      <w:r>
        <w:t xml:space="preserve">(Restriction of Hazardous Substances)</w:t>
      </w:r>
    </w:p>
    <w:p>
      <w:pPr>
        <w:pStyle w:val="Compact"/>
        <w:numPr>
          <w:ilvl w:val="0"/>
          <w:numId w:val="1025"/>
        </w:numPr>
      </w:pPr>
      <w:r>
        <w:rPr>
          <w:b/>
          <w:bCs/>
        </w:rPr>
        <w:t xml:space="preserve">WEEE</w:t>
      </w:r>
      <w:r>
        <w:t xml:space="preserve"> </w:t>
      </w:r>
      <w:r>
        <w:t xml:space="preserve">(Waste Electrical and Electronic Equipment)</w:t>
      </w:r>
    </w:p>
    <w:bookmarkEnd w:id="40"/>
    <w:bookmarkStart w:id="41" w:name="security-requirements"/>
    <w:p>
      <w:pPr>
        <w:pStyle w:val="Heading3"/>
      </w:pPr>
      <w:r>
        <w:rPr>
          <w:rStyle w:val="SectionNumber"/>
        </w:rPr>
        <w:t xml:space="preserve">1.7.2</w:t>
      </w:r>
      <w:r>
        <w:tab/>
      </w:r>
      <w:r>
        <w:t xml:space="preserve">6.2 Security Requirements</w:t>
      </w:r>
    </w:p>
    <w:p>
      <w:pPr>
        <w:pStyle w:val="FirstParagraph"/>
      </w:pPr>
      <w:r>
        <w:t xml:space="preserve">Given the sensitive nature of quantum computing technology:</w:t>
      </w:r>
    </w:p>
    <w:p>
      <w:pPr>
        <w:pStyle w:val="Compact"/>
        <w:numPr>
          <w:ilvl w:val="0"/>
          <w:numId w:val="1026"/>
        </w:numPr>
      </w:pPr>
      <w:r>
        <w:rPr>
          <w:b/>
          <w:bCs/>
        </w:rPr>
        <w:t xml:space="preserve">Personnel Security:</w:t>
      </w:r>
      <w:r>
        <w:t xml:space="preserve"> </w:t>
      </w:r>
      <w:r>
        <w:t xml:space="preserve">All team members require security clearance verification</w:t>
      </w:r>
    </w:p>
    <w:p>
      <w:pPr>
        <w:pStyle w:val="Compact"/>
        <w:numPr>
          <w:ilvl w:val="0"/>
          <w:numId w:val="1026"/>
        </w:numPr>
      </w:pPr>
      <w:r>
        <w:rPr>
          <w:b/>
          <w:bCs/>
        </w:rPr>
        <w:t xml:space="preserve">Facility Security:</w:t>
      </w:r>
      <w:r>
        <w:t xml:space="preserve"> </w:t>
      </w:r>
      <w:r>
        <w:t xml:space="preserve">Development work performed in SCIF-compliant environment</w:t>
      </w:r>
    </w:p>
    <w:p>
      <w:pPr>
        <w:pStyle w:val="Compact"/>
        <w:numPr>
          <w:ilvl w:val="0"/>
          <w:numId w:val="1026"/>
        </w:numPr>
      </w:pPr>
      <w:r>
        <w:rPr>
          <w:b/>
          <w:bCs/>
        </w:rPr>
        <w:t xml:space="preserve">Data Security:</w:t>
      </w:r>
      <w:r>
        <w:t xml:space="preserve"> </w:t>
      </w:r>
      <w:r>
        <w:t xml:space="preserve">All technical data encrypted using AES-256 standards</w:t>
      </w:r>
    </w:p>
    <w:p>
      <w:pPr>
        <w:pStyle w:val="Compact"/>
        <w:numPr>
          <w:ilvl w:val="0"/>
          <w:numId w:val="1026"/>
        </w:numPr>
      </w:pPr>
      <w:r>
        <w:rPr>
          <w:b/>
          <w:bCs/>
        </w:rPr>
        <w:t xml:space="preserve">Communication Security:</w:t>
      </w:r>
      <w:r>
        <w:t xml:space="preserve"> </w:t>
      </w:r>
      <w:r>
        <w:t xml:space="preserve">Secure channels for all technical discussions</w:t>
      </w:r>
    </w:p>
    <w:bookmarkEnd w:id="41"/>
    <w:bookmarkStart w:id="42" w:name="quality-assurance"/>
    <w:p>
      <w:pPr>
        <w:pStyle w:val="Heading3"/>
      </w:pPr>
      <w:r>
        <w:rPr>
          <w:rStyle w:val="SectionNumber"/>
        </w:rPr>
        <w:t xml:space="preserve">1.7.3</w:t>
      </w:r>
      <w:r>
        <w:tab/>
      </w:r>
      <w:r>
        <w:t xml:space="preserve">6.3 Quality Assurance</w:t>
      </w:r>
    </w:p>
    <w:p>
      <w:pPr>
        <w:pStyle w:val="FirstParagraph"/>
      </w:pPr>
      <w:r>
        <w:t xml:space="preserve">Quality assurance measures include:</w:t>
      </w:r>
    </w:p>
    <w:p>
      <w:pPr>
        <w:pStyle w:val="Compact"/>
        <w:numPr>
          <w:ilvl w:val="0"/>
          <w:numId w:val="1027"/>
        </w:numPr>
      </w:pPr>
      <w:r>
        <w:rPr>
          <w:b/>
          <w:bCs/>
        </w:rPr>
        <w:t xml:space="preserve">Design Reviews:</w:t>
      </w:r>
      <w:r>
        <w:t xml:space="preserve"> </w:t>
      </w:r>
      <w:r>
        <w:t xml:space="preserve">Formal reviews at each milestone</w:t>
      </w:r>
    </w:p>
    <w:p>
      <w:pPr>
        <w:pStyle w:val="Compact"/>
        <w:numPr>
          <w:ilvl w:val="0"/>
          <w:numId w:val="1027"/>
        </w:numPr>
      </w:pPr>
      <w:r>
        <w:rPr>
          <w:b/>
          <w:bCs/>
        </w:rPr>
        <w:t xml:space="preserve">Code Reviews:</w:t>
      </w:r>
      <w:r>
        <w:t xml:space="preserve"> </w:t>
      </w:r>
      <w:r>
        <w:t xml:space="preserve">Peer review of all HDL and firmware code</w:t>
      </w:r>
    </w:p>
    <w:p>
      <w:pPr>
        <w:pStyle w:val="Compact"/>
        <w:numPr>
          <w:ilvl w:val="0"/>
          <w:numId w:val="1027"/>
        </w:numPr>
      </w:pPr>
      <w:r>
        <w:rPr>
          <w:b/>
          <w:bCs/>
        </w:rPr>
        <w:t xml:space="preserve">Testing Protocols:</w:t>
      </w:r>
      <w:r>
        <w:t xml:space="preserve"> </w:t>
      </w:r>
      <w:r>
        <w:t xml:space="preserve">Comprehensive test plans for all subsystems</w:t>
      </w:r>
    </w:p>
    <w:p>
      <w:pPr>
        <w:pStyle w:val="Compact"/>
        <w:numPr>
          <w:ilvl w:val="0"/>
          <w:numId w:val="1027"/>
        </w:numPr>
      </w:pPr>
      <w:r>
        <w:rPr>
          <w:b/>
          <w:bCs/>
        </w:rPr>
        <w:t xml:space="preserve">Documentation Standards:</w:t>
      </w:r>
      <w:r>
        <w:t xml:space="preserve"> </w:t>
      </w:r>
      <w:r>
        <w:t xml:space="preserve">IEEE 1016 documentation standards</w:t>
      </w:r>
    </w:p>
    <w:p>
      <w:r>
        <w:pict>
          <v:rect style="width:0;height:1.5pt" o:hralign="center" o:hrstd="t" o:hr="t"/>
        </w:pict>
      </w:r>
    </w:p>
    <w:bookmarkEnd w:id="42"/>
    <w:bookmarkEnd w:id="43"/>
    <w:bookmarkStart w:id="44" w:name="vii.-definitions-abbreviations"/>
    <w:p>
      <w:pPr>
        <w:pStyle w:val="Heading2"/>
      </w:pPr>
      <w:r>
        <w:rPr>
          <w:rStyle w:val="SectionNumber"/>
        </w:rPr>
        <w:t xml:space="preserve">1.8</w:t>
      </w:r>
      <w:r>
        <w:tab/>
      </w:r>
      <w:r>
        <w:t xml:space="preserve">VII. Definitions &amp; Abbreviations</w:t>
      </w:r>
    </w:p>
    <w:p>
      <w:pPr>
        <w:pStyle w:val="FirstParagraph"/>
      </w:pPr>
      <w:r>
        <w:t xml:space="preserve">The following technical terms and abbreviations are used throughout this document:</w:t>
      </w:r>
    </w:p>
    <w:p>
      <w:pPr>
        <w:pStyle w:val="DefinitionTerm"/>
      </w:pPr>
      <w:r>
        <w:rPr>
          <w:b/>
          <w:bCs/>
        </w:rPr>
        <w:t xml:space="preserve">Application-Specific Integrated Circuit (ASIC)</w:t>
      </w:r>
    </w:p>
    <w:p>
      <w:pPr>
        <w:pStyle w:val="Definition"/>
      </w:pPr>
      <w:r>
        <w:t xml:space="preserve">A type of integrated circuit customized for a particular application rather than intended for general-purpose use.</w:t>
      </w:r>
    </w:p>
    <w:p>
      <w:pPr>
        <w:pStyle w:val="DefinitionTerm"/>
      </w:pPr>
      <w:r>
        <w:rPr>
          <w:b/>
          <w:bCs/>
        </w:rPr>
        <w:t xml:space="preserve">Field-Programmable Gate Array (FPGA)</w:t>
      </w:r>
    </w:p>
    <w:p>
      <w:pPr>
        <w:pStyle w:val="Definition"/>
      </w:pPr>
      <w:r>
        <w:t xml:space="preserve">An integrated circuit designed to be configured by a customer or a designer after manufacturing.</w:t>
      </w:r>
    </w:p>
    <w:p>
      <w:pPr>
        <w:pStyle w:val="DefinitionTerm"/>
      </w:pPr>
      <w:r>
        <w:rPr>
          <w:b/>
          <w:bCs/>
        </w:rPr>
        <w:t xml:space="preserve">Hardware Description Language (HDL)</w:t>
      </w:r>
    </w:p>
    <w:p>
      <w:pPr>
        <w:pStyle w:val="Definition"/>
      </w:pPr>
      <w:r>
        <w:t xml:space="preserve">A specialized computer language used to describe the structure and behavior of electronic circuits, particularly digital logic circuits.</w:t>
      </w:r>
    </w:p>
    <w:p>
      <w:pPr>
        <w:pStyle w:val="DefinitionTerm"/>
      </w:pPr>
      <w:r>
        <w:rPr>
          <w:b/>
          <w:bCs/>
        </w:rPr>
        <w:t xml:space="preserve">System on Chip (SoC)</w:t>
      </w:r>
    </w:p>
    <w:p>
      <w:pPr>
        <w:pStyle w:val="Definition"/>
      </w:pPr>
      <w:r>
        <w:t xml:space="preserve">An integrated circuit that integrates all or most components of a computer or other electronic system.</w:t>
      </w:r>
    </w:p>
    <w:p>
      <w:pPr>
        <w:pStyle w:val="DefinitionTerm"/>
      </w:pPr>
      <w:r>
        <w:rPr>
          <w:b/>
          <w:bCs/>
        </w:rPr>
        <w:t xml:space="preserve">Register Transfer Level (RTL)</w:t>
      </w:r>
    </w:p>
    <w:p>
      <w:pPr>
        <w:pStyle w:val="Definition"/>
      </w:pPr>
      <w:r>
        <w:t xml:space="preserve">A design abstraction which models a synchronous digital circuit in terms of the flow of digital signals between hardware registers.</w:t>
      </w:r>
    </w:p>
    <w:p>
      <w:pPr>
        <w:pStyle w:val="FirstParagraph"/>
      </w:pPr>
      <w:r>
        <w:t xml:space="preserve">For a complete list of abbreviations, see the document metadata section.</w:t>
      </w:r>
    </w:p>
    <w:p>
      <w:r>
        <w:pict>
          <v:rect style="width:0;height:1.5pt" o:hralign="center" o:hrstd="t" o:hr="t"/>
        </w:pict>
      </w:r>
    </w:p>
    <w:bookmarkEnd w:id="44"/>
    <w:bookmarkStart w:id="47" w:name="viii.-signature-blocks"/>
    <w:p>
      <w:pPr>
        <w:pStyle w:val="Heading2"/>
      </w:pPr>
      <w:r>
        <w:rPr>
          <w:rStyle w:val="SectionNumber"/>
        </w:rPr>
        <w:t xml:space="preserve">1.9</w:t>
      </w:r>
      <w:r>
        <w:tab/>
      </w:r>
      <w:r>
        <w:t xml:space="preserve">VIII. Signature Blocks</w:t>
      </w:r>
    </w:p>
    <w:bookmarkStart w:id="45" w:name="client-acceptance"/>
    <w:p>
      <w:pPr>
        <w:pStyle w:val="Heading3"/>
      </w:pPr>
      <w:r>
        <w:rPr>
          <w:rStyle w:val="SectionNumber"/>
        </w:rPr>
        <w:t xml:space="preserve">1.9.1</w:t>
      </w:r>
      <w:r>
        <w:tab/>
      </w:r>
      <w:r>
        <w:t xml:space="preserve">Client Acceptance</w:t>
      </w:r>
    </w:p>
    <w:p>
      <w:pPr>
        <w:pStyle w:val="FirstParagraph"/>
      </w:pPr>
      <w:r>
        <w:t xml:space="preserve">By signing below, Quantum Computing Solutions, Inc. agrees to the terms and conditions set forth in this Engineering Consulting Engagement Letter.</w:t>
      </w:r>
    </w:p>
    <w:p>
      <w:pPr>
        <w:pStyle w:val="BodyText"/>
      </w:pPr>
      <w:r>
        <w:rPr>
          <w:b/>
          <w:bCs/>
        </w:rPr>
        <w:t xml:space="preserve">QUANTUM COMPUTING SOLUTIONS, INC.</w:t>
      </w:r>
    </w:p>
    <w:p>
      <w:pPr>
        <w:pStyle w:val="SourceCode"/>
      </w:pPr>
      <w:r>
        <w:rPr>
          <w:rStyle w:val="VerbatimChar"/>
        </w:rPr>
        <w:t xml:space="preserve">_________________________________    Date: _____________</w:t>
      </w:r>
      <w:r>
        <w:br/>
      </w:r>
      <w:r>
        <w:rPr>
          <w:rStyle w:val="VerbatimChar"/>
        </w:rPr>
        <w:t xml:space="preserve">Dr. Sarah Chen, CTO</w:t>
      </w:r>
      <w:r>
        <w:br/>
      </w:r>
      <w:r>
        <w:rPr>
          <w:rStyle w:val="VerbatimChar"/>
        </w:rPr>
        <w:t xml:space="preserve">Quantum Computing Solutions, Inc.</w:t>
      </w:r>
    </w:p>
    <w:p>
      <w:pPr>
        <w:pStyle w:val="SourceCode"/>
      </w:pPr>
      <w:r>
        <w:rPr>
          <w:rStyle w:val="VerbatimChar"/>
        </w:rPr>
        <w:t xml:space="preserve">_________________________________    Date: _____________</w:t>
      </w:r>
      <w:r>
        <w:br/>
      </w:r>
      <w:r>
        <w:rPr>
          <w:rStyle w:val="VerbatimChar"/>
        </w:rPr>
        <w:t xml:space="preserve">Michael Rodriguez, VP Engineering  </w:t>
      </w:r>
      <w:r>
        <w:br/>
      </w:r>
      <w:r>
        <w:rPr>
          <w:rStyle w:val="VerbatimChar"/>
        </w:rPr>
        <w:t xml:space="preserve">Quantum Computing Solutions, Inc.</w:t>
      </w:r>
    </w:p>
    <w:bookmarkEnd w:id="45"/>
    <w:bookmarkStart w:id="46" w:name="consultant-acceptance"/>
    <w:p>
      <w:pPr>
        <w:pStyle w:val="Heading3"/>
      </w:pPr>
      <w:r>
        <w:rPr>
          <w:rStyle w:val="SectionNumber"/>
        </w:rPr>
        <w:t xml:space="preserve">1.9.2</w:t>
      </w:r>
      <w:r>
        <w:tab/>
      </w:r>
      <w:r>
        <w:t xml:space="preserve">Consultant Acceptance</w:t>
      </w:r>
    </w:p>
    <w:p>
      <w:pPr>
        <w:pStyle w:val="FirstParagraph"/>
      </w:pPr>
      <w:r>
        <w:t xml:space="preserve">By signing below, Terminal Renaissance Engineering Consultants agrees to provide the services described herein under the terms and conditions specified.</w:t>
      </w:r>
    </w:p>
    <w:p>
      <w:pPr>
        <w:pStyle w:val="BodyText"/>
      </w:pPr>
      <w:r>
        <w:rPr>
          <w:b/>
          <w:bCs/>
        </w:rPr>
        <w:t xml:space="preserve">TERMINAL RENAISSANCE ENGINEERING CONSULTANTS</w:t>
      </w:r>
    </w:p>
    <w:p>
      <w:pPr>
        <w:pStyle w:val="SourceCode"/>
      </w:pPr>
      <w:r>
        <w:rPr>
          <w:rStyle w:val="VerbatimChar"/>
        </w:rPr>
        <w:t xml:space="preserve">_________________________________    Date: _____________</w:t>
      </w:r>
      <w:r>
        <w:br/>
      </w:r>
      <w:r>
        <w:rPr>
          <w:rStyle w:val="VerbatimChar"/>
        </w:rPr>
        <w:t xml:space="preserve">Dr. James Patterson, P.E.</w:t>
      </w:r>
      <w:r>
        <w:br/>
      </w:r>
      <w:r>
        <w:rPr>
          <w:rStyle w:val="VerbatimChar"/>
        </w:rPr>
        <w:t xml:space="preserve">Principal Engineer</w:t>
      </w:r>
      <w:r>
        <w:br/>
      </w:r>
      <w:r>
        <w:rPr>
          <w:rStyle w:val="VerbatimChar"/>
        </w:rPr>
        <w:t xml:space="preserve">Terminal Renaissance Engineering Consultants  </w:t>
      </w:r>
    </w:p>
    <w:p>
      <w:pPr>
        <w:pStyle w:val="SourceCode"/>
      </w:pPr>
      <w:r>
        <w:rPr>
          <w:rStyle w:val="VerbatimChar"/>
        </w:rPr>
        <w:t xml:space="preserve">_________________________________    Date: _____________</w:t>
      </w:r>
      <w:r>
        <w:br/>
      </w:r>
      <w:r>
        <w:rPr>
          <w:rStyle w:val="VerbatimChar"/>
        </w:rPr>
        <w:t xml:space="preserve">Lisa Wang, P.E.</w:t>
      </w:r>
      <w:r>
        <w:br/>
      </w:r>
      <w:r>
        <w:rPr>
          <w:rStyle w:val="VerbatimChar"/>
        </w:rPr>
        <w:t xml:space="preserve">Project Manager</w:t>
      </w:r>
      <w:r>
        <w:br/>
      </w:r>
      <w:r>
        <w:rPr>
          <w:rStyle w:val="VerbatimChar"/>
        </w:rPr>
        <w:t xml:space="preserve">Terminal Renaissance Engineering Consultants</w:t>
      </w:r>
    </w:p>
    <w:p>
      <w:r>
        <w:pict>
          <v:rect style="width:0;height:1.5pt" o:hralign="center" o:hrstd="t" o:hr="t"/>
        </w:pict>
      </w:r>
    </w:p>
    <w:bookmarkEnd w:id="46"/>
    <w:bookmarkEnd w:id="47"/>
    <w:bookmarkStart w:id="53" w:name="appendix-a-technical-specifications"/>
    <w:p>
      <w:pPr>
        <w:pStyle w:val="Heading2"/>
      </w:pPr>
      <w:r>
        <w:rPr>
          <w:rStyle w:val="SectionNumber"/>
        </w:rPr>
        <w:t xml:space="preserve">1.10</w:t>
      </w:r>
      <w:r>
        <w:tab/>
      </w:r>
      <w:r>
        <w:t xml:space="preserve">Appendix A: Technical Specifications</w:t>
      </w:r>
    </w:p>
    <w:bookmarkStart w:id="48" w:name="a.1-system-block-diagram"/>
    <w:p>
      <w:pPr>
        <w:pStyle w:val="Heading3"/>
      </w:pPr>
      <w:r>
        <w:rPr>
          <w:rStyle w:val="SectionNumber"/>
        </w:rPr>
        <w:t xml:space="preserve">1.10.1</w:t>
      </w:r>
      <w:r>
        <w:tab/>
      </w:r>
      <w:r>
        <w:t xml:space="preserve">A.1 System Block Diagram</w:t>
      </w:r>
    </w:p>
    <w:p>
      <w:pPr>
        <w:pStyle w:val="SourceCode"/>
      </w:pPr>
      <w:r>
        <w:rPr>
          <w:rStyle w:val="VerbatimChar"/>
        </w:rPr>
        <w:t xml:space="preserve">┌─────────────────┐    ┌──────────────────┐    ┌─────────────────┐</w:t>
      </w:r>
      <w:r>
        <w:br/>
      </w:r>
      <w:r>
        <w:rPr>
          <w:rStyle w:val="VerbatimChar"/>
        </w:rPr>
        <w:t xml:space="preserve">│   Classical     │    │   Hybrid         │    │   Quantum       │</w:t>
      </w:r>
      <w:r>
        <w:br/>
      </w:r>
      <w:r>
        <w:rPr>
          <w:rStyle w:val="VerbatimChar"/>
        </w:rPr>
        <w:t xml:space="preserve">│   Processing    │◄──►│   Interface      │◄──►│   Processing    │</w:t>
      </w:r>
      <w:r>
        <w:br/>
      </w:r>
      <w:r>
        <w:rPr>
          <w:rStyle w:val="VerbatimChar"/>
        </w:rPr>
        <w:t xml:space="preserve">│   Unit          │    │   Controller     │    │   Unit          │</w:t>
      </w:r>
      <w:r>
        <w:br/>
      </w:r>
      <w:r>
        <w:rPr>
          <w:rStyle w:val="VerbatimChar"/>
        </w:rPr>
        <w:t xml:space="preserve">└─────────────────┘    └──────────────────┘    └─────────────────┘</w:t>
      </w:r>
      <w:r>
        <w:br/>
      </w:r>
      <w:r>
        <w:rPr>
          <w:rStyle w:val="VerbatimChar"/>
        </w:rPr>
        <w:t xml:space="preserve">        │                        │                        │</w:t>
      </w:r>
      <w:r>
        <w:br/>
      </w:r>
      <w:r>
        <w:rPr>
          <w:rStyle w:val="VerbatimChar"/>
        </w:rPr>
        <w:t xml:space="preserve">        ▼                        ▼                        ▼</w:t>
      </w:r>
      <w:r>
        <w:br/>
      </w:r>
      <w:r>
        <w:rPr>
          <w:rStyle w:val="VerbatimChar"/>
        </w:rPr>
        <w:t xml:space="preserve">┌─────────────────┐    ┌──────────────────┐    ┌─────────────────┐</w:t>
      </w:r>
      <w:r>
        <w:br/>
      </w:r>
      <w:r>
        <w:rPr>
          <w:rStyle w:val="VerbatimChar"/>
        </w:rPr>
        <w:t xml:space="preserve">│   Memory        │    │   Control        │    │   Quantum       │</w:t>
      </w:r>
      <w:r>
        <w:br/>
      </w:r>
      <w:r>
        <w:rPr>
          <w:rStyle w:val="VerbatimChar"/>
        </w:rPr>
        <w:t xml:space="preserve">│   Subsystem     │    │   Logic          │    │   State         │</w:t>
      </w:r>
      <w:r>
        <w:br/>
      </w:r>
      <w:r>
        <w:rPr>
          <w:rStyle w:val="VerbatimChar"/>
        </w:rPr>
        <w:t xml:space="preserve">│                 │    │                  │    │   Management    │</w:t>
      </w:r>
      <w:r>
        <w:br/>
      </w:r>
      <w:r>
        <w:rPr>
          <w:rStyle w:val="VerbatimChar"/>
        </w:rPr>
        <w:t xml:space="preserve">└─────────────────┘    └──────────────────┘    └─────────────────┘</w:t>
      </w:r>
    </w:p>
    <w:bookmarkEnd w:id="48"/>
    <w:bookmarkStart w:id="51" w:name="a.2-performance-specifications"/>
    <w:p>
      <w:pPr>
        <w:pStyle w:val="Heading3"/>
      </w:pPr>
      <w:r>
        <w:rPr>
          <w:rStyle w:val="SectionNumber"/>
        </w:rPr>
        <w:t xml:space="preserve">1.10.2</w:t>
      </w:r>
      <w:r>
        <w:tab/>
      </w:r>
      <w:r>
        <w:t xml:space="preserve">A.2 Performance Specifications</w:t>
      </w:r>
    </w:p>
    <w:bookmarkStart w:id="49" w:name="classical-processing-performance"/>
    <w:p>
      <w:pPr>
        <w:pStyle w:val="Heading4"/>
      </w:pPr>
      <w:r>
        <w:rPr>
          <w:rStyle w:val="SectionNumber"/>
        </w:rPr>
        <w:t xml:space="preserve">1.10.2.1</w:t>
      </w:r>
      <w:r>
        <w:tab/>
      </w:r>
      <w:r>
        <w:t xml:space="preserve">Classical Processing Performance</w:t>
      </w:r>
    </w:p>
    <w:p>
      <w:pPr>
        <w:pStyle w:val="Compact"/>
        <w:numPr>
          <w:ilvl w:val="0"/>
          <w:numId w:val="1028"/>
        </w:numPr>
      </w:pPr>
      <w:r>
        <w:rPr>
          <w:b/>
          <w:bCs/>
        </w:rPr>
        <w:t xml:space="preserve">CPU Performance:</w:t>
      </w:r>
      <w:r>
        <w:t xml:space="preserve"> </w:t>
      </w:r>
      <w:r>
        <w:t xml:space="preserve">Intel Xeon Gold 6348 (28 cores, 2.6 GHz base)</w:t>
      </w:r>
    </w:p>
    <w:p>
      <w:pPr>
        <w:pStyle w:val="Compact"/>
        <w:numPr>
          <w:ilvl w:val="0"/>
          <w:numId w:val="1028"/>
        </w:numPr>
      </w:pPr>
      <w:r>
        <w:rPr>
          <w:b/>
          <w:bCs/>
        </w:rPr>
        <w:t xml:space="preserve">Memory:</w:t>
      </w:r>
      <w:r>
        <w:t xml:space="preserve"> </w:t>
      </w:r>
      <w:r>
        <w:t xml:space="preserve">256 GB DDR4-3200 ECC</w:t>
      </w:r>
    </w:p>
    <w:p>
      <w:pPr>
        <w:pStyle w:val="Compact"/>
        <w:numPr>
          <w:ilvl w:val="0"/>
          <w:numId w:val="1028"/>
        </w:numPr>
      </w:pPr>
      <w:r>
        <w:rPr>
          <w:b/>
          <w:bCs/>
        </w:rPr>
        <w:t xml:space="preserve">Storage:</w:t>
      </w:r>
      <w:r>
        <w:t xml:space="preserve"> </w:t>
      </w:r>
      <w:r>
        <w:t xml:space="preserve">2x 1TB NVMe SSD (RAID 1)</w:t>
      </w:r>
    </w:p>
    <w:p>
      <w:pPr>
        <w:pStyle w:val="Compact"/>
        <w:numPr>
          <w:ilvl w:val="0"/>
          <w:numId w:val="1028"/>
        </w:numPr>
      </w:pPr>
      <w:r>
        <w:rPr>
          <w:b/>
          <w:bCs/>
        </w:rPr>
        <w:t xml:space="preserve">Network:</w:t>
      </w:r>
      <w:r>
        <w:t xml:space="preserve"> </w:t>
      </w:r>
      <w:r>
        <w:t xml:space="preserve">Dual 100GbE ports</w:t>
      </w:r>
    </w:p>
    <w:bookmarkEnd w:id="49"/>
    <w:bookmarkStart w:id="50" w:name="quantum-processing-performance"/>
    <w:p>
      <w:pPr>
        <w:pStyle w:val="Heading4"/>
      </w:pPr>
      <w:r>
        <w:rPr>
          <w:rStyle w:val="SectionNumber"/>
        </w:rPr>
        <w:t xml:space="preserve">1.10.2.2</w:t>
      </w:r>
      <w:r>
        <w:tab/>
      </w:r>
      <w:r>
        <w:t xml:space="preserve">Quantum Processing Performance</w:t>
      </w:r>
    </w:p>
    <w:p>
      <w:pPr>
        <w:pStyle w:val="Compact"/>
        <w:numPr>
          <w:ilvl w:val="0"/>
          <w:numId w:val="1029"/>
        </w:numPr>
      </w:pPr>
      <w:r>
        <w:rPr>
          <w:b/>
          <w:bCs/>
        </w:rPr>
        <w:t xml:space="preserve">Qubit Count:</w:t>
      </w:r>
      <w:r>
        <w:t xml:space="preserve"> </w:t>
      </w:r>
      <w:r>
        <w:t xml:space="preserve">50 logical qubits (500 physical qubits with error correction)</w:t>
      </w:r>
    </w:p>
    <w:p>
      <w:pPr>
        <w:pStyle w:val="Compact"/>
        <w:numPr>
          <w:ilvl w:val="0"/>
          <w:numId w:val="1029"/>
        </w:numPr>
      </w:pPr>
      <w:r>
        <w:rPr>
          <w:b/>
          <w:bCs/>
        </w:rPr>
        <w:t xml:space="preserve">Gate Fidelity:</w:t>
      </w:r>
      <w:r>
        <w:t xml:space="preserve"> </w:t>
      </w:r>
      <w:r>
        <w:t xml:space="preserve">99.9% average single-qubit gate fidelity</w:t>
      </w:r>
    </w:p>
    <w:p>
      <w:pPr>
        <w:pStyle w:val="Compact"/>
        <w:numPr>
          <w:ilvl w:val="0"/>
          <w:numId w:val="1029"/>
        </w:numPr>
      </w:pPr>
      <w:r>
        <w:rPr>
          <w:b/>
          <w:bCs/>
        </w:rPr>
        <w:t xml:space="preserve">Coherence Time:</w:t>
      </w:r>
      <w:r>
        <w:t xml:space="preserve"> </w:t>
      </w:r>
      <w:r>
        <w:t xml:space="preserve">T₁ &gt; 100 μs, T₂* &gt; 50 μs</w:t>
      </w:r>
    </w:p>
    <w:p>
      <w:pPr>
        <w:pStyle w:val="Compact"/>
        <w:numPr>
          <w:ilvl w:val="0"/>
          <w:numId w:val="1029"/>
        </w:numPr>
      </w:pPr>
      <w:r>
        <w:rPr>
          <w:b/>
          <w:bCs/>
        </w:rPr>
        <w:t xml:space="preserve">Gate Time:</w:t>
      </w:r>
      <w:r>
        <w:t xml:space="preserve"> </w:t>
      </w:r>
      <w:r>
        <w:t xml:space="preserve">&lt; 100 ns for single-qubit gates, &lt; 500 ns for two-qubit gates</w:t>
      </w:r>
    </w:p>
    <w:bookmarkEnd w:id="50"/>
    <w:bookmarkEnd w:id="51"/>
    <w:bookmarkStart w:id="52" w:name="a.3-environmental-requirements"/>
    <w:p>
      <w:pPr>
        <w:pStyle w:val="Heading3"/>
      </w:pPr>
      <w:r>
        <w:rPr>
          <w:rStyle w:val="SectionNumber"/>
        </w:rPr>
        <w:t xml:space="preserve">1.10.3</w:t>
      </w:r>
      <w:r>
        <w:tab/>
      </w:r>
      <w:r>
        <w:t xml:space="preserve">A.3 Environmental Requirements</w:t>
      </w:r>
    </w:p>
    <w:tbl>
      <w:tblPr>
        <w:tblStyle w:val="Table"/>
        <w:tblW w:type="pct" w:w="5000"/>
        <w:tblLayout w:type="fixed"/>
        <w:tblLook w:firstRow="1" w:lastRow="0" w:firstColumn="0" w:lastColumn="0" w:noHBand="0" w:noVBand="0" w:val="0020"/>
      </w:tblPr>
      <w:tblGrid>
        <w:gridCol w:w="2640"/>
        <w:gridCol w:w="3600"/>
        <w:gridCol w:w="1680"/>
      </w:tblGrid>
      <w:tr>
        <w:trPr>
          <w:tblHeader w:val="on"/>
        </w:trPr>
        <w:tc>
          <w:tcPr/>
          <w:p>
            <w:pPr>
              <w:pStyle w:val="Compact"/>
              <w:jc w:val="left"/>
            </w:pPr>
            <w:r>
              <w:t xml:space="preserve">Parameter</w:t>
            </w:r>
          </w:p>
        </w:tc>
        <w:tc>
          <w:tcPr/>
          <w:p>
            <w:pPr>
              <w:pStyle w:val="Compact"/>
              <w:jc w:val="left"/>
            </w:pPr>
            <w:r>
              <w:t xml:space="preserve">Specification</w:t>
            </w:r>
          </w:p>
        </w:tc>
        <w:tc>
          <w:tcPr/>
          <w:p>
            <w:pPr>
              <w:pStyle w:val="Compact"/>
              <w:jc w:val="left"/>
            </w:pPr>
            <w:r>
              <w:t xml:space="preserve">Notes</w:t>
            </w:r>
          </w:p>
        </w:tc>
      </w:tr>
      <w:tr>
        <w:tc>
          <w:tcPr/>
          <w:p>
            <w:pPr>
              <w:pStyle w:val="Compact"/>
              <w:jc w:val="left"/>
            </w:pPr>
            <w:r>
              <w:rPr>
                <w:b/>
                <w:bCs/>
              </w:rPr>
              <w:t xml:space="preserve">Operating Temperature</w:t>
            </w:r>
          </w:p>
        </w:tc>
        <w:tc>
          <w:tcPr/>
          <w:p>
            <w:pPr>
              <w:pStyle w:val="Compact"/>
              <w:jc w:val="left"/>
            </w:pPr>
            <w:r>
              <w:t xml:space="preserve">18°C to 24°C</w:t>
            </w:r>
          </w:p>
        </w:tc>
        <w:tc>
          <w:tcPr/>
          <w:p>
            <w:pPr>
              <w:pStyle w:val="Compact"/>
              <w:jc w:val="left"/>
            </w:pPr>
            <w:r>
              <w:t xml:space="preserve">Critical for quantum stability</w:t>
            </w:r>
          </w:p>
        </w:tc>
      </w:tr>
      <w:tr>
        <w:tc>
          <w:tcPr/>
          <w:p>
            <w:pPr>
              <w:pStyle w:val="Compact"/>
              <w:jc w:val="left"/>
            </w:pPr>
            <w:r>
              <w:rPr>
                <w:b/>
                <w:bCs/>
              </w:rPr>
              <w:t xml:space="preserve">Humidity</w:t>
            </w:r>
          </w:p>
        </w:tc>
        <w:tc>
          <w:tcPr/>
          <w:p>
            <w:pPr>
              <w:pStyle w:val="Compact"/>
              <w:jc w:val="left"/>
            </w:pPr>
            <w:r>
              <w:t xml:space="preserve">40% to 60% RH</w:t>
            </w:r>
          </w:p>
        </w:tc>
        <w:tc>
          <w:tcPr/>
          <w:p>
            <w:pPr>
              <w:pStyle w:val="Compact"/>
              <w:jc w:val="left"/>
            </w:pPr>
            <w:r>
              <w:t xml:space="preserve">Non-condensing</w:t>
            </w:r>
          </w:p>
        </w:tc>
      </w:tr>
      <w:tr>
        <w:tc>
          <w:tcPr/>
          <w:p>
            <w:pPr>
              <w:pStyle w:val="Compact"/>
              <w:jc w:val="left"/>
            </w:pPr>
            <w:r>
              <w:rPr>
                <w:b/>
                <w:bCs/>
              </w:rPr>
              <w:t xml:space="preserve">Vibration</w:t>
            </w:r>
          </w:p>
        </w:tc>
        <w:tc>
          <w:tcPr/>
          <w:p>
            <w:pPr>
              <w:pStyle w:val="Compact"/>
              <w:jc w:val="left"/>
            </w:pPr>
            <w:r>
              <w:t xml:space="preserve">&lt; 0.1 g RMS</w:t>
            </w:r>
          </w:p>
        </w:tc>
        <w:tc>
          <w:tcPr/>
          <w:p>
            <w:pPr>
              <w:pStyle w:val="Compact"/>
              <w:jc w:val="left"/>
            </w:pPr>
            <w:r>
              <w:t xml:space="preserve">Isolation required</w:t>
            </w:r>
          </w:p>
        </w:tc>
      </w:tr>
      <w:tr>
        <w:tc>
          <w:tcPr/>
          <w:p>
            <w:pPr>
              <w:pStyle w:val="Compact"/>
              <w:jc w:val="left"/>
            </w:pPr>
            <w:r>
              <w:rPr>
                <w:b/>
                <w:bCs/>
              </w:rPr>
              <w:t xml:space="preserve">Electromagnetic Field</w:t>
            </w:r>
          </w:p>
        </w:tc>
        <w:tc>
          <w:tcPr/>
          <w:p>
            <w:pPr>
              <w:pStyle w:val="Compact"/>
              <w:jc w:val="left"/>
            </w:pPr>
            <w:r>
              <w:t xml:space="preserve">&lt; 1 μT</w:t>
            </w:r>
          </w:p>
        </w:tc>
        <w:tc>
          <w:tcPr/>
          <w:p>
            <w:pPr>
              <w:pStyle w:val="Compact"/>
              <w:jc w:val="left"/>
            </w:pPr>
            <w:r>
              <w:t xml:space="preserve">Magnetic shielding required</w:t>
            </w:r>
          </w:p>
        </w:tc>
      </w:tr>
      <w:tr>
        <w:tc>
          <w:tcPr/>
          <w:p>
            <w:pPr>
              <w:pStyle w:val="Compact"/>
              <w:jc w:val="left"/>
            </w:pPr>
            <w:r>
              <w:rPr>
                <w:b/>
                <w:bCs/>
              </w:rPr>
              <w:t xml:space="preserve">Power Quality</w:t>
            </w:r>
          </w:p>
        </w:tc>
        <w:tc>
          <w:tcPr/>
          <w:p>
            <w:pPr>
              <w:pStyle w:val="Compact"/>
              <w:jc w:val="left"/>
            </w:pPr>
            <w:r>
              <w:t xml:space="preserve">±1% voltage stability</w:t>
            </w:r>
          </w:p>
        </w:tc>
        <w:tc>
          <w:tcPr/>
          <w:p>
            <w:pPr>
              <w:pStyle w:val="Compact"/>
              <w:jc w:val="left"/>
            </w:pPr>
            <w:r>
              <w:t xml:space="preserve">UPS recommended</w:t>
            </w:r>
          </w:p>
        </w:tc>
      </w:tr>
    </w:tbl>
    <w:p>
      <w:r>
        <w:pict>
          <v:rect style="width:0;height:1.5pt" o:hralign="center" o:hrstd="t" o:hr="t"/>
        </w:pict>
      </w:r>
    </w:p>
    <w:bookmarkEnd w:id="52"/>
    <w:bookmarkEnd w:id="53"/>
    <w:bookmarkStart w:id="54" w:name="appendix-b-regulatory-compliance-matrix"/>
    <w:p>
      <w:pPr>
        <w:pStyle w:val="Heading2"/>
      </w:pPr>
      <w:r>
        <w:rPr>
          <w:rStyle w:val="SectionNumber"/>
        </w:rPr>
        <w:t xml:space="preserve">1.11</w:t>
      </w:r>
      <w:r>
        <w:tab/>
      </w:r>
      <w:r>
        <w:t xml:space="preserve">Appendix B: Regulatory Compliance Matrix</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Regulation</w:t>
            </w:r>
          </w:p>
        </w:tc>
        <w:tc>
          <w:tcPr/>
          <w:p>
            <w:pPr>
              <w:pStyle w:val="Compact"/>
              <w:jc w:val="left"/>
            </w:pPr>
            <w:r>
              <w:t xml:space="preserve">Applicability</w:t>
            </w:r>
          </w:p>
        </w:tc>
        <w:tc>
          <w:tcPr/>
          <w:p>
            <w:pPr>
              <w:pStyle w:val="Compact"/>
              <w:jc w:val="left"/>
            </w:pPr>
            <w:r>
              <w:t xml:space="preserve">Compliance Method</w:t>
            </w:r>
          </w:p>
        </w:tc>
        <w:tc>
          <w:tcPr/>
          <w:p>
            <w:pPr>
              <w:pStyle w:val="Compact"/>
              <w:jc w:val="left"/>
            </w:pPr>
            <w:r>
              <w:t xml:space="preserve">Verification</w:t>
            </w:r>
          </w:p>
        </w:tc>
      </w:tr>
      <w:tr>
        <w:tc>
          <w:tcPr/>
          <w:p>
            <w:pPr>
              <w:pStyle w:val="Compact"/>
              <w:jc w:val="left"/>
            </w:pPr>
            <w:r>
              <w:rPr>
                <w:b/>
                <w:bCs/>
              </w:rPr>
              <w:t xml:space="preserve">FCC Part 15</w:t>
            </w:r>
          </w:p>
        </w:tc>
        <w:tc>
          <w:tcPr/>
          <w:p>
            <w:pPr>
              <w:pStyle w:val="Compact"/>
              <w:jc w:val="left"/>
            </w:pPr>
            <w:r>
              <w:t xml:space="preserve">Mandatory</w:t>
            </w:r>
          </w:p>
        </w:tc>
        <w:tc>
          <w:tcPr/>
          <w:p>
            <w:pPr>
              <w:pStyle w:val="Compact"/>
              <w:jc w:val="left"/>
            </w:pPr>
            <w:r>
              <w:t xml:space="preserve">EMI testing</w:t>
            </w:r>
          </w:p>
        </w:tc>
        <w:tc>
          <w:tcPr/>
          <w:p>
            <w:pPr>
              <w:pStyle w:val="Compact"/>
              <w:jc w:val="left"/>
            </w:pPr>
            <w:r>
              <w:t xml:space="preserve">Third-party lab</w:t>
            </w:r>
          </w:p>
        </w:tc>
      </w:tr>
      <w:tr>
        <w:tc>
          <w:tcPr/>
          <w:p>
            <w:pPr>
              <w:pStyle w:val="Compact"/>
              <w:jc w:val="left"/>
            </w:pPr>
            <w:r>
              <w:rPr>
                <w:b/>
                <w:bCs/>
              </w:rPr>
              <w:t xml:space="preserve">ITAR</w:t>
            </w:r>
          </w:p>
        </w:tc>
        <w:tc>
          <w:tcPr/>
          <w:p>
            <w:pPr>
              <w:pStyle w:val="Compact"/>
              <w:jc w:val="left"/>
            </w:pPr>
            <w:r>
              <w:t xml:space="preserve">If applicable</w:t>
            </w:r>
          </w:p>
        </w:tc>
        <w:tc>
          <w:tcPr/>
          <w:p>
            <w:pPr>
              <w:pStyle w:val="Compact"/>
              <w:jc w:val="left"/>
            </w:pPr>
            <w:r>
              <w:t xml:space="preserve">Export control review</w:t>
            </w:r>
          </w:p>
        </w:tc>
        <w:tc>
          <w:tcPr/>
          <w:p>
            <w:pPr>
              <w:pStyle w:val="Compact"/>
              <w:jc w:val="left"/>
            </w:pPr>
            <w:r>
              <w:t xml:space="preserve">Legal counsel</w:t>
            </w:r>
          </w:p>
        </w:tc>
      </w:tr>
      <w:tr>
        <w:tc>
          <w:tcPr/>
          <w:p>
            <w:pPr>
              <w:pStyle w:val="Compact"/>
              <w:jc w:val="left"/>
            </w:pPr>
            <w:r>
              <w:rPr>
                <w:b/>
                <w:bCs/>
              </w:rPr>
              <w:t xml:space="preserve">EAR</w:t>
            </w:r>
          </w:p>
        </w:tc>
        <w:tc>
          <w:tcPr/>
          <w:p>
            <w:pPr>
              <w:pStyle w:val="Compact"/>
              <w:jc w:val="left"/>
            </w:pPr>
            <w:r>
              <w:t xml:space="preserve">If applicable</w:t>
            </w:r>
          </w:p>
        </w:tc>
        <w:tc>
          <w:tcPr/>
          <w:p>
            <w:pPr>
              <w:pStyle w:val="Compact"/>
              <w:jc w:val="left"/>
            </w:pPr>
            <w:r>
              <w:t xml:space="preserve">Classification review</w:t>
            </w:r>
          </w:p>
        </w:tc>
        <w:tc>
          <w:tcPr/>
          <w:p>
            <w:pPr>
              <w:pStyle w:val="Compact"/>
              <w:jc w:val="left"/>
            </w:pPr>
            <w:r>
              <w:t xml:space="preserve">Commerce Dept.</w:t>
            </w:r>
          </w:p>
        </w:tc>
      </w:tr>
      <w:tr>
        <w:tc>
          <w:tcPr/>
          <w:p>
            <w:pPr>
              <w:pStyle w:val="Compact"/>
              <w:jc w:val="left"/>
            </w:pPr>
            <w:r>
              <w:rPr>
                <w:b/>
                <w:bCs/>
              </w:rPr>
              <w:t xml:space="preserve">ROHS</w:t>
            </w:r>
          </w:p>
        </w:tc>
        <w:tc>
          <w:tcPr/>
          <w:p>
            <w:pPr>
              <w:pStyle w:val="Compact"/>
              <w:jc w:val="left"/>
            </w:pPr>
            <w:r>
              <w:t xml:space="preserve">Mandatory</w:t>
            </w:r>
          </w:p>
        </w:tc>
        <w:tc>
          <w:tcPr/>
          <w:p>
            <w:pPr>
              <w:pStyle w:val="Compact"/>
              <w:jc w:val="left"/>
            </w:pPr>
            <w:r>
              <w:t xml:space="preserve">Component screening</w:t>
            </w:r>
          </w:p>
        </w:tc>
        <w:tc>
          <w:tcPr/>
          <w:p>
            <w:pPr>
              <w:pStyle w:val="Compact"/>
              <w:jc w:val="left"/>
            </w:pPr>
            <w:r>
              <w:t xml:space="preserve">Supplier certs</w:t>
            </w:r>
          </w:p>
        </w:tc>
      </w:tr>
      <w:tr>
        <w:tc>
          <w:tcPr/>
          <w:p>
            <w:pPr>
              <w:pStyle w:val="Compact"/>
              <w:jc w:val="left"/>
            </w:pPr>
            <w:r>
              <w:rPr>
                <w:b/>
                <w:bCs/>
              </w:rPr>
              <w:t xml:space="preserve">WEEE</w:t>
            </w:r>
          </w:p>
        </w:tc>
        <w:tc>
          <w:tcPr/>
          <w:p>
            <w:pPr>
              <w:pStyle w:val="Compact"/>
              <w:jc w:val="left"/>
            </w:pPr>
            <w:r>
              <w:t xml:space="preserve">Mandatory</w:t>
            </w:r>
          </w:p>
        </w:tc>
        <w:tc>
          <w:tcPr/>
          <w:p>
            <w:pPr>
              <w:pStyle w:val="Compact"/>
              <w:jc w:val="left"/>
            </w:pPr>
            <w:r>
              <w:t xml:space="preserve">Recycling program</w:t>
            </w:r>
          </w:p>
        </w:tc>
        <w:tc>
          <w:tcPr/>
          <w:p>
            <w:pPr>
              <w:pStyle w:val="Compact"/>
              <w:jc w:val="left"/>
            </w:pPr>
            <w:r>
              <w:t xml:space="preserve">Registration</w:t>
            </w:r>
          </w:p>
        </w:tc>
      </w:tr>
    </w:tbl>
    <w:p>
      <w:r>
        <w:pict>
          <v:rect style="width:0;height:1.5pt" o:hralign="center" o:hrstd="t" o:hr="t"/>
        </w:pict>
      </w:r>
    </w:p>
    <w:bookmarkEnd w:id="54"/>
    <w:bookmarkStart w:id="58" w:name="appendix-c-communication-protocols"/>
    <w:p>
      <w:pPr>
        <w:pStyle w:val="Heading2"/>
      </w:pPr>
      <w:r>
        <w:rPr>
          <w:rStyle w:val="SectionNumber"/>
        </w:rPr>
        <w:t xml:space="preserve">1.12</w:t>
      </w:r>
      <w:r>
        <w:tab/>
      </w:r>
      <w:r>
        <w:t xml:space="preserve">Appendix C: Communication Protocols</w:t>
      </w:r>
    </w:p>
    <w:bookmarkStart w:id="55" w:name="c.1-project-communication"/>
    <w:p>
      <w:pPr>
        <w:pStyle w:val="Heading3"/>
      </w:pPr>
      <w:r>
        <w:rPr>
          <w:rStyle w:val="SectionNumber"/>
        </w:rPr>
        <w:t xml:space="preserve">1.12.1</w:t>
      </w:r>
      <w:r>
        <w:tab/>
      </w:r>
      <w:r>
        <w:t xml:space="preserve">C.1 Project Communication</w:t>
      </w:r>
    </w:p>
    <w:p>
      <w:pPr>
        <w:pStyle w:val="FirstParagraph"/>
      </w:pPr>
      <w:r>
        <w:rPr>
          <w:b/>
          <w:bCs/>
        </w:rPr>
        <w:t xml:space="preserve">Weekly Status Meetings:</w:t>
      </w:r>
      <w:r>
        <w:t xml:space="preserve"> </w:t>
      </w:r>
      <w:r>
        <w:t xml:space="preserve">Tuesdays at 2:00 PM PST</w:t>
      </w:r>
      <w:r>
        <w:br/>
      </w:r>
      <w:r>
        <w:rPr>
          <w:b/>
          <w:bCs/>
        </w:rPr>
        <w:t xml:space="preserve">Monthly Reviews:</w:t>
      </w:r>
      <w:r>
        <w:t xml:space="preserve"> </w:t>
      </w:r>
      <w:r>
        <w:t xml:space="preserve">First Friday of each month</w:t>
      </w:r>
      <w:r>
        <w:br/>
      </w:r>
      <w:r>
        <w:rPr>
          <w:b/>
          <w:bCs/>
        </w:rPr>
        <w:t xml:space="preserve">Milestone Reviews:</w:t>
      </w:r>
      <w:r>
        <w:t xml:space="preserve"> </w:t>
      </w:r>
      <w:r>
        <w:t xml:space="preserve">As scheduled in project timeline</w:t>
      </w:r>
      <w:r>
        <w:br/>
      </w:r>
      <w:r>
        <w:rPr>
          <w:b/>
          <w:bCs/>
        </w:rPr>
        <w:t xml:space="preserve">Emergency Contact:</w:t>
      </w:r>
      <w:r>
        <w:t xml:space="preserve"> </w:t>
      </w:r>
      <w:r>
        <w:t xml:space="preserve">24/7 support hotline for critical issues</w:t>
      </w:r>
    </w:p>
    <w:bookmarkEnd w:id="55"/>
    <w:bookmarkStart w:id="56" w:name="c.2-document-management"/>
    <w:p>
      <w:pPr>
        <w:pStyle w:val="Heading3"/>
      </w:pPr>
      <w:r>
        <w:rPr>
          <w:rStyle w:val="SectionNumber"/>
        </w:rPr>
        <w:t xml:space="preserve">1.12.2</w:t>
      </w:r>
      <w:r>
        <w:tab/>
      </w:r>
      <w:r>
        <w:t xml:space="preserve">C.2 Document Management</w:t>
      </w:r>
    </w:p>
    <w:p>
      <w:pPr>
        <w:pStyle w:val="FirstParagraph"/>
      </w:pPr>
      <w:r>
        <w:t xml:space="preserve">All project documents shall be maintained in a secure, version-controlled repository with the following access controls:</w:t>
      </w:r>
    </w:p>
    <w:p>
      <w:pPr>
        <w:pStyle w:val="Compact"/>
        <w:numPr>
          <w:ilvl w:val="0"/>
          <w:numId w:val="1030"/>
        </w:numPr>
      </w:pPr>
      <w:r>
        <w:rPr>
          <w:b/>
          <w:bCs/>
        </w:rPr>
        <w:t xml:space="preserve">Level 1:</w:t>
      </w:r>
      <w:r>
        <w:t xml:space="preserve"> </w:t>
      </w:r>
      <w:r>
        <w:t xml:space="preserve">Public project information (schedules, general specifications)</w:t>
      </w:r>
    </w:p>
    <w:p>
      <w:pPr>
        <w:pStyle w:val="Compact"/>
        <w:numPr>
          <w:ilvl w:val="0"/>
          <w:numId w:val="1030"/>
        </w:numPr>
      </w:pPr>
      <w:r>
        <w:rPr>
          <w:b/>
          <w:bCs/>
        </w:rPr>
        <w:t xml:space="preserve">Level 2:</w:t>
      </w:r>
      <w:r>
        <w:t xml:space="preserve"> </w:t>
      </w:r>
      <w:r>
        <w:t xml:space="preserve">Technical documentation (detailed designs, test results)</w:t>
      </w:r>
      <w:r>
        <w:br/>
      </w:r>
    </w:p>
    <w:p>
      <w:pPr>
        <w:pStyle w:val="Compact"/>
        <w:numPr>
          <w:ilvl w:val="0"/>
          <w:numId w:val="1030"/>
        </w:numPr>
      </w:pPr>
      <w:r>
        <w:rPr>
          <w:b/>
          <w:bCs/>
        </w:rPr>
        <w:t xml:space="preserve">Level 3:</w:t>
      </w:r>
      <w:r>
        <w:t xml:space="preserve"> </w:t>
      </w:r>
      <w:r>
        <w:t xml:space="preserve">Proprietary information (source code, trade secrets)</w:t>
      </w:r>
    </w:p>
    <w:p>
      <w:pPr>
        <w:pStyle w:val="Compact"/>
        <w:numPr>
          <w:ilvl w:val="0"/>
          <w:numId w:val="1030"/>
        </w:numPr>
      </w:pPr>
      <w:r>
        <w:rPr>
          <w:b/>
          <w:bCs/>
        </w:rPr>
        <w:t xml:space="preserve">Level 4:</w:t>
      </w:r>
      <w:r>
        <w:t xml:space="preserve"> </w:t>
      </w:r>
      <w:r>
        <w:t xml:space="preserve">Export-controlled technical data (ITAR/EAR restricted)</w:t>
      </w:r>
    </w:p>
    <w:bookmarkEnd w:id="56"/>
    <w:bookmarkStart w:id="57" w:name="c.3-change-control-process"/>
    <w:p>
      <w:pPr>
        <w:pStyle w:val="Heading3"/>
      </w:pPr>
      <w:r>
        <w:rPr>
          <w:rStyle w:val="SectionNumber"/>
        </w:rPr>
        <w:t xml:space="preserve">1.12.3</w:t>
      </w:r>
      <w:r>
        <w:tab/>
      </w:r>
      <w:r>
        <w:t xml:space="preserve">C.3 Change Control Process</w:t>
      </w:r>
    </w:p>
    <w:p>
      <w:pPr>
        <w:pStyle w:val="Compact"/>
        <w:numPr>
          <w:ilvl w:val="0"/>
          <w:numId w:val="1031"/>
        </w:numPr>
      </w:pPr>
      <w:r>
        <w:rPr>
          <w:b/>
          <w:bCs/>
        </w:rPr>
        <w:t xml:space="preserve">Change Request Submission:</w:t>
      </w:r>
      <w:r>
        <w:t xml:space="preserve"> </w:t>
      </w:r>
      <w:r>
        <w:t xml:space="preserve">Written request with technical justification</w:t>
      </w:r>
    </w:p>
    <w:p>
      <w:pPr>
        <w:pStyle w:val="Compact"/>
        <w:numPr>
          <w:ilvl w:val="0"/>
          <w:numId w:val="1031"/>
        </w:numPr>
      </w:pPr>
      <w:r>
        <w:rPr>
          <w:b/>
          <w:bCs/>
        </w:rPr>
        <w:t xml:space="preserve">Impact Assessment:</w:t>
      </w:r>
      <w:r>
        <w:t xml:space="preserve"> </w:t>
      </w:r>
      <w:r>
        <w:t xml:space="preserve">Cost, schedule, and technical impact analysis</w:t>
      </w:r>
    </w:p>
    <w:p>
      <w:pPr>
        <w:pStyle w:val="Compact"/>
        <w:numPr>
          <w:ilvl w:val="0"/>
          <w:numId w:val="1031"/>
        </w:numPr>
      </w:pPr>
      <w:r>
        <w:rPr>
          <w:b/>
          <w:bCs/>
        </w:rPr>
        <w:t xml:space="preserve">Client Approval:</w:t>
      </w:r>
      <w:r>
        <w:t xml:space="preserve"> </w:t>
      </w:r>
      <w:r>
        <w:t xml:space="preserve">Written approval required for scope changes</w:t>
      </w:r>
    </w:p>
    <w:p>
      <w:pPr>
        <w:pStyle w:val="Compact"/>
        <w:numPr>
          <w:ilvl w:val="0"/>
          <w:numId w:val="1031"/>
        </w:numPr>
      </w:pPr>
      <w:r>
        <w:rPr>
          <w:b/>
          <w:bCs/>
        </w:rPr>
        <w:t xml:space="preserve">Documentation Update:</w:t>
      </w:r>
      <w:r>
        <w:t xml:space="preserve"> </w:t>
      </w:r>
      <w:r>
        <w:t xml:space="preserve">All affected documents updated</w:t>
      </w:r>
    </w:p>
    <w:p>
      <w:pPr>
        <w:pStyle w:val="Compact"/>
        <w:numPr>
          <w:ilvl w:val="0"/>
          <w:numId w:val="1031"/>
        </w:numPr>
      </w:pPr>
      <w:r>
        <w:rPr>
          <w:b/>
          <w:bCs/>
        </w:rPr>
        <w:t xml:space="preserve">Implementation:</w:t>
      </w:r>
      <w:r>
        <w:t xml:space="preserve"> </w:t>
      </w:r>
      <w:r>
        <w:t xml:space="preserve">Change implemented with full traceability</w:t>
      </w:r>
    </w:p>
    <w:p>
      <w:r>
        <w:pict>
          <v:rect style="width:0;height:1.5pt" o:hralign="center" o:hrstd="t" o:hr="t"/>
        </w:pict>
      </w:r>
    </w:p>
    <w:p>
      <w:pPr>
        <w:pStyle w:val="FirstParagraph"/>
      </w:pPr>
      <w:r>
        <w:rPr>
          <w:b/>
          <w:bCs/>
        </w:rPr>
        <w:t xml:space="preserve">Document Control:</w:t>
      </w:r>
      <w:r>
        <w:br/>
      </w:r>
      <w:r>
        <w:rPr>
          <w:i/>
          <w:iCs/>
        </w:rPr>
        <w:t xml:space="preserve">Version 1.0 — Initial Release</w:t>
      </w:r>
      <w:r>
        <w:br/>
      </w:r>
      <w:r>
        <w:rPr>
          <w:i/>
          <w:iCs/>
        </w:rPr>
        <w:t xml:space="preserve">Classification: Confidential — Client Proprietary</w:t>
      </w:r>
      <w:r>
        <w:br/>
      </w:r>
      <w:r>
        <w:rPr>
          <w:i/>
          <w:iCs/>
        </w:rPr>
        <w:t xml:space="preserve">Distribution: Client and Consultant authorized personnel only</w:t>
      </w:r>
    </w:p>
    <w:p>
      <w:r>
        <w:pict>
          <v:rect style="width:0;height:1.5pt" o:hralign="center" o:hrstd="t" o:hr="t"/>
        </w:pict>
      </w:r>
    </w:p>
    <w:p>
      <w:pPr>
        <w:pStyle w:val="FirstParagraph"/>
      </w:pPr>
      <w:r>
        <w:rPr>
          <w:i/>
          <w:iCs/>
        </w:rPr>
        <w:t xml:space="preserve">This document contains 42 pages and demonstrates comprehensive MultiMarkdown syntax including metadata, tables, mathematical expressions, code blocks, footnotes, definition lists, abbreviations, task lists, blockquotes, and professional formatting suitable for conversion to Microsoft Word format via Pandoc.</w:t>
      </w:r>
    </w:p>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
    <w:p>
      <w:pPr>
        <w:pStyle w:val="FootnoteText"/>
      </w:pPr>
      <w:r>
        <w:rPr>
          <w:rStyle w:val="FootnoteReference"/>
        </w:rPr>
        <w:footnoteRef/>
      </w:r>
      <w:r>
        <w:t xml:space="preserve"> </w:t>
      </w:r>
      <w:r>
        <w:t xml:space="preserve">Pauling, L. (1954).</w:t>
      </w:r>
      <w:r>
        <w:t xml:space="preserve"> </w:t>
      </w:r>
      <w:r>
        <w:rPr>
          <w:i/>
          <w:iCs/>
        </w:rPr>
        <w:t xml:space="preserve">The Nature of the Chemical Bond</w:t>
      </w:r>
      <w:r>
        <w:t xml:space="preserve">. Cornell University Press.</w:t>
      </w:r>
    </w:p>
  </w:footnote>
  <w:footnote w:id="20">
    <w:p>
      <w:pPr>
        <w:pStyle w:val="FootnoteText"/>
      </w:pPr>
      <w:r>
        <w:rPr>
          <w:rStyle w:val="FootnoteReference"/>
        </w:rPr>
        <w:footnoteRef/>
      </w:r>
      <w:r>
        <w:t xml:space="preserve"> </w:t>
      </w:r>
      <w:r>
        <w:t xml:space="preserve">Premium rates apply for work requiring security clearance, hazardous materials handling, or emergency response conditions.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3"/>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Consulting Engagement Letter</dc:title>
  <dc:creator>Terminal Renaissance Engineering Consultants</dc:creator>
  <cp:keywords/>
  <dcterms:created xsi:type="dcterms:W3CDTF">2025-06-25T10:31:41Z</dcterms:created>
  <dcterms:modified xsi:type="dcterms:W3CDTF">2025-06-25T10:31:41Z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base_header_level">
    <vt:lpwstr>1</vt:lpwstr>
  </property>
  <property fmtid="{D5CDD505-2E9C-101B-9397-08002B2CF9AE}" pid="4" name="bibliography">
    <vt:lpwstr>engineering-references.bib</vt:lpwstr>
  </property>
  <property fmtid="{D5CDD505-2E9C-101B-9397-08002B2CF9AE}" pid="5" name="classification">
    <vt:lpwstr>Confidential - Client Proprietary</vt:lpwstr>
  </property>
  <property fmtid="{D5CDD505-2E9C-101B-9397-08002B2CF9AE}" pid="6" name="client">
    <vt:lpwstr>Quantum Computing Solutions, Inc.</vt:lpwstr>
  </property>
  <property fmtid="{D5CDD505-2E9C-101B-9397-08002B2CF9AE}" pid="7" name="css">
    <vt:lpwstr>professional-typography-system.css</vt:lpwstr>
  </property>
  <property fmtid="{D5CDD505-2E9C-101B-9397-08002B2CF9AE}" pid="8" name="date">
    <vt:lpwstr>2025-06-25</vt:lpwstr>
  </property>
  <property fmtid="{D5CDD505-2E9C-101B-9397-08002B2CF9AE}" pid="9" name="document_version">
    <vt:lpwstr>1.0</vt:lpwstr>
  </property>
  <property fmtid="{D5CDD505-2E9C-101B-9397-08002B2CF9AE}" pid="10" name="engagement_type">
    <vt:lpwstr>Professional Engineering Services</vt:lpwstr>
  </property>
  <property fmtid="{D5CDD505-2E9C-101B-9397-08002B2CF9AE}" pid="11" name="html_header">
    <vt:lpwstr/>
  </property>
  <property fmtid="{D5CDD505-2E9C-101B-9397-08002B2CF9AE}" pid="12" name="latex_footer">
    <vt:lpwstr>mmd-article-footer</vt:lpwstr>
  </property>
  <property fmtid="{D5CDD505-2E9C-101B-9397-08002B2CF9AE}" pid="13" name="latex_input">
    <vt:lpwstr>mmd-article-header</vt:lpwstr>
  </property>
  <property fmtid="{D5CDD505-2E9C-101B-9397-08002B2CF9AE}" pid="14" name="project">
    <vt:lpwstr>QCS-2025-HYBRID-SYSTEM</vt:lpwstr>
  </property>
  <property fmtid="{D5CDD505-2E9C-101B-9397-08002B2CF9AE}" pid="15" name="subtitle">
    <vt:lpwstr>Custom Computer System Design &amp; Integration Services</vt:lpwstr>
  </property>
</Properties>
</file>