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B178" w14:textId="2A751245" w:rsidR="00C574D4" w:rsidRPr="00DA1220" w:rsidRDefault="00C574D4" w:rsidP="00C574D4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84ED8">
        <w:rPr>
          <w:rFonts w:ascii="Arial" w:hAnsi="Arial" w:cs="Arial"/>
          <w:b/>
          <w:bCs/>
          <w:color w:val="C00000"/>
          <w:sz w:val="20"/>
          <w:szCs w:val="20"/>
        </w:rPr>
        <w:t xml:space="preserve">СПИСОК </w:t>
      </w:r>
      <w:r w:rsidR="00284ED8" w:rsidRPr="00284ED8">
        <w:rPr>
          <w:rFonts w:ascii="Arial" w:hAnsi="Arial" w:cs="Arial"/>
          <w:b/>
          <w:bCs/>
          <w:sz w:val="20"/>
          <w:szCs w:val="20"/>
        </w:rPr>
        <w:br/>
      </w:r>
      <w:r w:rsidRPr="001D5E47">
        <w:rPr>
          <w:rFonts w:ascii="Arial" w:hAnsi="Arial" w:cs="Arial"/>
          <w:b/>
          <w:bCs/>
          <w:sz w:val="20"/>
          <w:szCs w:val="20"/>
        </w:rPr>
        <w:t>ИНИЦИАТИВ И ПРЕДЛОЖЕНИ</w:t>
      </w:r>
      <w:r>
        <w:rPr>
          <w:rFonts w:ascii="Arial" w:hAnsi="Arial" w:cs="Arial"/>
          <w:b/>
          <w:bCs/>
          <w:sz w:val="20"/>
          <w:szCs w:val="20"/>
        </w:rPr>
        <w:t>Й</w:t>
      </w:r>
      <w:r w:rsidRPr="001D5E47">
        <w:rPr>
          <w:rFonts w:ascii="Arial" w:hAnsi="Arial" w:cs="Arial"/>
          <w:b/>
          <w:bCs/>
          <w:sz w:val="20"/>
          <w:szCs w:val="20"/>
        </w:rPr>
        <w:t xml:space="preserve"> </w:t>
      </w:r>
      <w:r w:rsidR="00284ED8" w:rsidRPr="00284ED8">
        <w:rPr>
          <w:rFonts w:ascii="Arial" w:hAnsi="Arial" w:cs="Arial"/>
          <w:b/>
          <w:bCs/>
          <w:sz w:val="20"/>
          <w:szCs w:val="20"/>
        </w:rPr>
        <w:br/>
      </w:r>
      <w:r w:rsidRPr="001D5E47">
        <w:rPr>
          <w:rFonts w:ascii="Arial" w:hAnsi="Arial" w:cs="Arial"/>
          <w:b/>
          <w:bCs/>
          <w:sz w:val="20"/>
          <w:szCs w:val="20"/>
        </w:rPr>
        <w:t xml:space="preserve">УЧАСТНИКОВ СОВЕТА ИНОСТРАННЫХ ИНВЕСТОРОВ ДЛЯ РАССМОТРЕНИЯ </w:t>
      </w:r>
      <w:r>
        <w:rPr>
          <w:rFonts w:ascii="Arial" w:hAnsi="Arial" w:cs="Arial"/>
          <w:b/>
          <w:bCs/>
          <w:sz w:val="20"/>
          <w:szCs w:val="20"/>
        </w:rPr>
        <w:br/>
      </w:r>
      <w:r w:rsidRPr="001D5E47">
        <w:rPr>
          <w:rFonts w:ascii="Arial" w:hAnsi="Arial" w:cs="Arial"/>
          <w:b/>
          <w:bCs/>
          <w:sz w:val="20"/>
          <w:szCs w:val="20"/>
        </w:rPr>
        <w:t xml:space="preserve">ПРИ ФОРМИРОВАНИИ ПОВЕСТКИ </w:t>
      </w:r>
      <w:r w:rsidRPr="001D5E47">
        <w:rPr>
          <w:rFonts w:ascii="Arial" w:hAnsi="Arial" w:cs="Arial"/>
          <w:b/>
          <w:bCs/>
          <w:color w:val="0070C0"/>
          <w:sz w:val="20"/>
          <w:szCs w:val="20"/>
        </w:rPr>
        <w:t>ПЛЕНАРНОЙ СЕССИИ</w:t>
      </w:r>
      <w:r w:rsidRPr="001D5E47">
        <w:rPr>
          <w:rFonts w:ascii="Arial" w:hAnsi="Arial" w:cs="Arial"/>
          <w:b/>
          <w:bCs/>
          <w:sz w:val="20"/>
          <w:szCs w:val="20"/>
        </w:rPr>
        <w:t xml:space="preserve"> </w:t>
      </w:r>
      <w:r w:rsidRPr="00284ED8">
        <w:rPr>
          <w:rFonts w:ascii="Arial" w:hAnsi="Arial" w:cs="Arial"/>
          <w:b/>
          <w:bCs/>
          <w:color w:val="C00000"/>
          <w:sz w:val="20"/>
          <w:szCs w:val="20"/>
        </w:rPr>
        <w:t xml:space="preserve">18 </w:t>
      </w:r>
      <w:r w:rsidRPr="00284ED8">
        <w:rPr>
          <w:rFonts w:ascii="Arial" w:hAnsi="Arial" w:cs="Arial"/>
          <w:b/>
          <w:bCs/>
          <w:color w:val="0070C0"/>
          <w:sz w:val="20"/>
          <w:szCs w:val="20"/>
        </w:rPr>
        <w:t xml:space="preserve">ИЮНЯ </w:t>
      </w:r>
      <w:r w:rsidRPr="00284ED8">
        <w:rPr>
          <w:rFonts w:ascii="Arial" w:hAnsi="Arial" w:cs="Arial"/>
          <w:b/>
          <w:bCs/>
          <w:color w:val="C00000"/>
          <w:sz w:val="20"/>
          <w:szCs w:val="20"/>
        </w:rPr>
        <w:t xml:space="preserve">2026 </w:t>
      </w:r>
      <w:r w:rsidRPr="001D5E47">
        <w:rPr>
          <w:rFonts w:ascii="Arial" w:hAnsi="Arial" w:cs="Arial"/>
          <w:b/>
          <w:bCs/>
          <w:sz w:val="20"/>
          <w:szCs w:val="20"/>
        </w:rPr>
        <w:t>ГОДА</w:t>
      </w:r>
    </w:p>
    <w:tbl>
      <w:tblPr>
        <w:tblStyle w:val="TableGrid"/>
        <w:tblW w:w="95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380"/>
        <w:gridCol w:w="1492"/>
        <w:gridCol w:w="9"/>
      </w:tblGrid>
      <w:tr w:rsidR="00DA1220" w14:paraId="64496CD0" w14:textId="77777777" w:rsidTr="00DA1220">
        <w:trPr>
          <w:gridAfter w:val="1"/>
          <w:wAfter w:w="9" w:type="dxa"/>
          <w:tblHeader/>
        </w:trPr>
        <w:tc>
          <w:tcPr>
            <w:tcW w:w="715" w:type="dxa"/>
            <w:tcBorders>
              <w:bottom w:val="single" w:sz="4" w:space="0" w:color="auto"/>
            </w:tcBorders>
            <w:vAlign w:val="bottom"/>
          </w:tcPr>
          <w:p w14:paraId="706FB79A" w14:textId="4CFDDB02" w:rsidR="00DA1220" w:rsidRPr="00DA1220" w:rsidRDefault="00DA1220" w:rsidP="00DA1220">
            <w:pPr>
              <w:pStyle w:val="ListParagraph"/>
              <w:ind w:left="-17" w:right="64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DA1220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7380" w:type="dxa"/>
            <w:tcBorders>
              <w:bottom w:val="single" w:sz="4" w:space="0" w:color="auto"/>
            </w:tcBorders>
            <w:vAlign w:val="bottom"/>
          </w:tcPr>
          <w:p w14:paraId="08E39512" w14:textId="41C7C06E" w:rsidR="00DA1220" w:rsidRPr="00DA1220" w:rsidRDefault="00DA1220" w:rsidP="00DA1220">
            <w:pPr>
              <w:ind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220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Инициатива</w:t>
            </w:r>
          </w:p>
        </w:tc>
        <w:tc>
          <w:tcPr>
            <w:tcW w:w="1492" w:type="dxa"/>
            <w:tcBorders>
              <w:bottom w:val="single" w:sz="4" w:space="0" w:color="auto"/>
            </w:tcBorders>
            <w:vAlign w:val="bottom"/>
          </w:tcPr>
          <w:p w14:paraId="1DDA8C69" w14:textId="272E1A99" w:rsidR="00DA1220" w:rsidRPr="00DA1220" w:rsidRDefault="00DA1220" w:rsidP="00DA1220">
            <w:pPr>
              <w:ind w:right="64"/>
              <w:jc w:val="center"/>
              <w:rPr>
                <w:rFonts w:ascii="Arial" w:hAnsi="Arial" w:cs="Arial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DA1220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Спикер </w:t>
            </w:r>
            <w:r w:rsidRPr="00DA1220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br/>
            </w:r>
            <w:r w:rsidRPr="00DA1220">
              <w:rPr>
                <w:rFonts w:ascii="Aptos Narrow" w:hAnsi="Aptos Narrow"/>
                <w:color w:val="000000"/>
                <w:sz w:val="22"/>
                <w:szCs w:val="22"/>
              </w:rPr>
              <w:t>(</w:t>
            </w:r>
            <w:r w:rsidRPr="00DA1220">
              <w:rPr>
                <w:rFonts w:ascii="Aptos Narrow" w:hAnsi="Aptos Narrow"/>
                <w:i/>
                <w:iCs/>
                <w:color w:val="000000"/>
                <w:sz w:val="22"/>
                <w:szCs w:val="22"/>
              </w:rPr>
              <w:t>Компания</w:t>
            </w:r>
            <w:r w:rsidRPr="00DA1220"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</w:tr>
      <w:tr w:rsidR="00B03D0F" w:rsidRPr="00B03D0F" w14:paraId="43D6A379" w14:textId="77777777" w:rsidTr="00B03D0F">
        <w:tc>
          <w:tcPr>
            <w:tcW w:w="9596" w:type="dxa"/>
            <w:gridSpan w:val="4"/>
            <w:shd w:val="clear" w:color="auto" w:fill="0070C0"/>
          </w:tcPr>
          <w:p w14:paraId="54C5D058" w14:textId="74995ECC" w:rsidR="00B03D0F" w:rsidRPr="00B03D0F" w:rsidRDefault="00B03D0F" w:rsidP="00B03D0F">
            <w:pPr>
              <w:ind w:right="64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03D0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СТРАТЕГИЧЕСКИЕ ИНИЦИАТИВЫ</w:t>
            </w:r>
          </w:p>
        </w:tc>
      </w:tr>
      <w:tr w:rsidR="00B03D0F" w14:paraId="532E07AE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D78344B" w14:textId="49E106C3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277ADDF1" w14:textId="0DC4D1E4" w:rsidR="00B03D0F" w:rsidRPr="00257745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Учреждение Регионального альянса инвестиционных советов Центральной Азии и Кавказа и проведение ежегодных форумов Совета</w:t>
            </w:r>
          </w:p>
        </w:tc>
        <w:tc>
          <w:tcPr>
            <w:tcW w:w="1492" w:type="dxa"/>
          </w:tcPr>
          <w:p w14:paraId="2FA11EF9" w14:textId="7F1F80CA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ADB</w:t>
            </w:r>
          </w:p>
        </w:tc>
      </w:tr>
      <w:tr w:rsidR="00B03D0F" w14:paraId="66BD714F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27E97428" w14:textId="58CD3A9C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4219E31F" w14:textId="52B4DF02" w:rsidR="00B03D0F" w:rsidRPr="00257745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Создание законодательно закреплённого Проектного офиса по координации реализации приоритетных инвестиционных инициатив</w:t>
            </w:r>
          </w:p>
        </w:tc>
        <w:tc>
          <w:tcPr>
            <w:tcW w:w="1492" w:type="dxa"/>
          </w:tcPr>
          <w:p w14:paraId="762AE5C3" w14:textId="786E9090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Acwa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</w:t>
            </w:r>
          </w:p>
        </w:tc>
      </w:tr>
      <w:tr w:rsidR="00B03D0F" w14:paraId="0873E98D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CB0CD20" w14:textId="544E4F5B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75BA0DE7" w14:textId="7FDC3EFE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Создание публичной цифровой платформы комплексной оценки инвестиционной деятельности «FIC Investment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Dashboard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»</w:t>
            </w:r>
          </w:p>
        </w:tc>
        <w:tc>
          <w:tcPr>
            <w:tcW w:w="1492" w:type="dxa"/>
          </w:tcPr>
          <w:p w14:paraId="7DB4497B" w14:textId="210AD586" w:rsidR="00B03D0F" w:rsidRPr="00CD3187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ODAS</w:t>
            </w:r>
            <w:r w:rsidR="00CD3187">
              <w:rPr>
                <w:rFonts w:ascii="Aptos Narrow" w:hAnsi="Aptos Narrow"/>
                <w:color w:val="C00000"/>
                <w:sz w:val="22"/>
                <w:szCs w:val="22"/>
                <w:lang w:val="en-US"/>
              </w:rPr>
              <w:t xml:space="preserve"> Enerji / EY</w:t>
            </w:r>
          </w:p>
        </w:tc>
      </w:tr>
      <w:tr w:rsidR="00B03D0F" w14:paraId="5496F74D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1D36F0F" w14:textId="77777777" w:rsidR="00B03D0F" w:rsidRPr="00E11375" w:rsidRDefault="00B03D0F" w:rsidP="00B03D0F">
            <w:pPr>
              <w:ind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7586C11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2" w:type="dxa"/>
          </w:tcPr>
          <w:p w14:paraId="663684F1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03D0F" w:rsidRPr="00B03D0F" w14:paraId="04A57B03" w14:textId="77777777" w:rsidTr="00B03D0F">
        <w:tc>
          <w:tcPr>
            <w:tcW w:w="9596" w:type="dxa"/>
            <w:gridSpan w:val="4"/>
            <w:shd w:val="clear" w:color="auto" w:fill="0070C0"/>
          </w:tcPr>
          <w:p w14:paraId="24D7C4CC" w14:textId="30213B39" w:rsidR="00B03D0F" w:rsidRPr="00E11375" w:rsidRDefault="00B03D0F" w:rsidP="00B03D0F">
            <w:pPr>
              <w:ind w:right="64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E1137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ЭНЕРГЕТИЧЕСКИЙ СЕКТОР</w:t>
            </w:r>
          </w:p>
        </w:tc>
      </w:tr>
      <w:tr w:rsidR="00B03D0F" w14:paraId="0B07E840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B6CDEB5" w14:textId="5B474A59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7AA89D91" w14:textId="3F698C5C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Допуск частного сектора к деятельности по распределению электроэнергии (поправки в НПА)</w:t>
            </w:r>
          </w:p>
        </w:tc>
        <w:tc>
          <w:tcPr>
            <w:tcW w:w="1492" w:type="dxa"/>
          </w:tcPr>
          <w:p w14:paraId="31B1BF62" w14:textId="5EE6372A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EDF</w:t>
            </w:r>
          </w:p>
        </w:tc>
      </w:tr>
      <w:tr w:rsidR="00B03D0F" w14:paraId="3D5EB14A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496583F7" w14:textId="58FC0E93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68474B8" w14:textId="4F3A8973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Освобождение проектов с иностранным финансированием от требований о перестраховании внутри страны</w:t>
            </w:r>
          </w:p>
        </w:tc>
        <w:tc>
          <w:tcPr>
            <w:tcW w:w="1492" w:type="dxa"/>
          </w:tcPr>
          <w:p w14:paraId="327E9674" w14:textId="4CE1B99B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Acwa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</w:t>
            </w:r>
          </w:p>
        </w:tc>
      </w:tr>
      <w:tr w:rsidR="00B03D0F" w14:paraId="1B7F6AAF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74C432DB" w14:textId="58C7F9DD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25DFE6A2" w14:textId="13B7ED6D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Разработка и публикация национального Генерального плана развития энергетического сектора (генерация, передача, распределение)</w:t>
            </w:r>
          </w:p>
        </w:tc>
        <w:tc>
          <w:tcPr>
            <w:tcW w:w="1492" w:type="dxa"/>
          </w:tcPr>
          <w:p w14:paraId="199F9E0F" w14:textId="5A937862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EDF</w:t>
            </w:r>
          </w:p>
        </w:tc>
      </w:tr>
      <w:tr w:rsidR="00B03D0F" w14:paraId="3F1ABCA3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22C8F20" w14:textId="0AC972AC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27B600C" w14:textId="121C309D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Установление и регулярный пересмотр ставок лицензионных сборов на производство электроэнергии</w:t>
            </w:r>
          </w:p>
        </w:tc>
        <w:tc>
          <w:tcPr>
            <w:tcW w:w="1492" w:type="dxa"/>
          </w:tcPr>
          <w:p w14:paraId="52206049" w14:textId="10FDD068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Voltalia</w:t>
            </w:r>
            <w:proofErr w:type="spellEnd"/>
          </w:p>
        </w:tc>
      </w:tr>
      <w:tr w:rsidR="00B03D0F" w14:paraId="616C3136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7FC38F87" w14:textId="6D40ECB9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C6637D7" w14:textId="5E81AB7C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Реформирование порядка лицензирования производства электроэнергии: поэтапная подача документов и согласование сроков</w:t>
            </w:r>
          </w:p>
        </w:tc>
        <w:tc>
          <w:tcPr>
            <w:tcW w:w="1492" w:type="dxa"/>
          </w:tcPr>
          <w:p w14:paraId="4878E814" w14:textId="109B6FB2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Voltalia</w:t>
            </w:r>
            <w:proofErr w:type="spellEnd"/>
          </w:p>
        </w:tc>
      </w:tr>
      <w:tr w:rsidR="00B03D0F" w14:paraId="74E21326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EA8DEAE" w14:textId="77777777" w:rsidR="00B03D0F" w:rsidRPr="00E11375" w:rsidRDefault="00B03D0F" w:rsidP="00B03D0F">
            <w:pPr>
              <w:ind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7F736890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2" w:type="dxa"/>
          </w:tcPr>
          <w:p w14:paraId="097F54BA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03D0F" w:rsidRPr="00B03D0F" w14:paraId="0F900817" w14:textId="77777777" w:rsidTr="00B03D0F">
        <w:tc>
          <w:tcPr>
            <w:tcW w:w="9596" w:type="dxa"/>
            <w:gridSpan w:val="4"/>
            <w:shd w:val="clear" w:color="auto" w:fill="0070C0"/>
          </w:tcPr>
          <w:p w14:paraId="24028409" w14:textId="11C67288" w:rsidR="00B03D0F" w:rsidRPr="00E11375" w:rsidRDefault="00B03D0F" w:rsidP="00B03D0F">
            <w:pPr>
              <w:ind w:right="64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1137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ФИНАНСОВЫЙ СЕКТОР И БАНКОВСКАЯ ДЕЯТЕЛЬНОСТЬ</w:t>
            </w:r>
          </w:p>
        </w:tc>
      </w:tr>
      <w:tr w:rsidR="00B03D0F" w14:paraId="2E2435CB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23932463" w14:textId="107A30E0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80" w:type="dxa"/>
          </w:tcPr>
          <w:p w14:paraId="5EE7AF1F" w14:textId="2F9C9395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Введение риск-ориентированной гибкости в правила удалённого доступа для банков</w:t>
            </w:r>
          </w:p>
        </w:tc>
        <w:tc>
          <w:tcPr>
            <w:tcW w:w="1492" w:type="dxa"/>
          </w:tcPr>
          <w:p w14:paraId="79362B33" w14:textId="6DA5B1D9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TBC</w:t>
            </w:r>
          </w:p>
        </w:tc>
      </w:tr>
      <w:tr w:rsidR="00B03D0F" w14:paraId="727FACEF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3E3086BC" w14:textId="3AB1B0E1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66ADB9E7" w14:textId="23D62872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Наращивание потенциала отечественных финансовых институтов и развитие инфраструктуры рынка капитала</w:t>
            </w:r>
          </w:p>
        </w:tc>
        <w:tc>
          <w:tcPr>
            <w:tcW w:w="1492" w:type="dxa"/>
          </w:tcPr>
          <w:p w14:paraId="31C1CA6E" w14:textId="36B5AE09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Acwa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</w:t>
            </w:r>
          </w:p>
        </w:tc>
      </w:tr>
      <w:tr w:rsidR="00B03D0F" w14:paraId="42D94573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271A37E6" w14:textId="4DDB87B9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3DF3BC3" w14:textId="69DA6A10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Расширение инструментов смешанного финансирования и углубление сотрудничества с международными финансовыми институтами</w:t>
            </w:r>
          </w:p>
        </w:tc>
        <w:tc>
          <w:tcPr>
            <w:tcW w:w="1492" w:type="dxa"/>
          </w:tcPr>
          <w:p w14:paraId="16046D14" w14:textId="6F46B29D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Acwa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</w:t>
            </w:r>
          </w:p>
        </w:tc>
      </w:tr>
      <w:tr w:rsidR="00B03D0F" w14:paraId="1B2DEBD2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244A1490" w14:textId="79F291D4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49038C3D" w14:textId="7B23E10B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Согласование банковских реформ с потребностями инфраструктурного финансирования в энергетическом секторе</w:t>
            </w:r>
          </w:p>
        </w:tc>
        <w:tc>
          <w:tcPr>
            <w:tcW w:w="1492" w:type="dxa"/>
          </w:tcPr>
          <w:p w14:paraId="2827D548" w14:textId="3F84D799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Acwa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</w:t>
            </w:r>
          </w:p>
        </w:tc>
      </w:tr>
      <w:tr w:rsidR="00B03D0F" w14:paraId="292E4FE7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4BBCA7C3" w14:textId="69D1791C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F7CC0D4" w14:textId="2A7D5F27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Введение правовой базы гибкого механизма купли-продажи кредитных портфелей</w:t>
            </w:r>
          </w:p>
        </w:tc>
        <w:tc>
          <w:tcPr>
            <w:tcW w:w="1492" w:type="dxa"/>
          </w:tcPr>
          <w:p w14:paraId="0FFE4874" w14:textId="23BC233E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TBC</w:t>
            </w:r>
          </w:p>
        </w:tc>
      </w:tr>
      <w:tr w:rsidR="00B03D0F" w14:paraId="7DEF54AB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70BC0883" w14:textId="24201432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789F813F" w14:textId="26B83442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Введение законодательства об исламском страховании (такафул)</w:t>
            </w:r>
          </w:p>
        </w:tc>
        <w:tc>
          <w:tcPr>
            <w:tcW w:w="1492" w:type="dxa"/>
          </w:tcPr>
          <w:p w14:paraId="1A2E513D" w14:textId="49325CD1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EY </w:t>
            </w:r>
          </w:p>
        </w:tc>
      </w:tr>
      <w:tr w:rsidR="00B03D0F" w14:paraId="6D9CF5E2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1901736" w14:textId="7DB380A7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6FD74C74" w14:textId="03B9A0B2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Предоставление права использования ранее приобретённой иностранной валюты и предоплаченных импортных авансов</w:t>
            </w:r>
          </w:p>
        </w:tc>
        <w:tc>
          <w:tcPr>
            <w:tcW w:w="1492" w:type="dxa"/>
          </w:tcPr>
          <w:p w14:paraId="319CF62D" w14:textId="5219B6DE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Knauf</w:t>
            </w:r>
          </w:p>
        </w:tc>
      </w:tr>
      <w:tr w:rsidR="00B03D0F" w14:paraId="64901230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3991E1A1" w14:textId="6A5B733D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2C89A126" w14:textId="0356828B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Снижение налоговой нагрузки на иностранный капитал: налог у источника выплаты и налог на прирост капитала</w:t>
            </w:r>
          </w:p>
        </w:tc>
        <w:tc>
          <w:tcPr>
            <w:tcW w:w="1492" w:type="dxa"/>
          </w:tcPr>
          <w:p w14:paraId="36F80978" w14:textId="0F91B132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TBC</w:t>
            </w:r>
          </w:p>
        </w:tc>
      </w:tr>
      <w:tr w:rsidR="00B03D0F" w14:paraId="48E001BB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616B43A" w14:textId="5160CCA4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00CC10E" w14:textId="28DAB29D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Введение инструментов стимулирования участия местных инвесторов на рынке капитала (налоговые льготы для физических лиц и институтов)</w:t>
            </w:r>
          </w:p>
        </w:tc>
        <w:tc>
          <w:tcPr>
            <w:tcW w:w="1492" w:type="dxa"/>
          </w:tcPr>
          <w:p w14:paraId="74570176" w14:textId="4B532E69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TBC</w:t>
            </w:r>
          </w:p>
        </w:tc>
      </w:tr>
      <w:tr w:rsidR="00B03D0F" w14:paraId="6FF19EAC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4AF3222" w14:textId="0997957C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60231BF7" w14:textId="6902F9A3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Введение правовой базы, обеспечивающей гибкую куплю-продажу кредитных портфелей</w:t>
            </w:r>
          </w:p>
        </w:tc>
        <w:tc>
          <w:tcPr>
            <w:tcW w:w="1492" w:type="dxa"/>
          </w:tcPr>
          <w:p w14:paraId="3DF4B5DC" w14:textId="1228B206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TBC</w:t>
            </w:r>
          </w:p>
        </w:tc>
      </w:tr>
      <w:tr w:rsidR="00B03D0F" w14:paraId="44A5C275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23611FF3" w14:textId="174E6AB9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601383AB" w14:textId="322FE2CB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Введение регуляторной базы для жилищных кредитов под залог недвижимости (ЖКЗН)</w:t>
            </w:r>
          </w:p>
        </w:tc>
        <w:tc>
          <w:tcPr>
            <w:tcW w:w="1492" w:type="dxa"/>
          </w:tcPr>
          <w:p w14:paraId="67AF2184" w14:textId="1018EAF9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TBC</w:t>
            </w:r>
          </w:p>
        </w:tc>
      </w:tr>
      <w:tr w:rsidR="00B03D0F" w14:paraId="685F1311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2621E5DC" w14:textId="36610949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7D7BFD36" w14:textId="721C53E5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Создание регуляторной базы, обеспечивающей продажу портфелей проблемных кредитов (НПК)</w:t>
            </w:r>
          </w:p>
        </w:tc>
        <w:tc>
          <w:tcPr>
            <w:tcW w:w="1492" w:type="dxa"/>
          </w:tcPr>
          <w:p w14:paraId="18AE0E16" w14:textId="0789CEB7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TBC</w:t>
            </w:r>
          </w:p>
        </w:tc>
      </w:tr>
      <w:tr w:rsidR="00B03D0F" w14:paraId="6E7D31DB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226B7268" w14:textId="77777777" w:rsidR="00B03D0F" w:rsidRPr="00E11375" w:rsidRDefault="00B03D0F" w:rsidP="00B03D0F">
            <w:pPr>
              <w:ind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F10C398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2" w:type="dxa"/>
          </w:tcPr>
          <w:p w14:paraId="112C6075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03D0F" w:rsidRPr="00B03D0F" w14:paraId="1B9C9F26" w14:textId="77777777" w:rsidTr="00B03D0F">
        <w:tc>
          <w:tcPr>
            <w:tcW w:w="9596" w:type="dxa"/>
            <w:gridSpan w:val="4"/>
            <w:shd w:val="clear" w:color="auto" w:fill="0070C0"/>
          </w:tcPr>
          <w:p w14:paraId="536D1A73" w14:textId="48D8F2D9" w:rsidR="00B03D0F" w:rsidRPr="00E11375" w:rsidRDefault="00B03D0F" w:rsidP="00B03D0F">
            <w:pPr>
              <w:ind w:right="64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E1137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НАЛОГИ И НАЛОГОВОЕ АДМИНИСТРИРОВАНИЕ</w:t>
            </w:r>
          </w:p>
        </w:tc>
      </w:tr>
      <w:tr w:rsidR="00B03D0F" w14:paraId="4E3BF0CE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2923877" w14:textId="0FF80D21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E8D07E5" w14:textId="43CB6357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Разработка налоговых положений в отношении соглашений о государственно-частном партнёрстве (ГЧП)</w:t>
            </w:r>
          </w:p>
        </w:tc>
        <w:tc>
          <w:tcPr>
            <w:tcW w:w="1492" w:type="dxa"/>
          </w:tcPr>
          <w:p w14:paraId="2374ADCA" w14:textId="47BBA8C5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Veolia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/ EY</w:t>
            </w:r>
          </w:p>
        </w:tc>
      </w:tr>
      <w:tr w:rsidR="00B03D0F" w14:paraId="0B9B5A73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C91E12E" w14:textId="3A1C65F5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3789374" w14:textId="6CAED0DA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Уточнение применения льгот по земельному налогу и налогу на имущество к проектам систем накопления электроэнергии</w:t>
            </w:r>
          </w:p>
        </w:tc>
        <w:tc>
          <w:tcPr>
            <w:tcW w:w="1492" w:type="dxa"/>
          </w:tcPr>
          <w:p w14:paraId="33BD98CA" w14:textId="7A55A2CD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China </w:t>
            </w: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energy</w:t>
            </w:r>
            <w:proofErr w:type="spellEnd"/>
          </w:p>
        </w:tc>
      </w:tr>
      <w:tr w:rsidR="00B03D0F" w14:paraId="12E2A01A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1E991D1" w14:textId="6E803FF8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88BE6ED" w14:textId="098F29A5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Исключение требования о регистрации постоянного учреждения в каждом регионе присутствия (поправка в ст. 36 НК)</w:t>
            </w:r>
          </w:p>
        </w:tc>
        <w:tc>
          <w:tcPr>
            <w:tcW w:w="1492" w:type="dxa"/>
          </w:tcPr>
          <w:p w14:paraId="0A26F070" w14:textId="1B206952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Deloitte</w:t>
            </w:r>
          </w:p>
        </w:tc>
      </w:tr>
      <w:tr w:rsidR="00B03D0F" w14:paraId="1DC050A8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B24CDC1" w14:textId="4922F060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6DF62373" w14:textId="543D4887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Совершенствование механизма внесения платежей за земельный участок</w:t>
            </w:r>
          </w:p>
        </w:tc>
        <w:tc>
          <w:tcPr>
            <w:tcW w:w="1492" w:type="dxa"/>
          </w:tcPr>
          <w:p w14:paraId="16BAF7C7" w14:textId="390C83BF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Kosta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</w:t>
            </w: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legal</w:t>
            </w:r>
            <w:proofErr w:type="spellEnd"/>
          </w:p>
        </w:tc>
      </w:tr>
      <w:tr w:rsidR="00B03D0F" w14:paraId="34ADACA1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75E2FBD1" w14:textId="5C6C6046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FE3895F" w14:textId="4E14359D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Введение механизма освобождения от НДС при импорте оборудования, не производимого в Узбекистане</w:t>
            </w:r>
          </w:p>
        </w:tc>
        <w:tc>
          <w:tcPr>
            <w:tcW w:w="1492" w:type="dxa"/>
          </w:tcPr>
          <w:p w14:paraId="7719D282" w14:textId="664A2B5E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Voltalia</w:t>
            </w:r>
            <w:proofErr w:type="spellEnd"/>
          </w:p>
        </w:tc>
      </w:tr>
      <w:tr w:rsidR="00B03D0F" w14:paraId="2F6B485E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5C46972" w14:textId="44B64F9F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B0DDC6E" w14:textId="7859A851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Введение раздельных порогов перехода на уплату НДС для офлайн- и онлайн-торговли (ИП и самозанятые)</w:t>
            </w:r>
          </w:p>
        </w:tc>
        <w:tc>
          <w:tcPr>
            <w:tcW w:w="1492" w:type="dxa"/>
          </w:tcPr>
          <w:p w14:paraId="3DCE53A2" w14:textId="1F69B84B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Uzum</w:t>
            </w:r>
            <w:proofErr w:type="spellEnd"/>
          </w:p>
        </w:tc>
      </w:tr>
      <w:tr w:rsidR="00B03D0F" w14:paraId="23099F86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41C401CF" w14:textId="211959B6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7863CDE" w14:textId="229B14ED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Пересмотр порядка предоставления льгот по земельному налогу в период строительства</w:t>
            </w:r>
          </w:p>
        </w:tc>
        <w:tc>
          <w:tcPr>
            <w:tcW w:w="1492" w:type="dxa"/>
          </w:tcPr>
          <w:p w14:paraId="13D9BBE3" w14:textId="01A1785F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Masdar</w:t>
            </w:r>
            <w:proofErr w:type="spellEnd"/>
          </w:p>
        </w:tc>
      </w:tr>
      <w:tr w:rsidR="00B03D0F" w14:paraId="7BCD46EB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4339AA07" w14:textId="64935183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63C99EC" w14:textId="327E9859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Пересмотр механизма применения коэффициента 0,3 к земельному налогу для богарно-пастбищных зон</w:t>
            </w:r>
          </w:p>
        </w:tc>
        <w:tc>
          <w:tcPr>
            <w:tcW w:w="1492" w:type="dxa"/>
          </w:tcPr>
          <w:p w14:paraId="2DE9C23C" w14:textId="78A3E8C7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Masdar</w:t>
            </w:r>
            <w:proofErr w:type="spellEnd"/>
          </w:p>
        </w:tc>
      </w:tr>
      <w:tr w:rsidR="00B03D0F" w14:paraId="571AA5E5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D269E62" w14:textId="02AB09DA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D96D691" w14:textId="3DA7566A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Применение освобождения от земельного налога для ВИЭ-проектов на всю территорию земельного отвода</w:t>
            </w:r>
          </w:p>
        </w:tc>
        <w:tc>
          <w:tcPr>
            <w:tcW w:w="1492" w:type="dxa"/>
          </w:tcPr>
          <w:p w14:paraId="3EB23EA9" w14:textId="287B7448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Masdar</w:t>
            </w:r>
            <w:proofErr w:type="spellEnd"/>
          </w:p>
        </w:tc>
      </w:tr>
      <w:tr w:rsidR="00B03D0F" w14:paraId="04E80701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345B2D7D" w14:textId="76A59BF3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28ECF272" w14:textId="57AAF04E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Введение налогового вычета для расходов на проекты корпоративной социальной ответственности (КСО)</w:t>
            </w:r>
          </w:p>
        </w:tc>
        <w:tc>
          <w:tcPr>
            <w:tcW w:w="1492" w:type="dxa"/>
          </w:tcPr>
          <w:p w14:paraId="251DD7AE" w14:textId="6D5F80E3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Acwa</w:t>
            </w:r>
            <w:proofErr w:type="spellEnd"/>
          </w:p>
        </w:tc>
      </w:tr>
      <w:tr w:rsidR="00B03D0F" w14:paraId="60545525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4616E34" w14:textId="77777777" w:rsidR="00B03D0F" w:rsidRPr="00E11375" w:rsidRDefault="00B03D0F" w:rsidP="00B03D0F">
            <w:pPr>
              <w:ind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8CDAD9D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2" w:type="dxa"/>
          </w:tcPr>
          <w:p w14:paraId="458A2904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03D0F" w:rsidRPr="00B03D0F" w14:paraId="55333B94" w14:textId="77777777" w:rsidTr="00B03D0F">
        <w:tc>
          <w:tcPr>
            <w:tcW w:w="9596" w:type="dxa"/>
            <w:gridSpan w:val="4"/>
            <w:shd w:val="clear" w:color="auto" w:fill="0070C0"/>
          </w:tcPr>
          <w:p w14:paraId="5C19648C" w14:textId="4261D3F2" w:rsidR="00B03D0F" w:rsidRPr="00E11375" w:rsidRDefault="00B03D0F" w:rsidP="00B03D0F">
            <w:pPr>
              <w:ind w:right="64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E1137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СОВЕРШЕНСТВОВАНИЕ ИНВЕСТИЦИОННОГО КЛИМАТА</w:t>
            </w:r>
          </w:p>
        </w:tc>
      </w:tr>
      <w:tr w:rsidR="00B03D0F" w14:paraId="02AC8ED3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29818C1C" w14:textId="4E995C9E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69E8E4DD" w14:textId="53D1CB55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Упрощение визовых процедур для иностранных инвесторов при замене паспорта</w:t>
            </w:r>
          </w:p>
        </w:tc>
        <w:tc>
          <w:tcPr>
            <w:tcW w:w="1492" w:type="dxa"/>
          </w:tcPr>
          <w:p w14:paraId="26A0D232" w14:textId="5318764A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China </w:t>
            </w: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energy</w:t>
            </w:r>
            <w:proofErr w:type="spellEnd"/>
          </w:p>
        </w:tc>
      </w:tr>
      <w:tr w:rsidR="00B03D0F" w14:paraId="7FAE1259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30EFF325" w14:textId="6C82FBA1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04F98A8" w14:textId="32726468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Снижение таможенных пошлин на сырьё для производства табачной продукции</w:t>
            </w:r>
          </w:p>
        </w:tc>
        <w:tc>
          <w:tcPr>
            <w:tcW w:w="1492" w:type="dxa"/>
          </w:tcPr>
          <w:p w14:paraId="08A010B8" w14:textId="595CEEE7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BAT</w:t>
            </w:r>
          </w:p>
        </w:tc>
      </w:tr>
      <w:tr w:rsidR="00B03D0F" w14:paraId="1A218E2D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402CEB1" w14:textId="77FC2E58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AC03C4A" w14:textId="6982AC2A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Увеличение срока внедрения обновлённого дизайна акцизных марок на табачные изделия</w:t>
            </w:r>
          </w:p>
        </w:tc>
        <w:tc>
          <w:tcPr>
            <w:tcW w:w="1492" w:type="dxa"/>
          </w:tcPr>
          <w:p w14:paraId="0BD58A26" w14:textId="5F153944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BAT</w:t>
            </w:r>
          </w:p>
        </w:tc>
      </w:tr>
      <w:tr w:rsidR="00B03D0F" w14:paraId="21EF1E6E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4581AEF" w14:textId="208AE4AD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30DFA59" w14:textId="5513C4E9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Введение механизма гарантии правовой стабильности для иностранных инвестиций</w:t>
            </w:r>
          </w:p>
        </w:tc>
        <w:tc>
          <w:tcPr>
            <w:tcW w:w="1492" w:type="dxa"/>
          </w:tcPr>
          <w:p w14:paraId="1A49F2AA" w14:textId="3C21D679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CAMCE</w:t>
            </w:r>
          </w:p>
        </w:tc>
      </w:tr>
      <w:tr w:rsidR="00B03D0F" w14:paraId="28B30DFA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D6F1E0D" w14:textId="0B737A52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AE0CC7C" w14:textId="72760FEF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Законодательное закрепление принципа стабильности законодательства для инвестиционных и ГЧП-проектов</w:t>
            </w:r>
          </w:p>
        </w:tc>
        <w:tc>
          <w:tcPr>
            <w:tcW w:w="1492" w:type="dxa"/>
          </w:tcPr>
          <w:p w14:paraId="7D11A34F" w14:textId="698B60CC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Veolia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</w:t>
            </w:r>
          </w:p>
        </w:tc>
      </w:tr>
      <w:tr w:rsidR="00B03D0F" w14:paraId="44213066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782C0875" w14:textId="68285B7A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4C4D6C23" w14:textId="364E363E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Урегулирование учёта взносов в счёт эмиссионного дохода</w:t>
            </w:r>
          </w:p>
        </w:tc>
        <w:tc>
          <w:tcPr>
            <w:tcW w:w="1492" w:type="dxa"/>
          </w:tcPr>
          <w:p w14:paraId="513A4977" w14:textId="53E1D003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EY</w:t>
            </w:r>
          </w:p>
        </w:tc>
      </w:tr>
      <w:tr w:rsidR="00B03D0F" w14:paraId="11D9D664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484A8E8C" w14:textId="6F4A404B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6F4B745D" w14:textId="7183AA15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Установление обязательных сроков принятия подзаконных актов к законам об инвестициях</w:t>
            </w:r>
          </w:p>
        </w:tc>
        <w:tc>
          <w:tcPr>
            <w:tcW w:w="1492" w:type="dxa"/>
          </w:tcPr>
          <w:p w14:paraId="3CBBF604" w14:textId="2D0692AB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Veolia</w:t>
            </w:r>
            <w:proofErr w:type="spellEnd"/>
          </w:p>
        </w:tc>
      </w:tr>
      <w:tr w:rsidR="00B03D0F" w14:paraId="6FF96EE3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D02731F" w14:textId="0E916972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2076054" w14:textId="6320E55B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Совершенствование механизма сопровождения реализации ГЧП-проектов</w:t>
            </w:r>
          </w:p>
        </w:tc>
        <w:tc>
          <w:tcPr>
            <w:tcW w:w="1492" w:type="dxa"/>
          </w:tcPr>
          <w:p w14:paraId="400737EE" w14:textId="4B3A7DE8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Veolia</w:t>
            </w:r>
            <w:proofErr w:type="spellEnd"/>
          </w:p>
        </w:tc>
      </w:tr>
      <w:tr w:rsidR="00B03D0F" w14:paraId="780B63A3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4F1FFAF7" w14:textId="7B86F8FA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8EBC35A" w14:textId="000BCC79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Оптимизация процедуры рассмотрения и подписания ГЧП-проектов</w:t>
            </w:r>
          </w:p>
        </w:tc>
        <w:tc>
          <w:tcPr>
            <w:tcW w:w="1492" w:type="dxa"/>
          </w:tcPr>
          <w:p w14:paraId="27B22392" w14:textId="1151678E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Veolia</w:t>
            </w:r>
            <w:proofErr w:type="spellEnd"/>
          </w:p>
        </w:tc>
      </w:tr>
      <w:tr w:rsidR="00B03D0F" w14:paraId="15BDF648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7FA6EFB" w14:textId="040A825D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D807C50" w14:textId="5FAFED76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Формирование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Межведомственого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экспертного комитета по анализу экологических нормативов в градостроительстве.</w:t>
            </w:r>
          </w:p>
        </w:tc>
        <w:tc>
          <w:tcPr>
            <w:tcW w:w="1492" w:type="dxa"/>
          </w:tcPr>
          <w:p w14:paraId="152DB679" w14:textId="0D0B8093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IBC </w:t>
            </w: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global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/ EY</w:t>
            </w:r>
          </w:p>
        </w:tc>
      </w:tr>
      <w:tr w:rsidR="00B03D0F" w14:paraId="5699AD57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339DF615" w14:textId="2237E0DC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4DF659DF" w14:textId="7B35A7D9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Рассмотреть возможность внедрение международных стандартов по зеленой инфраструктуре и зданиям</w:t>
            </w:r>
          </w:p>
        </w:tc>
        <w:tc>
          <w:tcPr>
            <w:tcW w:w="1492" w:type="dxa"/>
          </w:tcPr>
          <w:p w14:paraId="7EE29C78" w14:textId="5965A19E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IBC </w:t>
            </w: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global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/ EY</w:t>
            </w:r>
          </w:p>
        </w:tc>
      </w:tr>
      <w:tr w:rsidR="00B03D0F" w14:paraId="1393F1C2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09BC549" w14:textId="54BA1ECE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2EC63D3" w14:textId="54753175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Разработка и принятие постановления Президента «О переходных положениях применения УП-46».</w:t>
            </w:r>
          </w:p>
        </w:tc>
        <w:tc>
          <w:tcPr>
            <w:tcW w:w="1492" w:type="dxa"/>
          </w:tcPr>
          <w:p w14:paraId="51BE7B7B" w14:textId="3BE22043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IBC </w:t>
            </w: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global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/ EY</w:t>
            </w:r>
          </w:p>
        </w:tc>
      </w:tr>
      <w:tr w:rsidR="00B03D0F" w14:paraId="6A1785AE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2DAE4B50" w14:textId="77777777" w:rsidR="00B03D0F" w:rsidRPr="00E11375" w:rsidRDefault="00B03D0F" w:rsidP="00B03D0F">
            <w:pPr>
              <w:ind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28BF982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2" w:type="dxa"/>
          </w:tcPr>
          <w:p w14:paraId="1EEFA19B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03D0F" w:rsidRPr="00B03D0F" w14:paraId="0A976145" w14:textId="77777777" w:rsidTr="00B03D0F">
        <w:tc>
          <w:tcPr>
            <w:tcW w:w="9596" w:type="dxa"/>
            <w:gridSpan w:val="4"/>
            <w:shd w:val="clear" w:color="auto" w:fill="0070C0"/>
          </w:tcPr>
          <w:p w14:paraId="43BED252" w14:textId="23647A8C" w:rsidR="00B03D0F" w:rsidRPr="00E11375" w:rsidRDefault="00B03D0F" w:rsidP="00B03D0F">
            <w:pPr>
              <w:ind w:right="64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E1137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КОРПОРАТИВНОЕ УПРАВЛЕНИЕ</w:t>
            </w:r>
          </w:p>
        </w:tc>
      </w:tr>
      <w:tr w:rsidR="00B03D0F" w14:paraId="0A05C642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C7B407F" w14:textId="590FDE33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4F663D53" w14:textId="2EF738A3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Подготовка новой редакции Кодекса корпоративного управления</w:t>
            </w:r>
          </w:p>
        </w:tc>
        <w:tc>
          <w:tcPr>
            <w:tcW w:w="1492" w:type="dxa"/>
          </w:tcPr>
          <w:p w14:paraId="204B764A" w14:textId="2EA127CC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/ </w:t>
            </w: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Enlawyer</w:t>
            </w:r>
            <w:proofErr w:type="spellEnd"/>
          </w:p>
        </w:tc>
      </w:tr>
      <w:tr w:rsidR="00B03D0F" w14:paraId="43DF7209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A938F7F" w14:textId="50CC3B98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29F4B37C" w14:textId="5D44849A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Установление минимального гендерного стандарта в советах директоров публичных компаний</w:t>
            </w:r>
          </w:p>
        </w:tc>
        <w:tc>
          <w:tcPr>
            <w:tcW w:w="1492" w:type="dxa"/>
          </w:tcPr>
          <w:p w14:paraId="2B96664D" w14:textId="1A45C44C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266D6F9F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E26A9D8" w14:textId="461713BB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C4EB6DB" w14:textId="289FFB69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Трансформация корпоративного управления в Государственных предприятиях и банках через внедрение RBC</w:t>
            </w:r>
          </w:p>
        </w:tc>
        <w:tc>
          <w:tcPr>
            <w:tcW w:w="1492" w:type="dxa"/>
          </w:tcPr>
          <w:p w14:paraId="52C9E545" w14:textId="6813B5DD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2FFF89A2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4F5FDB49" w14:textId="7E5CBAC8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2B6C6606" w14:textId="1C7CC177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Обеспечение удобства участия в общем собрании акционеров и реализации связанных прав акционеров</w:t>
            </w:r>
          </w:p>
        </w:tc>
        <w:tc>
          <w:tcPr>
            <w:tcW w:w="1492" w:type="dxa"/>
          </w:tcPr>
          <w:p w14:paraId="7892BA3C" w14:textId="210FEB53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761FBC7A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794FCCD0" w14:textId="4676804B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57133EA" w14:textId="7916AF4B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Создание полноценных работающих наблюдательных советов</w:t>
            </w:r>
          </w:p>
        </w:tc>
        <w:tc>
          <w:tcPr>
            <w:tcW w:w="1492" w:type="dxa"/>
          </w:tcPr>
          <w:p w14:paraId="62E13E4B" w14:textId="3E8D5193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4D9E5128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3A8E907A" w14:textId="4B249DFA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A49716A" w14:textId="764FD1DE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Обеспечение обязанности членов органов управления и контролирующих лиц акционерного общества действовать добросовестно и разумно в интересах акционерного общества</w:t>
            </w:r>
          </w:p>
        </w:tc>
        <w:tc>
          <w:tcPr>
            <w:tcW w:w="1492" w:type="dxa"/>
          </w:tcPr>
          <w:p w14:paraId="3E90A1DC" w14:textId="06CC5C79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063DFCB6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4D9C5C5F" w14:textId="56CD6CC4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290977C" w14:textId="6F333B24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Усиление регулирования сделок с аффилированными лицами и крупных сделок</w:t>
            </w:r>
          </w:p>
        </w:tc>
        <w:tc>
          <w:tcPr>
            <w:tcW w:w="1492" w:type="dxa"/>
          </w:tcPr>
          <w:p w14:paraId="001023E7" w14:textId="62F8D4E0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Enlawyer</w:t>
            </w:r>
            <w:proofErr w:type="spellEnd"/>
          </w:p>
        </w:tc>
      </w:tr>
      <w:tr w:rsidR="00B03D0F" w14:paraId="31DA4496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314878A" w14:textId="21D27917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5A06F32" w14:textId="1B70B9E9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Защита акционеров от размытия их долей и прав</w:t>
            </w:r>
          </w:p>
        </w:tc>
        <w:tc>
          <w:tcPr>
            <w:tcW w:w="1492" w:type="dxa"/>
          </w:tcPr>
          <w:p w14:paraId="46D699E2" w14:textId="75ECD4AF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326E20B5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D86099B" w14:textId="227C31B0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A2B545A" w14:textId="4E98CD6D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Развитие регулирования корпоративных договоров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shareholders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'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agreements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 в АО</w:t>
            </w:r>
          </w:p>
        </w:tc>
        <w:tc>
          <w:tcPr>
            <w:tcW w:w="1492" w:type="dxa"/>
          </w:tcPr>
          <w:p w14:paraId="2B4FE0C1" w14:textId="62D5F563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Enlawyer</w:t>
            </w:r>
            <w:proofErr w:type="spellEnd"/>
          </w:p>
        </w:tc>
      </w:tr>
      <w:tr w:rsidR="00B03D0F" w14:paraId="660B9312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45E99C5E" w14:textId="118AE79C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2E20891B" w14:textId="570DA7C3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Совершенствование правил объявления лицом, приобретшим крупный пакет акций акционерного общества, предложения владельцам остальных акций продать ему акции</w:t>
            </w:r>
          </w:p>
        </w:tc>
        <w:tc>
          <w:tcPr>
            <w:tcW w:w="1492" w:type="dxa"/>
          </w:tcPr>
          <w:p w14:paraId="3138AB2C" w14:textId="6F03931D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29C3AD08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515FC71" w14:textId="18E407C4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7827244" w14:textId="41E9C386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Продолжение повышения прозрачности акционерных обществ, акции которых публично обращаются</w:t>
            </w:r>
          </w:p>
        </w:tc>
        <w:tc>
          <w:tcPr>
            <w:tcW w:w="1492" w:type="dxa"/>
          </w:tcPr>
          <w:p w14:paraId="02664DCF" w14:textId="79BC96CB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5D31CB7E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2D1D38A" w14:textId="7F0AB79A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6AD387D" w14:textId="3FFEC3CC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Вопросы раскрытие информации и прозрачности в сфере устойчивого развития</w:t>
            </w:r>
          </w:p>
        </w:tc>
        <w:tc>
          <w:tcPr>
            <w:tcW w:w="1492" w:type="dxa"/>
          </w:tcPr>
          <w:p w14:paraId="4E5CE7B4" w14:textId="224A87D3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EY / </w:t>
            </w: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3B8F422E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A587837" w14:textId="59328123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F08AED9" w14:textId="2BAA33F7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Обеспечение правоприменения, защищающего интересы миноритарных акционеров</w:t>
            </w:r>
          </w:p>
        </w:tc>
        <w:tc>
          <w:tcPr>
            <w:tcW w:w="1492" w:type="dxa"/>
          </w:tcPr>
          <w:p w14:paraId="5B287EA4" w14:textId="3BCE1268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229328C0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1EAA812" w14:textId="77777777" w:rsidR="00B03D0F" w:rsidRPr="00E11375" w:rsidRDefault="00B03D0F" w:rsidP="00B03D0F">
            <w:pPr>
              <w:ind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223E6759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2" w:type="dxa"/>
          </w:tcPr>
          <w:p w14:paraId="4F0F8CA3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03D0F" w:rsidRPr="00B03D0F" w14:paraId="3E0E962D" w14:textId="77777777" w:rsidTr="00B03D0F">
        <w:tc>
          <w:tcPr>
            <w:tcW w:w="9596" w:type="dxa"/>
            <w:gridSpan w:val="4"/>
            <w:shd w:val="clear" w:color="auto" w:fill="0070C0"/>
          </w:tcPr>
          <w:p w14:paraId="7DA1AA48" w14:textId="2166CDBB" w:rsidR="00B03D0F" w:rsidRPr="00E11375" w:rsidRDefault="00B03D0F" w:rsidP="00B03D0F">
            <w:pPr>
              <w:ind w:right="64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1137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ИСКУССТВЕННЫЙ ИНТЕЛЛЕКТ И ЦИФРОВАЯ ЭКОНОМИКА</w:t>
            </w:r>
          </w:p>
        </w:tc>
      </w:tr>
      <w:tr w:rsidR="00B03D0F" w14:paraId="6914BF8D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0A4064D" w14:textId="4FFB3E9E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80" w:type="dxa"/>
          </w:tcPr>
          <w:p w14:paraId="3F929C87" w14:textId="3B984FD1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Разработка и принятие Закона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РУз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«Об искусственном интеллекте»</w:t>
            </w:r>
          </w:p>
        </w:tc>
        <w:tc>
          <w:tcPr>
            <w:tcW w:w="1492" w:type="dxa"/>
          </w:tcPr>
          <w:p w14:paraId="768BB7BD" w14:textId="34146E68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Uzum</w:t>
            </w:r>
            <w:proofErr w:type="spellEnd"/>
          </w:p>
        </w:tc>
      </w:tr>
      <w:tr w:rsidR="00B03D0F" w14:paraId="39439BA5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C0561A8" w14:textId="749E1254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5805747" w14:textId="5D3ACA88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Учреждение Межведомственной рабочей группы по ИИ в рамках Совета иностранных инвесторов</w:t>
            </w:r>
          </w:p>
        </w:tc>
        <w:tc>
          <w:tcPr>
            <w:tcW w:w="1492" w:type="dxa"/>
          </w:tcPr>
          <w:p w14:paraId="37A11230" w14:textId="3833566F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EY</w:t>
            </w:r>
          </w:p>
        </w:tc>
      </w:tr>
      <w:tr w:rsidR="00B03D0F" w14:paraId="395E00C5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71B6EB78" w14:textId="6F322609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1745554" w14:textId="3378B9CB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Разработка нормативно-правовой базы по обработке персональных данных граждан с применением ИИ</w:t>
            </w:r>
          </w:p>
        </w:tc>
        <w:tc>
          <w:tcPr>
            <w:tcW w:w="1492" w:type="dxa"/>
          </w:tcPr>
          <w:p w14:paraId="36FA3F5F" w14:textId="05EC6FB6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TBC / </w:t>
            </w: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Uzum</w:t>
            </w:r>
            <w:proofErr w:type="spellEnd"/>
          </w:p>
        </w:tc>
      </w:tr>
      <w:tr w:rsidR="00B03D0F" w14:paraId="1DD360B5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6505690" w14:textId="71EA1B7B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315B9B7" w14:textId="397C7A49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Цифровизация и развитие кадастровой системы для повышения доступности и точности земельных данных</w:t>
            </w:r>
          </w:p>
        </w:tc>
        <w:tc>
          <w:tcPr>
            <w:tcW w:w="1492" w:type="dxa"/>
          </w:tcPr>
          <w:p w14:paraId="63826E6E" w14:textId="6B18CD34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FAO / ADB</w:t>
            </w:r>
          </w:p>
        </w:tc>
      </w:tr>
      <w:tr w:rsidR="00B03D0F" w14:paraId="4EBF6416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131C510" w14:textId="3D2D3365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7D61D153" w14:textId="776C1EAE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Внедрение ИИ-системы цифровой верификации возраста покупателя в точках продаж возрастных товаров</w:t>
            </w:r>
          </w:p>
        </w:tc>
        <w:tc>
          <w:tcPr>
            <w:tcW w:w="1492" w:type="dxa"/>
          </w:tcPr>
          <w:p w14:paraId="2CA8472D" w14:textId="5BE09486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BAT</w:t>
            </w:r>
          </w:p>
        </w:tc>
      </w:tr>
      <w:tr w:rsidR="00B03D0F" w14:paraId="3906B150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F6F788F" w14:textId="0A199152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270D441" w14:textId="09E1E317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Создание правового механизма безопасного обмена данными внутри корпоративных групп</w:t>
            </w:r>
          </w:p>
        </w:tc>
        <w:tc>
          <w:tcPr>
            <w:tcW w:w="1492" w:type="dxa"/>
          </w:tcPr>
          <w:p w14:paraId="0D8B6DF9" w14:textId="366DC534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TBC</w:t>
            </w:r>
          </w:p>
        </w:tc>
      </w:tr>
      <w:tr w:rsidR="00B03D0F" w14:paraId="60236B2F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0CD2B52" w14:textId="11E8B249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6A03B9C9" w14:textId="39D18FCB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Утверждение национальных этических принципов в области ИИ и создание Этического совета по ИИ</w:t>
            </w:r>
          </w:p>
        </w:tc>
        <w:tc>
          <w:tcPr>
            <w:tcW w:w="1492" w:type="dxa"/>
          </w:tcPr>
          <w:p w14:paraId="2BFB3B6C" w14:textId="43B537B3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Uzum</w:t>
            </w:r>
            <w:proofErr w:type="spellEnd"/>
          </w:p>
        </w:tc>
      </w:tr>
      <w:tr w:rsidR="00B03D0F" w14:paraId="426847BE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49D3D8D1" w14:textId="270C568A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F31B599" w14:textId="37863F8E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Создание системы подготовки и переподготовки кадров в области ИИ</w:t>
            </w:r>
          </w:p>
        </w:tc>
        <w:tc>
          <w:tcPr>
            <w:tcW w:w="1492" w:type="dxa"/>
          </w:tcPr>
          <w:p w14:paraId="11108919" w14:textId="595E91AC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Uzum</w:t>
            </w:r>
            <w:proofErr w:type="spellEnd"/>
          </w:p>
        </w:tc>
      </w:tr>
      <w:tr w:rsidR="00B03D0F" w14:paraId="7ED9EB25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35951EB0" w14:textId="1F60B291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4C71789" w14:textId="3440F823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Разработка нормативной базы для регуляторных «песочниц»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sandbox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 в сфере ИИ</w:t>
            </w:r>
          </w:p>
        </w:tc>
        <w:tc>
          <w:tcPr>
            <w:tcW w:w="1492" w:type="dxa"/>
          </w:tcPr>
          <w:p w14:paraId="54DEB531" w14:textId="5F1FDB78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Uzum</w:t>
            </w:r>
            <w:proofErr w:type="spellEnd"/>
          </w:p>
        </w:tc>
      </w:tr>
      <w:tr w:rsidR="00B03D0F" w14:paraId="2D1C159F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91EDC30" w14:textId="5BAF349F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7FF1C6B8" w14:textId="3B7C307B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Внесение изменений в законодательство о государственных закупках для стимулирования внедрения ИИ-решений</w:t>
            </w:r>
          </w:p>
        </w:tc>
        <w:tc>
          <w:tcPr>
            <w:tcW w:w="1492" w:type="dxa"/>
          </w:tcPr>
          <w:p w14:paraId="79618444" w14:textId="25A60536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Uzum</w:t>
            </w:r>
            <w:proofErr w:type="spellEnd"/>
          </w:p>
        </w:tc>
      </w:tr>
      <w:tr w:rsidR="00B03D0F" w14:paraId="53487908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2976446A" w14:textId="6B82B0B2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92B4D35" w14:textId="265CA964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Закрепление за маркетплейсами статуса информационного посредника и разграничение ответственности платформы и продавца</w:t>
            </w:r>
          </w:p>
        </w:tc>
        <w:tc>
          <w:tcPr>
            <w:tcW w:w="1492" w:type="dxa"/>
          </w:tcPr>
          <w:p w14:paraId="4D3DB4A8" w14:textId="6452304F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Uzum</w:t>
            </w:r>
            <w:proofErr w:type="spellEnd"/>
          </w:p>
        </w:tc>
      </w:tr>
      <w:tr w:rsidR="00B03D0F" w14:paraId="5992487F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E58063E" w14:textId="0FC17CF3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1F4464D" w14:textId="4BDB187A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Совершенствование антимонопольного регулирования операторов цифровых платформ</w:t>
            </w:r>
          </w:p>
        </w:tc>
        <w:tc>
          <w:tcPr>
            <w:tcW w:w="1492" w:type="dxa"/>
          </w:tcPr>
          <w:p w14:paraId="0339C048" w14:textId="649AA178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Uzum</w:t>
            </w:r>
            <w:proofErr w:type="spellEnd"/>
          </w:p>
        </w:tc>
      </w:tr>
      <w:tr w:rsidR="00B03D0F" w14:paraId="4C4FC6E5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BF40EC6" w14:textId="0CE3397E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CE79C38" w14:textId="2F46CE2C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Государственная программа развития логистической инфраструктуры для e-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commerce</w:t>
            </w:r>
            <w:proofErr w:type="spellEnd"/>
          </w:p>
        </w:tc>
        <w:tc>
          <w:tcPr>
            <w:tcW w:w="1492" w:type="dxa"/>
          </w:tcPr>
          <w:p w14:paraId="1C60E577" w14:textId="4F6AB007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Uzum</w:t>
            </w:r>
            <w:proofErr w:type="spellEnd"/>
          </w:p>
        </w:tc>
      </w:tr>
      <w:tr w:rsidR="00B03D0F" w14:paraId="18D6CF6A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2B8E0FAA" w14:textId="042147A1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3FBC9BF" w14:textId="4A603D42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Усиление механизмов защиты прав потребителей в электронной коммерции</w:t>
            </w:r>
          </w:p>
        </w:tc>
        <w:tc>
          <w:tcPr>
            <w:tcW w:w="1492" w:type="dxa"/>
          </w:tcPr>
          <w:p w14:paraId="6D7767D2" w14:textId="703965AA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Uzum</w:t>
            </w:r>
            <w:proofErr w:type="spellEnd"/>
          </w:p>
        </w:tc>
      </w:tr>
      <w:tr w:rsidR="00B03D0F" w14:paraId="6EF693E0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3DFCD2F" w14:textId="0BC5AF74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BCF35FA" w14:textId="691AED8F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Формирование национальной открытой онлайн-образовательной платформы «Навыки будущего»</w:t>
            </w:r>
          </w:p>
        </w:tc>
        <w:tc>
          <w:tcPr>
            <w:tcW w:w="1492" w:type="dxa"/>
          </w:tcPr>
          <w:p w14:paraId="1756909D" w14:textId="042503BE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Yandex</w:t>
            </w:r>
          </w:p>
        </w:tc>
      </w:tr>
      <w:tr w:rsidR="00B03D0F" w14:paraId="6E05ABA9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493E51A" w14:textId="39E89EF4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8C8B923" w14:textId="491865F5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Разработка Барометра управленческих компетенций Узбекистана и дорожной карты трансформации управленческого образования</w:t>
            </w:r>
          </w:p>
        </w:tc>
        <w:tc>
          <w:tcPr>
            <w:tcW w:w="1492" w:type="dxa"/>
          </w:tcPr>
          <w:p w14:paraId="07735161" w14:textId="64CF8F18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Yandex</w:t>
            </w:r>
          </w:p>
        </w:tc>
      </w:tr>
      <w:tr w:rsidR="00B03D0F" w14:paraId="20F25DB2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A975FCA" w14:textId="2C26B7C1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4C42A9B7" w14:textId="480C4E22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Программа «Цифровые навыки для e-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commerce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»: обучение населения и МСБ</w:t>
            </w:r>
          </w:p>
        </w:tc>
        <w:tc>
          <w:tcPr>
            <w:tcW w:w="1492" w:type="dxa"/>
          </w:tcPr>
          <w:p w14:paraId="3475A973" w14:textId="7A859796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Uzum</w:t>
            </w:r>
            <w:proofErr w:type="spellEnd"/>
          </w:p>
        </w:tc>
      </w:tr>
      <w:tr w:rsidR="00B03D0F" w14:paraId="09DB3F43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D0142FE" w14:textId="64643B08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473CF23" w14:textId="1B1E37EF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Формирование Национальной платформы управления большими данными и искусственным интеллектом</w:t>
            </w:r>
          </w:p>
        </w:tc>
        <w:tc>
          <w:tcPr>
            <w:tcW w:w="1492" w:type="dxa"/>
          </w:tcPr>
          <w:p w14:paraId="69DE226A" w14:textId="354F18F7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EY</w:t>
            </w:r>
          </w:p>
        </w:tc>
      </w:tr>
      <w:tr w:rsidR="00B03D0F" w14:paraId="44DAB3FB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3B169F64" w14:textId="74398C87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6DEDA60D" w14:textId="71548D89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Разработка платформы управления рисками в сфере гражданской защиты на основе ИИ</w:t>
            </w:r>
          </w:p>
        </w:tc>
        <w:tc>
          <w:tcPr>
            <w:tcW w:w="1492" w:type="dxa"/>
          </w:tcPr>
          <w:p w14:paraId="5108420C" w14:textId="0816F3CA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EY</w:t>
            </w:r>
          </w:p>
        </w:tc>
      </w:tr>
      <w:tr w:rsidR="00B03D0F" w14:paraId="0B03B6C1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537740F" w14:textId="5ED10317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B6C2F0E" w14:textId="53C6A612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Создание единой цифровой платформы торговли и сертификации сельскохозяйственной продукции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AgriTrade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Platform)</w:t>
            </w:r>
          </w:p>
        </w:tc>
        <w:tc>
          <w:tcPr>
            <w:tcW w:w="1492" w:type="dxa"/>
          </w:tcPr>
          <w:p w14:paraId="5055EA20" w14:textId="70E3852A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EY / UBC</w:t>
            </w:r>
          </w:p>
        </w:tc>
      </w:tr>
      <w:tr w:rsidR="00B03D0F" w14:paraId="313C8720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2886B786" w14:textId="77777777" w:rsidR="00B03D0F" w:rsidRPr="00E11375" w:rsidRDefault="00B03D0F" w:rsidP="00B03D0F">
            <w:pPr>
              <w:ind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33B4600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2" w:type="dxa"/>
          </w:tcPr>
          <w:p w14:paraId="23F9624A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03D0F" w:rsidRPr="00B03D0F" w14:paraId="7C0C7CE3" w14:textId="77777777" w:rsidTr="00B03D0F">
        <w:tc>
          <w:tcPr>
            <w:tcW w:w="9596" w:type="dxa"/>
            <w:gridSpan w:val="4"/>
            <w:shd w:val="clear" w:color="auto" w:fill="0070C0"/>
          </w:tcPr>
          <w:p w14:paraId="7CE86F8D" w14:textId="465572A4" w:rsidR="00B03D0F" w:rsidRPr="00E11375" w:rsidRDefault="00B03D0F" w:rsidP="00B03D0F">
            <w:pPr>
              <w:ind w:right="64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E1137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ЗЕМЕЛЬНЫЕ ВОПРОСЫ</w:t>
            </w:r>
          </w:p>
        </w:tc>
      </w:tr>
      <w:tr w:rsidR="00B03D0F" w14:paraId="40BCB146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6201CA9" w14:textId="353B3104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8F82D2E" w14:textId="06DDF090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Разработка единого НПА, устанавливающего комплексный порядок предоставления земельных участков инвесторам</w:t>
            </w:r>
          </w:p>
        </w:tc>
        <w:tc>
          <w:tcPr>
            <w:tcW w:w="1492" w:type="dxa"/>
          </w:tcPr>
          <w:p w14:paraId="03E9F084" w14:textId="21A1D473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Kosta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Legal</w:t>
            </w:r>
          </w:p>
        </w:tc>
      </w:tr>
      <w:tr w:rsidR="00B03D0F" w14:paraId="5D172448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21E9A28C" w14:textId="3AD44982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B0D9FB7" w14:textId="0B6266A2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Введение обязательного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дотендерного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подтверждения осуществимости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рекатегоризации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земель</w:t>
            </w:r>
          </w:p>
        </w:tc>
        <w:tc>
          <w:tcPr>
            <w:tcW w:w="1492" w:type="dxa"/>
          </w:tcPr>
          <w:p w14:paraId="74B4F490" w14:textId="757C6557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Kosta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Legal</w:t>
            </w:r>
          </w:p>
        </w:tc>
      </w:tr>
      <w:tr w:rsidR="00B03D0F" w14:paraId="302FB90A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BD7D49E" w14:textId="7D14DF02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20491E9" w14:textId="59080FAB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Установление единого правового порядка подготовки и приобретения земельных участков</w:t>
            </w:r>
          </w:p>
        </w:tc>
        <w:tc>
          <w:tcPr>
            <w:tcW w:w="1492" w:type="dxa"/>
          </w:tcPr>
          <w:p w14:paraId="045E4953" w14:textId="40B7CE6F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Kosta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Legal / ACWA</w:t>
            </w:r>
          </w:p>
        </w:tc>
      </w:tr>
      <w:tr w:rsidR="00B03D0F" w14:paraId="7E317068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31DA94D5" w14:textId="24BC4750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298C82AA" w14:textId="254E0384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Закрепление права инвестора на финансирование расходов, связанных с подготовкой земельного участка</w:t>
            </w:r>
          </w:p>
        </w:tc>
        <w:tc>
          <w:tcPr>
            <w:tcW w:w="1492" w:type="dxa"/>
          </w:tcPr>
          <w:p w14:paraId="0E7D7656" w14:textId="085620EE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Kosta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Legal</w:t>
            </w:r>
          </w:p>
        </w:tc>
      </w:tr>
      <w:tr w:rsidR="00B03D0F" w14:paraId="67F3E008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49B23FF4" w14:textId="66089E01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64C40BE" w14:textId="3CE9A41D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Установление правового режима судьбы объектов, возведённых арендатором на арендованном земельном участке</w:t>
            </w:r>
          </w:p>
        </w:tc>
        <w:tc>
          <w:tcPr>
            <w:tcW w:w="1492" w:type="dxa"/>
          </w:tcPr>
          <w:p w14:paraId="465C8F57" w14:textId="2865ADAB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Kosta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Legal</w:t>
            </w:r>
          </w:p>
        </w:tc>
      </w:tr>
      <w:tr w:rsidR="00B03D0F" w14:paraId="2159EF00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1E69489" w14:textId="73A27350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5DD0863" w14:textId="6A49B91C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Введение упрощённого механизма предоставления инвестору временного доступа к земельному участку</w:t>
            </w:r>
          </w:p>
        </w:tc>
        <w:tc>
          <w:tcPr>
            <w:tcW w:w="1492" w:type="dxa"/>
          </w:tcPr>
          <w:p w14:paraId="1B9795C9" w14:textId="046E3591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Kosta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Legal</w:t>
            </w:r>
          </w:p>
        </w:tc>
      </w:tr>
      <w:tr w:rsidR="00B03D0F" w14:paraId="1569B83F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232A892" w14:textId="3A2EB3EE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C79AD26" w14:textId="294F5970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Разграничение регистрации сделок с недвижимостью и регистрации прав на недвижимое имущество</w:t>
            </w:r>
          </w:p>
        </w:tc>
        <w:tc>
          <w:tcPr>
            <w:tcW w:w="1492" w:type="dxa"/>
          </w:tcPr>
          <w:p w14:paraId="22F468EB" w14:textId="77126B82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Kosta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Legal</w:t>
            </w:r>
          </w:p>
        </w:tc>
      </w:tr>
      <w:tr w:rsidR="00B03D0F" w14:paraId="1F71336E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3CDF732" w14:textId="2CB992A5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F90F661" w14:textId="6426F799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Закрепление порядка преобразования права постоянного пользования в аренду для иностранных инвесторов</w:t>
            </w:r>
          </w:p>
        </w:tc>
        <w:tc>
          <w:tcPr>
            <w:tcW w:w="1492" w:type="dxa"/>
          </w:tcPr>
          <w:p w14:paraId="5748D070" w14:textId="314B1A9C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Kosta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Legal</w:t>
            </w:r>
          </w:p>
        </w:tc>
      </w:tr>
      <w:tr w:rsidR="00B03D0F" w14:paraId="62FCF857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4CEB529" w14:textId="663B8DF8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908DA90" w14:textId="45F5A796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Вовлечение негосударственных объединений фермеров в разработку земельной политики</w:t>
            </w:r>
          </w:p>
        </w:tc>
        <w:tc>
          <w:tcPr>
            <w:tcW w:w="1492" w:type="dxa"/>
          </w:tcPr>
          <w:p w14:paraId="03B572AD" w14:textId="61432F76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FAO / ADB</w:t>
            </w:r>
          </w:p>
        </w:tc>
      </w:tr>
      <w:tr w:rsidR="00B03D0F" w14:paraId="452738E7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DD002DD" w14:textId="15C24E9E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00AA948" w14:textId="7C2AFAC2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Создание института земельного омбудсмена для защиты прав инвесторов</w:t>
            </w:r>
          </w:p>
        </w:tc>
        <w:tc>
          <w:tcPr>
            <w:tcW w:w="1492" w:type="dxa"/>
          </w:tcPr>
          <w:p w14:paraId="440D168F" w14:textId="0A1DEFAC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FAO / ADB</w:t>
            </w:r>
          </w:p>
        </w:tc>
      </w:tr>
      <w:tr w:rsidR="00B03D0F" w14:paraId="7CA7DB24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CBEBE4D" w14:textId="5A4ECFF9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C975549" w14:textId="17E2D971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Создание института апелляционных комиссий для досудебного урегулирования земельных споров</w:t>
            </w:r>
          </w:p>
        </w:tc>
        <w:tc>
          <w:tcPr>
            <w:tcW w:w="1492" w:type="dxa"/>
          </w:tcPr>
          <w:p w14:paraId="24AF85AC" w14:textId="0CE6CA95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FAO / ADB</w:t>
            </w:r>
          </w:p>
        </w:tc>
      </w:tr>
      <w:tr w:rsidR="00B03D0F" w14:paraId="45FC8705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4E8EF51B" w14:textId="1C8D75BA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D5DDE8E" w14:textId="74BC8C5B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Обеспечение доступа инвесторов к сельскохозяйственным земельным участкам</w:t>
            </w:r>
          </w:p>
        </w:tc>
        <w:tc>
          <w:tcPr>
            <w:tcW w:w="1492" w:type="dxa"/>
          </w:tcPr>
          <w:p w14:paraId="752FCDF1" w14:textId="64638F4C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FAO / ADB</w:t>
            </w:r>
          </w:p>
        </w:tc>
      </w:tr>
      <w:tr w:rsidR="00B03D0F" w14:paraId="482EADFA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3D49706" w14:textId="79EA141E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DB26A3E" w14:textId="006163C4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Совершенствование механизмов доступа к сельскохозяйственным землям для реальных производителей</w:t>
            </w:r>
          </w:p>
        </w:tc>
        <w:tc>
          <w:tcPr>
            <w:tcW w:w="1492" w:type="dxa"/>
          </w:tcPr>
          <w:p w14:paraId="10A294AF" w14:textId="131F7644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FAO / ADB</w:t>
            </w:r>
          </w:p>
        </w:tc>
      </w:tr>
      <w:tr w:rsidR="00B03D0F" w14:paraId="280C972F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41D536B2" w14:textId="2412C1E7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2BA03391" w14:textId="333D0E7A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Предотвращение чрезмерной фрагментации землепользования</w:t>
            </w:r>
          </w:p>
        </w:tc>
        <w:tc>
          <w:tcPr>
            <w:tcW w:w="1492" w:type="dxa"/>
          </w:tcPr>
          <w:p w14:paraId="3BE7008B" w14:textId="2294F349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FAO / ADB</w:t>
            </w:r>
          </w:p>
        </w:tc>
      </w:tr>
      <w:tr w:rsidR="00B03D0F" w14:paraId="726F47E3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610B2E1" w14:textId="7EA59042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49AB1C2F" w14:textId="4861219B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Предотвращение чрезмерной концентрации сельскохозяйственных земель</w:t>
            </w:r>
          </w:p>
        </w:tc>
        <w:tc>
          <w:tcPr>
            <w:tcW w:w="1492" w:type="dxa"/>
          </w:tcPr>
          <w:p w14:paraId="446504A0" w14:textId="6509741E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FAO / ADB</w:t>
            </w:r>
          </w:p>
        </w:tc>
      </w:tr>
      <w:tr w:rsidR="00B03D0F" w14:paraId="5D2802DF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3225C088" w14:textId="309C2FE9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6D57FEFD" w14:textId="515323E1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Совершенствование процедур оценки сельскохозяйственных земель</w:t>
            </w:r>
          </w:p>
        </w:tc>
        <w:tc>
          <w:tcPr>
            <w:tcW w:w="1492" w:type="dxa"/>
          </w:tcPr>
          <w:p w14:paraId="63DE2B17" w14:textId="64364F8A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FAO / ADB</w:t>
            </w:r>
          </w:p>
        </w:tc>
      </w:tr>
      <w:tr w:rsidR="00B03D0F" w14:paraId="1B564920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30305F8" w14:textId="72E6C1E7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608D696" w14:textId="7D945024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Совершенствование экологической и водной политики в сфере землепользования</w:t>
            </w:r>
          </w:p>
        </w:tc>
        <w:tc>
          <w:tcPr>
            <w:tcW w:w="1492" w:type="dxa"/>
          </w:tcPr>
          <w:p w14:paraId="1C1CE3A7" w14:textId="295B48E1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FAO / ADB</w:t>
            </w:r>
          </w:p>
        </w:tc>
      </w:tr>
      <w:tr w:rsidR="00B03D0F" w14:paraId="17A586FC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84000BA" w14:textId="19A9A6F8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2A68D0F0" w14:textId="3DD37A60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Совершенствование гарантий и защиты прав землепользователей при прекращении прав на землю</w:t>
            </w:r>
          </w:p>
        </w:tc>
        <w:tc>
          <w:tcPr>
            <w:tcW w:w="1492" w:type="dxa"/>
          </w:tcPr>
          <w:p w14:paraId="12245A36" w14:textId="77592C1A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FAO / ADB</w:t>
            </w:r>
          </w:p>
        </w:tc>
      </w:tr>
      <w:tr w:rsidR="00B03D0F" w14:paraId="5DB323FF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44384252" w14:textId="1C7728E0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D551649" w14:textId="750A941B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Обеспечение доступа уязвимых категорий землепользователей к правосудию по земельным спорам</w:t>
            </w:r>
          </w:p>
        </w:tc>
        <w:tc>
          <w:tcPr>
            <w:tcW w:w="1492" w:type="dxa"/>
          </w:tcPr>
          <w:p w14:paraId="0444C7D7" w14:textId="4EBE2689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FAO / ADB</w:t>
            </w:r>
          </w:p>
        </w:tc>
      </w:tr>
      <w:tr w:rsidR="00B03D0F" w14:paraId="63E92DD4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3C78E3E0" w14:textId="2267D65E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4CAD3FB" w14:textId="31E0CAD8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Обеспечение равенства сторон в земельных спорах между арендаторами и государственными структурами</w:t>
            </w:r>
          </w:p>
        </w:tc>
        <w:tc>
          <w:tcPr>
            <w:tcW w:w="1492" w:type="dxa"/>
          </w:tcPr>
          <w:p w14:paraId="74330239" w14:textId="78D672EB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FAO / ADB</w:t>
            </w:r>
          </w:p>
        </w:tc>
      </w:tr>
      <w:tr w:rsidR="00B03D0F" w14:paraId="7FE88278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390183A" w14:textId="0497A872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49FE265D" w14:textId="17D27DD6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Обеспечение справедливой компенсации арендаторам при досрочном прекращении прав землепользования</w:t>
            </w:r>
          </w:p>
        </w:tc>
        <w:tc>
          <w:tcPr>
            <w:tcW w:w="1492" w:type="dxa"/>
          </w:tcPr>
          <w:p w14:paraId="36128797" w14:textId="65E7044D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FAO / ADB</w:t>
            </w:r>
          </w:p>
        </w:tc>
      </w:tr>
      <w:tr w:rsidR="00B03D0F" w14:paraId="2B76500B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5E234E6" w14:textId="4925DE27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22142669" w14:textId="01324B85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Развитие механизмов кредитования под залог прав пользования сельскохозяйственными землями</w:t>
            </w:r>
          </w:p>
        </w:tc>
        <w:tc>
          <w:tcPr>
            <w:tcW w:w="1492" w:type="dxa"/>
          </w:tcPr>
          <w:p w14:paraId="7A124F3A" w14:textId="200CE159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FAO / ADB</w:t>
            </w:r>
          </w:p>
        </w:tc>
      </w:tr>
      <w:tr w:rsidR="00B03D0F" w14:paraId="7FBD806B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74E98617" w14:textId="77777777" w:rsidR="00B03D0F" w:rsidRPr="00E11375" w:rsidRDefault="00B03D0F" w:rsidP="00B03D0F">
            <w:pPr>
              <w:ind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DCA273A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2" w:type="dxa"/>
          </w:tcPr>
          <w:p w14:paraId="0F4FB41D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03D0F" w:rsidRPr="00B03D0F" w14:paraId="05CC9DDA" w14:textId="77777777" w:rsidTr="00B03D0F">
        <w:tc>
          <w:tcPr>
            <w:tcW w:w="9596" w:type="dxa"/>
            <w:gridSpan w:val="4"/>
            <w:shd w:val="clear" w:color="auto" w:fill="0070C0"/>
          </w:tcPr>
          <w:p w14:paraId="1D273FF0" w14:textId="4B226702" w:rsidR="00B03D0F" w:rsidRPr="00E11375" w:rsidRDefault="00B03D0F" w:rsidP="00B03D0F">
            <w:pPr>
              <w:ind w:right="64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1137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АЛЬТЕРНАТИВНЫЕ ИНВЕСТИЦИИ</w:t>
            </w:r>
          </w:p>
        </w:tc>
      </w:tr>
      <w:tr w:rsidR="00B03D0F" w14:paraId="3B491431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5D06880" w14:textId="62361D4F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7745A1BB" w14:textId="0187D974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Разработка дорожной карты по трансформации Узбекистана в региональный хаб PE/VC</w:t>
            </w:r>
          </w:p>
        </w:tc>
        <w:tc>
          <w:tcPr>
            <w:tcW w:w="1492" w:type="dxa"/>
          </w:tcPr>
          <w:p w14:paraId="455A7BB8" w14:textId="0C906255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Vision</w:t>
            </w:r>
            <w:r>
              <w:rPr>
                <w:rFonts w:ascii="Aptos Narrow" w:hAnsi="Aptos Narrow"/>
                <w:color w:val="C00000"/>
                <w:sz w:val="22"/>
                <w:szCs w:val="22"/>
                <w:lang w:val="en-US"/>
              </w:rPr>
              <w:t xml:space="preserve"> Invest</w:t>
            </w:r>
          </w:p>
        </w:tc>
      </w:tr>
      <w:tr w:rsidR="00B03D0F" w14:paraId="0FB6108B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7D98672D" w14:textId="510F4D9E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ABB1F35" w14:textId="53ADEA18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Введение специального регуляторного и налогового режима для альтернативных инвестиционных фондов (АИФ) и их инвесторов</w:t>
            </w:r>
          </w:p>
        </w:tc>
        <w:tc>
          <w:tcPr>
            <w:tcW w:w="1492" w:type="dxa"/>
          </w:tcPr>
          <w:p w14:paraId="57A929D1" w14:textId="48EFD8A4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Vision</w:t>
            </w:r>
            <w:r>
              <w:rPr>
                <w:rFonts w:ascii="Aptos Narrow" w:hAnsi="Aptos Narrow"/>
                <w:color w:val="C00000"/>
                <w:sz w:val="22"/>
                <w:szCs w:val="22"/>
                <w:lang w:val="en-US"/>
              </w:rPr>
              <w:t xml:space="preserve"> Invest</w:t>
            </w:r>
          </w:p>
        </w:tc>
      </w:tr>
      <w:tr w:rsidR="00B03D0F" w14:paraId="7B54549A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6A56143" w14:textId="53219225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21912D18" w14:textId="7CE5F6E5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Проведение ежегодного международного саммита по альтернативным инвестициям в Узбекистане</w:t>
            </w:r>
          </w:p>
        </w:tc>
        <w:tc>
          <w:tcPr>
            <w:tcW w:w="1492" w:type="dxa"/>
          </w:tcPr>
          <w:p w14:paraId="597BBED2" w14:textId="03B1F6CC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Vision</w:t>
            </w:r>
            <w:r>
              <w:rPr>
                <w:rFonts w:ascii="Aptos Narrow" w:hAnsi="Aptos Narrow"/>
                <w:color w:val="C00000"/>
                <w:sz w:val="22"/>
                <w:szCs w:val="22"/>
                <w:lang w:val="en-US"/>
              </w:rPr>
              <w:t xml:space="preserve"> Invest</w:t>
            </w:r>
          </w:p>
        </w:tc>
      </w:tr>
      <w:tr w:rsidR="00B03D0F" w14:paraId="2307480F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D3EA1BC" w14:textId="49F076EC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6CFAB00" w14:textId="6050E087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Развитие локальных управляющих компаний и инвестиционных фондов</w:t>
            </w:r>
          </w:p>
        </w:tc>
        <w:tc>
          <w:tcPr>
            <w:tcW w:w="1492" w:type="dxa"/>
          </w:tcPr>
          <w:p w14:paraId="37DFE2A9" w14:textId="3B5D0D0D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Vision</w:t>
            </w:r>
            <w:r>
              <w:rPr>
                <w:rFonts w:ascii="Aptos Narrow" w:hAnsi="Aptos Narrow"/>
                <w:color w:val="C00000"/>
                <w:sz w:val="22"/>
                <w:szCs w:val="22"/>
                <w:lang w:val="en-US"/>
              </w:rPr>
              <w:t xml:space="preserve"> Invest</w:t>
            </w:r>
          </w:p>
        </w:tc>
      </w:tr>
      <w:tr w:rsidR="00B03D0F" w14:paraId="1557DBBE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6964390B" w14:textId="77777777" w:rsidR="00B03D0F" w:rsidRPr="00E11375" w:rsidRDefault="00B03D0F" w:rsidP="00B03D0F">
            <w:pPr>
              <w:ind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44ED53C8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2" w:type="dxa"/>
          </w:tcPr>
          <w:p w14:paraId="5FB3F200" w14:textId="77777777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03D0F" w:rsidRPr="00B03D0F" w14:paraId="2D9310F0" w14:textId="77777777" w:rsidTr="00B03D0F">
        <w:tc>
          <w:tcPr>
            <w:tcW w:w="9596" w:type="dxa"/>
            <w:gridSpan w:val="4"/>
            <w:shd w:val="clear" w:color="auto" w:fill="0070C0"/>
          </w:tcPr>
          <w:p w14:paraId="6C30F77B" w14:textId="3E5B89AA" w:rsidR="00B03D0F" w:rsidRPr="00E11375" w:rsidRDefault="00B03D0F" w:rsidP="00B03D0F">
            <w:pPr>
              <w:ind w:right="64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E1137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УСТОЙЧИВОЕ РАЗВИТИЕ</w:t>
            </w:r>
          </w:p>
        </w:tc>
      </w:tr>
      <w:tr w:rsidR="00B03D0F" w14:paraId="689A104B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7DFD8659" w14:textId="7BCF0D9D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2180942" w14:textId="54193320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Учреждение Межведомственной рабочей группы по вопросам циркулярной экономики и ежегодной специализированной премии по ESG в рамках Совета</w:t>
            </w:r>
          </w:p>
        </w:tc>
        <w:tc>
          <w:tcPr>
            <w:tcW w:w="1492" w:type="dxa"/>
          </w:tcPr>
          <w:p w14:paraId="6F27E571" w14:textId="65CB3DC5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Coca </w:t>
            </w: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cola</w:t>
            </w:r>
            <w:proofErr w:type="spellEnd"/>
          </w:p>
        </w:tc>
      </w:tr>
      <w:tr w:rsidR="00B03D0F" w14:paraId="3DC0179F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797001E8" w14:textId="3FE30F46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9061A5D" w14:textId="410DA507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Внедрение национального стандарта качества принятия решений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Tayanch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Uzbekistan)</w:t>
            </w:r>
          </w:p>
        </w:tc>
        <w:tc>
          <w:tcPr>
            <w:tcW w:w="1492" w:type="dxa"/>
          </w:tcPr>
          <w:p w14:paraId="5A2E5001" w14:textId="4380DE0D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6159BEAE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D56FFC3" w14:textId="04CDD523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D9E9CE0" w14:textId="41D370C3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Введение национальной системы оценки регулирующего воздействия (RIA) и обязательного последующего анализа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ex-post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review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92" w:type="dxa"/>
          </w:tcPr>
          <w:p w14:paraId="28F530B1" w14:textId="6799D316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2B81B31D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4AF504E2" w14:textId="677657FC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4C92C9E" w14:textId="1343E290" w:rsid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Внедрение</w:t>
            </w:r>
            <w:r w:rsidRPr="00B03D0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национальной</w:t>
            </w:r>
            <w:r w:rsidRPr="00B03D0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системы</w:t>
            </w:r>
            <w:r w:rsidRPr="00B03D0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Pre-Mortem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и</w:t>
            </w:r>
            <w:r w:rsidRPr="00B03D0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After-Action Review (AAR)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для</w:t>
            </w:r>
            <w:r w:rsidRPr="00B03D0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мегапроектов</w:t>
            </w:r>
            <w:r w:rsidRPr="00B03D0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(RBC Strategic Review System)</w:t>
            </w:r>
          </w:p>
        </w:tc>
        <w:tc>
          <w:tcPr>
            <w:tcW w:w="1492" w:type="dxa"/>
          </w:tcPr>
          <w:p w14:paraId="24C16D10" w14:textId="2E57738C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7B1BE43E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29C13122" w14:textId="421A4832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7386B7C5" w14:textId="6BF89567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Формирование национальной системы KPI, подотчётности и «архитектуры внимания» в контексте RBC (Uzbekistan–2030)</w:t>
            </w:r>
          </w:p>
        </w:tc>
        <w:tc>
          <w:tcPr>
            <w:tcW w:w="1492" w:type="dxa"/>
          </w:tcPr>
          <w:p w14:paraId="1244F947" w14:textId="3A887E90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19F2BFC3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78101B5A" w14:textId="0550845A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1CF63D37" w14:textId="216C34C1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Внедрение национального стандарта квалификации поставщиков на основе принципов RBC</w:t>
            </w:r>
          </w:p>
        </w:tc>
        <w:tc>
          <w:tcPr>
            <w:tcW w:w="1492" w:type="dxa"/>
          </w:tcPr>
          <w:p w14:paraId="2D9721A7" w14:textId="4F308CCE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608C7656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0B3693E" w14:textId="7CF23088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4DD93B5A" w14:textId="149699A0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Разработка национальной политики RBC и механизма рассмотрения жалоб (по модели NCP)</w:t>
            </w:r>
          </w:p>
        </w:tc>
        <w:tc>
          <w:tcPr>
            <w:tcW w:w="1492" w:type="dxa"/>
          </w:tcPr>
          <w:p w14:paraId="21C6BEA5" w14:textId="709039FB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22CF6572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7A4BC81" w14:textId="723CC851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5E04C9F" w14:textId="680D4E7D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Создание национальной системы рассмотрения жалоб и разрешения споров по принципам RBC (RBC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Grievance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Mechanism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92" w:type="dxa"/>
          </w:tcPr>
          <w:p w14:paraId="18E84C9A" w14:textId="6188F86F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Crowe</w:t>
            </w:r>
            <w:proofErr w:type="spellEnd"/>
          </w:p>
        </w:tc>
      </w:tr>
      <w:tr w:rsidR="00B03D0F" w14:paraId="731BA4D4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973946B" w14:textId="20DDAF75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21183B8" w14:textId="5EAFB129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Введение единых стандартов раскрытия ESG-информации для компаний</w:t>
            </w:r>
          </w:p>
        </w:tc>
        <w:tc>
          <w:tcPr>
            <w:tcW w:w="1492" w:type="dxa"/>
          </w:tcPr>
          <w:p w14:paraId="64F7022F" w14:textId="152C4EE2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KPMG</w:t>
            </w:r>
          </w:p>
        </w:tc>
      </w:tr>
      <w:tr w:rsidR="00B03D0F" w14:paraId="72FA11C7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68F5E77" w14:textId="73A0E1DC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4527C20A" w14:textId="5FDAF789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Установление критериев включения организаций в Реестр ответственного ведения бизнеса</w:t>
            </w:r>
          </w:p>
        </w:tc>
        <w:tc>
          <w:tcPr>
            <w:tcW w:w="1492" w:type="dxa"/>
          </w:tcPr>
          <w:p w14:paraId="214BC610" w14:textId="6E572EE3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KPMG</w:t>
            </w:r>
          </w:p>
        </w:tc>
      </w:tr>
      <w:tr w:rsidR="00B03D0F" w14:paraId="1228836D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7E88E172" w14:textId="7E05A443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643DD0D1" w14:textId="21AEBECA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Введение требований к климатическому планированию и управлению климатическими рисками на уровне компаний</w:t>
            </w:r>
          </w:p>
        </w:tc>
        <w:tc>
          <w:tcPr>
            <w:tcW w:w="1492" w:type="dxa"/>
          </w:tcPr>
          <w:p w14:paraId="3280CC40" w14:textId="47DA1CD4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KPMG</w:t>
            </w:r>
          </w:p>
        </w:tc>
      </w:tr>
      <w:tr w:rsidR="00B03D0F" w14:paraId="438738E0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3746ADB6" w14:textId="397B9B8C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2D82F30A" w14:textId="1590DBDE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Создание правовой и институциональной базы для выпуска «зелёных сукук»</w:t>
            </w:r>
          </w:p>
        </w:tc>
        <w:tc>
          <w:tcPr>
            <w:tcW w:w="1492" w:type="dxa"/>
          </w:tcPr>
          <w:p w14:paraId="13B28AE5" w14:textId="714F87DF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EY, ISDB</w:t>
            </w:r>
          </w:p>
        </w:tc>
      </w:tr>
      <w:tr w:rsidR="00B03D0F" w14:paraId="1FC61C0C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359DC05E" w14:textId="560B116A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7FE9AB90" w14:textId="131C6702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Разработка национальных стандартов маркировки и методологии «зелёных» кредитов</w:t>
            </w:r>
          </w:p>
        </w:tc>
        <w:tc>
          <w:tcPr>
            <w:tcW w:w="1492" w:type="dxa"/>
          </w:tcPr>
          <w:p w14:paraId="4267B636" w14:textId="43A867E8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EY</w:t>
            </w:r>
          </w:p>
        </w:tc>
      </w:tr>
      <w:tr w:rsidR="00B03D0F" w14:paraId="3BEC5636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0E2EB774" w14:textId="01A7FB42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1408E5F" w14:textId="2EA70141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Разработка мер пруденциального стимулирования зелёного и устойчивого кредитования</w:t>
            </w:r>
          </w:p>
        </w:tc>
        <w:tc>
          <w:tcPr>
            <w:tcW w:w="1492" w:type="dxa"/>
          </w:tcPr>
          <w:p w14:paraId="14A292F4" w14:textId="57E7E983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EY</w:t>
            </w:r>
          </w:p>
        </w:tc>
      </w:tr>
      <w:tr w:rsidR="00B03D0F" w14:paraId="0E4BE2EA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74B4189A" w14:textId="245ECE19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3C20B49F" w14:textId="76F62AB1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Разработка комплексного реестра зелёных и устойчивых проектов («Книга зелёных проектов»)</w:t>
            </w:r>
          </w:p>
        </w:tc>
        <w:tc>
          <w:tcPr>
            <w:tcW w:w="1492" w:type="dxa"/>
          </w:tcPr>
          <w:p w14:paraId="4DBE0829" w14:textId="5CD0BBEA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EY</w:t>
            </w:r>
          </w:p>
        </w:tc>
      </w:tr>
      <w:tr w:rsidR="00B03D0F" w14:paraId="59966A70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04CF291" w14:textId="6415549F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73026A0E" w14:textId="4EC5E456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Разработка Национальной стратегии устойчивого финансирования Республики Узбекистан</w:t>
            </w:r>
          </w:p>
        </w:tc>
        <w:tc>
          <w:tcPr>
            <w:tcW w:w="1492" w:type="dxa"/>
          </w:tcPr>
          <w:p w14:paraId="3EABA2EE" w14:textId="18D59967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EY</w:t>
            </w:r>
          </w:p>
        </w:tc>
      </w:tr>
      <w:tr w:rsidR="00B03D0F" w14:paraId="1DF37036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7A7E2CB1" w14:textId="215C3E4E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585729E" w14:textId="556AB5F2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Развитие ESG-рейтингования государственных предприятий и публичных эмитентов у глобальных агентств</w:t>
            </w:r>
          </w:p>
        </w:tc>
        <w:tc>
          <w:tcPr>
            <w:tcW w:w="1492" w:type="dxa"/>
          </w:tcPr>
          <w:p w14:paraId="7B8AFC06" w14:textId="79D2E139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EY</w:t>
            </w:r>
          </w:p>
        </w:tc>
      </w:tr>
      <w:tr w:rsidR="00B03D0F" w14:paraId="7ABA5968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1F248F2D" w14:textId="6ACEECBB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589576BB" w14:textId="2A173F85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Модернизация экологических и социальных стандартов в энергетике с учётом международного опыта</w:t>
            </w:r>
          </w:p>
        </w:tc>
        <w:tc>
          <w:tcPr>
            <w:tcW w:w="1492" w:type="dxa"/>
          </w:tcPr>
          <w:p w14:paraId="78F8C56A" w14:textId="58EC95E0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Acwa</w:t>
            </w:r>
            <w:proofErr w:type="spellEnd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 xml:space="preserve"> </w:t>
            </w:r>
          </w:p>
        </w:tc>
      </w:tr>
      <w:tr w:rsidR="00B03D0F" w14:paraId="109A1FA9" w14:textId="77777777" w:rsidTr="00B03D0F">
        <w:trPr>
          <w:gridAfter w:val="1"/>
          <w:wAfter w:w="9" w:type="dxa"/>
        </w:trPr>
        <w:tc>
          <w:tcPr>
            <w:tcW w:w="715" w:type="dxa"/>
          </w:tcPr>
          <w:p w14:paraId="5A04EC2E" w14:textId="1F5CBD31" w:rsidR="00B03D0F" w:rsidRPr="00E11375" w:rsidRDefault="00B03D0F" w:rsidP="00B03D0F">
            <w:pPr>
              <w:pStyle w:val="ListParagraph"/>
              <w:numPr>
                <w:ilvl w:val="0"/>
                <w:numId w:val="11"/>
              </w:numPr>
              <w:ind w:left="330" w:right="6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380" w:type="dxa"/>
          </w:tcPr>
          <w:p w14:paraId="09E5953A" w14:textId="073E93EF" w:rsidR="00B03D0F" w:rsidRPr="00B03D0F" w:rsidRDefault="00B03D0F" w:rsidP="00B03D0F">
            <w:pPr>
              <w:ind w:right="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Предоставление инвестору прав собственности на экологические атрибуты (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environmental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attributes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92" w:type="dxa"/>
          </w:tcPr>
          <w:p w14:paraId="479A96DB" w14:textId="06BDFE56" w:rsidR="00B03D0F" w:rsidRPr="00B03D0F" w:rsidRDefault="00B03D0F" w:rsidP="00B03D0F">
            <w:pPr>
              <w:ind w:right="64"/>
              <w:rPr>
                <w:rFonts w:ascii="Arial" w:hAnsi="Arial" w:cs="Arial"/>
                <w:color w:val="C00000"/>
                <w:sz w:val="20"/>
                <w:szCs w:val="20"/>
                <w:lang w:val="en-US"/>
              </w:rPr>
            </w:pPr>
            <w:proofErr w:type="spellStart"/>
            <w:r w:rsidRPr="00B03D0F">
              <w:rPr>
                <w:rFonts w:ascii="Aptos Narrow" w:hAnsi="Aptos Narrow"/>
                <w:color w:val="C00000"/>
                <w:sz w:val="22"/>
                <w:szCs w:val="22"/>
              </w:rPr>
              <w:t>Voltalia</w:t>
            </w:r>
            <w:proofErr w:type="spellEnd"/>
          </w:p>
        </w:tc>
      </w:tr>
    </w:tbl>
    <w:p w14:paraId="3A4EEB6F" w14:textId="77777777" w:rsidR="00D80407" w:rsidRPr="00D80407" w:rsidRDefault="00D80407" w:rsidP="00C574D4">
      <w:pPr>
        <w:jc w:val="center"/>
        <w:rPr>
          <w:rFonts w:ascii="Arial" w:hAnsi="Arial" w:cs="Arial"/>
          <w:sz w:val="20"/>
          <w:szCs w:val="20"/>
          <w:lang w:val="en-US"/>
        </w:rPr>
      </w:pPr>
    </w:p>
    <w:sectPr w:rsidR="00D80407" w:rsidRPr="00D80407" w:rsidSect="00C574D4">
      <w:headerReference w:type="default" r:id="rId10"/>
      <w:footerReference w:type="default" r:id="rId11"/>
      <w:pgSz w:w="11906" w:h="16838" w:code="9"/>
      <w:pgMar w:top="1138" w:right="850" w:bottom="113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12649" w14:textId="77777777" w:rsidR="001874D7" w:rsidRDefault="001874D7" w:rsidP="00C574D4">
      <w:pPr>
        <w:spacing w:after="0" w:line="240" w:lineRule="auto"/>
      </w:pPr>
      <w:r>
        <w:separator/>
      </w:r>
    </w:p>
  </w:endnote>
  <w:endnote w:type="continuationSeparator" w:id="0">
    <w:p w14:paraId="1D6A02E0" w14:textId="77777777" w:rsidR="001874D7" w:rsidRDefault="001874D7" w:rsidP="00C57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879629742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1D27A25" w14:textId="28CA1CC6" w:rsidR="00A25EE0" w:rsidRPr="00A25EE0" w:rsidRDefault="00A25EE0">
            <w:pPr>
              <w:pStyle w:val="Footer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Стр.</w:t>
            </w:r>
            <w:r w:rsidRPr="00A25EE0">
              <w:rPr>
                <w:sz w:val="20"/>
                <w:szCs w:val="20"/>
              </w:rPr>
              <w:t xml:space="preserve"> </w:t>
            </w:r>
            <w:r w:rsidRPr="00A25EE0">
              <w:rPr>
                <w:b/>
                <w:bCs/>
                <w:sz w:val="20"/>
                <w:szCs w:val="20"/>
              </w:rPr>
              <w:fldChar w:fldCharType="begin"/>
            </w:r>
            <w:r w:rsidRPr="00A25EE0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A25EE0">
              <w:rPr>
                <w:b/>
                <w:bCs/>
                <w:sz w:val="20"/>
                <w:szCs w:val="20"/>
              </w:rPr>
              <w:fldChar w:fldCharType="separate"/>
            </w:r>
            <w:r w:rsidRPr="00A25EE0">
              <w:rPr>
                <w:b/>
                <w:bCs/>
                <w:noProof/>
                <w:sz w:val="20"/>
                <w:szCs w:val="20"/>
              </w:rPr>
              <w:t>2</w:t>
            </w:r>
            <w:r w:rsidRPr="00A25EE0">
              <w:rPr>
                <w:b/>
                <w:bCs/>
                <w:sz w:val="20"/>
                <w:szCs w:val="20"/>
              </w:rPr>
              <w:fldChar w:fldCharType="end"/>
            </w:r>
            <w:r w:rsidRPr="00A25EE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из</w:t>
            </w:r>
            <w:r w:rsidRPr="00A25EE0">
              <w:rPr>
                <w:sz w:val="20"/>
                <w:szCs w:val="20"/>
              </w:rPr>
              <w:t xml:space="preserve"> </w:t>
            </w:r>
            <w:r w:rsidRPr="00A25EE0">
              <w:rPr>
                <w:b/>
                <w:bCs/>
                <w:sz w:val="20"/>
                <w:szCs w:val="20"/>
              </w:rPr>
              <w:fldChar w:fldCharType="begin"/>
            </w:r>
            <w:r w:rsidRPr="00A25EE0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A25EE0">
              <w:rPr>
                <w:b/>
                <w:bCs/>
                <w:sz w:val="20"/>
                <w:szCs w:val="20"/>
              </w:rPr>
              <w:fldChar w:fldCharType="separate"/>
            </w:r>
            <w:r w:rsidRPr="00A25EE0">
              <w:rPr>
                <w:b/>
                <w:bCs/>
                <w:noProof/>
                <w:sz w:val="20"/>
                <w:szCs w:val="20"/>
              </w:rPr>
              <w:t>2</w:t>
            </w:r>
            <w:r w:rsidRPr="00A25EE0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B3D87" w14:textId="77777777" w:rsidR="001874D7" w:rsidRDefault="001874D7" w:rsidP="00C574D4">
      <w:pPr>
        <w:spacing w:after="0" w:line="240" w:lineRule="auto"/>
      </w:pPr>
      <w:r>
        <w:separator/>
      </w:r>
    </w:p>
  </w:footnote>
  <w:footnote w:type="continuationSeparator" w:id="0">
    <w:p w14:paraId="41C19569" w14:textId="77777777" w:rsidR="001874D7" w:rsidRDefault="001874D7" w:rsidP="00C57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CC991" w14:textId="1ADC72E4" w:rsidR="00B03D0F" w:rsidRPr="00B03D0F" w:rsidRDefault="00C574D4" w:rsidP="00B03D0F">
    <w:pPr>
      <w:pBdr>
        <w:bottom w:val="single" w:sz="4" w:space="1" w:color="auto"/>
      </w:pBdr>
      <w:jc w:val="right"/>
      <w:rPr>
        <w:rFonts w:ascii="Arial" w:hAnsi="Arial" w:cs="Arial"/>
        <w:smallCaps/>
        <w:sz w:val="16"/>
        <w:szCs w:val="16"/>
      </w:rPr>
    </w:pPr>
    <w:r w:rsidRPr="00C5080C">
      <w:rPr>
        <w:smallCap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13DEA387" wp14:editId="5F342AB0">
          <wp:simplePos x="0" y="0"/>
          <wp:positionH relativeFrom="column">
            <wp:posOffset>19743</wp:posOffset>
          </wp:positionH>
          <wp:positionV relativeFrom="paragraph">
            <wp:posOffset>-168275</wp:posOffset>
          </wp:positionV>
          <wp:extent cx="1247913" cy="457200"/>
          <wp:effectExtent l="0" t="0" r="0" b="0"/>
          <wp:wrapNone/>
          <wp:docPr id="5822626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7913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smallCaps/>
        <w:sz w:val="16"/>
        <w:szCs w:val="16"/>
      </w:rPr>
      <w:t xml:space="preserve">Список </w:t>
    </w:r>
    <w:r w:rsidRPr="00C5080C">
      <w:rPr>
        <w:rFonts w:ascii="Arial" w:hAnsi="Arial" w:cs="Arial"/>
        <w:smallCaps/>
        <w:sz w:val="16"/>
        <w:szCs w:val="16"/>
      </w:rPr>
      <w:t>Инициатив И Предложени</w:t>
    </w:r>
    <w:r>
      <w:rPr>
        <w:rFonts w:ascii="Arial" w:hAnsi="Arial" w:cs="Arial"/>
        <w:smallCaps/>
        <w:sz w:val="16"/>
        <w:szCs w:val="16"/>
      </w:rPr>
      <w:t>й</w:t>
    </w:r>
    <w:r w:rsidRPr="00C5080C">
      <w:rPr>
        <w:rFonts w:ascii="Arial" w:hAnsi="Arial" w:cs="Arial"/>
        <w:smallCaps/>
        <w:sz w:val="16"/>
        <w:szCs w:val="16"/>
      </w:rPr>
      <w:t xml:space="preserve"> Участников Совета Иностранных Инвесторов </w:t>
    </w:r>
    <w:r>
      <w:rPr>
        <w:rFonts w:ascii="Arial" w:hAnsi="Arial" w:cs="Arial"/>
        <w:smallCaps/>
        <w:sz w:val="16"/>
        <w:szCs w:val="16"/>
      </w:rPr>
      <w:br/>
    </w:r>
    <w:r w:rsidRPr="00C5080C">
      <w:rPr>
        <w:rFonts w:ascii="Arial" w:hAnsi="Arial" w:cs="Arial"/>
        <w:smallCaps/>
        <w:sz w:val="16"/>
        <w:szCs w:val="16"/>
      </w:rPr>
      <w:t>Для Рассмотрения При Формировании Повестки Пленарной Сессии 18 Июня 2026 Года</w:t>
    </w:r>
  </w:p>
  <w:p w14:paraId="1196CF1B" w14:textId="77777777" w:rsidR="00B03D0F" w:rsidRPr="00B03D0F" w:rsidRDefault="00B03D0F" w:rsidP="00DA1220">
    <w:pPr>
      <w:spacing w:after="0"/>
      <w:jc w:val="right"/>
      <w:rPr>
        <w:smallCap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0CFF"/>
    <w:multiLevelType w:val="multilevel"/>
    <w:tmpl w:val="8F2881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C8003CD"/>
    <w:multiLevelType w:val="multilevel"/>
    <w:tmpl w:val="25B2684E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DE807C5"/>
    <w:multiLevelType w:val="multilevel"/>
    <w:tmpl w:val="303E37C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8336C36"/>
    <w:multiLevelType w:val="multilevel"/>
    <w:tmpl w:val="3B98B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CA166F"/>
    <w:multiLevelType w:val="multilevel"/>
    <w:tmpl w:val="084E16B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B693A94"/>
    <w:multiLevelType w:val="multilevel"/>
    <w:tmpl w:val="5B181AD2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5224772C"/>
    <w:multiLevelType w:val="multilevel"/>
    <w:tmpl w:val="9C8AFD0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61484A75"/>
    <w:multiLevelType w:val="multilevel"/>
    <w:tmpl w:val="3760DD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7AEB564D"/>
    <w:multiLevelType w:val="multilevel"/>
    <w:tmpl w:val="ADC00CA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7D335A86"/>
    <w:multiLevelType w:val="multilevel"/>
    <w:tmpl w:val="E31EA82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7EA7155A"/>
    <w:multiLevelType w:val="hybridMultilevel"/>
    <w:tmpl w:val="CE9CE3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229478">
    <w:abstractNumId w:val="3"/>
  </w:num>
  <w:num w:numId="2" w16cid:durableId="672949196">
    <w:abstractNumId w:val="0"/>
  </w:num>
  <w:num w:numId="3" w16cid:durableId="984158971">
    <w:abstractNumId w:val="7"/>
  </w:num>
  <w:num w:numId="4" w16cid:durableId="1522083354">
    <w:abstractNumId w:val="6"/>
  </w:num>
  <w:num w:numId="5" w16cid:durableId="397439553">
    <w:abstractNumId w:val="8"/>
  </w:num>
  <w:num w:numId="6" w16cid:durableId="701054060">
    <w:abstractNumId w:val="9"/>
  </w:num>
  <w:num w:numId="7" w16cid:durableId="694110773">
    <w:abstractNumId w:val="4"/>
  </w:num>
  <w:num w:numId="8" w16cid:durableId="1027563588">
    <w:abstractNumId w:val="2"/>
  </w:num>
  <w:num w:numId="9" w16cid:durableId="1143543809">
    <w:abstractNumId w:val="5"/>
  </w:num>
  <w:num w:numId="10" w16cid:durableId="154809209">
    <w:abstractNumId w:val="1"/>
  </w:num>
  <w:num w:numId="11" w16cid:durableId="10815628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22"/>
    <w:rsid w:val="000014CD"/>
    <w:rsid w:val="00020A22"/>
    <w:rsid w:val="00023CCB"/>
    <w:rsid w:val="00033BF2"/>
    <w:rsid w:val="0004335B"/>
    <w:rsid w:val="0008607B"/>
    <w:rsid w:val="000B4E22"/>
    <w:rsid w:val="000C3F72"/>
    <w:rsid w:val="001004B6"/>
    <w:rsid w:val="00117F0E"/>
    <w:rsid w:val="00132E26"/>
    <w:rsid w:val="0015635A"/>
    <w:rsid w:val="001874D7"/>
    <w:rsid w:val="001E35D7"/>
    <w:rsid w:val="001F0EF6"/>
    <w:rsid w:val="00214CD5"/>
    <w:rsid w:val="00257745"/>
    <w:rsid w:val="002637D0"/>
    <w:rsid w:val="00270BA3"/>
    <w:rsid w:val="00283FFD"/>
    <w:rsid w:val="00284ED8"/>
    <w:rsid w:val="00304192"/>
    <w:rsid w:val="003734E4"/>
    <w:rsid w:val="00392EB9"/>
    <w:rsid w:val="003A1617"/>
    <w:rsid w:val="003D2108"/>
    <w:rsid w:val="003E0807"/>
    <w:rsid w:val="004E4E89"/>
    <w:rsid w:val="00530A71"/>
    <w:rsid w:val="005518E2"/>
    <w:rsid w:val="00583262"/>
    <w:rsid w:val="00596FBF"/>
    <w:rsid w:val="005A3430"/>
    <w:rsid w:val="00612992"/>
    <w:rsid w:val="006449BC"/>
    <w:rsid w:val="006C13FC"/>
    <w:rsid w:val="006E233E"/>
    <w:rsid w:val="006E2F0E"/>
    <w:rsid w:val="00760EAC"/>
    <w:rsid w:val="008167AB"/>
    <w:rsid w:val="00836BE3"/>
    <w:rsid w:val="0087502B"/>
    <w:rsid w:val="00890F02"/>
    <w:rsid w:val="00932B6F"/>
    <w:rsid w:val="009829CA"/>
    <w:rsid w:val="009E68FC"/>
    <w:rsid w:val="009F739D"/>
    <w:rsid w:val="00A03A65"/>
    <w:rsid w:val="00A125E3"/>
    <w:rsid w:val="00A25EE0"/>
    <w:rsid w:val="00A975BA"/>
    <w:rsid w:val="00B03D0F"/>
    <w:rsid w:val="00B2581E"/>
    <w:rsid w:val="00B801C7"/>
    <w:rsid w:val="00BB2F5E"/>
    <w:rsid w:val="00BF64A8"/>
    <w:rsid w:val="00C44E32"/>
    <w:rsid w:val="00C574D4"/>
    <w:rsid w:val="00CA161E"/>
    <w:rsid w:val="00CD3187"/>
    <w:rsid w:val="00D62E62"/>
    <w:rsid w:val="00D80407"/>
    <w:rsid w:val="00D84B21"/>
    <w:rsid w:val="00DA1220"/>
    <w:rsid w:val="00DA2104"/>
    <w:rsid w:val="00DA4675"/>
    <w:rsid w:val="00DD0EAC"/>
    <w:rsid w:val="00DE3D63"/>
    <w:rsid w:val="00E11375"/>
    <w:rsid w:val="00E1449C"/>
    <w:rsid w:val="00E23475"/>
    <w:rsid w:val="00E9131A"/>
    <w:rsid w:val="00ED4162"/>
    <w:rsid w:val="00EE3A7F"/>
    <w:rsid w:val="00EF13B8"/>
    <w:rsid w:val="00F2544B"/>
    <w:rsid w:val="00F9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B857EA"/>
  <w15:chartTrackingRefBased/>
  <w15:docId w15:val="{BC5F710B-2014-48A2-9FEF-D794793C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A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74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4D4"/>
  </w:style>
  <w:style w:type="paragraph" w:styleId="Footer">
    <w:name w:val="footer"/>
    <w:basedOn w:val="Normal"/>
    <w:link w:val="FooterChar"/>
    <w:uiPriority w:val="99"/>
    <w:unhideWhenUsed/>
    <w:rsid w:val="00C574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4D4"/>
  </w:style>
  <w:style w:type="table" w:styleId="TableGrid">
    <w:name w:val="Table Grid"/>
    <w:basedOn w:val="TableNormal"/>
    <w:uiPriority w:val="39"/>
    <w:rsid w:val="00644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36847B2EABCA4D92DFDF343BF06861" ma:contentTypeVersion="13" ma:contentTypeDescription="Create a new document." ma:contentTypeScope="" ma:versionID="2d09b787e405de570a3a1e0a664b5692">
  <xsd:schema xmlns:xsd="http://www.w3.org/2001/XMLSchema" xmlns:xs="http://www.w3.org/2001/XMLSchema" xmlns:p="http://schemas.microsoft.com/office/2006/metadata/properties" xmlns:ns2="3d1bf3e8-7018-4993-9c38-d47c21aee0be" xmlns:ns3="abe3182d-0811-4e41-a906-3efc74bc4f50" targetNamespace="http://schemas.microsoft.com/office/2006/metadata/properties" ma:root="true" ma:fieldsID="43b98417c25864c19a4e2af5d9a6f1d6" ns2:_="" ns3:_="">
    <xsd:import namespace="3d1bf3e8-7018-4993-9c38-d47c21aee0be"/>
    <xsd:import namespace="abe3182d-0811-4e41-a906-3efc74bc4f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bf3e8-7018-4993-9c38-d47c21aee0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018def3-6d70-408b-bc27-0fe7a03f18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3182d-0811-4e41-a906-3efc74bc4f5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4478271-dd20-4bd2-8fdd-65b7ceb2784a}" ma:internalName="TaxCatchAll" ma:showField="CatchAllData" ma:web="abe3182d-0811-4e41-a906-3efc74bc4f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e3182d-0811-4e41-a906-3efc74bc4f50" xsi:nil="true"/>
    <lcf76f155ced4ddcb4097134ff3c332f xmlns="3d1bf3e8-7018-4993-9c38-d47c21aee0b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92F2BC-6C8E-4F10-9DBE-48EB960942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1bf3e8-7018-4993-9c38-d47c21aee0be"/>
    <ds:schemaRef ds:uri="abe3182d-0811-4e41-a906-3efc74bc4f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7FBE2F-A7BD-4B23-969F-AD1D223ABDC1}">
  <ds:schemaRefs>
    <ds:schemaRef ds:uri="http://schemas.microsoft.com/office/2006/metadata/properties"/>
    <ds:schemaRef ds:uri="http://schemas.microsoft.com/office/infopath/2007/PartnerControls"/>
    <ds:schemaRef ds:uri="abe3182d-0811-4e41-a906-3efc74bc4f50"/>
    <ds:schemaRef ds:uri="3d1bf3e8-7018-4993-9c38-d47c21aee0be"/>
  </ds:schemaRefs>
</ds:datastoreItem>
</file>

<file path=customXml/itemProps3.xml><?xml version="1.0" encoding="utf-8"?>
<ds:datastoreItem xmlns:ds="http://schemas.openxmlformats.org/officeDocument/2006/customXml" ds:itemID="{739D25F6-0B3A-4990-BF25-C7C23B2267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5</Pages>
  <Words>1528</Words>
  <Characters>11082</Characters>
  <Application>Microsoft Office Word</Application>
  <DocSecurity>0</DocSecurity>
  <Lines>527</Lines>
  <Paragraphs>406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Gafurov</dc:creator>
  <cp:keywords/>
  <dc:description/>
  <cp:lastModifiedBy>Aziz Gafurov</cp:lastModifiedBy>
  <cp:revision>35</cp:revision>
  <dcterms:created xsi:type="dcterms:W3CDTF">2026-03-28T08:32:00Z</dcterms:created>
  <dcterms:modified xsi:type="dcterms:W3CDTF">2026-05-11T15:44:00Z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0x0101006936847B2EABCA4D92DFDF343BF06861</vt:lpwstr>
  </property>
  <property fmtid="{D5CDD505-2E9C-101B-9397-08002B2CF9AE}" pid="3" name="MediaServiceImageTags">
    <vt:lpwstr/>
  </property>
</Properties>
</file>