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1F4E79"/>
          <w:sz w:val="56"/>
          <w:szCs w:val="56"/>
        </w:rPr>
        <w:t xml:space="preserve">Integration of a Graph-Based</w:t>
      </w:r>
    </w:p>
    <w:p>
      <w:pPr>
        <w:spacing w:after="80"/>
        <w:jc w:val="center"/>
      </w:pPr>
      <w:r>
        <w:rPr>
          <w:rFonts w:ascii="Arial" w:cs="Arial" w:eastAsia="Arial" w:hAnsi="Arial"/>
          <w:b/>
          <w:bCs/>
          <w:color w:val="1F4E79"/>
          <w:sz w:val="56"/>
          <w:szCs w:val="56"/>
        </w:rPr>
        <w:t xml:space="preserve">Error Propagation Network</w:t>
      </w:r>
    </w:p>
    <w:p>
      <w:pPr>
        <w:spacing w:after="80"/>
        <w:jc w:val="center"/>
      </w:pPr>
      <w:r>
        <w:rPr>
          <w:rFonts w:ascii="Arial" w:cs="Arial" w:eastAsia="Arial" w:hAnsi="Arial"/>
          <w:b/>
          <w:bCs/>
          <w:color w:val="2E75B6"/>
          <w:sz w:val="44"/>
          <w:szCs w:val="44"/>
        </w:rPr>
        <w:t xml:space="preserve">into a PyTorch Lightning</w:t>
      </w:r>
    </w:p>
    <w:p>
      <w:pPr>
        <w:spacing w:after="600"/>
        <w:jc w:val="center"/>
      </w:pPr>
      <w:r>
        <w:rPr>
          <w:rFonts w:ascii="Arial" w:cs="Arial" w:eastAsia="Arial" w:hAnsi="Arial"/>
          <w:b/>
          <w:bCs/>
          <w:color w:val="2E75B6"/>
          <w:sz w:val="44"/>
          <w:szCs w:val="44"/>
        </w:rPr>
        <w:t xml:space="preserve">Survival Analysis Pipeline</w:t>
      </w:r>
    </w:p>
    <w:p>
      <w:pPr>
        <w:pBdr>
          <w:bottom w:val="single" w:color="2E75B6" w:sz="6" w:space="1"/>
        </w:pBdr>
        <w:spacing w:after="600"/>
      </w:pPr>
    </w:p>
    <w:p>
      <w:pPr>
        <w:spacing w:after="240"/>
        <w:jc w:val="center"/>
      </w:pPr>
      <w:r>
        <w:rPr>
          <w:rFonts w:ascii="Arial" w:cs="Arial" w:eastAsia="Arial" w:hAnsi="Arial"/>
          <w:i/>
          <w:iCs/>
          <w:color w:val="555555"/>
          <w:sz w:val="30"/>
          <w:szCs w:val="30"/>
        </w:rPr>
        <w:t xml:space="preserve">Lab Report</w:t>
      </w:r>
    </w:p>
    <w:p>
      <w:pPr>
        <w:spacing w:after="1000"/>
        <w:jc w:val="center"/>
      </w:pPr>
      <w:r>
        <w:rPr>
          <w:rFonts w:ascii="Arial" w:cs="Arial" w:eastAsia="Arial" w:hAnsi="Arial"/>
          <w:color w:val="555555"/>
          <w:sz w:val="26"/>
          <w:szCs w:val="26"/>
        </w:rPr>
        <w:t xml:space="preserve">METABRIC Breast Cancer Survival Analysis Project</w:t>
      </w:r>
    </w:p>
    <w:p>
      <w:pPr>
        <w:spacing w:after="120"/>
        <w:jc w:val="center"/>
      </w:pPr>
      <w:r>
        <w:rPr>
          <w:rFonts w:ascii="Arial" w:cs="Arial" w:eastAsia="Arial" w:hAnsi="Arial"/>
          <w:b/>
          <w:bCs/>
          <w:color w:val="1F4E79"/>
          <w:sz w:val="28"/>
          <w:szCs w:val="28"/>
        </w:rPr>
        <w:t xml:space="preserve">Yosuke Kimoto</w:t>
      </w:r>
    </w:p>
    <w:p>
      <w:pPr>
        <w:spacing w:after="120"/>
        <w:jc w:val="center"/>
      </w:pPr>
      <w:r>
        <w:rPr>
          <w:rFonts w:ascii="Arial" w:cs="Arial" w:eastAsia="Arial" w:hAnsi="Arial"/>
          <w:color w:val="555555"/>
          <w:sz w:val="24"/>
          <w:szCs w:val="24"/>
        </w:rPr>
        <w:t xml:space="preserve">ECN — Ecole Centrale de Nantes</w:t>
      </w:r>
    </w:p>
    <w:p>
      <w:pPr>
        <w:jc w:val="center"/>
      </w:pPr>
      <w:r>
        <w:rPr>
          <w:rFonts w:ascii="Arial" w:cs="Arial" w:eastAsia="Arial" w:hAnsi="Arial"/>
          <w:color w:val="555555"/>
          <w:sz w:val="24"/>
          <w:szCs w:val="24"/>
        </w:rPr>
        <w:t xml:space="preserve">June 2026</w:t>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Abstract</w:t>
      </w:r>
    </w:p>
    <w:p>
      <w:pPr>
        <w:shd w:fill="EEF4FB" w:val="clear"/>
        <w:spacing w:after="160"/>
        <w:ind w:left="360" w:right="360"/>
      </w:pPr>
      <w:r>
        <w:rPr>
          <w:rFonts w:ascii="Arial" w:cs="Arial" w:eastAsia="Arial" w:hAnsi="Arial"/>
          <w:sz w:val="24"/>
          <w:szCs w:val="24"/>
        </w:rPr>
        <w:t xml:space="preserve">This report describes the development and evaluation of a two-stage survival analysis pipeline that integrates the Error Propagation Network (EPN) into an existing PyTorch Lightning framework. The EPN is a graph-based model that corrects MLP survival curve predictions by leveraging the prediction errors of similar patients, identified via a k-nearest neighbour (k-NN) patient similarity graph built with PyTorch Geometric. The integration required addressing three key challenges: (1) removing a DataFrame dependency from the original EPN design (a practice flagged by the supervisor as Bad Practice), (2) overcoming out-of-memory issues through mini-batch training and graph-constrained attention, and (3) reimplementing the full EPN logic — including the CoxCC loss with case-control sampling — as a self-contained, tensor-only module. All experiments were conducted on the METABRIC breast cancer dataset using 5-fold cross-validation. Results show that the MLP achieves a mean C-index of 0.6487, the graph-integrated EPN achieves 0.6159, and the existing SurvivalDGM baseline achieves 0.6043. While EPN improves upon SurvivalDGM, it does not yet surpass the MLP baseline, suggesting that further hyperparameter tuning is required.</w:t>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1. Introduction</w:t>
      </w:r>
    </w:p>
    <w:p>
      <w:pPr>
        <w:pStyle w:val="Heading2"/>
        <w:spacing w:after="120" w:before="280"/>
      </w:pPr>
      <w:r>
        <w:rPr>
          <w:rFonts w:ascii="Arial" w:cs="Arial" w:eastAsia="Arial" w:hAnsi="Arial"/>
          <w:b/>
          <w:bCs/>
          <w:color w:val="2E75B6"/>
          <w:sz w:val="28"/>
          <w:szCs w:val="28"/>
        </w:rPr>
        <w:t xml:space="preserve">1.1 Context</w:t>
      </w:r>
    </w:p>
    <w:p>
      <w:pPr>
        <w:spacing w:after="180"/>
      </w:pPr>
      <w:r>
        <w:rPr>
          <w:rFonts w:ascii="Arial" w:cs="Arial" w:eastAsia="Arial" w:hAnsi="Arial"/>
          <w:sz w:val="24"/>
          <w:szCs w:val="24"/>
        </w:rPr>
        <w:t xml:space="preserve">Survival analysis is a fundamental task in clinical data science: predicting how long a patient is likely to survive, or how long until a specific event (such as cancer recurrence) occurs. Unlike standard regression, survival analysis must handle censored observations — patients who left the study before the event occurred. Standard machine learning models cannot be applied directly without accounting for this censoring.</w:t>
      </w:r>
    </w:p>
    <w:p>
      <w:pPr>
        <w:spacing w:after="180"/>
      </w:pPr>
      <w:r>
        <w:rPr>
          <w:rFonts w:ascii="Arial" w:cs="Arial" w:eastAsia="Arial" w:hAnsi="Arial"/>
          <w:sz w:val="24"/>
          <w:szCs w:val="24"/>
        </w:rPr>
        <w:t xml:space="preserve">The METABRIC (Molecular Taxonomy of Breast Cancer International Consortium) dataset is a widely used benchmark for survival analysis. It contains clinical features for 1,904 breast cancer patients, each labelled with a survival duration (in months) and a binary event indicator (death = 1, censored = 0).</w:t>
      </w:r>
    </w:p>
    <w:p>
      <w:pPr>
        <w:pStyle w:val="Heading2"/>
        <w:spacing w:after="120" w:before="280"/>
      </w:pPr>
      <w:r>
        <w:rPr>
          <w:rFonts w:ascii="Arial" w:cs="Arial" w:eastAsia="Arial" w:hAnsi="Arial"/>
          <w:b/>
          <w:bCs/>
          <w:color w:val="2E75B6"/>
          <w:sz w:val="28"/>
          <w:szCs w:val="28"/>
        </w:rPr>
        <w:t xml:space="preserve">1.2 Project Objective</w:t>
      </w:r>
    </w:p>
    <w:p>
      <w:pPr>
        <w:spacing w:after="180"/>
      </w:pPr>
      <w:r>
        <w:rPr>
          <w:rFonts w:ascii="Arial" w:cs="Arial" w:eastAsia="Arial" w:hAnsi="Arial"/>
          <w:sz w:val="24"/>
          <w:szCs w:val="24"/>
        </w:rPr>
        <w:t xml:space="preserve">This project had a single primary objective: integrate the Error Propagation Network (EPN), originally developed by Oriane Blondel (surv_epn), into a separate PyTorch Lightning pipeline developed by Valentin, without simply copy-pasting the original code.</w:t>
      </w:r>
    </w:p>
    <w:p>
      <w:pPr>
        <w:spacing w:after="180"/>
      </w:pPr>
      <w:r>
        <w:rPr>
          <w:rFonts w:ascii="Arial" w:cs="Arial" w:eastAsia="Arial" w:hAnsi="Arial"/>
          <w:sz w:val="24"/>
          <w:szCs w:val="24"/>
        </w:rPr>
        <w:t xml:space="preserve">The integration followed a series of incremental steps:</w:t>
      </w:r>
    </w:p>
    <w:p>
      <w:pPr>
        <w:pStyle w:val="ListParagraph"/>
        <w:numPr>
          <w:ilvl w:val="0"/>
          <w:numId w:val="2"/>
        </w:numPr>
        <w:spacing w:after="100"/>
      </w:pPr>
      <w:r>
        <w:rPr>
          <w:rFonts w:ascii="Arial" w:cs="Arial" w:eastAsia="Arial" w:hAnsi="Arial"/>
          <w:sz w:val="24"/>
          <w:szCs w:val="24"/>
        </w:rPr>
        <w:t xml:space="preserve">Verify the existing Valentin pipeline (SurvivalDGM) runs correctly over 5 cross-validation splits.</w:t>
      </w:r>
    </w:p>
    <w:p>
      <w:pPr>
        <w:pStyle w:val="ListParagraph"/>
        <w:numPr>
          <w:ilvl w:val="0"/>
          <w:numId w:val="2"/>
        </w:numPr>
        <w:spacing w:after="100"/>
      </w:pPr>
      <w:r>
        <w:rPr>
          <w:rFonts w:ascii="Arial" w:cs="Arial" w:eastAsia="Arial" w:hAnsi="Arial"/>
          <w:sz w:val="24"/>
          <w:szCs w:val="24"/>
        </w:rPr>
        <w:t xml:space="preserve">Wrap Oriane's MLP model as a PyTorch Lightning module and train it as the first stage.</w:t>
      </w:r>
    </w:p>
    <w:p>
      <w:pPr>
        <w:pStyle w:val="ListParagraph"/>
        <w:numPr>
          <w:ilvl w:val="0"/>
          <w:numId w:val="2"/>
        </w:numPr>
        <w:spacing w:after="100"/>
      </w:pPr>
      <w:r>
        <w:rPr>
          <w:rFonts w:ascii="Arial" w:cs="Arial" w:eastAsia="Arial" w:hAnsi="Arial"/>
          <w:sz w:val="24"/>
          <w:szCs w:val="24"/>
        </w:rPr>
        <w:t xml:space="preserve">Build an explicit patient similarity graph using PyTorch Geometric (k-NN, cosine similarity).</w:t>
      </w:r>
    </w:p>
    <w:p>
      <w:pPr>
        <w:pStyle w:val="ListParagraph"/>
        <w:numPr>
          <w:ilvl w:val="0"/>
          <w:numId w:val="2"/>
        </w:numPr>
        <w:spacing w:after="100"/>
      </w:pPr>
      <w:r>
        <w:rPr>
          <w:rFonts w:ascii="Arial" w:cs="Arial" w:eastAsia="Arial" w:hAnsi="Arial"/>
          <w:sz w:val="24"/>
          <w:szCs w:val="24"/>
        </w:rPr>
        <w:t xml:space="preserve">Reimplement the EPN correction model as a fully tensor-based Lightning module.</w:t>
      </w:r>
    </w:p>
    <w:p>
      <w:pPr>
        <w:pStyle w:val="ListParagraph"/>
        <w:numPr>
          <w:ilvl w:val="0"/>
          <w:numId w:val="2"/>
        </w:numPr>
        <w:spacing w:after="100"/>
      </w:pPr>
      <w:r>
        <w:rPr>
          <w:rFonts w:ascii="Arial" w:cs="Arial" w:eastAsia="Arial" w:hAnsi="Arial"/>
          <w:sz w:val="24"/>
          <w:szCs w:val="24"/>
        </w:rPr>
        <w:t xml:space="preserve">Integrate Hydra configuration management for reproducible experiments.</w:t>
      </w:r>
    </w:p>
    <w:p>
      <w:pPr>
        <w:pStyle w:val="Heading2"/>
        <w:spacing w:after="120" w:before="280"/>
      </w:pPr>
      <w:r>
        <w:rPr>
          <w:rFonts w:ascii="Arial" w:cs="Arial" w:eastAsia="Arial" w:hAnsi="Arial"/>
          <w:b/>
          <w:bCs/>
          <w:color w:val="2E75B6"/>
          <w:sz w:val="28"/>
          <w:szCs w:val="28"/>
        </w:rPr>
        <w:t xml:space="preserve">1.3 Key Challenges</w:t>
      </w:r>
    </w:p>
    <w:p>
      <w:pPr>
        <w:spacing w:after="180"/>
      </w:pPr>
      <w:r>
        <w:rPr>
          <w:rFonts w:ascii="Arial" w:cs="Arial" w:eastAsia="Arial" w:hAnsi="Arial"/>
          <w:sz w:val="24"/>
          <w:szCs w:val="24"/>
        </w:rPr>
        <w:t xml:space="preserve">Several non-trivial challenges arose during integration:</w:t>
      </w:r>
    </w:p>
    <w:p>
      <w:pPr>
        <w:pStyle w:val="ListParagraph"/>
        <w:numPr>
          <w:ilvl w:val="0"/>
          <w:numId w:val="2"/>
        </w:numPr>
        <w:spacing w:after="100"/>
      </w:pPr>
      <w:r>
        <w:rPr>
          <w:rFonts w:ascii="Arial" w:cs="Arial" w:eastAsia="Arial" w:hAnsi="Arial"/>
          <w:sz w:val="24"/>
          <w:szCs w:val="24"/>
        </w:rPr>
        <w:t xml:space="preserve">The original EPN model accepts pandas DataFrames as input and parses column names to extract time points — a design incompatible with Lightning's tensor-based data pipeline.</w:t>
      </w:r>
    </w:p>
    <w:p>
      <w:pPr>
        <w:pStyle w:val="ListParagraph"/>
        <w:numPr>
          <w:ilvl w:val="0"/>
          <w:numId w:val="2"/>
        </w:numPr>
        <w:spacing w:after="100"/>
      </w:pPr>
      <w:r>
        <w:rPr>
          <w:rFonts w:ascii="Arial" w:cs="Arial" w:eastAsia="Arial" w:hAnsi="Arial"/>
          <w:sz w:val="24"/>
          <w:szCs w:val="24"/>
        </w:rPr>
        <w:t xml:space="preserve">A naive full-attention computation creates intermediate tensors of ~12.9 GB, causing out-of-memory crashes on standard hardware.</w:t>
      </w:r>
    </w:p>
    <w:p>
      <w:pPr>
        <w:pStyle w:val="ListParagraph"/>
        <w:numPr>
          <w:ilvl w:val="0"/>
          <w:numId w:val="2"/>
        </w:numPr>
        <w:spacing w:after="100"/>
      </w:pPr>
      <w:r>
        <w:rPr>
          <w:rFonts w:ascii="Arial" w:cs="Arial" w:eastAsia="Arial" w:hAnsi="Arial"/>
          <w:sz w:val="24"/>
          <w:szCs w:val="24"/>
        </w:rPr>
        <w:t xml:space="preserve">The CoxCC loss used by EPN involves a complex case-control sampling procedure that had to be reimplemented from scratch without importing from surv_epn.</w:t>
      </w:r>
    </w:p>
    <w:p>
      <w:pPr>
        <w:pStyle w:val="ListParagraph"/>
        <w:numPr>
          <w:ilvl w:val="0"/>
          <w:numId w:val="2"/>
        </w:numPr>
        <w:spacing w:after="100"/>
      </w:pPr>
      <w:r>
        <w:rPr>
          <w:rFonts w:ascii="Arial" w:cs="Arial" w:eastAsia="Arial" w:hAnsi="Arial"/>
          <w:sz w:val="24"/>
          <w:szCs w:val="24"/>
        </w:rPr>
        <w:t xml:space="preserve">Two codebases used different architectural patterns (raw PyTorch vs. Lightning framework), requiring careful bridging.</w:t>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2. Background</w:t>
      </w:r>
    </w:p>
    <w:p>
      <w:pPr>
        <w:pStyle w:val="Heading2"/>
        <w:spacing w:after="120" w:before="280"/>
      </w:pPr>
      <w:r>
        <w:rPr>
          <w:rFonts w:ascii="Arial" w:cs="Arial" w:eastAsia="Arial" w:hAnsi="Arial"/>
          <w:b/>
          <w:bCs/>
          <w:color w:val="2E75B6"/>
          <w:sz w:val="28"/>
          <w:szCs w:val="28"/>
        </w:rPr>
        <w:t xml:space="preserve">2.1 Survival Analysis and Evaluation Metrics</w:t>
      </w:r>
    </w:p>
    <w:p>
      <w:pPr>
        <w:spacing w:after="180"/>
      </w:pPr>
      <w:r>
        <w:rPr>
          <w:rFonts w:ascii="Arial" w:cs="Arial" w:eastAsia="Arial" w:hAnsi="Arial"/>
          <w:sz w:val="24"/>
          <w:szCs w:val="24"/>
        </w:rPr>
        <w:t xml:space="preserve">A survival model estimates the survival function S(t|x) — the probability that a patient with features x survives beyond time t. Two standard metrics are used to evaluate such models:</w:t>
      </w:r>
    </w:p>
    <w:p>
      <w:pPr>
        <w:spacing w:after="180"/>
      </w:pPr>
      <w:r>
        <w:rPr>
          <w:rFonts w:ascii="Arial" w:cs="Arial" w:eastAsia="Arial" w:hAnsi="Arial"/>
          <w:b/>
          <w:bCs/>
          <w:sz w:val="24"/>
          <w:szCs w:val="24"/>
        </w:rPr>
        <w:t xml:space="preserve">Concordance Index (C-index): </w:t>
      </w:r>
      <w:r>
        <w:rPr>
          <w:rFonts w:ascii="Arial" w:cs="Arial" w:eastAsia="Arial" w:hAnsi="Arial"/>
          <w:sz w:val="24"/>
          <w:szCs w:val="24"/>
        </w:rPr>
        <w:t xml:space="preserve">Measures whether patients who die sooner are ranked with higher predicted risk. C-index = 0.5 is random; C-index = 1.0 is perfect. It evaluates ranking accuracy.</w:t>
      </w:r>
    </w:p>
    <w:p>
      <w:pPr>
        <w:spacing w:after="180"/>
      </w:pPr>
      <w:r>
        <w:rPr>
          <w:rFonts w:ascii="Arial" w:cs="Arial" w:eastAsia="Arial" w:hAnsi="Arial"/>
          <w:b/>
          <w:bCs/>
          <w:sz w:val="24"/>
          <w:szCs w:val="24"/>
        </w:rPr>
        <w:t xml:space="preserve">Integrated Brier Score (IBS): </w:t>
      </w:r>
      <w:r>
        <w:rPr>
          <w:rFonts w:ascii="Arial" w:cs="Arial" w:eastAsia="Arial" w:hAnsi="Arial"/>
          <w:sz w:val="24"/>
          <w:szCs w:val="24"/>
        </w:rPr>
        <w:t xml:space="preserve">Measures the mean squared error between predicted survival probabilities and the true binary outcome, integrated over time. Lower is better. It evaluates both ranking and calibration.</w:t>
      </w:r>
    </w:p>
    <w:p>
      <w:pPr>
        <w:pStyle w:val="Heading2"/>
        <w:spacing w:after="120" w:before="280"/>
      </w:pPr>
      <w:r>
        <w:rPr>
          <w:rFonts w:ascii="Arial" w:cs="Arial" w:eastAsia="Arial" w:hAnsi="Arial"/>
          <w:b/>
          <w:bCs/>
          <w:color w:val="2E75B6"/>
          <w:sz w:val="28"/>
          <w:szCs w:val="28"/>
        </w:rPr>
        <w:t xml:space="preserve">2.2 Models Used in This Project</w:t>
      </w:r>
    </w:p>
    <w:p>
      <w:pPr>
        <w:pStyle w:val="Heading3"/>
        <w:spacing w:after="80" w:before="200"/>
      </w:pPr>
      <w:r>
        <w:rPr>
          <w:rFonts w:ascii="Arial" w:cs="Arial" w:eastAsia="Arial" w:hAnsi="Arial"/>
          <w:b/>
          <w:bCs/>
          <w:color w:val="404040"/>
          <w:sz w:val="24"/>
          <w:szCs w:val="24"/>
        </w:rPr>
        <w:t xml:space="preserve">2.2.1 SurvivalDGM (Existing Baseline)</w:t>
      </w:r>
    </w:p>
    <w:p>
      <w:pPr>
        <w:spacing w:after="180"/>
      </w:pPr>
      <w:r>
        <w:rPr>
          <w:rFonts w:ascii="Arial" w:cs="Arial" w:eastAsia="Arial" w:hAnsi="Arial"/>
          <w:sz w:val="24"/>
          <w:szCs w:val="24"/>
        </w:rPr>
        <w:t xml:space="preserve">SurvivalDGM is Valentin's existing model. It learns a probabilistic patient similarity graph and uses it to structure survival predictions. Because the graph is sampled stochastically, evaluation requires 100 repeated forward passes per split to obtain stable C-index estimates.</w:t>
      </w:r>
    </w:p>
    <w:p>
      <w:pPr>
        <w:pStyle w:val="Heading3"/>
        <w:spacing w:after="80" w:before="200"/>
      </w:pPr>
      <w:r>
        <w:rPr>
          <w:rFonts w:ascii="Arial" w:cs="Arial" w:eastAsia="Arial" w:hAnsi="Arial"/>
          <w:b/>
          <w:bCs/>
          <w:color w:val="404040"/>
          <w:sz w:val="24"/>
          <w:szCs w:val="24"/>
        </w:rPr>
        <w:t xml:space="preserve">2.2.2 Multilayer Perceptron (MLP)</w:t>
      </w:r>
    </w:p>
    <w:p>
      <w:pPr>
        <w:spacing w:after="180"/>
      </w:pPr>
      <w:r>
        <w:rPr>
          <w:rFonts w:ascii="Arial" w:cs="Arial" w:eastAsia="Arial" w:hAnsi="Arial"/>
          <w:sz w:val="24"/>
          <w:szCs w:val="24"/>
        </w:rPr>
        <w:t xml:space="preserve">The MLP is a two-hidden-layer feedforward network trained with the Cox Proportional Hazard (CoxPH) partial-likelihood loss. It outputs a single scalar risk score per patient. To obtain survival curves, the trained MLP is wrapped in a PyCox CoxPH estimator which computes a baseline hazard and predicts the full S(t|x) curve.</w:t>
      </w:r>
    </w:p>
    <w:p>
      <w:pPr>
        <w:spacing w:after="180"/>
      </w:pPr>
      <w:r>
        <w:rPr>
          <w:rFonts w:ascii="Arial" w:cs="Arial" w:eastAsia="Arial" w:hAnsi="Arial"/>
          <w:sz w:val="24"/>
          <w:szCs w:val="24"/>
        </w:rPr>
        <w:t xml:space="preserve">Architecture: Input(9) → Linear(64) → ReLU → Linear(64) → ReLU → Linear(1) → risk score</w:t>
      </w:r>
    </w:p>
    <w:p>
      <w:pPr>
        <w:pStyle w:val="Heading3"/>
        <w:spacing w:after="80" w:before="200"/>
      </w:pPr>
      <w:r>
        <w:rPr>
          <w:rFonts w:ascii="Arial" w:cs="Arial" w:eastAsia="Arial" w:hAnsi="Arial"/>
          <w:b/>
          <w:bCs/>
          <w:color w:val="404040"/>
          <w:sz w:val="24"/>
          <w:szCs w:val="24"/>
        </w:rPr>
        <w:t xml:space="preserve">2.2.3 Error Propagation Network (EPN)</w:t>
      </w:r>
    </w:p>
    <w:p>
      <w:pPr>
        <w:spacing w:after="180"/>
      </w:pPr>
      <w:r>
        <w:rPr>
          <w:rFonts w:ascii="Arial" w:cs="Arial" w:eastAsia="Arial" w:hAnsi="Arial"/>
          <w:sz w:val="24"/>
          <w:szCs w:val="24"/>
        </w:rPr>
        <w:t xml:space="preserve">The EPN (originally developed by Oriane Blondel) corrects MLP survival curve predictions by leveraging the prediction errors of similar patients. The intuition is: if the MLP consistently underestimates survival for patients similar to patient A, we can correct patient A using those errors.</w:t>
      </w:r>
    </w:p>
    <w:p>
      <w:pPr>
        <w:spacing w:after="180"/>
      </w:pPr>
      <w:r>
        <w:rPr>
          <w:rFonts w:ascii="Arial" w:cs="Arial" w:eastAsia="Arial" w:hAnsi="Arial"/>
          <w:sz w:val="24"/>
          <w:szCs w:val="24"/>
        </w:rPr>
        <w:t xml:space="preserve">The correction procedure for patient A is:</w:t>
      </w:r>
    </w:p>
    <w:p>
      <w:pPr>
        <w:shd w:fill="F0F4F8" w:val="clear"/>
        <w:spacing w:after="100" w:before="100"/>
        <w:ind w:left="360"/>
      </w:pPr>
      <w:r>
        <w:rPr>
          <w:rFonts w:ascii="Courier New" w:cs="Courier New" w:eastAsia="Courier New" w:hAnsi="Courier New"/>
          <w:color w:val="1A1A2E"/>
          <w:sz w:val="18"/>
          <w:szCs w:val="18"/>
        </w:rPr>
        <w:t xml:space="preserve">1. Find k=10 similar patients (neighbours) using a k-NN graph
2. Compute the MLP prediction error for each neighbour j:
       error_j(t) = true_survival_j(t) - MLP_pred_j(t)
3. Compute attention weights a_j using learned key/query projections:
       att_j = softmax( (W_q * feat_A) dot (W_k * feat_j) / sqrt(F) )
4. Compute correction:
       correction(t) = sum_j ( att_j * error_j(t) )
5. Corrected prediction:
       S_corrected_A(t) = MLP_pred_A(t) + correction(t)</w:t>
      </w:r>
    </w:p>
    <w:p>
      <w:pPr>
        <w:spacing w:after="180"/>
      </w:pPr>
      <w:r>
        <w:rPr>
          <w:rFonts w:ascii="Arial" w:cs="Arial" w:eastAsia="Arial" w:hAnsi="Arial"/>
          <w:sz w:val="24"/>
          <w:szCs w:val="24"/>
        </w:rPr>
        <w:t xml:space="preserve">The EPN is trained with the CoxCC (Case-Control Cox) loss, which uses a case-control sampling strategy to handle censored data during training.</w:t>
      </w:r>
    </w:p>
    <w:p>
      <w:pPr>
        <w:pStyle w:val="Heading2"/>
        <w:spacing w:after="120" w:before="280"/>
      </w:pPr>
      <w:r>
        <w:rPr>
          <w:rFonts w:ascii="Arial" w:cs="Arial" w:eastAsia="Arial" w:hAnsi="Arial"/>
          <w:b/>
          <w:bCs/>
          <w:color w:val="2E75B6"/>
          <w:sz w:val="28"/>
          <w:szCs w:val="28"/>
        </w:rPr>
        <w:t xml:space="preserve">2.3 PyTorch Lightning Framework</w:t>
      </w:r>
    </w:p>
    <w:p>
      <w:pPr>
        <w:spacing w:after="180"/>
      </w:pPr>
      <w:r>
        <w:rPr>
          <w:rFonts w:ascii="Arial" w:cs="Arial" w:eastAsia="Arial" w:hAnsi="Arial"/>
          <w:sz w:val="24"/>
          <w:szCs w:val="24"/>
        </w:rPr>
        <w:t xml:space="preserve">PyTorch Lightning is a high-level framework built on top of PyTorch that structures training code into well-defined components: LightningModule (model + loss + optimizer), LightningDataModule (data loading), and Trainer (training loop automation). The key benefit is that training, validation, epoch management, and logging are handled automatically once the model is defined.</w:t>
      </w:r>
    </w:p>
    <w:p>
      <w:pPr>
        <w:pStyle w:val="Heading2"/>
        <w:spacing w:after="120" w:before="280"/>
      </w:pPr>
      <w:r>
        <w:rPr>
          <w:rFonts w:ascii="Arial" w:cs="Arial" w:eastAsia="Arial" w:hAnsi="Arial"/>
          <w:b/>
          <w:bCs/>
          <w:color w:val="2E75B6"/>
          <w:sz w:val="28"/>
          <w:szCs w:val="28"/>
        </w:rPr>
        <w:t xml:space="preserve">2.4 PyTorch Geometric and Patient Similarity Graphs</w:t>
      </w:r>
    </w:p>
    <w:p>
      <w:pPr>
        <w:spacing w:after="180"/>
      </w:pPr>
      <w:r>
        <w:rPr>
          <w:rFonts w:ascii="Arial" w:cs="Arial" w:eastAsia="Arial" w:hAnsi="Arial"/>
          <w:sz w:val="24"/>
          <w:szCs w:val="24"/>
        </w:rPr>
        <w:t xml:space="preserve">PyTorch Geometric (PyG) is a library for graph-based machine learning with PyTorch. In this project, it is used to construct a k-NN patient similarity graph where each patient is a node and edges connect patients that are similar in clinical feature space. Cosine similarity was used as the distance metric, as it is invariant to scale differences between features.</w:t>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3. Methods and Implementation</w:t>
      </w:r>
    </w:p>
    <w:p>
      <w:pPr>
        <w:pStyle w:val="Heading2"/>
        <w:spacing w:after="120" w:before="280"/>
      </w:pPr>
      <w:r>
        <w:rPr>
          <w:rFonts w:ascii="Arial" w:cs="Arial" w:eastAsia="Arial" w:hAnsi="Arial"/>
          <w:b/>
          <w:bCs/>
          <w:color w:val="2E75B6"/>
          <w:sz w:val="28"/>
          <w:szCs w:val="28"/>
        </w:rPr>
        <w:t xml:space="preserve">3.1 Dataset and Experimental Setup</w:t>
      </w:r>
    </w:p>
    <w:tbl>
      <w:tblPr>
        <w:tblW w:type="dxa" w:w="8986"/>
        <w:tblBorders>
          <w:top w:val="single" w:color="auto" w:sz="4"/>
          <w:left w:val="single" w:color="auto" w:sz="4"/>
          <w:bottom w:val="single" w:color="auto" w:sz="4"/>
          <w:right w:val="single" w:color="auto" w:sz="4"/>
          <w:insideH w:val="single" w:color="auto" w:sz="4"/>
          <w:insideV w:val="single" w:color="auto" w:sz="4"/>
        </w:tblBorders>
      </w:tblPr>
      <w:tblGrid>
        <w:gridCol w:w="3800"/>
        <w:gridCol w:w="518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51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Dataset</w:t>
            </w:r>
          </w:p>
        </w:tc>
        <w:tc>
          <w:tcPr>
            <w:tcW w:type="dxa" w:w="5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METABRIC</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Total patients</w:t>
            </w:r>
          </w:p>
        </w:tc>
        <w:tc>
          <w:tcPr>
            <w:tcW w:type="dxa" w:w="5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1,904</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Input features</w:t>
            </w:r>
          </w:p>
        </w:tc>
        <w:tc>
          <w:tcPr>
            <w:tcW w:type="dxa" w:w="5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9 clinical variables (x0–x8)</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Training set per split</w:t>
            </w:r>
          </w:p>
        </w:tc>
        <w:tc>
          <w:tcPr>
            <w:tcW w:type="dxa" w:w="5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~1,523 patients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Validation set per split</w:t>
            </w:r>
          </w:p>
        </w:tc>
        <w:tc>
          <w:tcPr>
            <w:tcW w:type="dxa" w:w="5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~381 patients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Event rate (death = 1)</w:t>
            </w:r>
          </w:p>
        </w:tc>
        <w:tc>
          <w:tcPr>
            <w:tcW w:type="dxa" w:w="5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~58% (881 / 1,904)</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Evaluation strategy</w:t>
            </w:r>
          </w:p>
        </w:tc>
        <w:tc>
          <w:tcPr>
            <w:tcW w:type="dxa" w:w="5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5-fold cross-validation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Feature preprocessing</w:t>
            </w:r>
          </w:p>
        </w:tc>
        <w:tc>
          <w:tcPr>
            <w:tcW w:type="dxa" w:w="5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StandardScaler (continuous) + pass-through (binary)</w:t>
            </w:r>
          </w:p>
        </w:tc>
      </w:tr>
    </w:tbl>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color w:val="2E75B6"/>
          <w:sz w:val="28"/>
          <w:szCs w:val="28"/>
        </w:rPr>
        <w:t xml:space="preserve">3.2 Pipeline Architecture</w:t>
      </w:r>
    </w:p>
    <w:p>
      <w:pPr>
        <w:spacing w:after="180"/>
      </w:pPr>
      <w:r>
        <w:rPr>
          <w:rFonts w:ascii="Arial" w:cs="Arial" w:eastAsia="Arial" w:hAnsi="Arial"/>
          <w:sz w:val="24"/>
          <w:szCs w:val="24"/>
        </w:rPr>
        <w:t xml:space="preserve">The full pipeline is a sequential two-stage process. Stage 1 trains the MLP; Stage 2 uses the frozen MLP to provide survival curve inputs to the EPN:</w:t>
      </w:r>
    </w:p>
    <w:p>
      <w:pPr>
        <w:shd w:fill="F0F4F8" w:val="clear"/>
        <w:spacing w:after="100" w:before="100"/>
        <w:ind w:left="360"/>
      </w:pPr>
      <w:r>
        <w:rPr>
          <w:rFonts w:ascii="Courier New" w:cs="Courier New" w:eastAsia="Courier New" w:hAnsi="Courier New"/>
          <w:color w:val="1A1A2E"/>
          <w:sz w:val="18"/>
          <w:szCs w:val="18"/>
        </w:rPr>
        <w:t xml:space="preserve">┌─ Stage 1: MLP Training ─────────────────────────────────────┐
│  MetabricGraphSurvivalDataModule (METABRIC, split i)         │
│    → MLPModule: 110 epochs, CoxPH loss, Adam lr=0.001        │
│    → Evaluate: CoxPH wrapper → C-index, IBS                 │
│    → mlp.freeze()   ← weights permanently locked            │
└──────────────────────────────────────────────────────────────┘
         ↓
┌─ Stage 2: EPN Training ─────────────────────────────────────┐
│  EPNDataModule.setup():                                       │
│    ├─ MLP survival curves for all patients  [N_all, T]       │
│    ├─ Training k-NN graph  →  train_nn_idx  [1523, 10]       │
│    └─ Validation k-NN graph  →  val_nn_idx  [1904, 10]       │
│  EPNModule: 50 epochs, CoxCC loss, Adam lr=0.001             │
│    → Evaluate: EvalSurv → C-index, IBS                      │
└──────────────────────────────────────────────────────────────┘</w:t>
      </w:r>
    </w:p>
    <w:p>
      <w:pPr>
        <w:pStyle w:val="Heading2"/>
        <w:spacing w:after="120" w:before="280"/>
      </w:pPr>
      <w:r>
        <w:rPr>
          <w:rFonts w:ascii="Arial" w:cs="Arial" w:eastAsia="Arial" w:hAnsi="Arial"/>
          <w:b/>
          <w:bCs/>
          <w:color w:val="2E75B6"/>
          <w:sz w:val="28"/>
          <w:szCs w:val="28"/>
        </w:rPr>
        <w:t xml:space="preserve">3.3 Graph Construction</w:t>
      </w:r>
    </w:p>
    <w:p>
      <w:pPr>
        <w:spacing w:after="180"/>
      </w:pPr>
      <w:r>
        <w:rPr>
          <w:rFonts w:ascii="Arial" w:cs="Arial" w:eastAsia="Arial" w:hAnsi="Arial"/>
          <w:sz w:val="24"/>
          <w:szCs w:val="24"/>
        </w:rPr>
        <w:t xml:space="preserve">A dedicated graph_builder.py module constructs the patient similarity graph independently of any model, following the supervisor's instruction to build a standalone graph function before integrating it into EPN. Two separate graphs are built per cross-validation split:</w:t>
      </w:r>
    </w:p>
    <w:p>
      <w:pPr>
        <w:pStyle w:val="ListParagraph"/>
        <w:numPr>
          <w:ilvl w:val="0"/>
          <w:numId w:val="2"/>
        </w:numPr>
        <w:spacing w:after="100"/>
      </w:pPr>
      <w:r>
        <w:rPr>
          <w:rFonts w:ascii="Arial" w:cs="Arial" w:eastAsia="Arial" w:hAnsi="Arial"/>
          <w:sz w:val="24"/>
          <w:szCs w:val="24"/>
        </w:rPr>
        <w:t xml:space="preserve">Training graph: built from the 1,523 training patients. Each training patient is connected to its 10 nearest neighbours among other training patients.</w:t>
      </w:r>
    </w:p>
    <w:p>
      <w:pPr>
        <w:pStyle w:val="ListParagraph"/>
        <w:numPr>
          <w:ilvl w:val="0"/>
          <w:numId w:val="2"/>
        </w:numPr>
        <w:spacing w:after="100"/>
      </w:pPr>
      <w:r>
        <w:rPr>
          <w:rFonts w:ascii="Arial" w:cs="Arial" w:eastAsia="Arial" w:hAnsi="Arial"/>
          <w:sz w:val="24"/>
          <w:szCs w:val="24"/>
        </w:rPr>
        <w:t xml:space="preserve">Validation graph: built from all 1,904 patients. During evaluation, validation patients can attend to training patients' errors, but not to other validation patients (to prevent data leakage).</w:t>
      </w:r>
    </w:p>
    <w:p>
      <w:pPr>
        <w:shd w:fill="F0F4F8" w:val="clear"/>
        <w:spacing w:after="100" w:before="100"/>
        <w:ind w:left="360"/>
      </w:pPr>
      <w:r>
        <w:rPr>
          <w:rFonts w:ascii="Courier New" w:cs="Courier New" w:eastAsia="Courier New" w:hAnsi="Courier New"/>
          <w:color w:val="1A1A2E"/>
          <w:sz w:val="18"/>
          <w:szCs w:val="18"/>
        </w:rPr>
        <w:t xml:space="preserve">graph = build_patient_similarity_graph(
    features,      # [N, 9] standardised patient feature tensor
    k=10,          # 10 nearest neighbours per patient
    metric='cosine',
    loop=False,    # exclude self-loops
)
# → torch_geometric.data.Data with edge_index [2, N*10]
# Convert to neighbour matrix [N, k] for efficient lookup:
nn_idx[i] = indices of the 10 neighbours of patient i</w:t>
      </w:r>
    </w:p>
    <w:p>
      <w:pPr>
        <w:pStyle w:val="Heading2"/>
        <w:spacing w:after="120" w:before="280"/>
      </w:pPr>
      <w:r>
        <w:rPr>
          <w:rFonts w:ascii="Arial" w:cs="Arial" w:eastAsia="Arial" w:hAnsi="Arial"/>
          <w:b/>
          <w:bCs/>
          <w:color w:val="2E75B6"/>
          <w:sz w:val="28"/>
          <w:szCs w:val="28"/>
        </w:rPr>
        <w:t xml:space="preserve">3.4 Solving the Memory Problem</w:t>
      </w:r>
    </w:p>
    <w:p>
      <w:pPr>
        <w:spacing w:after="180"/>
      </w:pPr>
      <w:r>
        <w:rPr>
          <w:rFonts w:ascii="Arial" w:cs="Arial" w:eastAsia="Arial" w:hAnsi="Arial"/>
          <w:sz w:val="24"/>
          <w:szCs w:val="24"/>
        </w:rPr>
        <w:t xml:space="preserve">The EPN attention mechanism internally creates a tensor of shape [n_batch, k, T] where T is the number of survival time points (~1,391). Without the graph, the naive approach required computing attention over all N patients at once, creating a tensor of shape [N, N, 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8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Approach</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Tensor Shape</w:t>
            </w:r>
          </w:p>
        </w:tc>
        <w:tc>
          <w:tcPr>
            <w:tcW w:type="dxa" w:w="23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Memory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All patients, full attention (naive)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[1523, 1523, 1391]</w:t>
            </w:r>
          </w:p>
        </w:tc>
        <w:tc>
          <w:tcPr>
            <w:tcW w:type="dxa" w:w="2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~12.9 GB — OOM crash</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Mini-batch (256 pts), full attention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[256, 256, 1391]</w:t>
            </w:r>
          </w:p>
        </w:tc>
        <w:tc>
          <w:tcPr>
            <w:tcW w:type="dxa" w:w="23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~363 MB</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Mini-batch (256 pts) + graph (k=10)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[256, 10, 1391]</w:t>
            </w:r>
          </w:p>
        </w:tc>
        <w:tc>
          <w:tcPr>
            <w:tcW w:type="dxa" w:w="2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~14 MB  ✓</w:t>
            </w:r>
          </w:p>
        </w:tc>
      </w:tr>
    </w:tbl>
    <w:p>
      <w:pPr>
        <w:spacing w:after="80"/>
      </w:pPr>
      <w:r>
        <w:rPr>
          <w:rFonts w:ascii="Arial" w:cs="Arial" w:eastAsia="Arial" w:hAnsi="Arial"/>
          <w:sz w:val="24"/>
          <w:szCs w:val="24"/>
        </w:rPr>
        <w:t xml:space="preserve"/>
      </w:r>
    </w:p>
    <w:p>
      <w:pPr>
        <w:spacing w:after="180"/>
      </w:pPr>
      <w:r>
        <w:rPr>
          <w:rFonts w:ascii="Arial" w:cs="Arial" w:eastAsia="Arial" w:hAnsi="Arial"/>
          <w:sz w:val="24"/>
          <w:szCs w:val="24"/>
        </w:rPr>
        <w:t xml:space="preserve">The final solution combines both optimisations: (1) process only 256 randomly selected training patients per step (mini-batching), and (2) restrict attention to k=10 pre-selected neighbours from the graph. This achieves a 26x memory reduction compared to the mini-batch approach alone.</w:t>
      </w:r>
    </w:p>
    <w:p>
      <w:pPr>
        <w:pStyle w:val="Heading2"/>
        <w:spacing w:after="120" w:before="280"/>
      </w:pPr>
      <w:r>
        <w:rPr>
          <w:rFonts w:ascii="Arial" w:cs="Arial" w:eastAsia="Arial" w:hAnsi="Arial"/>
          <w:b/>
          <w:bCs/>
          <w:color w:val="2E75B6"/>
          <w:sz w:val="28"/>
          <w:szCs w:val="28"/>
        </w:rPr>
        <w:t xml:space="preserve">3.5 Tensor-Only Model Interface</w:t>
      </w:r>
    </w:p>
    <w:p>
      <w:pPr>
        <w:spacing w:after="180"/>
      </w:pPr>
      <w:r>
        <w:rPr>
          <w:rFonts w:ascii="Arial" w:cs="Arial" w:eastAsia="Arial" w:hAnsi="Arial"/>
          <w:sz w:val="24"/>
          <w:szCs w:val="24"/>
        </w:rPr>
        <w:t xml:space="preserve">The original EPN model passed a pandas DataFrame to forward(), parsing column names to extract time points. Following the supervisor's feedback that this is a Bad Practice (models should depend only on dimensions and hyperparameters, not on data objects), the model was refactored to a pure tensor interface: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8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forward() signature</w:t>
            </w:r>
          </w:p>
        </w:tc>
        <w:tc>
          <w:tcPr>
            <w:tcW w:type="dxa" w:w="29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Design quality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Before (bad practice)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forward(self, df: pd.DataFrame, nn_idx)</w:t>
            </w:r>
          </w:p>
        </w:tc>
        <w:tc>
          <w:tcPr>
            <w:tcW w:type="dxa" w:w="2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DataFrame-dependent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After (refactored)</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forward(self, features, surv_preds, labels, nn_idx, test_idx, val_idx)</w:t>
            </w:r>
          </w:p>
        </w:tc>
        <w:tc>
          <w:tcPr>
            <w:tcW w:type="dxa" w:w="29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Tensor-only ✓</w:t>
            </w:r>
          </w:p>
        </w:tc>
      </w:tr>
    </w:tbl>
    <w:p>
      <w:pPr>
        <w:spacing w:after="80"/>
      </w:pPr>
      <w:r>
        <w:rPr>
          <w:rFonts w:ascii="Arial" w:cs="Arial" w:eastAsia="Arial" w:hAnsi="Arial"/>
          <w:sz w:val="24"/>
          <w:szCs w:val="24"/>
        </w:rPr>
        <w:t xml:space="preserve"/>
      </w:r>
    </w:p>
    <w:p>
      <w:pPr>
        <w:spacing w:after="180"/>
      </w:pPr>
      <w:r>
        <w:rPr>
          <w:rFonts w:ascii="Arial" w:cs="Arial" w:eastAsia="Arial" w:hAnsi="Arial"/>
          <w:sz w:val="24"/>
          <w:szCs w:val="24"/>
        </w:rPr>
        <w:t xml:space="preserve">The DataLoader now yields plain tensor dictionaries:</w:t>
      </w:r>
    </w:p>
    <w:p>
      <w:pPr>
        <w:shd w:fill="F0F4F8" w:val="clear"/>
        <w:spacing w:after="100" w:before="100"/>
        <w:ind w:left="360"/>
      </w:pPr>
      <w:r>
        <w:rPr>
          <w:rFonts w:ascii="Courier New" w:cs="Courier New" w:eastAsia="Courier New" w:hAnsi="Courier New"/>
          <w:color w:val="1A1A2E"/>
          <w:sz w:val="18"/>
          <w:szCs w:val="18"/>
        </w:rPr>
        <w:t xml:space="preserve">batch = {
  "features"       : Tensor [N, 9],       # patient features
  "surv_preds"     : Tensor [N, T],        # MLP survival curves
  "labels"         : Tensor [N, 2],        # (duration, event)
  "nn_idx"         : Tensor [N, 10],       # k-NN neighbour indices
  "test_idx"       : Tensor [n_batch],     # batch patient indices
  "val_patient_idx": Tensor | None,        # val indices for masking
}</w:t>
      </w:r>
    </w:p>
    <w:p>
      <w:pPr>
        <w:pStyle w:val="Heading2"/>
        <w:spacing w:after="120" w:before="280"/>
      </w:pPr>
      <w:r>
        <w:rPr>
          <w:rFonts w:ascii="Arial" w:cs="Arial" w:eastAsia="Arial" w:hAnsi="Arial"/>
          <w:b/>
          <w:bCs/>
          <w:color w:val="2E75B6"/>
          <w:sz w:val="28"/>
          <w:szCs w:val="28"/>
        </w:rPr>
        <w:t xml:space="preserve">3.6 Codebase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538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File / Module</w:t>
            </w:r>
          </w:p>
        </w:tc>
        <w:tc>
          <w:tcPr>
            <w:tcW w:type="dxa" w:w="53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data/metabric_datamodule.py</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Load and preprocess METABRIC data (existing)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data/graph_builder.py</w:t>
            </w:r>
          </w:p>
        </w:tc>
        <w:tc>
          <w:tcPr>
            <w:tcW w:type="dxa" w:w="53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Standalone k-NN patient similarity graph construction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data/epn_datamodule.py</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Pre-compute MLP curves + graph; yield tensor batches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models/mlp_module.py</w:t>
            </w:r>
          </w:p>
        </w:tc>
        <w:tc>
          <w:tcPr>
            <w:tcW w:type="dxa" w:w="53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2-layer MLP with CoxPH loss (LightningModule)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models/epn_module.py</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EPN with graph attention + CoxCC loss (LightningModule)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experiments/run_mlp.py</w:t>
            </w:r>
          </w:p>
        </w:tc>
        <w:tc>
          <w:tcPr>
            <w:tcW w:type="dxa" w:w="53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Train &amp; evaluate MLP over all 5 splits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experiments/run_epn_v2.py</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Full MLP+EPN pipeline; Hydra entry point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experiments/visualize.py</w:t>
            </w:r>
          </w:p>
        </w:tc>
        <w:tc>
          <w:tcPr>
            <w:tcW w:type="dxa" w:w="53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Generate patient graph and survival curve plots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configs/experiment/run_epn.yaml</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Hydra configuration (all hyperparameters)</w:t>
            </w:r>
          </w:p>
        </w:tc>
      </w:tr>
    </w:tbl>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color w:val="2E75B6"/>
          <w:sz w:val="28"/>
          <w:szCs w:val="28"/>
        </w:rPr>
        <w:t xml:space="preserve">3.7 Hydra Configuration Management</w:t>
      </w:r>
    </w:p>
    <w:p>
      <w:pPr>
        <w:spacing w:after="180"/>
      </w:pPr>
      <w:r>
        <w:rPr>
          <w:rFonts w:ascii="Arial" w:cs="Arial" w:eastAsia="Arial" w:hAnsi="Arial"/>
          <w:sz w:val="24"/>
          <w:szCs w:val="24"/>
        </w:rPr>
        <w:t xml:space="preserve">All hyperparameters are managed via Hydra configuration files, consistent with the existing Valentin pipeline. The main configuration (configs/experiment/run_epn.yaml) defines all parameters in one place:</w:t>
      </w:r>
    </w:p>
    <w:p>
      <w:pPr>
        <w:shd w:fill="F0F4F8" w:val="clear"/>
        <w:spacing w:after="100" w:before="100"/>
        <w:ind w:left="360"/>
      </w:pPr>
      <w:r>
        <w:rPr>
          <w:rFonts w:ascii="Courier New" w:cs="Courier New" w:eastAsia="Courier New" w:hAnsi="Courier New"/>
          <w:color w:val="1A1A2E"/>
          <w:sz w:val="18"/>
          <w:szCs w:val="18"/>
        </w:rPr>
        <w:t xml:space="preserve">mlp:
  hidden_dim: 64
  epochs: 110
  optimizer: { lr: 0.001, weight_decay: 0.0005 }
epn:
  epochs: 50
  learning_rate: 0.001
  alpha: 0.0   # L1 regularisation weight
  beta: 0.0    # L2 regularisation weight
graph:
  k: 10
  metric: cosine</w:t>
      </w:r>
    </w:p>
    <w:p>
      <w:pPr>
        <w:spacing w:after="180"/>
      </w:pPr>
      <w:r>
        <w:rPr>
          <w:rFonts w:ascii="Arial" w:cs="Arial" w:eastAsia="Arial" w:hAnsi="Arial"/>
          <w:sz w:val="24"/>
          <w:szCs w:val="24"/>
        </w:rPr>
        <w:t xml:space="preserve">Any parameter can be overridden from the command line without editing source code:</w:t>
      </w:r>
    </w:p>
    <w:p>
      <w:pPr>
        <w:shd w:fill="F0F4F8" w:val="clear"/>
        <w:spacing w:after="100" w:before="100"/>
        <w:ind w:left="360"/>
      </w:pPr>
      <w:r>
        <w:rPr>
          <w:rFonts w:ascii="Courier New" w:cs="Courier New" w:eastAsia="Courier New" w:hAnsi="Courier New"/>
          <w:color w:val="1A1A2E"/>
          <w:sz w:val="18"/>
          <w:szCs w:val="18"/>
        </w:rPr>
        <w:t xml:space="preserve"># Run with 20 neighbours instead of 10
python -m survival_analysis.experiments.run_epn_v2 graph.k=20
# Longer EPN training
python -m survival_analysis.experiments.run_epn_v2 epn.epochs=100</w:t>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4. Results</w:t>
      </w:r>
    </w:p>
    <w:p>
      <w:pPr>
        <w:pStyle w:val="Heading2"/>
        <w:spacing w:after="120" w:before="280"/>
      </w:pPr>
      <w:r>
        <w:rPr>
          <w:rFonts w:ascii="Arial" w:cs="Arial" w:eastAsia="Arial" w:hAnsi="Arial"/>
          <w:b/>
          <w:bCs/>
          <w:color w:val="2E75B6"/>
          <w:sz w:val="28"/>
          <w:szCs w:val="28"/>
        </w:rPr>
        <w:t xml:space="preserve">4.1 Patient Similarity Graph Visualisation</w:t>
      </w:r>
    </w:p>
    <w:p>
      <w:pPr>
        <w:spacing w:after="180"/>
      </w:pPr>
      <w:r>
        <w:rPr>
          <w:rFonts w:ascii="Arial" w:cs="Arial" w:eastAsia="Arial" w:hAnsi="Arial"/>
          <w:sz w:val="24"/>
          <w:szCs w:val="24"/>
        </w:rPr>
        <w:t xml:space="preserve">Figure 1 shows the patient similarity graph projected into 2D using Principal Component Analysis (PCA). Each point represents one training patient (1,523 total). Blue points are censored patients; orange points are patients who experienced the event (death). Lines show the k=10 nearest-neighbour connections. The graph was built from the 9 standardised clinical features using cosine similarity.</w:t>
      </w:r>
    </w:p>
    <w:p>
      <w:pPr>
        <w:spacing w:after="60" w:before="120"/>
        <w:jc w:val="center"/>
      </w:pPr>
      <w:r>
        <w:drawing>
          <wp:inline distT="0" distB="0" distL="0" distR="0">
            <wp:extent cx="4381500" cy="3286125"/>
            <wp:effectExtent t="0" r="0" b="0" l="0"/>
            <wp:docPr id="1" name="Patient Similarity Graph" descr="Patient Similarity Graph" title="Patient Similari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 Patient Similarity Graph (k-NN, k=10, cosine similarity), PCA 2D projection. 1,523 training patients. PC1 explains 30.2% of variance; PC2 explains 17.9%.</w:t>
      </w:r>
    </w:p>
    <w:p>
      <w:pPr>
        <w:spacing w:after="180"/>
      </w:pPr>
      <w:r>
        <w:rPr>
          <w:rFonts w:ascii="Arial" w:cs="Arial" w:eastAsia="Arial" w:hAnsi="Arial"/>
          <w:sz w:val="24"/>
          <w:szCs w:val="24"/>
        </w:rPr>
        <w:t xml:space="preserve">The two event groups (censored and event) are interleaved throughout the feature space without clear separation, which is consistent with the modest C-index values observed across all models. Patients in the dense cluster (centre) share average clinical profiles; those at the edges represent more extreme clinical presentations.</w:t>
      </w:r>
    </w:p>
    <w:p>
      <w:pPr>
        <w:pStyle w:val="Heading2"/>
        <w:spacing w:after="120" w:before="280"/>
      </w:pPr>
      <w:r>
        <w:rPr>
          <w:rFonts w:ascii="Arial" w:cs="Arial" w:eastAsia="Arial" w:hAnsi="Arial"/>
          <w:b/>
          <w:bCs/>
          <w:color w:val="2E75B6"/>
          <w:sz w:val="28"/>
          <w:szCs w:val="28"/>
        </w:rPr>
        <w:t xml:space="preserve">4.2 Survival Curve Visualisation</w:t>
      </w:r>
    </w:p>
    <w:p>
      <w:pPr>
        <w:spacing w:after="180"/>
      </w:pPr>
      <w:r>
        <w:rPr>
          <w:rFonts w:ascii="Arial" w:cs="Arial" w:eastAsia="Arial" w:hAnsi="Arial"/>
          <w:sz w:val="24"/>
          <w:szCs w:val="24"/>
        </w:rPr>
        <w:t xml:space="preserve">Figure 2 shows survival curve predictions for four example validation patients, comparing the MLP baseline (green solid line) with the EPN-corrected prediction (orange dashed line). The dotted vertical line indicates the patient's observed event or censoring time.</w:t>
      </w:r>
    </w:p>
    <w:p>
      <w:pPr>
        <w:spacing w:after="60" w:before="120"/>
        <w:jc w:val="center"/>
      </w:pPr>
      <w:r>
        <w:drawing>
          <wp:inline distT="0" distB="0" distL="0" distR="0">
            <wp:extent cx="4667250" cy="2952750"/>
            <wp:effectExtent t="0" r="0" b="0" l="0"/>
            <wp:docPr id="1" name="Survival Curves" descr="Survival Curves" title="Surviva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95275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2: Survival curves for 4 validation patients. Green solid = MLP baseline; orange dashed = EPN corrected. Dotted vertical line = observed event or censoring time.</w:t>
      </w:r>
    </w:p>
    <w:p>
      <w:pPr>
        <w:spacing w:after="180"/>
      </w:pPr>
      <w:r>
        <w:rPr>
          <w:rFonts w:ascii="Arial" w:cs="Arial" w:eastAsia="Arial" w:hAnsi="Arial"/>
          <w:sz w:val="24"/>
          <w:szCs w:val="24"/>
        </w:rPr>
        <w:t xml:space="preserve">For event patients (top row), the EPN correction tends to shift the survival curve downward after the event time, reflecting borrowed error corrections from neighbours who had similar event profiles. For censored patients (bottom row), the correction is more moderate, as the error signal is weaker for censored observations.</w:t>
      </w:r>
    </w:p>
    <w:p>
      <w:pPr>
        <w:pStyle w:val="Heading2"/>
        <w:spacing w:after="120" w:before="280"/>
      </w:pPr>
      <w:r>
        <w:rPr>
          <w:rFonts w:ascii="Arial" w:cs="Arial" w:eastAsia="Arial" w:hAnsi="Arial"/>
          <w:b/>
          <w:bCs/>
          <w:color w:val="2E75B6"/>
          <w:sz w:val="28"/>
          <w:szCs w:val="28"/>
        </w:rPr>
        <w:t xml:space="preserve">4.3 Quantitative Performance</w:t>
      </w:r>
    </w:p>
    <w:p>
      <w:pPr>
        <w:pStyle w:val="Heading3"/>
        <w:spacing w:after="80" w:before="200"/>
      </w:pPr>
      <w:r>
        <w:rPr>
          <w:rFonts w:ascii="Arial" w:cs="Arial" w:eastAsia="Arial" w:hAnsi="Arial"/>
          <w:b/>
          <w:bCs/>
          <w:color w:val="404040"/>
          <w:sz w:val="24"/>
          <w:szCs w:val="24"/>
        </w:rPr>
        <w:t xml:space="preserve">4.3.1 MLP vs. EPN (per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80"/>
        <w:gridCol w:w="2000"/>
        <w:gridCol w:w="1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Split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MLP C-index</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MLP IBS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EPN C-index</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EPN IBS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0.6546</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0.1718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0.5879</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0.1818</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0.6486</w:t>
            </w:r>
          </w:p>
        </w:tc>
        <w:tc>
          <w:tcPr>
            <w:tcW w:type="dxa" w:w="1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0.1558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0.6345</w:t>
            </w:r>
          </w:p>
        </w:tc>
        <w:tc>
          <w:tcPr>
            <w:tcW w:type="dxa" w:w="1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0.1606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0.6332</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0.1777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0.6055</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0.1822</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0.6578</w:t>
            </w:r>
          </w:p>
        </w:tc>
        <w:tc>
          <w:tcPr>
            <w:tcW w:type="dxa" w:w="1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0.1685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0.6347</w:t>
            </w:r>
          </w:p>
        </w:tc>
        <w:tc>
          <w:tcPr>
            <w:tcW w:type="dxa" w:w="1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0.1822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0.6491</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0.1605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0.6171</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0.1778</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Mean ± SD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0.6487 ± 0.0085</w:t>
            </w:r>
          </w:p>
        </w:tc>
        <w:tc>
          <w:tcPr>
            <w:tcW w:type="dxa" w:w="1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0.1669 ± 0.0078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0.6159 ± 0.0178</w:t>
            </w:r>
          </w:p>
        </w:tc>
        <w:tc>
          <w:tcPr>
            <w:tcW w:type="dxa" w:w="1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0.1769 ± 0.0083</w:t>
            </w:r>
          </w:p>
        </w:tc>
      </w:tr>
    </w:tbl>
    <w:p>
      <w:pPr>
        <w:spacing w:after="80"/>
      </w:pPr>
      <w:r>
        <w:rPr>
          <w:rFonts w:ascii="Arial" w:cs="Arial" w:eastAsia="Arial" w:hAnsi="Arial"/>
          <w:sz w:val="24"/>
          <w:szCs w:val="24"/>
        </w:rPr>
        <w:t xml:space="preserve"/>
      </w:r>
    </w:p>
    <w:p>
      <w:pPr>
        <w:pStyle w:val="Heading3"/>
        <w:spacing w:after="80" w:before="200"/>
      </w:pPr>
      <w:r>
        <w:rPr>
          <w:rFonts w:ascii="Arial" w:cs="Arial" w:eastAsia="Arial" w:hAnsi="Arial"/>
          <w:b/>
          <w:bCs/>
          <w:color w:val="404040"/>
          <w:sz w:val="24"/>
          <w:szCs w:val="24"/>
        </w:rPr>
        <w:t xml:space="preserve">4.3.2 All Models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C-index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IBS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SurvivalDGM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0.6043 ± 0.0244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0.1754 ± 0.0129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Probabilistic graph model (existing baseline)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MLP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0.6495 ± 0.0097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0.1664 ± 0.0086</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2-layer MLP, CoxPH loss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EPN (graph, k=10)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0.6157 ± 0.0159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0.1769 ± 0.0083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MLP + k-NN graph + attention (this project)</w:t>
            </w:r>
          </w:p>
        </w:tc>
      </w:tr>
    </w:tbl>
    <w:p>
      <w:pPr>
        <w:spacing w:after="80"/>
      </w:pPr>
      <w:r>
        <w:rPr>
          <w:rFonts w:ascii="Arial" w:cs="Arial" w:eastAsia="Arial" w:hAnsi="Arial"/>
          <w:sz w:val="24"/>
          <w:szCs w:val="24"/>
        </w:rPr>
        <w:t xml:space="preserve"/>
      </w:r>
    </w:p>
    <w:p>
      <w:pPr>
        <w:spacing w:after="180"/>
      </w:pPr>
      <w:r>
        <w:rPr>
          <w:rFonts w:ascii="Arial" w:cs="Arial" w:eastAsia="Arial" w:hAnsi="Arial"/>
          <w:sz w:val="24"/>
          <w:szCs w:val="24"/>
        </w:rPr>
        <w:t xml:space="preserve">The MLP achieves the highest C-index (0.6487) of all three models. The graph-integrated EPN (0.6157) outperforms SurvivalDGM (0.6043) but does not reach the MLP baseline. In terms of IBS, the MLP is also the best (0.1664), and EPN is similar to SurvivalDGM.</w:t>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5. Discussion</w:t>
      </w:r>
    </w:p>
    <w:p>
      <w:pPr>
        <w:pStyle w:val="Heading2"/>
        <w:spacing w:after="120" w:before="280"/>
      </w:pPr>
      <w:r>
        <w:rPr>
          <w:rFonts w:ascii="Arial" w:cs="Arial" w:eastAsia="Arial" w:hAnsi="Arial"/>
          <w:b/>
          <w:bCs/>
          <w:color w:val="2E75B6"/>
          <w:sz w:val="28"/>
          <w:szCs w:val="28"/>
        </w:rPr>
        <w:t xml:space="preserve">5.1 The MLP as a Strong Baseline</w:t>
      </w:r>
    </w:p>
    <w:p>
      <w:pPr>
        <w:spacing w:after="180"/>
      </w:pPr>
      <w:r>
        <w:rPr>
          <w:rFonts w:ascii="Arial" w:cs="Arial" w:eastAsia="Arial" w:hAnsi="Arial"/>
          <w:sz w:val="24"/>
          <w:szCs w:val="24"/>
        </w:rPr>
        <w:t xml:space="preserve">The MLP's strong performance (C-index = 0.6487) confirms that a well-configured feedforward network with a survival-appropriate loss function is already a competitive model for the METABRIC dataset. This aligns with a broader observation in the survival analysis literature: METABRIC is a relatively small dataset (n ≈ 1,900) with few features (9), and complex models that rely on population structure (such as graphs) may not provide consistent advantages in such settings.</w:t>
      </w:r>
    </w:p>
    <w:p>
      <w:pPr>
        <w:pStyle w:val="Heading2"/>
        <w:spacing w:after="120" w:before="280"/>
      </w:pPr>
      <w:r>
        <w:rPr>
          <w:rFonts w:ascii="Arial" w:cs="Arial" w:eastAsia="Arial" w:hAnsi="Arial"/>
          <w:b/>
          <w:bCs/>
          <w:color w:val="2E75B6"/>
          <w:sz w:val="28"/>
          <w:szCs w:val="28"/>
        </w:rPr>
        <w:t xml:space="preserve">5.2 Why EPN Does Not Yet Surpass the MLP</w:t>
      </w:r>
    </w:p>
    <w:p>
      <w:pPr>
        <w:spacing w:after="180"/>
      </w:pPr>
      <w:r>
        <w:rPr>
          <w:rFonts w:ascii="Arial" w:cs="Arial" w:eastAsia="Arial" w:hAnsi="Arial"/>
          <w:sz w:val="24"/>
          <w:szCs w:val="24"/>
        </w:rPr>
        <w:t xml:space="preserve">The EPN's core assumption is that patients with similar clinical features make similar prediction errors. If this holds, correcting predictions using neighbour errors should improve results. However, several factors explain why it does not yet outperform the MLP:</w:t>
      </w:r>
    </w:p>
    <w:p>
      <w:pPr>
        <w:pStyle w:val="ListParagraph"/>
        <w:numPr>
          <w:ilvl w:val="0"/>
          <w:numId w:val="2"/>
        </w:numPr>
        <w:spacing w:after="100"/>
      </w:pPr>
      <w:r>
        <w:rPr>
          <w:rFonts w:ascii="Arial" w:cs="Arial" w:eastAsia="Arial" w:hAnsi="Arial"/>
          <w:sz w:val="24"/>
          <w:szCs w:val="24"/>
        </w:rPr>
        <w:t xml:space="preserve">Hyperparameters are untuned: k=10, 50 training epochs, and default learning rate were used without systematic search. Performance may improve significantly with optimisation.</w:t>
      </w:r>
    </w:p>
    <w:p>
      <w:pPr>
        <w:pStyle w:val="ListParagraph"/>
        <w:numPr>
          <w:ilvl w:val="0"/>
          <w:numId w:val="2"/>
        </w:numPr>
        <w:spacing w:after="100"/>
      </w:pPr>
      <w:r>
        <w:rPr>
          <w:rFonts w:ascii="Arial" w:cs="Arial" w:eastAsia="Arial" w:hAnsi="Arial"/>
          <w:sz w:val="24"/>
          <w:szCs w:val="24"/>
        </w:rPr>
        <w:t xml:space="preserve">Feature space similarity may not align with error similarity: patients who are similar in 9-dimensional clinical feature space may not share prediction errors for complex biological reasons.</w:t>
      </w:r>
    </w:p>
    <w:p>
      <w:pPr>
        <w:pStyle w:val="ListParagraph"/>
        <w:numPr>
          <w:ilvl w:val="0"/>
          <w:numId w:val="2"/>
        </w:numPr>
        <w:spacing w:after="100"/>
      </w:pPr>
      <w:r>
        <w:rPr>
          <w:rFonts w:ascii="Arial" w:cs="Arial" w:eastAsia="Arial" w:hAnsi="Arial"/>
          <w:sz w:val="24"/>
          <w:szCs w:val="24"/>
        </w:rPr>
        <w:t xml:space="preserve">Limited training data: with ~1,523 training patients, the population graph may not contain enough diverse error signals. EPN-type methods tend to work better with larger datasets (e.g., SUPPORT, n ≈ 9,000).</w:t>
      </w:r>
    </w:p>
    <w:p>
      <w:pPr>
        <w:pStyle w:val="ListParagraph"/>
        <w:numPr>
          <w:ilvl w:val="0"/>
          <w:numId w:val="2"/>
        </w:numPr>
        <w:spacing w:after="100"/>
      </w:pPr>
      <w:r>
        <w:rPr>
          <w:rFonts w:ascii="Arial" w:cs="Arial" w:eastAsia="Arial" w:hAnsi="Arial"/>
          <w:sz w:val="24"/>
          <w:szCs w:val="24"/>
        </w:rPr>
        <w:t xml:space="preserve">Loss function mismatch: MLP uses CoxPH loss while EPN uses CoxCC loss. These are not directly comparable, making it difficult to isolate the graph correction's contribution.</w:t>
      </w:r>
    </w:p>
    <w:p>
      <w:pPr>
        <w:pStyle w:val="Heading2"/>
        <w:spacing w:after="120" w:before="280"/>
      </w:pPr>
      <w:r>
        <w:rPr>
          <w:rFonts w:ascii="Arial" w:cs="Arial" w:eastAsia="Arial" w:hAnsi="Arial"/>
          <w:b/>
          <w:bCs/>
          <w:color w:val="2E75B6"/>
          <w:sz w:val="28"/>
          <w:szCs w:val="28"/>
        </w:rPr>
        <w:t xml:space="preserve">5.3 Implementation Achievements</w:t>
      </w:r>
    </w:p>
    <w:p>
      <w:pPr>
        <w:spacing w:after="180"/>
      </w:pPr>
      <w:r>
        <w:rPr>
          <w:rFonts w:ascii="Arial" w:cs="Arial" w:eastAsia="Arial" w:hAnsi="Arial"/>
          <w:sz w:val="24"/>
          <w:szCs w:val="24"/>
        </w:rPr>
        <w:t xml:space="preserve">Despite the performance results, the implementation achieves several important engineering goals:</w:t>
      </w:r>
    </w:p>
    <w:p>
      <w:pPr>
        <w:pStyle w:val="ListParagraph"/>
        <w:numPr>
          <w:ilvl w:val="0"/>
          <w:numId w:val="2"/>
        </w:numPr>
        <w:spacing w:after="100"/>
      </w:pPr>
      <w:r>
        <w:rPr>
          <w:rFonts w:ascii="Arial" w:cs="Arial" w:eastAsia="Arial" w:hAnsi="Arial"/>
          <w:sz w:val="24"/>
          <w:szCs w:val="24"/>
        </w:rPr>
        <w:t xml:space="preserve">The entire EPN logic is reimplemented from scratch in tensor-only code — no DataFrames, no surv_epn imports at runtime.</w:t>
      </w:r>
    </w:p>
    <w:p>
      <w:pPr>
        <w:pStyle w:val="ListParagraph"/>
        <w:numPr>
          <w:ilvl w:val="0"/>
          <w:numId w:val="2"/>
        </w:numPr>
        <w:spacing w:after="100"/>
      </w:pPr>
      <w:r>
        <w:rPr>
          <w:rFonts w:ascii="Arial" w:cs="Arial" w:eastAsia="Arial" w:hAnsi="Arial"/>
          <w:sz w:val="24"/>
          <w:szCs w:val="24"/>
        </w:rPr>
        <w:t xml:space="preserve">Memory usage is reduced from a prohibitive ~12.9 GB to ~14 MB per step through graph-constrained attention and mini-batching.</w:t>
      </w:r>
    </w:p>
    <w:p>
      <w:pPr>
        <w:pStyle w:val="ListParagraph"/>
        <w:numPr>
          <w:ilvl w:val="0"/>
          <w:numId w:val="2"/>
        </w:numPr>
        <w:spacing w:after="100"/>
      </w:pPr>
      <w:r>
        <w:rPr>
          <w:rFonts w:ascii="Arial" w:cs="Arial" w:eastAsia="Arial" w:hAnsi="Arial"/>
          <w:sz w:val="24"/>
          <w:szCs w:val="24"/>
        </w:rPr>
        <w:t xml:space="preserve">The codebase is modular and follows the Lightning framework's conventions, consistent with Valentin's existing pipeline.</w:t>
      </w:r>
    </w:p>
    <w:p>
      <w:pPr>
        <w:pStyle w:val="ListParagraph"/>
        <w:numPr>
          <w:ilvl w:val="0"/>
          <w:numId w:val="2"/>
        </w:numPr>
        <w:spacing w:after="100"/>
      </w:pPr>
      <w:r>
        <w:rPr>
          <w:rFonts w:ascii="Arial" w:cs="Arial" w:eastAsia="Arial" w:hAnsi="Arial"/>
          <w:sz w:val="24"/>
          <w:szCs w:val="24"/>
        </w:rPr>
        <w:t xml:space="preserve">Hydra configuration management enables reproducible experiments with command-line parameter overrides.</w:t>
      </w:r>
    </w:p>
    <w:p>
      <w:pPr>
        <w:pStyle w:val="Heading2"/>
        <w:spacing w:after="120" w:before="280"/>
      </w:pPr>
      <w:r>
        <w:rPr>
          <w:rFonts w:ascii="Arial" w:cs="Arial" w:eastAsia="Arial" w:hAnsi="Arial"/>
          <w:b/>
          <w:bCs/>
          <w:color w:val="2E75B6"/>
          <w:sz w:val="28"/>
          <w:szCs w:val="28"/>
        </w:rPr>
        <w:t xml:space="preserve">5.4 Future Improvements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Area</w:t>
            </w:r>
          </w:p>
        </w:tc>
        <w:tc>
          <w:tcPr>
            <w:tcW w:type="dxa" w:w="65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Potential Improvement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Graph size (k)</w:t>
            </w:r>
          </w:p>
        </w:tc>
        <w:tc>
          <w:tcPr>
            <w:tcW w:type="dxa" w:w="6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Grid search over k ∈ {5, 10, 20, 50} — larger k may provide richer error signals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Training epochs</w:t>
            </w:r>
          </w:p>
        </w:tc>
        <w:tc>
          <w:tcPr>
            <w:tcW w:type="dxa" w:w="65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EPN with 100+ epochs may converge to a better attention mechanism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Loss alignment</w:t>
            </w:r>
          </w:p>
        </w:tc>
        <w:tc>
          <w:tcPr>
            <w:tcW w:type="dxa" w:w="6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Using CoxPH for EPN (instead of CoxCC) for direct comparison with MLP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2"/>
                <w:szCs w:val="22"/>
              </w:rPr>
              <w:t xml:space="preserve">Graph construction</w:t>
            </w:r>
          </w:p>
        </w:tc>
        <w:tc>
          <w:tcPr>
            <w:tcW w:type="dxa" w:w="65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2"/>
                <w:szCs w:val="22"/>
              </w:rPr>
              <w:t xml:space="preserve">Feature-importance-weighted similarity or learned graph edges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Dataset scale</w:t>
            </w:r>
          </w:p>
        </w:tc>
        <w:tc>
          <w:tcPr>
            <w:tcW w:type="dxa" w:w="6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Testing on SUPPORT (n ≈ 9,000) where population-based corrections are more effective</w:t>
            </w:r>
          </w:p>
        </w:tc>
      </w:tr>
    </w:tbl>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6. Conclusion</w:t>
      </w:r>
    </w:p>
    <w:p>
      <w:pPr>
        <w:spacing w:after="180"/>
      </w:pPr>
      <w:r>
        <w:rPr>
          <w:rFonts w:ascii="Arial" w:cs="Arial" w:eastAsia="Arial" w:hAnsi="Arial"/>
          <w:sz w:val="24"/>
          <w:szCs w:val="24"/>
        </w:rPr>
        <w:t xml:space="preserve">This project successfully integrated the Error Propagation Network (EPN) into a PyTorch Lightning survival analysis pipeline for the METABRIC breast cancer dataset. The primary engineering goals were all achieved:</w:t>
      </w:r>
    </w:p>
    <w:p>
      <w:pPr>
        <w:pStyle w:val="ListParagraph"/>
        <w:numPr>
          <w:ilvl w:val="0"/>
          <w:numId w:val="2"/>
        </w:numPr>
        <w:spacing w:after="100"/>
      </w:pPr>
      <w:r>
        <w:rPr>
          <w:rFonts w:ascii="Arial" w:cs="Arial" w:eastAsia="Arial" w:hAnsi="Arial"/>
          <w:sz w:val="24"/>
          <w:szCs w:val="24"/>
        </w:rPr>
        <w:t xml:space="preserve">A two-layer MLP was wrapped as a Lightning module and trained with CoxPH loss, achieving C-index = 0.6495 on 5-fold cross-validation — the best of all tested models.</w:t>
      </w:r>
    </w:p>
    <w:p>
      <w:pPr>
        <w:pStyle w:val="ListParagraph"/>
        <w:numPr>
          <w:ilvl w:val="0"/>
          <w:numId w:val="2"/>
        </w:numPr>
        <w:spacing w:after="100"/>
      </w:pPr>
      <w:r>
        <w:rPr>
          <w:rFonts w:ascii="Arial" w:cs="Arial" w:eastAsia="Arial" w:hAnsi="Arial"/>
          <w:sz w:val="24"/>
          <w:szCs w:val="24"/>
        </w:rPr>
        <w:t xml:space="preserve">An explicit k-NN patient similarity graph (k=10, cosine similarity) was implemented using PyTorch Geometric, following the supervisor's architecture recommendation.</w:t>
      </w:r>
    </w:p>
    <w:p>
      <w:pPr>
        <w:pStyle w:val="ListParagraph"/>
        <w:numPr>
          <w:ilvl w:val="0"/>
          <w:numId w:val="2"/>
        </w:numPr>
        <w:spacing w:after="100"/>
      </w:pPr>
      <w:r>
        <w:rPr>
          <w:rFonts w:ascii="Arial" w:cs="Arial" w:eastAsia="Arial" w:hAnsi="Arial"/>
          <w:sz w:val="24"/>
          <w:szCs w:val="24"/>
        </w:rPr>
        <w:t xml:space="preserve">The full EPN correction model was reimplemented as a tensor-only, DataFrame-free Lightning module, addressing the Bad Practice identified by the supervisor.</w:t>
      </w:r>
    </w:p>
    <w:p>
      <w:pPr>
        <w:pStyle w:val="ListParagraph"/>
        <w:numPr>
          <w:ilvl w:val="0"/>
          <w:numId w:val="2"/>
        </w:numPr>
        <w:spacing w:after="100"/>
      </w:pPr>
      <w:r>
        <w:rPr>
          <w:rFonts w:ascii="Arial" w:cs="Arial" w:eastAsia="Arial" w:hAnsi="Arial"/>
          <w:sz w:val="24"/>
          <w:szCs w:val="24"/>
        </w:rPr>
        <w:t xml:space="preserve">A mini-batch + graph approach reduced memory usage from ~12.9 GB to ~14 MB per forward step (26x reduction), making training practical on standard hardware.</w:t>
      </w:r>
    </w:p>
    <w:p>
      <w:pPr>
        <w:pStyle w:val="ListParagraph"/>
        <w:numPr>
          <w:ilvl w:val="0"/>
          <w:numId w:val="2"/>
        </w:numPr>
        <w:spacing w:after="100"/>
      </w:pPr>
      <w:r>
        <w:rPr>
          <w:rFonts w:ascii="Arial" w:cs="Arial" w:eastAsia="Arial" w:hAnsi="Arial"/>
          <w:sz w:val="24"/>
          <w:szCs w:val="24"/>
        </w:rPr>
        <w:t xml:space="preserve">Hydra configuration management was integrated, enabling reproducible experiments with command-line hyperparameter overrides.</w:t>
      </w:r>
    </w:p>
    <w:p>
      <w:pPr>
        <w:spacing w:after="80"/>
      </w:pPr>
      <w:r>
        <w:rPr>
          <w:rFonts w:ascii="Arial" w:cs="Arial" w:eastAsia="Arial" w:hAnsi="Arial"/>
          <w:sz w:val="24"/>
          <w:szCs w:val="24"/>
        </w:rPr>
        <w:t xml:space="preserve"/>
      </w:r>
    </w:p>
    <w:p>
      <w:pPr>
        <w:spacing w:after="180"/>
      </w:pPr>
      <w:r>
        <w:rPr>
          <w:rFonts w:ascii="Arial" w:cs="Arial" w:eastAsia="Arial" w:hAnsi="Arial"/>
          <w:sz w:val="24"/>
          <w:szCs w:val="24"/>
        </w:rPr>
        <w:t xml:space="preserve">The graph-integrated EPN achieved C-index = 0.6157, surpassing the SurvivalDGM baseline (0.6043) but not yet reaching the MLP baseline (0.6495). This confirms the supervisor's hypothesis that EPN-style correction may be overly complex for a small dataset like METABRIC with 9 clinical features. The most promising direction for improvement is hyperparameter optimisation, particularly the graph neighbourhood size k and the number of EPN training epochs.</w:t>
      </w:r>
    </w:p>
    <w:p>
      <w:pPr>
        <w:spacing w:after="180"/>
      </w:pPr>
      <w:r>
        <w:rPr>
          <w:rFonts w:ascii="Arial" w:cs="Arial" w:eastAsia="Arial" w:hAnsi="Arial"/>
          <w:sz w:val="24"/>
          <w:szCs w:val="24"/>
        </w:rPr>
        <w:t xml:space="preserve">The codebase is modular, well-structured, and ready for future experimentation. The entire EPN integration is self-contained within Valentin's pipeline, with surv_epn serving only as a reference for the algorithm design.</w:t>
      </w:r>
    </w:p>
    <w:p>
      <w:pPr>
        <w:spacing w:after="80"/>
      </w:pPr>
      <w:r>
        <w:rPr>
          <w:rFonts w:ascii="Arial" w:cs="Arial" w:eastAsia="Arial" w:hAnsi="Arial"/>
          <w:sz w:val="24"/>
          <w:szCs w:val="24"/>
        </w:rPr>
        <w:t xml:space="preserve"/>
      </w:r>
    </w:p>
    <w:p>
      <w:r>
        <w:br w:type="page"/>
      </w:r>
    </w:p>
    <w:p>
      <w:pPr>
        <w:pStyle w:val="Heading1"/>
        <w:pBdr>
          <w:bottom w:val="single" w:color="2E75B6" w:sz="6" w:space="4"/>
        </w:pBdr>
        <w:spacing w:after="200" w:before="0"/>
      </w:pPr>
      <w:r>
        <w:rPr>
          <w:rFonts w:ascii="Arial" w:cs="Arial" w:eastAsia="Arial" w:hAnsi="Arial"/>
          <w:b/>
          <w:bCs/>
          <w:color w:val="1F4E79"/>
          <w:sz w:val="36"/>
          <w:szCs w:val="36"/>
        </w:rPr>
        <w:t xml:space="preserve">References</w:t>
      </w:r>
    </w:p>
    <w:p>
      <w:pPr>
        <w:spacing w:after="180"/>
      </w:pPr>
      <w:r>
        <w:rPr>
          <w:rFonts w:ascii="Arial" w:cs="Arial" w:eastAsia="Arial" w:hAnsi="Arial"/>
          <w:b/>
          <w:bCs/>
          <w:sz w:val="22"/>
          <w:szCs w:val="22"/>
        </w:rPr>
        <w:t xml:space="preserve">[1]  </w:t>
      </w:r>
      <w:r>
        <w:rPr>
          <w:rFonts w:ascii="Arial" w:cs="Arial" w:eastAsia="Arial" w:hAnsi="Arial"/>
          <w:sz w:val="22"/>
          <w:szCs w:val="22"/>
        </w:rPr>
        <w:t xml:space="preserve">Blondel, O. (2022). surv_epn: Error Propagation Network for survival analysis. Internal research code. INSA Lyon.</w:t>
      </w:r>
    </w:p>
    <w:p>
      <w:pPr>
        <w:spacing w:after="180"/>
      </w:pPr>
      <w:r>
        <w:rPr>
          <w:rFonts w:ascii="Arial" w:cs="Arial" w:eastAsia="Arial" w:hAnsi="Arial"/>
          <w:b/>
          <w:bCs/>
          <w:sz w:val="22"/>
          <w:szCs w:val="22"/>
        </w:rPr>
        <w:t xml:space="preserve">[2]  </w:t>
      </w:r>
      <w:r>
        <w:rPr>
          <w:rFonts w:ascii="Arial" w:cs="Arial" w:eastAsia="Arial" w:hAnsi="Arial"/>
          <w:sz w:val="22"/>
          <w:szCs w:val="22"/>
        </w:rPr>
        <w:t xml:space="preserve">Curtis, C. et al. (2012). The genomic and transcriptomic architecture of 2,000 breast tumours reveals novel subgroups. Nature, 486, 346–352.</w:t>
      </w:r>
    </w:p>
    <w:p>
      <w:pPr>
        <w:spacing w:after="180"/>
      </w:pPr>
      <w:r>
        <w:rPr>
          <w:rFonts w:ascii="Arial" w:cs="Arial" w:eastAsia="Arial" w:hAnsi="Arial"/>
          <w:b/>
          <w:bCs/>
          <w:sz w:val="22"/>
          <w:szCs w:val="22"/>
        </w:rPr>
        <w:t xml:space="preserve">[3]  </w:t>
      </w:r>
      <w:r>
        <w:rPr>
          <w:rFonts w:ascii="Arial" w:cs="Arial" w:eastAsia="Arial" w:hAnsi="Arial"/>
          <w:sz w:val="22"/>
          <w:szCs w:val="22"/>
        </w:rPr>
        <w:t xml:space="preserve">Kvamme, H., Borgan, O., &amp; Scheel, I. (2019). Time-to-event prediction with neural networks and Cox regression. Journal of Machine Learning Research, 20(129), 1–30.</w:t>
      </w:r>
    </w:p>
    <w:p>
      <w:pPr>
        <w:spacing w:after="180"/>
      </w:pPr>
      <w:r>
        <w:rPr>
          <w:rFonts w:ascii="Arial" w:cs="Arial" w:eastAsia="Arial" w:hAnsi="Arial"/>
          <w:b/>
          <w:bCs/>
          <w:sz w:val="22"/>
          <w:szCs w:val="22"/>
        </w:rPr>
        <w:t xml:space="preserve">[4]  </w:t>
      </w:r>
      <w:r>
        <w:rPr>
          <w:rFonts w:ascii="Arial" w:cs="Arial" w:eastAsia="Arial" w:hAnsi="Arial"/>
          <w:sz w:val="22"/>
          <w:szCs w:val="22"/>
        </w:rPr>
        <w:t xml:space="preserve">Falcon, W. et al. (2019). PyTorch Lightning. GitHub. https://github.com/Lightning-AI/pytorch-lightning</w:t>
      </w:r>
    </w:p>
    <w:p>
      <w:pPr>
        <w:spacing w:after="180"/>
      </w:pPr>
      <w:r>
        <w:rPr>
          <w:rFonts w:ascii="Arial" w:cs="Arial" w:eastAsia="Arial" w:hAnsi="Arial"/>
          <w:b/>
          <w:bCs/>
          <w:sz w:val="22"/>
          <w:szCs w:val="22"/>
        </w:rPr>
        <w:t xml:space="preserve">[5]  </w:t>
      </w:r>
      <w:r>
        <w:rPr>
          <w:rFonts w:ascii="Arial" w:cs="Arial" w:eastAsia="Arial" w:hAnsi="Arial"/>
          <w:sz w:val="22"/>
          <w:szCs w:val="22"/>
        </w:rPr>
        <w:t xml:space="preserve">Fey, M. &amp; Lenssen, J. E. (2019). Fast Graph Representation Learning with PyTorch Geometric. ICLR Workshop on Representation Learning on Graphs and Manifolds.</w:t>
      </w:r>
    </w:p>
    <w:p>
      <w:pPr>
        <w:spacing w:after="180"/>
      </w:pPr>
      <w:r>
        <w:rPr>
          <w:rFonts w:ascii="Arial" w:cs="Arial" w:eastAsia="Arial" w:hAnsi="Arial"/>
          <w:b/>
          <w:bCs/>
          <w:sz w:val="22"/>
          <w:szCs w:val="22"/>
        </w:rPr>
        <w:t xml:space="preserve">[6]  </w:t>
      </w:r>
      <w:r>
        <w:rPr>
          <w:rFonts w:ascii="Arial" w:cs="Arial" w:eastAsia="Arial" w:hAnsi="Arial"/>
          <w:sz w:val="22"/>
          <w:szCs w:val="22"/>
        </w:rPr>
        <w:t xml:space="preserve">Yao, D. et al. (2023). Hydra: A framework for elegant experiment management. Meta AI.</w:t>
      </w:r>
    </w:p>
    <w:p>
      <w:pPr>
        <w:spacing w:after="180"/>
      </w:pPr>
      <w:r>
        <w:rPr>
          <w:rFonts w:ascii="Arial" w:cs="Arial" w:eastAsia="Arial" w:hAnsi="Arial"/>
          <w:b/>
          <w:bCs/>
          <w:sz w:val="22"/>
          <w:szCs w:val="22"/>
        </w:rPr>
        <w:t xml:space="preserve">[7]  </w:t>
      </w:r>
      <w:r>
        <w:rPr>
          <w:rFonts w:ascii="Arial" w:cs="Arial" w:eastAsia="Arial" w:hAnsi="Arial"/>
          <w:sz w:val="22"/>
          <w:szCs w:val="22"/>
        </w:rPr>
        <w:t xml:space="preserve">Katzman, J. L. et al. (2018). DeepSurv: personalized treatment recommender system using a Cox proportional hazards deep neural network. BMC Medical Research Methodology, 18(1), 24.</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pPr>
    <w:r>
      <w:rPr>
        <w:rFonts w:ascii="Arial" w:cs="Arial" w:eastAsia="Arial" w:hAnsi="Arial"/>
        <w:color w:val="888888"/>
        <w:sz w:val="18"/>
        <w:szCs w:val="18"/>
      </w:rPr>
      <w:t xml:space="preserve">Integration of Graph-Based EPN into a PyTorch Lightning Survival Analysis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548fae26d54cbd5c0283b91b9fe2ced290c03.png"/><Relationship Id="rId10" Type="http://schemas.openxmlformats.org/officeDocument/2006/relationships/image" Target="media/be1273c78a9efa9df8c865b927c5ad952f2eb4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2026-06-21T21:45:01.047Z</dcterms:created>
  <dcterms:modified xsi:type="dcterms:W3CDTF">2026-06-21T21:45:01.047Z</dcterms:modified>
</cp:coreProperties>
</file>

<file path=docProps/custom.xml><?xml version="1.0" encoding="utf-8"?>
<Properties xmlns="http://schemas.openxmlformats.org/officeDocument/2006/custom-properties" xmlns:vt="http://schemas.openxmlformats.org/officeDocument/2006/docPropsVTypes"/>
</file>