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tbl>
      <w:tblPr>
        <w:tblW w:w="13572" w:type="dxa"/>
        <w:jc w:val="start"/>
        <w:tblInd w:w="0" w:type="dxa"/>
        <w:tblLayout w:type="fixed"/>
        <w:tblCellMar>
          <w:top w:w="28" w:type="dxa"/>
          <w:start w:w="28" w:type="dxa"/>
          <w:bottom w:w="28" w:type="dxa"/>
          <w:end w:w="28" w:type="dxa"/>
        </w:tblCellMar>
      </w:tblPr>
      <w:tblGrid>
        <w:gridCol w:w="1950"/>
        <w:gridCol w:w="4784"/>
        <w:gridCol w:w="6838"/>
      </w:tblGrid>
      <w:tr>
        <w:trPr>
          <w:tblHeader w:val="true"/>
        </w:trPr>
        <w:tc>
          <w:tcPr>
            <w:tcW w:w="1950" w:type="dxa"/>
            <w:tcBorders/>
            <w:vAlign w:val="center"/>
          </w:tcPr>
          <w:p>
            <w:pPr>
              <w:pStyle w:val="TableHeading"/>
              <w:suppressLineNumbers/>
              <w:bidi w:val="0"/>
              <w:jc w:val="center"/>
              <w:rPr/>
            </w:pPr>
            <w:r>
              <w:rPr/>
              <w:t>Area</w:t>
            </w:r>
          </w:p>
        </w:tc>
        <w:tc>
          <w:tcPr>
            <w:tcW w:w="4784" w:type="dxa"/>
            <w:tcBorders/>
            <w:vAlign w:val="center"/>
          </w:tcPr>
          <w:p>
            <w:pPr>
              <w:pStyle w:val="TableHeading"/>
              <w:suppressLineNumbers/>
              <w:bidi w:val="0"/>
              <w:jc w:val="center"/>
              <w:rPr/>
            </w:pPr>
            <w:r>
              <w:rPr/>
              <w:t>Ambiguity / question</w:t>
            </w:r>
          </w:p>
        </w:tc>
        <w:tc>
          <w:tcPr>
            <w:tcW w:w="6838" w:type="dxa"/>
            <w:tcBorders/>
            <w:vAlign w:val="center"/>
          </w:tcPr>
          <w:p>
            <w:pPr>
              <w:pStyle w:val="TableHeading"/>
              <w:bidi w:val="0"/>
              <w:rPr/>
            </w:pPr>
            <w:r>
              <w:rPr/>
              <w:t>Response</w:t>
            </w:r>
          </w:p>
        </w:tc>
      </w:tr>
      <w:tr>
        <w:trPr/>
        <w:tc>
          <w:tcPr>
            <w:tcW w:w="1950" w:type="dxa"/>
            <w:tcBorders/>
            <w:vAlign w:val="center"/>
          </w:tcPr>
          <w:p>
            <w:pPr>
              <w:pStyle w:val="TableContents"/>
              <w:widowControl w:val="false"/>
              <w:suppressLineNumbers/>
              <w:bidi w:val="0"/>
              <w:jc w:val="start"/>
              <w:rPr/>
            </w:pPr>
            <w:r>
              <w:rPr>
                <w:rStyle w:val="Strong"/>
              </w:rPr>
              <w:t>Primary objective</w:t>
            </w:r>
          </w:p>
        </w:tc>
        <w:tc>
          <w:tcPr>
            <w:tcW w:w="4784" w:type="dxa"/>
            <w:tcBorders/>
            <w:vAlign w:val="center"/>
          </w:tcPr>
          <w:p>
            <w:pPr>
              <w:pStyle w:val="TableContents"/>
              <w:widowControl w:val="false"/>
              <w:suppressLineNumbers/>
              <w:bidi w:val="0"/>
              <w:jc w:val="start"/>
              <w:rPr/>
            </w:pPr>
            <w:r>
              <w:rPr/>
              <w:t>Is “preserve and expand long-term flourishing” now the settled Primary Objective, or should the reference architecture still allow alternate candidate primary objectives?</w:t>
            </w:r>
          </w:p>
        </w:tc>
        <w:tc>
          <w:tcPr>
            <w:tcW w:w="6838" w:type="dxa"/>
            <w:tcBorders/>
            <w:vAlign w:val="center"/>
          </w:tcPr>
          <w:p>
            <w:pPr>
              <w:pStyle w:val="TableContents"/>
              <w:bidi w:val="0"/>
              <w:jc w:val="start"/>
              <w:rPr/>
            </w:pPr>
            <w:r>
              <w:rPr/>
              <w:t>Currently “preserve and expand long-term flourishing” is the primary objective.  The objects that experience the flourishing have not been fully defined and may be unconstrained in quantity.</w:t>
            </w:r>
          </w:p>
        </w:tc>
      </w:tr>
      <w:tr>
        <w:trPr/>
        <w:tc>
          <w:tcPr>
            <w:tcW w:w="1950" w:type="dxa"/>
            <w:tcBorders/>
            <w:vAlign w:val="center"/>
          </w:tcPr>
          <w:p>
            <w:pPr>
              <w:pStyle w:val="TableContents"/>
              <w:widowControl w:val="false"/>
              <w:suppressLineNumbers/>
              <w:bidi w:val="0"/>
              <w:jc w:val="start"/>
              <w:rPr/>
            </w:pPr>
            <w:r>
              <w:rPr>
                <w:rStyle w:val="Strong"/>
              </w:rPr>
              <w:t>Objective vs. axiom</w:t>
            </w:r>
          </w:p>
        </w:tc>
        <w:tc>
          <w:tcPr>
            <w:tcW w:w="4784" w:type="dxa"/>
            <w:tcBorders/>
            <w:vAlign w:val="center"/>
          </w:tcPr>
          <w:p>
            <w:pPr>
              <w:pStyle w:val="TableContents"/>
              <w:widowControl w:val="false"/>
              <w:suppressLineNumbers/>
              <w:bidi w:val="0"/>
              <w:jc w:val="start"/>
              <w:rPr/>
            </w:pPr>
            <w:r>
              <w:rPr/>
              <w:t>Should the Foundational Axiom be treated as the source of the objective, a constraint on objectives, or the constitutional rule that governs the whole architecture?</w:t>
            </w:r>
          </w:p>
        </w:tc>
        <w:tc>
          <w:tcPr>
            <w:tcW w:w="6838" w:type="dxa"/>
            <w:tcBorders/>
            <w:vAlign w:val="center"/>
          </w:tcPr>
          <w:p>
            <w:pPr>
              <w:pStyle w:val="TableContents"/>
              <w:bidi w:val="0"/>
              <w:jc w:val="start"/>
              <w:rPr/>
            </w:pPr>
            <w:r>
              <w:rPr/>
              <w:t>The Foundational Axiom serves as a means to limit abuse of the actors to satisfy the primary objective.  This is meant to limit the exposure to “the ends justifying the means”.</w:t>
            </w:r>
          </w:p>
        </w:tc>
      </w:tr>
      <w:tr>
        <w:trPr/>
        <w:tc>
          <w:tcPr>
            <w:tcW w:w="1950" w:type="dxa"/>
            <w:tcBorders/>
            <w:vAlign w:val="center"/>
          </w:tcPr>
          <w:p>
            <w:pPr>
              <w:pStyle w:val="TableContents"/>
              <w:widowControl w:val="false"/>
              <w:suppressLineNumbers/>
              <w:bidi w:val="0"/>
              <w:jc w:val="start"/>
              <w:rPr/>
            </w:pPr>
            <w:r>
              <w:rPr>
                <w:rStyle w:val="Strong"/>
              </w:rPr>
              <w:t>Meaning of “objective”</w:t>
            </w:r>
          </w:p>
        </w:tc>
        <w:tc>
          <w:tcPr>
            <w:tcW w:w="4784" w:type="dxa"/>
            <w:tcBorders/>
            <w:vAlign w:val="center"/>
          </w:tcPr>
          <w:p>
            <w:pPr>
              <w:pStyle w:val="TableContents"/>
              <w:widowControl w:val="false"/>
              <w:suppressLineNumbers/>
              <w:bidi w:val="0"/>
              <w:jc w:val="start"/>
              <w:rPr/>
            </w:pPr>
            <w:r>
              <w:rPr/>
              <w:t>Does “Objective-Based” primarily mean goal-directed, non-subjective, or both? This matters because “objective moral assessment” and “objectives” may otherwise be conflated.</w:t>
            </w:r>
          </w:p>
        </w:tc>
        <w:tc>
          <w:tcPr>
            <w:tcW w:w="6838" w:type="dxa"/>
            <w:tcBorders/>
            <w:vAlign w:val="center"/>
          </w:tcPr>
          <w:p>
            <w:pPr>
              <w:pStyle w:val="TableContents"/>
              <w:bidi w:val="0"/>
              <w:jc w:val="start"/>
              <w:rPr/>
            </w:pPr>
            <w:r>
              <w:rPr/>
              <w:t>Objective was chosen to prioritize non-subjective premises and establish a standard that discounts ambiguity, ideology and arguments relying upon faith and believe.</w:t>
            </w:r>
          </w:p>
        </w:tc>
      </w:tr>
      <w:tr>
        <w:trPr/>
        <w:tc>
          <w:tcPr>
            <w:tcW w:w="1950" w:type="dxa"/>
            <w:tcBorders/>
            <w:vAlign w:val="center"/>
          </w:tcPr>
          <w:p>
            <w:pPr>
              <w:pStyle w:val="TableContents"/>
              <w:widowControl w:val="false"/>
              <w:suppressLineNumbers/>
              <w:bidi w:val="0"/>
              <w:jc w:val="start"/>
              <w:rPr/>
            </w:pPr>
            <w:r>
              <w:rPr>
                <w:rStyle w:val="Strong"/>
              </w:rPr>
              <w:t>World Context</w:t>
            </w:r>
          </w:p>
        </w:tc>
        <w:tc>
          <w:tcPr>
            <w:tcW w:w="4784" w:type="dxa"/>
            <w:tcBorders/>
            <w:vAlign w:val="center"/>
          </w:tcPr>
          <w:p>
            <w:pPr>
              <w:pStyle w:val="TableContents"/>
              <w:widowControl w:val="false"/>
              <w:suppressLineNumbers/>
              <w:bidi w:val="0"/>
              <w:jc w:val="start"/>
              <w:rPr/>
            </w:pPr>
            <w:r>
              <w:rPr/>
              <w:t>Is World Context the complete theoretical world state, or the complete relevant state for the assessment? The document uses “complete relevant state,” which may need precision.</w:t>
            </w:r>
          </w:p>
        </w:tc>
        <w:tc>
          <w:tcPr>
            <w:tcW w:w="6838" w:type="dxa"/>
            <w:tcBorders/>
            <w:vAlign w:val="center"/>
          </w:tcPr>
          <w:p>
            <w:pPr>
              <w:pStyle w:val="TableContents"/>
              <w:bidi w:val="0"/>
              <w:jc w:val="start"/>
              <w:rPr/>
            </w:pPr>
            <w:r>
              <w:rPr/>
              <w:t>“</w:t>
            </w:r>
            <w:r>
              <w:rPr/>
              <w:t>World Context” is the complete theoretical world state.  The relevant state provides flexibility to limit the quantity of attributes and conditions that would be necessary to consider to execute an assessment.</w:t>
            </w:r>
          </w:p>
        </w:tc>
      </w:tr>
      <w:tr>
        <w:trPr/>
        <w:tc>
          <w:tcPr>
            <w:tcW w:w="1950" w:type="dxa"/>
            <w:tcBorders/>
            <w:vAlign w:val="center"/>
          </w:tcPr>
          <w:p>
            <w:pPr>
              <w:pStyle w:val="TableContents"/>
              <w:widowControl w:val="false"/>
              <w:suppressLineNumbers/>
              <w:bidi w:val="0"/>
              <w:jc w:val="start"/>
              <w:rPr/>
            </w:pPr>
            <w:r>
              <w:rPr>
                <w:rStyle w:val="Strong"/>
              </w:rPr>
              <w:t>Assessment Boundary</w:t>
            </w:r>
          </w:p>
        </w:tc>
        <w:tc>
          <w:tcPr>
            <w:tcW w:w="4784" w:type="dxa"/>
            <w:tcBorders/>
            <w:vAlign w:val="center"/>
          </w:tcPr>
          <w:p>
            <w:pPr>
              <w:pStyle w:val="TableContents"/>
              <w:widowControl w:val="false"/>
              <w:suppressLineNumbers/>
              <w:bidi w:val="0"/>
              <w:jc w:val="start"/>
              <w:rPr/>
            </w:pPr>
            <w:r>
              <w:rPr/>
              <w:t>Is the Assessment Boundary itself an architectural component, a filtering operation, or a rule-set used to derive Local and Situational Contexts?</w:t>
            </w:r>
          </w:p>
        </w:tc>
        <w:tc>
          <w:tcPr>
            <w:tcW w:w="6838" w:type="dxa"/>
            <w:tcBorders/>
            <w:vAlign w:val="center"/>
          </w:tcPr>
          <w:p>
            <w:pPr>
              <w:pStyle w:val="TableContents"/>
              <w:bidi w:val="0"/>
              <w:jc w:val="start"/>
              <w:rPr/>
            </w:pPr>
            <w:r>
              <w:rPr/>
              <w:t>The Assessment Boundary is an architectural component that provides clarity on the definition of the scope between hierarchical contexts.  Generally, it is going to be most relevant to the Situational Context but must first be applied to the Local Context to reduce the complexity relative to the World Context.</w:t>
            </w:r>
          </w:p>
        </w:tc>
      </w:tr>
      <w:tr>
        <w:trPr/>
        <w:tc>
          <w:tcPr>
            <w:tcW w:w="1950" w:type="dxa"/>
            <w:tcBorders/>
            <w:vAlign w:val="center"/>
          </w:tcPr>
          <w:p>
            <w:pPr>
              <w:pStyle w:val="TableContents"/>
              <w:widowControl w:val="false"/>
              <w:suppressLineNumbers/>
              <w:bidi w:val="0"/>
              <w:jc w:val="start"/>
              <w:rPr/>
            </w:pPr>
            <w:r>
              <w:rPr>
                <w:rStyle w:val="Strong"/>
              </w:rPr>
              <w:t>Context Stack</w:t>
            </w:r>
          </w:p>
        </w:tc>
        <w:tc>
          <w:tcPr>
            <w:tcW w:w="4784" w:type="dxa"/>
            <w:tcBorders/>
            <w:vAlign w:val="center"/>
          </w:tcPr>
          <w:p>
            <w:pPr>
              <w:pStyle w:val="TableContents"/>
              <w:widowControl w:val="false"/>
              <w:suppressLineNumbers/>
              <w:bidi w:val="0"/>
              <w:jc w:val="start"/>
              <w:rPr/>
            </w:pPr>
            <w:r>
              <w:rPr/>
              <w:t xml:space="preserve">Should the stack always be </w:t>
            </w:r>
            <w:r>
              <w:rPr>
                <w:rStyle w:val="SourceText"/>
              </w:rPr>
              <w:t>World Context → Assessment Boundary → Local Context → Situational Context</w:t>
            </w:r>
            <w:r>
              <w:rPr/>
              <w:t>, or can domain implementations add intermediate context layers?</w:t>
            </w:r>
          </w:p>
        </w:tc>
        <w:tc>
          <w:tcPr>
            <w:tcW w:w="6838" w:type="dxa"/>
            <w:tcBorders/>
            <w:vAlign w:val="center"/>
          </w:tcPr>
          <w:p>
            <w:pPr>
              <w:pStyle w:val="TableContents"/>
              <w:bidi w:val="0"/>
              <w:jc w:val="start"/>
              <w:rPr/>
            </w:pPr>
            <w:r>
              <w:rPr/>
              <w:t>The Context Stack is a guideline that should serve in most cases.  As the model develops, it might be possible that further refinement on how context layers are used may initiate incremental context layers.</w:t>
            </w:r>
          </w:p>
        </w:tc>
      </w:tr>
      <w:tr>
        <w:trPr/>
        <w:tc>
          <w:tcPr>
            <w:tcW w:w="1950" w:type="dxa"/>
            <w:tcBorders/>
            <w:vAlign w:val="center"/>
          </w:tcPr>
          <w:p>
            <w:pPr>
              <w:pStyle w:val="TableContents"/>
              <w:widowControl w:val="false"/>
              <w:suppressLineNumbers/>
              <w:bidi w:val="0"/>
              <w:jc w:val="start"/>
              <w:rPr/>
            </w:pPr>
            <w:r>
              <w:rPr>
                <w:rStyle w:val="Strong"/>
              </w:rPr>
              <w:t>Object / Flourishing Entity / Moral Agent</w:t>
            </w:r>
          </w:p>
        </w:tc>
        <w:tc>
          <w:tcPr>
            <w:tcW w:w="4784" w:type="dxa"/>
            <w:tcBorders/>
            <w:vAlign w:val="center"/>
          </w:tcPr>
          <w:p>
            <w:pPr>
              <w:pStyle w:val="TableContents"/>
              <w:widowControl w:val="false"/>
              <w:suppressLineNumbers/>
              <w:bidi w:val="0"/>
              <w:jc w:val="start"/>
              <w:rPr/>
            </w:pPr>
            <w:r>
              <w:rPr/>
              <w:t>If Object is the fundamental ontological element, are Flourishing Entity and Moral Agent object subtypes, roles, traits, eligibility classes, or evaluative classifications?</w:t>
            </w:r>
          </w:p>
        </w:tc>
        <w:tc>
          <w:tcPr>
            <w:tcW w:w="6838" w:type="dxa"/>
            <w:tcBorders/>
            <w:vAlign w:val="center"/>
          </w:tcPr>
          <w:p>
            <w:pPr>
              <w:pStyle w:val="TableContents"/>
              <w:bidi w:val="0"/>
              <w:jc w:val="start"/>
              <w:rPr/>
            </w:pPr>
            <w:r>
              <w:rPr/>
              <w:t xml:space="preserve">The question is unclear.  The point of establishing “object” as the fundamental ontological element is to simplify the modeling of relationships and calculate the resultant moral assessment. A Flourishing Entity is a role executed by an object. A Moral Agent is a role executed by an object.  Attributes can then be assigned such as traits.  Topics such as eligibility or capability are managed in the relationships (edges) between objects (nodes). </w:t>
            </w:r>
          </w:p>
        </w:tc>
      </w:tr>
      <w:tr>
        <w:trPr/>
        <w:tc>
          <w:tcPr>
            <w:tcW w:w="1950" w:type="dxa"/>
            <w:tcBorders/>
            <w:vAlign w:val="center"/>
          </w:tcPr>
          <w:p>
            <w:pPr>
              <w:pStyle w:val="TableContents"/>
              <w:widowControl w:val="false"/>
              <w:suppressLineNumbers/>
              <w:bidi w:val="0"/>
              <w:jc w:val="start"/>
              <w:rPr/>
            </w:pPr>
            <w:r>
              <w:rPr>
                <w:rStyle w:val="Strong"/>
              </w:rPr>
              <w:t>Actor role</w:t>
            </w:r>
          </w:p>
        </w:tc>
        <w:tc>
          <w:tcPr>
            <w:tcW w:w="4784" w:type="dxa"/>
            <w:tcBorders/>
            <w:vAlign w:val="center"/>
          </w:tcPr>
          <w:p>
            <w:pPr>
              <w:pStyle w:val="TableContents"/>
              <w:widowControl w:val="false"/>
              <w:suppressLineNumbers/>
              <w:bidi w:val="0"/>
              <w:jc w:val="start"/>
              <w:rPr/>
            </w:pPr>
            <w:r>
              <w:rPr/>
              <w:t>Does Actor require moral responsibility, causal control, decision authority, or any one of these? For example, can a corporation, AI agent, autopilot system, or bureaucratic process be an Actor?</w:t>
            </w:r>
          </w:p>
        </w:tc>
        <w:tc>
          <w:tcPr>
            <w:tcW w:w="6838" w:type="dxa"/>
            <w:tcBorders/>
            <w:vAlign w:val="center"/>
          </w:tcPr>
          <w:p>
            <w:pPr>
              <w:pStyle w:val="TableContents"/>
              <w:bidi w:val="0"/>
              <w:jc w:val="start"/>
              <w:rPr/>
            </w:pPr>
            <w:r>
              <w:rPr/>
              <w:t xml:space="preserve">All of these can be actors except for procedures and processes.  Not every actor will have moral responsibility.   But, systems and bureaucracies may have causal control and decision authority. </w:t>
            </w:r>
          </w:p>
        </w:tc>
      </w:tr>
      <w:tr>
        <w:trPr/>
        <w:tc>
          <w:tcPr>
            <w:tcW w:w="1950" w:type="dxa"/>
            <w:tcBorders/>
            <w:vAlign w:val="center"/>
          </w:tcPr>
          <w:p>
            <w:pPr>
              <w:pStyle w:val="TableContents"/>
              <w:widowControl w:val="false"/>
              <w:suppressLineNumbers/>
              <w:bidi w:val="0"/>
              <w:jc w:val="start"/>
              <w:rPr/>
            </w:pPr>
            <w:r>
              <w:rPr>
                <w:rStyle w:val="Strong"/>
              </w:rPr>
              <w:t>Relevant flourishing entities</w:t>
            </w:r>
          </w:p>
        </w:tc>
        <w:tc>
          <w:tcPr>
            <w:tcW w:w="4784" w:type="dxa"/>
            <w:tcBorders/>
            <w:vAlign w:val="center"/>
          </w:tcPr>
          <w:p>
            <w:pPr>
              <w:pStyle w:val="TableContents"/>
              <w:widowControl w:val="false"/>
              <w:suppressLineNumbers/>
              <w:bidi w:val="0"/>
              <w:jc w:val="start"/>
              <w:rPr/>
            </w:pPr>
            <w:r>
              <w:rPr/>
              <w:t>What determines relevance: causal impact, foreseeable impact, membership in scope, moral standing, legal standing, proximity, or something else?</w:t>
            </w:r>
          </w:p>
        </w:tc>
        <w:tc>
          <w:tcPr>
            <w:tcW w:w="6838" w:type="dxa"/>
            <w:tcBorders/>
            <w:vAlign w:val="center"/>
          </w:tcPr>
          <w:p>
            <w:pPr>
              <w:pStyle w:val="TableContents"/>
              <w:bidi w:val="0"/>
              <w:jc w:val="start"/>
              <w:rPr/>
            </w:pPr>
            <w:r>
              <w:rPr/>
              <w:t xml:space="preserve">Any actor whose state has the potential to change following the “assessment event” will be a relevant entity.  It must be a flourishing entity to have its moral impact assessed.  For instance, a rock is not a flourishing entity and is irrelevant to the assessment. </w:t>
            </w:r>
          </w:p>
        </w:tc>
      </w:tr>
      <w:tr>
        <w:trPr/>
        <w:tc>
          <w:tcPr>
            <w:tcW w:w="1950" w:type="dxa"/>
            <w:tcBorders/>
            <w:vAlign w:val="center"/>
          </w:tcPr>
          <w:p>
            <w:pPr>
              <w:pStyle w:val="TableContents"/>
              <w:widowControl w:val="false"/>
              <w:suppressLineNumbers/>
              <w:bidi w:val="0"/>
              <w:jc w:val="start"/>
              <w:rPr/>
            </w:pPr>
            <w:r>
              <w:rPr>
                <w:rStyle w:val="Strong"/>
              </w:rPr>
              <w:t>Autopoiesis</w:t>
            </w:r>
          </w:p>
        </w:tc>
        <w:tc>
          <w:tcPr>
            <w:tcW w:w="4784" w:type="dxa"/>
            <w:tcBorders/>
            <w:vAlign w:val="center"/>
          </w:tcPr>
          <w:p>
            <w:pPr>
              <w:pStyle w:val="TableContents"/>
              <w:widowControl w:val="false"/>
              <w:suppressLineNumbers/>
              <w:bidi w:val="0"/>
              <w:jc w:val="start"/>
              <w:rPr/>
            </w:pPr>
            <w:r>
              <w:rPr/>
              <w:t>The definition of Flourishing Entity depends on “self-directed autopoietic entity.” Should this include humans, animals, ecosystems, organizations, institutions, AI systems, or only living organisms?</w:t>
            </w:r>
          </w:p>
        </w:tc>
        <w:tc>
          <w:tcPr>
            <w:tcW w:w="6838" w:type="dxa"/>
            <w:tcBorders/>
            <w:vAlign w:val="center"/>
          </w:tcPr>
          <w:p>
            <w:pPr>
              <w:pStyle w:val="TableContents"/>
              <w:bidi w:val="0"/>
              <w:jc w:val="start"/>
              <w:rPr/>
            </w:pPr>
            <w:r>
              <w:rPr/>
              <w:t>This term is important because it DOES apply to AI systems that achieve a self-directed capability.   It is not limited to living systems and can include all that you listed.</w:t>
            </w:r>
          </w:p>
        </w:tc>
      </w:tr>
      <w:tr>
        <w:trPr/>
        <w:tc>
          <w:tcPr>
            <w:tcW w:w="1950" w:type="dxa"/>
            <w:tcBorders/>
            <w:vAlign w:val="center"/>
          </w:tcPr>
          <w:p>
            <w:pPr>
              <w:pStyle w:val="TableContents"/>
              <w:widowControl w:val="false"/>
              <w:suppressLineNumbers/>
              <w:bidi w:val="0"/>
              <w:jc w:val="start"/>
              <w:rPr/>
            </w:pPr>
            <w:r>
              <w:rPr>
                <w:rStyle w:val="Strong"/>
              </w:rPr>
              <w:t>Long-Term Flourishing vector</w:t>
            </w:r>
          </w:p>
        </w:tc>
        <w:tc>
          <w:tcPr>
            <w:tcW w:w="4784" w:type="dxa"/>
            <w:tcBorders/>
            <w:vAlign w:val="center"/>
          </w:tcPr>
          <w:p>
            <w:pPr>
              <w:pStyle w:val="TableContents"/>
              <w:widowControl w:val="false"/>
              <w:suppressLineNumbers/>
              <w:bidi w:val="0"/>
              <w:jc w:val="start"/>
              <w:rPr/>
            </w:pPr>
            <w:r>
              <w:rPr/>
              <w:t>Should the Reference Architecture name candidate vector dimensions, or should dimensions belong entirely to the Moral Assessment Methodology?</w:t>
            </w:r>
          </w:p>
        </w:tc>
        <w:tc>
          <w:tcPr>
            <w:tcW w:w="6838" w:type="dxa"/>
            <w:tcBorders/>
            <w:vAlign w:val="center"/>
          </w:tcPr>
          <w:p>
            <w:pPr>
              <w:pStyle w:val="TableContents"/>
              <w:bidi w:val="0"/>
              <w:jc w:val="start"/>
              <w:rPr/>
            </w:pPr>
            <w:r>
              <w:rPr/>
              <w:t>An effort should be made to list candidate vector dimensions.  While some or many may be irrelevant to a set of assessments, and more may evolve as unique assessments appear, it should be assumed that there is a limited quantity with varying degrees of relevance to each moral assessment.</w:t>
            </w:r>
          </w:p>
        </w:tc>
      </w:tr>
      <w:tr>
        <w:trPr/>
        <w:tc>
          <w:tcPr>
            <w:tcW w:w="1950" w:type="dxa"/>
            <w:tcBorders/>
            <w:vAlign w:val="center"/>
          </w:tcPr>
          <w:p>
            <w:pPr>
              <w:pStyle w:val="TableContents"/>
              <w:widowControl w:val="false"/>
              <w:suppressLineNumbers/>
              <w:bidi w:val="0"/>
              <w:jc w:val="start"/>
              <w:rPr/>
            </w:pPr>
            <w:r>
              <w:rPr>
                <w:rStyle w:val="Strong"/>
              </w:rPr>
              <w:t>Cross-entity comparison</w:t>
            </w:r>
          </w:p>
        </w:tc>
        <w:tc>
          <w:tcPr>
            <w:tcW w:w="4784" w:type="dxa"/>
            <w:tcBorders/>
            <w:vAlign w:val="center"/>
          </w:tcPr>
          <w:p>
            <w:pPr>
              <w:pStyle w:val="TableContents"/>
              <w:widowControl w:val="false"/>
              <w:suppressLineNumbers/>
              <w:bidi w:val="0"/>
              <w:jc w:val="start"/>
              <w:rPr/>
            </w:pPr>
            <w:r>
              <w:rPr/>
              <w:t>Are flourishing vectors comparable across different entity types, such as a person, ecosystem, institution, and future population?</w:t>
            </w:r>
          </w:p>
        </w:tc>
        <w:tc>
          <w:tcPr>
            <w:tcW w:w="6838" w:type="dxa"/>
            <w:tcBorders/>
            <w:vAlign w:val="center"/>
          </w:tcPr>
          <w:p>
            <w:pPr>
              <w:pStyle w:val="TableContents"/>
              <w:bidi w:val="0"/>
              <w:jc w:val="start"/>
              <w:rPr/>
            </w:pPr>
            <w:r>
              <w:rPr/>
              <w:t>Flourishing vectors may be shared across different entities (not just types), but the level of relevance may not be equivalent.   For instance, cutting off a tree limb may cause short term difficulty for a tree but allow it to increase its potential to flourish in the long term.  Whereas cutting off the limb of a human will definitely cause both short and long term difficulty, decreasing the person’s ability to flourish.</w:t>
            </w:r>
          </w:p>
        </w:tc>
      </w:tr>
      <w:tr>
        <w:trPr/>
        <w:tc>
          <w:tcPr>
            <w:tcW w:w="1950" w:type="dxa"/>
            <w:tcBorders/>
            <w:vAlign w:val="center"/>
          </w:tcPr>
          <w:p>
            <w:pPr>
              <w:pStyle w:val="TableContents"/>
              <w:widowControl w:val="false"/>
              <w:suppressLineNumbers/>
              <w:bidi w:val="0"/>
              <w:jc w:val="start"/>
              <w:rPr/>
            </w:pPr>
            <w:r>
              <w:rPr>
                <w:rStyle w:val="Strong"/>
              </w:rPr>
              <w:t>Material diminishment</w:t>
            </w:r>
          </w:p>
        </w:tc>
        <w:tc>
          <w:tcPr>
            <w:tcW w:w="4784" w:type="dxa"/>
            <w:tcBorders/>
            <w:vAlign w:val="center"/>
          </w:tcPr>
          <w:p>
            <w:pPr>
              <w:pStyle w:val="TableContents"/>
              <w:widowControl w:val="false"/>
              <w:suppressLineNumbers/>
              <w:bidi w:val="0"/>
              <w:jc w:val="start"/>
              <w:rPr/>
            </w:pPr>
            <w:r>
              <w:rPr/>
              <w:t>The axiom says flourishing should not be expanded when doing so would “materially diminish” others. Should “material” be a threshold concept defined architecturally, methodologically, or by implementation?</w:t>
            </w:r>
          </w:p>
        </w:tc>
        <w:tc>
          <w:tcPr>
            <w:tcW w:w="6838" w:type="dxa"/>
            <w:tcBorders/>
            <w:vAlign w:val="center"/>
          </w:tcPr>
          <w:p>
            <w:pPr>
              <w:pStyle w:val="TableContents"/>
              <w:widowControl w:val="false"/>
              <w:suppressLineNumbers/>
              <w:bidi w:val="0"/>
              <w:jc w:val="start"/>
              <w:rPr/>
            </w:pPr>
            <w:r>
              <w:rPr/>
              <w:t>“</w:t>
            </w:r>
            <w:r>
              <w:rPr/>
              <w:t xml:space="preserve">Materially” is used because all scenarios have not been documented. It is related (and may be fundamental) to the aggregate measure of flourishing.  The scenario that initiated this definition involved assessing the flourishing of a virus as it infected a population, causing sickness and/or death.  There was a material impact to the population due to this flourishing. </w:t>
            </w:r>
          </w:p>
        </w:tc>
      </w:tr>
      <w:tr>
        <w:trPr/>
        <w:tc>
          <w:tcPr>
            <w:tcW w:w="1950" w:type="dxa"/>
            <w:tcBorders/>
            <w:vAlign w:val="center"/>
          </w:tcPr>
          <w:p>
            <w:pPr>
              <w:pStyle w:val="TableContents"/>
              <w:widowControl w:val="false"/>
              <w:suppressLineNumbers/>
              <w:bidi w:val="0"/>
              <w:jc w:val="start"/>
              <w:rPr/>
            </w:pPr>
            <w:r>
              <w:rPr>
                <w:rStyle w:val="Strong"/>
              </w:rPr>
              <w:t>Aggregation</w:t>
            </w:r>
          </w:p>
        </w:tc>
        <w:tc>
          <w:tcPr>
            <w:tcW w:w="4784" w:type="dxa"/>
            <w:tcBorders/>
            <w:vAlign w:val="center"/>
          </w:tcPr>
          <w:p>
            <w:pPr>
              <w:pStyle w:val="TableContents"/>
              <w:widowControl w:val="false"/>
              <w:suppressLineNumbers/>
              <w:bidi w:val="0"/>
              <w:jc w:val="start"/>
              <w:rPr/>
            </w:pPr>
            <w:r>
              <w:rPr/>
              <w:t>Since aggregate flourishing informs but does not replace assessment, what is the expected final moral output: ranking, recommendation, prohibition, permissibility class, confidence-bounded judgment, or structured transition report?</w:t>
            </w:r>
          </w:p>
        </w:tc>
        <w:tc>
          <w:tcPr>
            <w:tcW w:w="6838" w:type="dxa"/>
            <w:tcBorders/>
            <w:vAlign w:val="center"/>
          </w:tcPr>
          <w:p>
            <w:pPr>
              <w:pStyle w:val="TableContents"/>
              <w:bidi w:val="0"/>
              <w:jc w:val="start"/>
              <w:rPr/>
            </w:pPr>
            <w:r>
              <w:rPr/>
              <w:t>I believe the final assessment will deliver a structured transition report coupled with a confidence assessment.  This is especially driven by the timeframe divisors.  As the consequences of an action evolve, the long-term aggregation of the delta in state-changes will be subject to lower confidence levels relative to near-term deltas in state-chages.</w:t>
            </w:r>
          </w:p>
        </w:tc>
      </w:tr>
      <w:tr>
        <w:trPr/>
        <w:tc>
          <w:tcPr>
            <w:tcW w:w="1950" w:type="dxa"/>
            <w:tcBorders/>
            <w:vAlign w:val="center"/>
          </w:tcPr>
          <w:p>
            <w:pPr>
              <w:pStyle w:val="TableContents"/>
              <w:widowControl w:val="false"/>
              <w:suppressLineNumbers/>
              <w:bidi w:val="0"/>
              <w:jc w:val="start"/>
              <w:rPr/>
            </w:pPr>
            <w:r>
              <w:rPr>
                <w:rStyle w:val="Strong"/>
              </w:rPr>
              <w:t>Policy updates</w:t>
            </w:r>
          </w:p>
        </w:tc>
        <w:tc>
          <w:tcPr>
            <w:tcW w:w="4784" w:type="dxa"/>
            <w:tcBorders/>
            <w:vAlign w:val="center"/>
          </w:tcPr>
          <w:p>
            <w:pPr>
              <w:pStyle w:val="TableContents"/>
              <w:widowControl w:val="false"/>
              <w:suppressLineNumbers/>
              <w:bidi w:val="0"/>
              <w:jc w:val="start"/>
              <w:rPr/>
            </w:pPr>
            <w:r>
              <w:rPr/>
              <w:t>Are Distributed Policy Updates modeled as state changes in specific policy-state variables, or as an explanatory category capturing how actions affect future decision behavior?</w:t>
            </w:r>
          </w:p>
        </w:tc>
        <w:tc>
          <w:tcPr>
            <w:tcW w:w="6838" w:type="dxa"/>
            <w:tcBorders/>
            <w:vAlign w:val="center"/>
          </w:tcPr>
          <w:p>
            <w:pPr>
              <w:pStyle w:val="TableContents"/>
              <w:bidi w:val="0"/>
              <w:jc w:val="start"/>
              <w:rPr/>
            </w:pPr>
            <w:r>
              <w:rPr/>
              <w:t>The policy-updates are relevant for mitigating the “ends justify the means” conundrum.  They are primarily meant to measure state changes in the moral actor because of how immoral actions increase that actor’s propensity to repeat or increase use of the immoral action in the future.</w:t>
            </w:r>
          </w:p>
        </w:tc>
      </w:tr>
      <w:tr>
        <w:trPr/>
        <w:tc>
          <w:tcPr>
            <w:tcW w:w="1950" w:type="dxa"/>
            <w:tcBorders/>
            <w:vAlign w:val="center"/>
          </w:tcPr>
          <w:p>
            <w:pPr>
              <w:pStyle w:val="TableContents"/>
              <w:widowControl w:val="false"/>
              <w:suppressLineNumbers/>
              <w:bidi w:val="0"/>
              <w:jc w:val="start"/>
              <w:rPr/>
            </w:pPr>
            <w:r>
              <w:rPr>
                <w:rStyle w:val="Strong"/>
              </w:rPr>
              <w:t>Means vs. outcomes</w:t>
            </w:r>
          </w:p>
        </w:tc>
        <w:tc>
          <w:tcPr>
            <w:tcW w:w="4784" w:type="dxa"/>
            <w:tcBorders/>
            <w:vAlign w:val="center"/>
          </w:tcPr>
          <w:p>
            <w:pPr>
              <w:pStyle w:val="TableContents"/>
              <w:widowControl w:val="false"/>
              <w:suppressLineNumbers/>
              <w:bidi w:val="0"/>
              <w:jc w:val="start"/>
              <w:rPr/>
            </w:pPr>
            <w:r>
              <w:rPr/>
              <w:t>Should the architecture explicitly model “means” as part of the Assessed Action, or are means captured indirectly through association changes, policy updates, and World Context Transition effects?</w:t>
            </w:r>
          </w:p>
        </w:tc>
        <w:tc>
          <w:tcPr>
            <w:tcW w:w="6838" w:type="dxa"/>
            <w:tcBorders/>
            <w:vAlign w:val="center"/>
          </w:tcPr>
          <w:p>
            <w:pPr>
              <w:pStyle w:val="TableContents"/>
              <w:widowControl w:val="false"/>
              <w:suppressLineNumbers/>
              <w:bidi w:val="0"/>
              <w:jc w:val="start"/>
              <w:rPr/>
            </w:pPr>
            <w:r>
              <w:rPr/>
              <w:t>“</w:t>
            </w:r>
            <w:r>
              <w:rPr/>
              <w:t xml:space="preserve">Means” are a synonym for the Assessed Action. </w:t>
            </w:r>
          </w:p>
        </w:tc>
      </w:tr>
      <w:tr>
        <w:trPr/>
        <w:tc>
          <w:tcPr>
            <w:tcW w:w="1950" w:type="dxa"/>
            <w:tcBorders/>
            <w:vAlign w:val="center"/>
          </w:tcPr>
          <w:p>
            <w:pPr>
              <w:pStyle w:val="TableContents"/>
              <w:widowControl w:val="false"/>
              <w:suppressLineNumbers/>
              <w:bidi w:val="0"/>
              <w:jc w:val="start"/>
              <w:rPr/>
            </w:pPr>
            <w:r>
              <w:rPr>
                <w:rStyle w:val="Strong"/>
              </w:rPr>
              <w:t>Assessment horizons</w:t>
            </w:r>
          </w:p>
        </w:tc>
        <w:tc>
          <w:tcPr>
            <w:tcW w:w="4784" w:type="dxa"/>
            <w:tcBorders/>
            <w:vAlign w:val="center"/>
          </w:tcPr>
          <w:p>
            <w:pPr>
              <w:pStyle w:val="TableContents"/>
              <w:widowControl w:val="false"/>
              <w:suppressLineNumbers/>
              <w:bidi w:val="0"/>
              <w:jc w:val="start"/>
              <w:rPr/>
            </w:pPr>
            <w:r>
              <w:rPr/>
              <w:t>Should horizons be fixed as immediate, short-term, long-term, multi-generational, and civilizational, or are these implementation-configurable?</w:t>
            </w:r>
          </w:p>
        </w:tc>
        <w:tc>
          <w:tcPr>
            <w:tcW w:w="6838" w:type="dxa"/>
            <w:tcBorders/>
            <w:vAlign w:val="center"/>
          </w:tcPr>
          <w:p>
            <w:pPr>
              <w:pStyle w:val="TableContents"/>
              <w:bidi w:val="0"/>
              <w:jc w:val="start"/>
              <w:rPr/>
            </w:pPr>
            <w:r>
              <w:rPr/>
              <w:t>Use immediate, short-term, long-term, multi-generational, and civilizational as the default horizons.  The context of the moral action may develop additional ones.</w:t>
            </w:r>
          </w:p>
        </w:tc>
      </w:tr>
      <w:tr>
        <w:trPr/>
        <w:tc>
          <w:tcPr>
            <w:tcW w:w="1950" w:type="dxa"/>
            <w:tcBorders/>
            <w:vAlign w:val="center"/>
          </w:tcPr>
          <w:p>
            <w:pPr>
              <w:pStyle w:val="TableContents"/>
              <w:widowControl w:val="false"/>
              <w:suppressLineNumbers/>
              <w:bidi w:val="0"/>
              <w:jc w:val="start"/>
              <w:rPr/>
            </w:pPr>
            <w:r>
              <w:rPr>
                <w:rStyle w:val="Strong"/>
              </w:rPr>
              <w:t>Architecture vs. methodology boundary</w:t>
            </w:r>
          </w:p>
        </w:tc>
        <w:tc>
          <w:tcPr>
            <w:tcW w:w="4784" w:type="dxa"/>
            <w:tcBorders/>
            <w:vAlign w:val="center"/>
          </w:tcPr>
          <w:p>
            <w:pPr>
              <w:pStyle w:val="TableContents"/>
              <w:widowControl w:val="false"/>
              <w:suppressLineNumbers/>
              <w:bidi w:val="0"/>
              <w:jc w:val="start"/>
              <w:rPr/>
            </w:pPr>
            <w:r>
              <w:rPr/>
              <w:t>The document says the Reference Architecture intentionally contains no equations, while the Methodology introduces mathematical representations. Should the upcoming specification include both, or should it strictly define the Reference Architecture only?</w:t>
            </w:r>
          </w:p>
        </w:tc>
        <w:tc>
          <w:tcPr>
            <w:tcW w:w="6838" w:type="dxa"/>
            <w:tcBorders/>
            <w:vAlign w:val="center"/>
          </w:tcPr>
          <w:p>
            <w:pPr>
              <w:pStyle w:val="TableContents"/>
              <w:bidi w:val="0"/>
              <w:jc w:val="start"/>
              <w:rPr/>
            </w:pPr>
            <w:r>
              <w:rPr/>
              <w:t xml:space="preserve">The document will include a separate section for Reference Architecture and Moral Assessment Methodology.  The objective is to limit any prescriptive guidance in the Reference Architecture so that it can evolve as new insights develop. </w:t>
            </w:r>
          </w:p>
        </w:tc>
      </w:tr>
      <w:tr>
        <w:trPr/>
        <w:tc>
          <w:tcPr>
            <w:tcW w:w="1950" w:type="dxa"/>
            <w:tcBorders/>
            <w:vAlign w:val="center"/>
          </w:tcPr>
          <w:p>
            <w:pPr>
              <w:pStyle w:val="TableContents"/>
              <w:widowControl w:val="false"/>
              <w:suppressLineNumbers/>
              <w:bidi w:val="0"/>
              <w:jc w:val="start"/>
              <w:rPr/>
            </w:pPr>
            <w:r>
              <w:rPr>
                <w:rStyle w:val="Strong"/>
              </w:rPr>
              <w:t>Structured output</w:t>
            </w:r>
          </w:p>
        </w:tc>
        <w:tc>
          <w:tcPr>
            <w:tcW w:w="4784" w:type="dxa"/>
            <w:tcBorders/>
            <w:vAlign w:val="center"/>
          </w:tcPr>
          <w:p>
            <w:pPr>
              <w:pStyle w:val="TableContents"/>
              <w:widowControl w:val="false"/>
              <w:suppressLineNumbers/>
              <w:bidi w:val="0"/>
              <w:jc w:val="start"/>
              <w:rPr/>
            </w:pPr>
            <w:r>
              <w:rPr/>
              <w:t>Should structured output be part of the Reference Architecture, the Methodology, or Implementation guidance? It appears in both methodology and implementation sections.</w:t>
            </w:r>
          </w:p>
        </w:tc>
        <w:tc>
          <w:tcPr>
            <w:tcW w:w="6838" w:type="dxa"/>
            <w:tcBorders/>
            <w:vAlign w:val="center"/>
          </w:tcPr>
          <w:p>
            <w:pPr>
              <w:pStyle w:val="TableContents"/>
              <w:bidi w:val="0"/>
              <w:jc w:val="start"/>
              <w:rPr/>
            </w:pPr>
            <w:r>
              <w:rPr/>
              <w:t>It should not be part of the Reference Architecture, but can be part of the Methodology.  Implementation will almost always use a structured output, but it should not be prescriptive in the example implementations.</w:t>
            </w:r>
          </w:p>
        </w:tc>
      </w:tr>
      <w:tr>
        <w:trPr/>
        <w:tc>
          <w:tcPr>
            <w:tcW w:w="1950" w:type="dxa"/>
            <w:tcBorders/>
            <w:vAlign w:val="center"/>
          </w:tcPr>
          <w:p>
            <w:pPr>
              <w:pStyle w:val="TableContents"/>
              <w:widowControl w:val="false"/>
              <w:suppressLineNumbers/>
              <w:bidi w:val="0"/>
              <w:jc w:val="start"/>
              <w:rPr/>
            </w:pPr>
            <w:r>
              <w:rPr>
                <w:rStyle w:val="Strong"/>
              </w:rPr>
              <w:t>Validation strategy</w:t>
            </w:r>
          </w:p>
        </w:tc>
        <w:tc>
          <w:tcPr>
            <w:tcW w:w="4784" w:type="dxa"/>
            <w:tcBorders/>
            <w:vAlign w:val="center"/>
          </w:tcPr>
          <w:p>
            <w:pPr>
              <w:pStyle w:val="TableContents"/>
              <w:widowControl w:val="false"/>
              <w:suppressLineNumbers/>
              <w:bidi w:val="0"/>
              <w:jc w:val="start"/>
              <w:rPr/>
            </w:pPr>
            <w:r>
              <w:rPr/>
              <w:t>Should validation compare the architecture to ethical traditions philosophically, or should it also include test cases, adversarial cases, and benchmark moral scenarios?</w:t>
            </w:r>
          </w:p>
        </w:tc>
        <w:tc>
          <w:tcPr>
            <w:tcW w:w="6838" w:type="dxa"/>
            <w:tcBorders/>
            <w:vAlign w:val="center"/>
          </w:tcPr>
          <w:p>
            <w:pPr>
              <w:pStyle w:val="TableContents"/>
              <w:bidi w:val="0"/>
              <w:jc w:val="start"/>
              <w:rPr/>
            </w:pPr>
            <w:r>
              <w:rPr/>
              <w:t>It will have to provide test cases that highlight the inability of the traditional philosophies to provide an objective argument while this model can provide that argument.  It can also provide devil’s advocate examples to highlight the weaknesses of this model relative to the traditional philosophies.</w:t>
            </w:r>
          </w:p>
        </w:tc>
      </w:tr>
    </w:tbl>
    <w:p>
      <w:pPr>
        <w:pStyle w:val="Normal"/>
        <w:bidi w:val="0"/>
        <w:jc w:val="start"/>
        <w:rPr/>
      </w:pPr>
      <w:r>
        <w:rPr/>
      </w:r>
    </w:p>
    <w:p>
      <w:pPr>
        <w:pStyle w:val="Normal"/>
        <w:bidi w:val="0"/>
        <w:jc w:val="start"/>
        <w:rPr/>
      </w:pPr>
      <w:r>
        <w:rPr/>
      </w:r>
    </w:p>
    <w:sectPr>
      <w:type w:val="nextPage"/>
      <w:pgSz w:orient="landscape" w:w="15840" w:h="122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36</TotalTime>
  <Application>LibreOffice/25.8.7.3$Linux_X86_64 LibreOffice_project/580$Build-3</Application>
  <AppVersion>15.0000</AppVersion>
  <Pages>4</Pages>
  <Words>1302</Words>
  <Characters>7695</Characters>
  <CharactersWithSpaces>8968</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2026-07-07T11:34:25Z</dcterms:created>
  <dc:creator/>
  <dc:description/>
  <dc:language>en-US</dc:language>
  <cp:lastModifiedBy/>
  <dcterms:modified xsi:type="dcterms:W3CDTF">2026-07-07T12:54:17Z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