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Objective-Based Systems Ethics</w:t>
      </w:r>
    </w:p>
    <w:p>
      <w:pPr>
        <w:pStyle w:val="Normal"/>
        <w:jc w:val="center"/>
        <w:rPr>
          <w:i/>
        </w:rPr>
      </w:pPr>
      <w:r>
        <w:rPr>
          <w:i/>
        </w:rPr>
        <w:t>Comprehensive Working Outline for Technical Paper / Reference Architecture</w:t>
      </w:r>
    </w:p>
    <w:p>
      <w:pPr>
        <w:pStyle w:val="Heading1"/>
        <w:numPr>
          <w:ilvl w:val="0"/>
          <w:numId w:val="179"/>
        </w:numPr>
        <w:ind w:hanging="0" w:left="0"/>
        <w:rPr/>
      </w:pPr>
      <w:r>
        <w:rPr/>
        <w:t>Meta Guidance - (Not for Publication)</w:t>
      </w:r>
    </w:p>
    <w:p>
      <w:pPr>
        <w:pStyle w:val="Heading2"/>
        <w:ind w:hanging="0" w:left="0"/>
        <w:rPr/>
      </w:pPr>
      <w:r>
        <w:rPr/>
        <w:t>Living Editorial Notes</w:t>
      </w:r>
    </w:p>
    <w:p>
      <w:pPr>
        <w:pStyle w:val="ListBullet"/>
        <w:numPr>
          <w:ilvl w:val="0"/>
          <w:numId w:val="9"/>
        </w:numPr>
        <w:rPr/>
      </w:pPr>
      <w:r>
        <w:rPr/>
        <w:t>This document is the current comprehensive working outline and should be treated as the baseline structure before expanding prose.</w:t>
      </w:r>
    </w:p>
    <w:p>
      <w:pPr>
        <w:pStyle w:val="ListBullet"/>
        <w:numPr>
          <w:ilvl w:val="0"/>
          <w:numId w:val="9"/>
        </w:numPr>
        <w:rPr/>
      </w:pPr>
      <w:r>
        <w:rPr/>
        <w:t>Every concept should first be introduced Intuitively, then Architecturally, then Formally.</w:t>
      </w:r>
    </w:p>
    <w:p>
      <w:pPr>
        <w:pStyle w:val="ListBullet"/>
        <w:numPr>
          <w:ilvl w:val="0"/>
          <w:numId w:val="9"/>
        </w:numPr>
        <w:rPr/>
      </w:pPr>
      <w:r>
        <w:rPr/>
        <w:t>The Reference Architecture should contain no equations.</w:t>
      </w:r>
    </w:p>
    <w:p>
      <w:pPr>
        <w:pStyle w:val="ListBullet"/>
        <w:numPr>
          <w:ilvl w:val="0"/>
          <w:numId w:val="9"/>
        </w:numPr>
        <w:rPr/>
      </w:pPr>
      <w:r>
        <w:rPr/>
        <w:t>Maintain a strict separation between Architecture and Implementation.</w:t>
      </w:r>
    </w:p>
    <w:p>
      <w:pPr>
        <w:pStyle w:val="ListBullet"/>
        <w:numPr>
          <w:ilvl w:val="0"/>
          <w:numId w:val="9"/>
        </w:numPr>
        <w:rPr/>
      </w:pPr>
      <w:r>
        <w:rPr/>
        <w:t>Architecture defines what the system is; Implementation defines how it is realized.</w:t>
      </w:r>
    </w:p>
    <w:p>
      <w:pPr>
        <w:pStyle w:val="ListBullet"/>
        <w:numPr>
          <w:ilvl w:val="0"/>
          <w:numId w:val="9"/>
        </w:numPr>
        <w:rPr/>
      </w:pPr>
      <w:r>
        <w:rPr/>
        <w:t>Comparable topics should use a common template whenever possible.</w:t>
      </w:r>
    </w:p>
    <w:p>
      <w:pPr>
        <w:pStyle w:val="ListBullet"/>
        <w:numPr>
          <w:ilvl w:val="0"/>
          <w:numId w:val="9"/>
        </w:numPr>
        <w:rPr/>
      </w:pPr>
      <w:r>
        <w:rPr/>
        <w:t>Complete all Design Principles before developing the validation section.</w:t>
      </w:r>
    </w:p>
    <w:p>
      <w:pPr>
        <w:pStyle w:val="ListBullet"/>
        <w:numPr>
          <w:ilvl w:val="0"/>
          <w:numId w:val="9"/>
        </w:numPr>
        <w:rPr/>
      </w:pPr>
      <w:r>
        <w:rPr/>
        <w:t>Stabilize the document structure before expanding individual sections.</w:t>
      </w:r>
    </w:p>
    <w:p>
      <w:pPr>
        <w:pStyle w:val="Heading2"/>
        <w:ind w:hanging="0" w:left="0"/>
        <w:rPr/>
      </w:pPr>
      <w:r>
        <w:rPr/>
        <w:t>Overall Document Progression</w:t>
      </w:r>
    </w:p>
    <w:p>
      <w:pPr>
        <w:pStyle w:val="ListBullet"/>
        <w:numPr>
          <w:ilvl w:val="0"/>
          <w:numId w:val="2"/>
        </w:numPr>
        <w:rPr/>
      </w:pPr>
      <w:r>
        <w:rPr/>
        <w:t>Why are we building this? (Introduction)</w:t>
      </w:r>
    </w:p>
    <w:p>
      <w:pPr>
        <w:pStyle w:val="ListBullet"/>
        <w:numPr>
          <w:ilvl w:val="0"/>
          <w:numId w:val="2"/>
        </w:numPr>
        <w:rPr/>
      </w:pPr>
      <w:r>
        <w:rPr/>
        <w:t>What principles constrain the design? (Design Principles)</w:t>
      </w:r>
    </w:p>
    <w:p>
      <w:pPr>
        <w:pStyle w:val="ListBullet"/>
        <w:numPr>
          <w:ilvl w:val="0"/>
          <w:numId w:val="2"/>
        </w:numPr>
        <w:rPr/>
      </w:pPr>
      <w:r>
        <w:rPr/>
        <w:t>What vocabulary will we use? (Foundational Definitions)</w:t>
      </w:r>
    </w:p>
    <w:p>
      <w:pPr>
        <w:pStyle w:val="ListBullet"/>
        <w:numPr>
          <w:ilvl w:val="0"/>
          <w:numId w:val="2"/>
        </w:numPr>
        <w:rPr/>
      </w:pPr>
      <w:r>
        <w:rPr/>
        <w:t>What normative direction guides the architecture? (Foundational Axiom)</w:t>
      </w:r>
    </w:p>
    <w:p>
      <w:pPr>
        <w:pStyle w:val="ListBullet"/>
        <w:numPr>
          <w:ilvl w:val="0"/>
          <w:numId w:val="2"/>
        </w:numPr>
        <w:rPr/>
      </w:pPr>
      <w:r>
        <w:rPr/>
        <w:t>What is the architecture? (Reference Architecture)</w:t>
      </w:r>
    </w:p>
    <w:p>
      <w:pPr>
        <w:pStyle w:val="ListBullet"/>
        <w:numPr>
          <w:ilvl w:val="0"/>
          <w:numId w:val="2"/>
        </w:numPr>
        <w:rPr/>
      </w:pPr>
      <w:r>
        <w:rPr/>
        <w:t>How is the architecture used to perform assessments? (Moral Assessment Methodology)</w:t>
      </w:r>
    </w:p>
    <w:p>
      <w:pPr>
        <w:pStyle w:val="ListBullet"/>
        <w:numPr>
          <w:ilvl w:val="0"/>
          <w:numId w:val="2"/>
        </w:numPr>
        <w:rPr/>
      </w:pPr>
      <w:r>
        <w:rPr/>
        <w:t>How is the architecture implemented? (Implementation)</w:t>
      </w:r>
    </w:p>
    <w:p>
      <w:pPr>
        <w:pStyle w:val="ListBullet"/>
        <w:numPr>
          <w:ilvl w:val="0"/>
          <w:numId w:val="2"/>
        </w:numPr>
        <w:rPr/>
      </w:pPr>
      <w:r>
        <w:rPr/>
        <w:t>How does it behave? (Example Assessments)</w:t>
      </w:r>
    </w:p>
    <w:p>
      <w:pPr>
        <w:pStyle w:val="ListBullet"/>
        <w:numPr>
          <w:ilvl w:val="0"/>
          <w:numId w:val="2"/>
        </w:numPr>
        <w:rPr/>
      </w:pPr>
      <w:r>
        <w:rPr/>
        <w:t>How does it compare and withstand criticism? (Validation, Comparative Analysis, and Future Research)</w:t>
      </w:r>
    </w:p>
    <w:p>
      <w:pPr>
        <w:pStyle w:val="Heading1"/>
        <w:numPr>
          <w:ilvl w:val="0"/>
          <w:numId w:val="179"/>
        </w:numPr>
        <w:ind w:hanging="0" w:left="0"/>
        <w:rPr/>
      </w:pPr>
      <w:r>
        <w:rPr/>
        <w:t>Abstract</w:t>
      </w:r>
    </w:p>
    <w:p>
      <w:pPr>
        <w:pStyle w:val="ListBullet"/>
        <w:numPr>
          <w:ilvl w:val="0"/>
          <w:numId w:val="0"/>
        </w:numPr>
        <w:jc w:val="left"/>
        <w:rPr/>
      </w:pPr>
      <w:r>
        <w:rPr/>
        <w:t>&lt;</w:t>
      </w:r>
      <w:r>
        <w:rPr/>
        <w:t>Build this section after a final draft has been approved.&gt;</w:t>
      </w:r>
    </w:p>
    <w:p>
      <w:pPr>
        <w:pStyle w:val="ListBullet"/>
        <w:numPr>
          <w:ilvl w:val="0"/>
          <w:numId w:val="0"/>
        </w:numPr>
        <w:jc w:val="left"/>
        <w:rPr/>
      </w:pPr>
      <w:r>
        <w:rPr/>
        <w:t>Concise academic abstract summarizing the framework, problem, method, and contribution.</w:t>
      </w:r>
    </w:p>
    <w:p>
      <w:pPr>
        <w:pStyle w:val="Heading1"/>
        <w:numPr>
          <w:ilvl w:val="0"/>
          <w:numId w:val="179"/>
        </w:numPr>
        <w:ind w:hanging="0" w:left="0"/>
        <w:rPr/>
      </w:pPr>
      <w:r>
        <w:rPr/>
        <w:t>Executive Summary</w:t>
      </w:r>
    </w:p>
    <w:p>
      <w:pPr>
        <w:pStyle w:val="BodyText"/>
        <w:spacing w:before="0" w:after="200"/>
        <w:rPr/>
      </w:pPr>
      <w:r>
        <w:rPr/>
        <w:t>This document proposes an implementation-neutral computational architecture for moral reasoning. The framework evaluates moral actions through explicit World Context transitions rather than through ideology, intuition, tradition, or predefined moral rules. Instead of asking only whether an action conforms to a particular ethical doctrine, the framework assesses how the action transforms the state of the world, the entities within it, the relationships among those entities, and the future trajectories made more or less available by the action.</w:t>
      </w:r>
    </w:p>
    <w:p>
      <w:pPr>
        <w:pStyle w:val="BodyText"/>
        <w:spacing w:before="0" w:after="200"/>
        <w:rPr/>
      </w:pPr>
      <w:r>
        <w:rPr/>
        <w:t>The framework begins with explicit foundational definitions, a clearly stated Foundational Axiom, and a repeatable assessment structure. Its purpose is not to conceal moral assumptions inside informal judgment, but to expose those assumptions so they can be inspected, challenged, refined, and represented computationally. Moral assessment is performed by evaluating changes to the World Context (broad, relevant context) across multiple assessment horizons (timeframes) while considering the information reasonably available within the Situational Context (immediate context surrounding the moral action), the relationships among affected entities, and the probabilistic effects of the action on future state transitions.</w:t>
      </w:r>
    </w:p>
    <w:p>
      <w:pPr>
        <w:pStyle w:val="BodyText"/>
        <w:spacing w:before="0" w:after="200"/>
        <w:rPr/>
      </w:pPr>
      <w:r>
        <w:rPr/>
        <w:t>A central feature of the architecture is its treatment of morality as a recursive systems problem. Every assessed action transforms one World Context into another. The resulting World Context then becomes the starting condition for future assessments. This means that the moral significance of an action is not limited to its immediate consequences. Actions may also alter relationships, institutions, incentives, trust, authority, future opportunities, and the decision policies of moral agents (the entity being assessed by this model) who initiate, observe, experience, or respond to the action.</w:t>
      </w:r>
    </w:p>
    <w:p>
      <w:pPr>
        <w:pStyle w:val="BodyText"/>
        <w:spacing w:before="0" w:after="200"/>
        <w:rPr/>
      </w:pPr>
      <w:r>
        <w:rPr/>
        <w:t>This recursive effect is captured through the concept of Distributed Policy Updates. An action may influence the future behavior of the actor and other relevant agents by changing what they perceive as acceptable, effective, rewarded, punished, legitimate, or repeatable. These policy updates become part of the resulting World Context and are therefore part of the moral assessment itself. This provides an architectural explanation for why the means used to achieve an outcome are morally significant, even when a narrow short-term analysis might suggest that the outcome alone is beneficial.</w:t>
      </w:r>
    </w:p>
    <w:p>
      <w:pPr>
        <w:pStyle w:val="BodyText"/>
        <w:spacing w:before="0" w:after="200"/>
        <w:rPr/>
      </w:pPr>
      <w:r>
        <w:rPr/>
        <w:t>The framework does not reduce morality to utility, rights, duties, virtues, care, consequences, or any single ethical construct. Instead, it evaluates the transition from one World Context to the next. Long-Term Flourishing is treated as a multidimensional state vector describing the capacity of relevant Flourishing Entities to preserve and expand beneficial future state space while participating constructively in the larger systems to which they belong. Aggregate changes in flourishing inform the assessment, but they do not replace evaluation of the broader World Context transition.</w:t>
      </w:r>
    </w:p>
    <w:p>
      <w:pPr>
        <w:pStyle w:val="BodyText"/>
        <w:spacing w:before="0" w:after="200"/>
        <w:rPr/>
      </w:pPr>
      <w:r>
        <w:rPr/>
        <w:t>The framework is intended to support the long-term flourishing of humans, non-human organisms, ecosystems, and future artificial systems that satisfy the framework’s definition of Flourishing Entity. Moral relevance is therefore not limited to present human preference or present human institutions, although human flourishing remains a central case. The architecture is designed to accommodate broader classes of flourishing entities as the framework’s definitions, evidence base, and implementation methods mature.</w:t>
      </w:r>
    </w:p>
    <w:p>
      <w:pPr>
        <w:pStyle w:val="BodyText"/>
        <w:spacing w:before="0" w:after="200"/>
        <w:rPr/>
      </w:pPr>
      <w:r>
        <w:rPr/>
        <w:t>The architecture is intentionally independent of any particular implementation technology. It does not require a specific programming language, inference engine, graph database, artificial intelligence architecture, mathematical formalism, or hardware platform. Every major concept—including Objects, Associations, contexts, objectives, state transitions, uncertainty, assessment horizons, and policy updates—is defined so that it can be represented computationally without constraining future implementation methods.</w:t>
      </w:r>
    </w:p>
    <w:p>
      <w:pPr>
        <w:pStyle w:val="BodyText"/>
        <w:spacing w:before="0" w:after="200"/>
        <w:rPr/>
      </w:pPr>
      <w:r>
        <w:rPr/>
        <w:t>A software implementation of the architecture may be deployed as a Moral Reasoning Runtime, or MRR. An MRR could operate as a standalone ethical assessment engine, an embedded decision-support component, a governance or audit service, a robotics control layer, or a component within large language model harnesses. In the context of LLMs and future artificial intelligence systems, the framework could provide a transparent assessment layer that evaluates candidate actions according to their predicted effects on World Context transitions, Long-Term Flourishing, Distributed Policy Updates, and confidence-bounded future outcomes. However, artificial intelligence is only one application domain; the architecture is also intended to support human decision-making, institutional governance, healthcare, law, robotics, public policy, and other domains requiring explicit moral assessment.</w:t>
      </w:r>
    </w:p>
    <w:p>
      <w:pPr>
        <w:pStyle w:val="BodyText"/>
        <w:spacing w:before="0" w:after="200"/>
        <w:rPr/>
      </w:pPr>
      <w:r>
        <w:rPr/>
        <w:t>The objective of this work is not to eliminate moral disagreement. Rather, it is to provide a common computational architecture through which moral questions can be evaluated consistently, transparently, probabilistically, and with explicit assumptions. By combining systems theory, graph-based state representation, recursive World Context transitions, stochastic assessment, and explainable evaluation, the framework seeks to provide a foundation for rigorous moral reasoning across both human and artificial decision-making systems.</w:t>
      </w:r>
    </w:p>
    <w:p>
      <w:pPr>
        <w:pStyle w:val="Normal"/>
        <w:rPr/>
      </w:pPr>
      <w:r>
        <w:rPr/>
      </w:r>
    </w:p>
    <w:p>
      <w:pPr>
        <w:pStyle w:val="Heading1"/>
        <w:numPr>
          <w:ilvl w:val="0"/>
          <w:numId w:val="179"/>
        </w:numPr>
        <w:ind w:hanging="0" w:left="0"/>
        <w:rPr/>
      </w:pPr>
      <w:r>
        <w:rPr/>
        <w:t>Keywords</w:t>
      </w:r>
    </w:p>
    <w:p>
      <w:pPr>
        <w:pStyle w:val="Normal"/>
        <w:ind w:hanging="0" w:left="0"/>
        <w:rPr/>
      </w:pPr>
      <w:r>
        <w:rPr/>
        <w:t>Objective-Based Systems Ethics; systems ethics; computational ethics; machine ethics; computational moral reasoning; moral assessment; ethical decision support; implementation-neutral reference architecture; explicit normative assumptions; Foundational Axiom; World Context; World Context Transition; state-transition modeling; graph-based moral reasoning; Long-Term Flourishing; Flourishing Entity; future state space; Distributed Policy Updates; multi-horizon assessment; stochastic moral assessment; probabilistic reasoning; epistemic responsibility; uncertainty-aware moral reasoning; explainable moral reasoning; traceability and auditability; AI alignment; AI safety; artificial moral agents; autonomous systems; Moral Reasoning Runtime.</w:t>
      </w:r>
    </w:p>
    <w:p>
      <w:pPr>
        <w:pStyle w:val="Heading1"/>
        <w:numPr>
          <w:ilvl w:val="0"/>
          <w:numId w:val="179"/>
        </w:numPr>
        <w:ind w:hanging="0" w:left="0"/>
        <w:rPr/>
      </w:pPr>
      <w:r>
        <w:rPr/>
        <w:t>High-Level Architecture Overview</w:t>
      </w:r>
    </w:p>
    <w:p>
      <w:pPr>
        <w:pStyle w:val="Normal"/>
        <w:rPr/>
      </w:pPr>
      <w:r>
        <w:rPr/>
        <w:t>Every moral decision changes the world. Some changes are immediate, while others unfold over years or generations. Some affect the people directly involved, while others influence how observers behave in the future.</w:t>
      </w:r>
    </w:p>
    <w:p>
      <w:pPr>
        <w:pStyle w:val="Normal"/>
        <w:rPr/>
      </w:pPr>
      <w:r>
        <w:rPr/>
        <w:t>This framework evaluates moral actions by modeling how a proposed action transforms the surrounding World Context rather than by comparing the action against fixed rules or ideologies.</w:t>
      </w:r>
    </w:p>
    <w:p>
      <w:pPr>
        <w:pStyle w:val="Normal"/>
        <w:rPr/>
      </w:pPr>
      <w:r>
        <w:rPr/>
        <w:t>The process begins by identifying the relevant portion of the world in which the action occurs. It then identifies the entities that may be affected, the relationships among them, and the objectives that are relevant to the situation.</w:t>
      </w:r>
    </w:p>
    <w:p>
      <w:pPr>
        <w:pStyle w:val="Normal"/>
        <w:rPr/>
      </w:pPr>
      <w:r>
        <w:rPr/>
        <w:t>The proposed action is evaluated by estimating how it changes the future states of those entities, how it changes the future decision policies of moral agents, and ultimately how it changes the overall state of the world.</w:t>
      </w:r>
    </w:p>
    <w:p>
      <w:pPr>
        <w:pStyle w:val="Normal"/>
        <w:rPr/>
      </w:pPr>
      <w:r>
        <w:rPr/>
        <w:t>Rather than asking only whether an action achieves its immediate objective, the framework asks whether the resulting world is better or worse according to an explicit foundational axiom. The complete assessment therefore evaluates the transition from the world before the action to the world after the action.</w:t>
      </w:r>
    </w:p>
    <w:p>
      <w:pPr>
        <w:pStyle w:val="Heading2"/>
        <w:ind w:hanging="0" w:left="0"/>
        <w:rPr/>
      </w:pPr>
      <w:r>
        <w:rPr/>
        <w:t>Conceptual Flow</w:t>
      </w:r>
    </w:p>
    <w:p>
      <w:pPr>
        <w:pStyle w:val="ListBullet"/>
        <w:numPr>
          <w:ilvl w:val="0"/>
          <w:numId w:val="181"/>
        </w:numPr>
        <w:rPr/>
      </w:pPr>
      <w:r>
        <w:rPr/>
        <w:t>World Context</w:t>
      </w:r>
    </w:p>
    <w:p>
      <w:pPr>
        <w:pStyle w:val="ListBullet"/>
        <w:numPr>
          <w:ilvl w:val="0"/>
          <w:numId w:val="180"/>
        </w:numPr>
        <w:rPr/>
      </w:pPr>
      <w:r>
        <w:rPr/>
        <w:t>Relevant Context</w:t>
      </w:r>
    </w:p>
    <w:p>
      <w:pPr>
        <w:pStyle w:val="ListBullet"/>
        <w:numPr>
          <w:ilvl w:val="0"/>
          <w:numId w:val="180"/>
        </w:numPr>
        <w:rPr/>
      </w:pPr>
      <w:r>
        <w:rPr/>
        <w:t>Entities, Relationships, Objectives</w:t>
      </w:r>
    </w:p>
    <w:p>
      <w:pPr>
        <w:pStyle w:val="ListBullet"/>
        <w:numPr>
          <w:ilvl w:val="0"/>
          <w:numId w:val="180"/>
        </w:numPr>
        <w:rPr/>
      </w:pPr>
      <w:r>
        <w:rPr/>
        <w:t>Proposed Action</w:t>
      </w:r>
    </w:p>
    <w:p>
      <w:pPr>
        <w:pStyle w:val="ListBullet"/>
        <w:numPr>
          <w:ilvl w:val="0"/>
          <w:numId w:val="180"/>
        </w:numPr>
        <w:rPr/>
      </w:pPr>
      <w:r>
        <w:rPr/>
        <w:t>Predicted State Changes</w:t>
      </w:r>
    </w:p>
    <w:p>
      <w:pPr>
        <w:pStyle w:val="ListBullet"/>
        <w:numPr>
          <w:ilvl w:val="0"/>
          <w:numId w:val="180"/>
        </w:numPr>
        <w:rPr/>
      </w:pPr>
      <w:r>
        <w:rPr/>
        <w:t>New World Context</w:t>
      </w:r>
    </w:p>
    <w:p>
      <w:pPr>
        <w:pStyle w:val="ListBullet"/>
        <w:numPr>
          <w:ilvl w:val="0"/>
          <w:numId w:val="180"/>
        </w:numPr>
        <w:rPr/>
      </w:pPr>
      <w:r>
        <w:rPr/>
        <w:t>Moral Assessment</w:t>
      </w:r>
    </w:p>
    <w:p>
      <w:pPr>
        <w:pStyle w:val="Heading1"/>
        <w:numPr>
          <w:ilvl w:val="0"/>
          <w:numId w:val="179"/>
        </w:numPr>
        <w:ind w:hanging="0" w:left="0"/>
        <w:rPr/>
      </w:pPr>
      <w:r>
        <w:rPr/>
        <w:t>Introduction</w:t>
      </w:r>
    </w:p>
    <w:p>
      <w:pPr>
        <w:pStyle w:val="Heading2"/>
        <w:ind w:hanging="0" w:left="0"/>
        <w:rPr/>
      </w:pPr>
      <w:r>
        <w:rPr/>
        <w:t>Purpose</w:t>
      </w:r>
    </w:p>
    <w:p>
      <w:pPr>
        <w:pStyle w:val="ListBullet"/>
        <w:numPr>
          <w:ilvl w:val="0"/>
          <w:numId w:val="8"/>
        </w:numPr>
        <w:rPr/>
      </w:pPr>
      <w:r>
        <w:rPr/>
        <w:t>Explain the purpose of the framework as a general-purpose computational architecture for moral reasoning.</w:t>
      </w:r>
    </w:p>
    <w:p>
      <w:pPr>
        <w:pStyle w:val="ListBullet"/>
        <w:numPr>
          <w:ilvl w:val="0"/>
          <w:numId w:val="8"/>
        </w:numPr>
        <w:rPr/>
      </w:pPr>
      <w:r>
        <w:rPr/>
        <w:t>Clarify that the work is intended to support human and machine assessment of consequential actions through explicit state-transition reasoning.</w:t>
      </w:r>
    </w:p>
    <w:p>
      <w:pPr>
        <w:pStyle w:val="Heading2"/>
        <w:ind w:hanging="0" w:left="0"/>
        <w:rPr/>
      </w:pPr>
      <w:r>
        <w:rPr/>
        <w:t>Motivation</w:t>
      </w:r>
    </w:p>
    <w:p>
      <w:pPr>
        <w:pStyle w:val="ListBullet"/>
        <w:numPr>
          <w:ilvl w:val="0"/>
          <w:numId w:val="182"/>
        </w:numPr>
        <w:rPr/>
      </w:pPr>
      <w:r>
        <w:rPr/>
        <w:t>Artificial intelligence is rapidly progressing toward increasingly autonomous and capable systems.</w:t>
      </w:r>
    </w:p>
    <w:p>
      <w:pPr>
        <w:pStyle w:val="ListBullet"/>
        <w:numPr>
          <w:ilvl w:val="0"/>
          <w:numId w:val="178"/>
        </w:numPr>
        <w:rPr/>
      </w:pPr>
      <w:r>
        <w:rPr/>
        <w:t>Should future AI systems achieve superhuman general intelligence without robust moral reasoning and alignment, they could pose existential risks to humanity and widespread risks to other Flourishing Entities.</w:t>
      </w:r>
    </w:p>
    <w:p>
      <w:pPr>
        <w:pStyle w:val="ListBullet"/>
        <w:numPr>
          <w:ilvl w:val="0"/>
          <w:numId w:val="178"/>
        </w:numPr>
        <w:rPr/>
      </w:pPr>
      <w:r>
        <w:rPr/>
        <w:t>While the probability and nature of such risks remain uncertain, their potential magnitude justifies developing explicit moral architectures before such systems exist.</w:t>
      </w:r>
    </w:p>
    <w:p>
      <w:pPr>
        <w:pStyle w:val="ListBullet"/>
        <w:numPr>
          <w:ilvl w:val="0"/>
          <w:numId w:val="178"/>
        </w:numPr>
        <w:rPr/>
      </w:pPr>
      <w:r>
        <w:rPr/>
        <w:t>Because AI (and SGI especially) acts extremely quickly, an automated means of assessing the morality of an action is required to have a practical benefit.</w:t>
      </w:r>
    </w:p>
    <w:p>
      <w:pPr>
        <w:pStyle w:val="ListBullet"/>
        <w:numPr>
          <w:ilvl w:val="0"/>
          <w:numId w:val="178"/>
        </w:numPr>
        <w:rPr/>
      </w:pPr>
      <w:r>
        <w:rPr/>
        <w:t>The motivation is broader than AI: consequential decisions in law, medicine, public policy, robotics, organizational governance, and autonomous systems also require explainable moral reasoning.</w:t>
      </w:r>
    </w:p>
    <w:p>
      <w:pPr>
        <w:pStyle w:val="ListBullet"/>
        <w:numPr>
          <w:ilvl w:val="0"/>
          <w:numId w:val="178"/>
        </w:numPr>
        <w:rPr/>
      </w:pPr>
      <w:r>
        <w:rPr/>
        <w:t>The framework is motivated by the need for a computationally representable moral architecture rather than purely narrative ethical principles.</w:t>
      </w:r>
    </w:p>
    <w:p>
      <w:pPr>
        <w:pStyle w:val="Heading2"/>
        <w:ind w:hanging="0" w:left="0"/>
        <w:rPr/>
      </w:pPr>
      <w:r>
        <w:rPr/>
        <w:t>Applications (Implementation Patterns)</w:t>
        <w:tab/>
      </w:r>
    </w:p>
    <w:tbl>
      <w:tblPr>
        <w:tblW w:w="8640" w:type="dxa"/>
        <w:jc w:val="left"/>
        <w:tblInd w:w="28" w:type="dxa"/>
        <w:tblLayout w:type="fixed"/>
        <w:tblCellMar>
          <w:top w:w="28" w:type="dxa"/>
          <w:left w:w="28" w:type="dxa"/>
          <w:bottom w:w="28" w:type="dxa"/>
          <w:right w:w="28" w:type="dxa"/>
        </w:tblCellMar>
      </w:tblPr>
      <w:tblGrid>
        <w:gridCol w:w="2229"/>
        <w:gridCol w:w="6411"/>
      </w:tblGrid>
      <w:tr>
        <w:trPr>
          <w:tblHeader w:val="true"/>
        </w:trPr>
        <w:tc>
          <w:tcPr>
            <w:tcW w:w="2229" w:type="dxa"/>
            <w:tcBorders/>
            <w:vAlign w:val="center"/>
          </w:tcPr>
          <w:p>
            <w:pPr>
              <w:pStyle w:val="TableContents"/>
              <w:widowControl w:val="false"/>
              <w:suppressLineNumbers/>
              <w:spacing w:before="0" w:after="200"/>
              <w:rPr/>
            </w:pPr>
            <w:r>
              <w:rPr>
                <w:rStyle w:val="Strong"/>
              </w:rPr>
              <w:t>Human ethical decision-making</w:t>
            </w:r>
          </w:p>
        </w:tc>
        <w:tc>
          <w:tcPr>
            <w:tcW w:w="6411" w:type="dxa"/>
            <w:tcBorders/>
            <w:vAlign w:val="center"/>
          </w:tcPr>
          <w:p>
            <w:pPr>
              <w:pStyle w:val="TableContents"/>
              <w:widowControl w:val="false"/>
              <w:suppressLineNumbers/>
              <w:spacing w:before="0" w:after="200"/>
              <w:rPr/>
            </w:pPr>
            <w:r>
              <w:rPr/>
              <w:t>A person deciding whether to disclose a painful truth evaluates how honesty, trust, harm, and future relationship trajectories would change the relevant World Context.</w:t>
            </w:r>
          </w:p>
        </w:tc>
      </w:tr>
      <w:tr>
        <w:trPr/>
        <w:tc>
          <w:tcPr>
            <w:tcW w:w="2229" w:type="dxa"/>
            <w:tcBorders/>
            <w:vAlign w:val="center"/>
          </w:tcPr>
          <w:p>
            <w:pPr>
              <w:pStyle w:val="TableContents"/>
              <w:widowControl w:val="false"/>
              <w:suppressLineNumbers/>
              <w:spacing w:before="0" w:after="200"/>
              <w:rPr/>
            </w:pPr>
            <w:r>
              <w:rPr>
                <w:rStyle w:val="Strong"/>
              </w:rPr>
              <w:t>Organizational Governance</w:t>
            </w:r>
          </w:p>
        </w:tc>
        <w:tc>
          <w:tcPr>
            <w:tcW w:w="6411" w:type="dxa"/>
            <w:tcBorders/>
            <w:vAlign w:val="center"/>
          </w:tcPr>
          <w:p>
            <w:pPr>
              <w:pStyle w:val="TableContents"/>
              <w:widowControl w:val="false"/>
              <w:suppressLineNumbers/>
              <w:spacing w:before="0" w:after="200"/>
              <w:rPr/>
            </w:pPr>
            <w:r>
              <w:rPr/>
              <w:t>A company considering layoffs evaluates not only financial survival but also employee flourishing, trust, institutional legitimacy, community effects, and future decision norms.</w:t>
            </w:r>
          </w:p>
        </w:tc>
      </w:tr>
      <w:tr>
        <w:trPr/>
        <w:tc>
          <w:tcPr>
            <w:tcW w:w="2229" w:type="dxa"/>
            <w:tcBorders/>
            <w:vAlign w:val="center"/>
          </w:tcPr>
          <w:p>
            <w:pPr>
              <w:pStyle w:val="TableContents"/>
              <w:widowControl w:val="false"/>
              <w:suppressLineNumbers/>
              <w:spacing w:before="0" w:after="200"/>
              <w:rPr/>
            </w:pPr>
            <w:r>
              <w:rPr>
                <w:rStyle w:val="Strong"/>
              </w:rPr>
              <w:t>Public policy</w:t>
            </w:r>
          </w:p>
        </w:tc>
        <w:tc>
          <w:tcPr>
            <w:tcW w:w="6411" w:type="dxa"/>
            <w:tcBorders/>
            <w:vAlign w:val="center"/>
          </w:tcPr>
          <w:p>
            <w:pPr>
              <w:pStyle w:val="TableContents"/>
              <w:widowControl w:val="false"/>
              <w:suppressLineNumbers/>
              <w:spacing w:before="0" w:after="200"/>
              <w:rPr/>
            </w:pPr>
            <w:r>
              <w:rPr/>
              <w:t>A city evaluating a congestion-pricing policy assesses how the policy changes mobility, economic access, environmental conditions, public trust, and long-term urban flourishing.</w:t>
            </w:r>
          </w:p>
        </w:tc>
      </w:tr>
      <w:tr>
        <w:trPr/>
        <w:tc>
          <w:tcPr>
            <w:tcW w:w="2229" w:type="dxa"/>
            <w:tcBorders/>
            <w:vAlign w:val="center"/>
          </w:tcPr>
          <w:p>
            <w:pPr>
              <w:pStyle w:val="TableContents"/>
              <w:widowControl w:val="false"/>
              <w:suppressLineNumbers/>
              <w:spacing w:before="0" w:after="200"/>
              <w:rPr/>
            </w:pPr>
            <w:r>
              <w:rPr>
                <w:rStyle w:val="Strong"/>
              </w:rPr>
              <w:t>Legal analysis</w:t>
            </w:r>
          </w:p>
        </w:tc>
        <w:tc>
          <w:tcPr>
            <w:tcW w:w="6411" w:type="dxa"/>
            <w:tcBorders/>
            <w:vAlign w:val="center"/>
          </w:tcPr>
          <w:p>
            <w:pPr>
              <w:pStyle w:val="TableContents"/>
              <w:widowControl w:val="false"/>
              <w:suppressLineNumbers/>
              <w:spacing w:before="0" w:after="200"/>
              <w:rPr/>
            </w:pPr>
            <w:r>
              <w:rPr/>
              <w:t>A court evaluating a sentencing decision considers how punishment, deterrence, rehabilitation, victim restoration, institutional precedent, and future social trust affect the World Context.</w:t>
            </w:r>
          </w:p>
        </w:tc>
      </w:tr>
      <w:tr>
        <w:trPr/>
        <w:tc>
          <w:tcPr>
            <w:tcW w:w="2229" w:type="dxa"/>
            <w:tcBorders/>
            <w:vAlign w:val="center"/>
          </w:tcPr>
          <w:p>
            <w:pPr>
              <w:pStyle w:val="TableContents"/>
              <w:widowControl w:val="false"/>
              <w:suppressLineNumbers/>
              <w:spacing w:before="0" w:after="200"/>
              <w:rPr/>
            </w:pPr>
            <w:r>
              <w:rPr>
                <w:rStyle w:val="Strong"/>
              </w:rPr>
              <w:t>Medical ethics</w:t>
            </w:r>
          </w:p>
        </w:tc>
        <w:tc>
          <w:tcPr>
            <w:tcW w:w="6411" w:type="dxa"/>
            <w:tcBorders/>
            <w:vAlign w:val="center"/>
          </w:tcPr>
          <w:p>
            <w:pPr>
              <w:pStyle w:val="TableContents"/>
              <w:widowControl w:val="false"/>
              <w:suppressLineNumbers/>
              <w:spacing w:before="0" w:after="200"/>
              <w:rPr/>
            </w:pPr>
            <w:r>
              <w:rPr/>
              <w:t>A physician deciding whether to recommend a high-risk treatment evaluates the patient’s likely flourishing, informed consent, family impacts, clinical uncertainty, and future care options.</w:t>
            </w:r>
          </w:p>
        </w:tc>
      </w:tr>
      <w:tr>
        <w:trPr/>
        <w:tc>
          <w:tcPr>
            <w:tcW w:w="2229" w:type="dxa"/>
            <w:tcBorders/>
            <w:vAlign w:val="center"/>
          </w:tcPr>
          <w:p>
            <w:pPr>
              <w:pStyle w:val="TableContents"/>
              <w:widowControl w:val="false"/>
              <w:suppressLineNumbers/>
              <w:spacing w:before="0" w:after="200"/>
              <w:rPr/>
            </w:pPr>
            <w:r>
              <w:rPr>
                <w:rStyle w:val="Strong"/>
              </w:rPr>
              <w:t>Autonomous systems</w:t>
            </w:r>
          </w:p>
        </w:tc>
        <w:tc>
          <w:tcPr>
            <w:tcW w:w="6411" w:type="dxa"/>
            <w:tcBorders/>
            <w:vAlign w:val="center"/>
          </w:tcPr>
          <w:p>
            <w:pPr>
              <w:pStyle w:val="TableContents"/>
              <w:widowControl w:val="false"/>
              <w:suppressLineNumbers/>
              <w:spacing w:before="0" w:after="200"/>
              <w:rPr/>
            </w:pPr>
            <w:r>
              <w:rPr/>
              <w:t>A self-driving vehicle choosing among emergency maneuvers evaluates predicted harm, uncertainty, legal constraints, affected entities, and how the action changes future trust in autonomous systems.</w:t>
            </w:r>
          </w:p>
        </w:tc>
      </w:tr>
      <w:tr>
        <w:trPr/>
        <w:tc>
          <w:tcPr>
            <w:tcW w:w="2229" w:type="dxa"/>
            <w:tcBorders/>
            <w:vAlign w:val="center"/>
          </w:tcPr>
          <w:p>
            <w:pPr>
              <w:pStyle w:val="TableContents"/>
              <w:widowControl w:val="false"/>
              <w:suppressLineNumbers/>
              <w:spacing w:before="0" w:after="200"/>
              <w:rPr/>
            </w:pPr>
            <w:r>
              <w:rPr>
                <w:rStyle w:val="Strong"/>
              </w:rPr>
              <w:t>Robotics</w:t>
            </w:r>
          </w:p>
        </w:tc>
        <w:tc>
          <w:tcPr>
            <w:tcW w:w="6411" w:type="dxa"/>
            <w:tcBorders/>
            <w:vAlign w:val="center"/>
          </w:tcPr>
          <w:p>
            <w:pPr>
              <w:pStyle w:val="TableContents"/>
              <w:widowControl w:val="false"/>
              <w:suppressLineNumbers/>
              <w:spacing w:before="0" w:after="200"/>
              <w:rPr/>
            </w:pPr>
            <w:r>
              <w:rPr/>
              <w:t>A hospital delivery robot deciding whether to block a hallway temporarily evaluates patient safety, staff workflow, urgency, accessibility, and the consequences of delaying medical supplies.</w:t>
            </w:r>
          </w:p>
        </w:tc>
      </w:tr>
      <w:tr>
        <w:trPr/>
        <w:tc>
          <w:tcPr>
            <w:tcW w:w="2229" w:type="dxa"/>
            <w:tcBorders/>
            <w:vAlign w:val="center"/>
          </w:tcPr>
          <w:p>
            <w:pPr>
              <w:pStyle w:val="TableContents"/>
              <w:widowControl w:val="false"/>
              <w:suppressLineNumbers/>
              <w:spacing w:before="0" w:after="200"/>
              <w:rPr/>
            </w:pPr>
            <w:r>
              <w:rPr>
                <w:rStyle w:val="Strong"/>
              </w:rPr>
              <w:t>Multi-agent systems</w:t>
            </w:r>
          </w:p>
        </w:tc>
        <w:tc>
          <w:tcPr>
            <w:tcW w:w="6411" w:type="dxa"/>
            <w:tcBorders/>
            <w:vAlign w:val="center"/>
          </w:tcPr>
          <w:p>
            <w:pPr>
              <w:pStyle w:val="TableContents"/>
              <w:widowControl w:val="false"/>
              <w:suppressLineNumbers/>
              <w:spacing w:before="0" w:after="200"/>
              <w:rPr/>
            </w:pPr>
            <w:r>
              <w:rPr/>
              <w:t>A network of autonomous delivery drones coordinates route priorities by assessing how each agent’s action affects other agents, pedestrians, infrastructure, and system-wide flourishing.</w:t>
            </w:r>
          </w:p>
        </w:tc>
      </w:tr>
      <w:tr>
        <w:trPr/>
        <w:tc>
          <w:tcPr>
            <w:tcW w:w="2229" w:type="dxa"/>
            <w:tcBorders/>
            <w:vAlign w:val="center"/>
          </w:tcPr>
          <w:p>
            <w:pPr>
              <w:pStyle w:val="TableContents"/>
              <w:widowControl w:val="false"/>
              <w:suppressLineNumbers/>
              <w:spacing w:before="0" w:after="200"/>
              <w:rPr/>
            </w:pPr>
            <w:r>
              <w:rPr>
                <w:rStyle w:val="Strong"/>
              </w:rPr>
              <w:t>LLM alignment</w:t>
            </w:r>
          </w:p>
        </w:tc>
        <w:tc>
          <w:tcPr>
            <w:tcW w:w="6411" w:type="dxa"/>
            <w:tcBorders/>
            <w:vAlign w:val="center"/>
          </w:tcPr>
          <w:p>
            <w:pPr>
              <w:pStyle w:val="TableContents"/>
              <w:widowControl w:val="false"/>
              <w:suppressLineNumbers/>
              <w:spacing w:before="0" w:after="200"/>
              <w:rPr/>
            </w:pPr>
            <w:r>
              <w:rPr/>
              <w:t>An LLM asked to provide dangerous advice evaluates whether the response would diminish human flourishing, encourage harmful future behavior, or degrade the user’s decision policy.</w:t>
            </w:r>
          </w:p>
        </w:tc>
      </w:tr>
      <w:tr>
        <w:trPr/>
        <w:tc>
          <w:tcPr>
            <w:tcW w:w="2229" w:type="dxa"/>
            <w:tcBorders/>
            <w:vAlign w:val="center"/>
          </w:tcPr>
          <w:p>
            <w:pPr>
              <w:pStyle w:val="TableContents"/>
              <w:widowControl w:val="false"/>
              <w:suppressLineNumbers/>
              <w:spacing w:before="0" w:after="200"/>
              <w:rPr/>
            </w:pPr>
            <w:r>
              <w:rPr>
                <w:rStyle w:val="Strong"/>
              </w:rPr>
              <w:t>AGI safety</w:t>
            </w:r>
          </w:p>
        </w:tc>
        <w:tc>
          <w:tcPr>
            <w:tcW w:w="6411" w:type="dxa"/>
            <w:tcBorders/>
            <w:vAlign w:val="center"/>
          </w:tcPr>
          <w:p>
            <w:pPr>
              <w:pStyle w:val="TableContents"/>
              <w:widowControl w:val="false"/>
              <w:suppressLineNumbers/>
              <w:spacing w:before="0" w:after="200"/>
              <w:rPr/>
            </w:pPr>
            <w:r>
              <w:rPr/>
              <w:t>An advanced AI system evaluating a strategic intervention assesses long-term effects on humans, ecosystems, institutions, future artificial agents, and civilizational state space before acting.</w:t>
            </w:r>
          </w:p>
        </w:tc>
      </w:tr>
      <w:tr>
        <w:trPr/>
        <w:tc>
          <w:tcPr>
            <w:tcW w:w="2229" w:type="dxa"/>
            <w:tcBorders/>
            <w:vAlign w:val="center"/>
          </w:tcPr>
          <w:p>
            <w:pPr>
              <w:pStyle w:val="TableContents"/>
              <w:widowControl w:val="false"/>
              <w:suppressLineNumbers/>
              <w:spacing w:before="0" w:after="200"/>
              <w:rPr/>
            </w:pPr>
            <w:r>
              <w:rPr>
                <w:rStyle w:val="Strong"/>
              </w:rPr>
              <w:t>Moral Reasoning Runtime</w:t>
            </w:r>
          </w:p>
        </w:tc>
        <w:tc>
          <w:tcPr>
            <w:tcW w:w="6411" w:type="dxa"/>
            <w:tcBorders/>
            <w:vAlign w:val="center"/>
          </w:tcPr>
          <w:p>
            <w:pPr>
              <w:pStyle w:val="TableContents"/>
              <w:widowControl w:val="false"/>
              <w:suppressLineNumbers/>
              <w:spacing w:before="0" w:after="200"/>
              <w:rPr/>
            </w:pPr>
            <w:r>
              <w:rPr/>
              <w:t>A Moral Reasoning Runtime provides a reusable software layer that receives a proposed action, constructs the relevant context, estimates state transitions, and returns a confidence-bounded moral assessment.</w:t>
            </w:r>
          </w:p>
        </w:tc>
      </w:tr>
    </w:tbl>
    <w:p>
      <w:pPr>
        <w:pStyle w:val="Heading2"/>
        <w:ind w:hanging="0" w:left="0"/>
        <w:rPr/>
      </w:pPr>
      <w:r>
        <w:rPr/>
        <w:t>Contributions of this Framework</w:t>
      </w:r>
    </w:p>
    <w:p>
      <w:pPr>
        <w:pStyle w:val="ListBullet"/>
        <w:numPr>
          <w:ilvl w:val="0"/>
          <w:numId w:val="2"/>
        </w:numPr>
        <w:rPr/>
      </w:pPr>
      <w:r>
        <w:rPr/>
        <w:t>Explicit foundational assumptions rather than hidden premises.</w:t>
      </w:r>
    </w:p>
    <w:p>
      <w:pPr>
        <w:pStyle w:val="ListBullet"/>
        <w:numPr>
          <w:ilvl w:val="0"/>
          <w:numId w:val="2"/>
        </w:numPr>
        <w:rPr/>
      </w:pPr>
      <w:r>
        <w:rPr/>
        <w:t>A computationally representable moral reasoning architecture.</w:t>
      </w:r>
    </w:p>
    <w:p>
      <w:pPr>
        <w:pStyle w:val="ListBullet"/>
        <w:numPr>
          <w:ilvl w:val="0"/>
          <w:numId w:val="2"/>
        </w:numPr>
        <w:rPr/>
      </w:pPr>
      <w:r>
        <w:rPr/>
        <w:t>A graph-based World Context model for moral assessment.</w:t>
      </w:r>
    </w:p>
    <w:p>
      <w:pPr>
        <w:pStyle w:val="ListBullet"/>
        <w:numPr>
          <w:ilvl w:val="0"/>
          <w:numId w:val="2"/>
        </w:numPr>
        <w:rPr/>
      </w:pPr>
      <w:r>
        <w:rPr/>
        <w:t>State-transition evaluation of actions.</w:t>
      </w:r>
    </w:p>
    <w:p>
      <w:pPr>
        <w:pStyle w:val="ListBullet"/>
        <w:numPr>
          <w:ilvl w:val="0"/>
          <w:numId w:val="2"/>
        </w:numPr>
        <w:rPr/>
      </w:pPr>
      <w:r>
        <w:rPr/>
        <w:t>Long-Term Flourishing as a multidimensional relational state vector.</w:t>
      </w:r>
    </w:p>
    <w:p>
      <w:pPr>
        <w:pStyle w:val="ListBullet"/>
        <w:numPr>
          <w:ilvl w:val="0"/>
          <w:numId w:val="2"/>
        </w:numPr>
        <w:rPr/>
      </w:pPr>
      <w:r>
        <w:rPr/>
        <w:t>Distributed Policy Updates as part of moral evaluation.</w:t>
      </w:r>
    </w:p>
    <w:p>
      <w:pPr>
        <w:pStyle w:val="ListBullet"/>
        <w:numPr>
          <w:ilvl w:val="0"/>
          <w:numId w:val="2"/>
        </w:numPr>
        <w:rPr/>
      </w:pPr>
      <w:r>
        <w:rPr/>
        <w:t>Separation of World Context transitions from aggregate flourishing (ΣΔF).</w:t>
      </w:r>
    </w:p>
    <w:p>
      <w:pPr>
        <w:pStyle w:val="ListBullet"/>
        <w:numPr>
          <w:ilvl w:val="0"/>
          <w:numId w:val="2"/>
        </w:numPr>
        <w:rPr/>
      </w:pPr>
      <w:r>
        <w:rPr/>
        <w:t>Architecture designed for implementation across diverse systems, including but not limited to AI systems.</w:t>
      </w:r>
    </w:p>
    <w:p>
      <w:pPr>
        <w:pStyle w:val="Heading2"/>
        <w:ind w:hanging="0" w:left="0"/>
        <w:rPr>
          <w:rFonts w:ascii="Aptos" w:hAnsi="Aptos"/>
          <w:i w:val="false"/>
          <w:iCs w:val="false"/>
        </w:rPr>
      </w:pPr>
      <w:r>
        <w:rPr/>
        <w:t>Scope Structures</w:t>
      </w:r>
    </w:p>
    <w:p>
      <w:pPr>
        <w:pStyle w:val="BodyText"/>
        <w:spacing w:before="0" w:after="200"/>
        <w:contextualSpacing/>
        <w:rPr>
          <w:i/>
          <w:iCs/>
        </w:rPr>
      </w:pPr>
      <w:r>
        <w:rPr>
          <w:i w:val="false"/>
          <w:iCs w:val="false"/>
        </w:rPr>
        <w:t xml:space="preserve">The term </w:t>
      </w:r>
      <w:r>
        <w:rPr>
          <w:rStyle w:val="Emphasis"/>
          <w:i w:val="false"/>
          <w:iCs w:val="false"/>
        </w:rPr>
        <w:t>scope</w:t>
      </w:r>
      <w:r>
        <w:rPr>
          <w:i w:val="false"/>
          <w:iCs w:val="false"/>
        </w:rPr>
        <w:t xml:space="preserve"> is used in several related but distinct ways within this framework. At the highest level, scope defines what this document is attempting to describe. Within the architecture, scope also determines what portion of the World Context is considered relevant, which entities are included in an assessment, which consequences are evaluated, which time horizons are considered, what information is admissible, and which implementation details are intentionally excluded.</w:t>
      </w:r>
    </w:p>
    <w:p>
      <w:pPr>
        <w:pStyle w:val="BodyText"/>
        <w:spacing w:before="0" w:after="200"/>
        <w:contextualSpacing/>
        <w:rPr>
          <w:i w:val="false"/>
          <w:iCs w:val="false"/>
        </w:rPr>
      </w:pPr>
      <w:r>
        <w:rPr>
          <w:i w:val="false"/>
          <w:iCs w:val="false"/>
        </w:rPr>
        <w:t>Because moral assessment can expand without practical limit if every possible entity, relationship, consequence, and future condition is considered, the framework requires explicit scope structures. These structures do not determine the moral answer by themselves. Rather, they define the boundaries within which moral assessment is performed, the assumptions under which the assessment is valid, and the level of confidence that should be attached to the result.</w:t>
      </w:r>
    </w:p>
    <w:p>
      <w:pPr>
        <w:pStyle w:val="Heading3"/>
        <w:ind w:hanging="0" w:left="0"/>
        <w:rPr/>
      </w:pPr>
      <w:r>
        <w:rPr/>
        <w:t>Document Scope</w:t>
      </w:r>
    </w:p>
    <w:p>
      <w:pPr>
        <w:pStyle w:val="BodyText"/>
        <w:spacing w:before="0" w:after="200"/>
        <w:contextualSpacing/>
        <w:rPr>
          <w:i w:val="false"/>
          <w:iCs w:val="false"/>
        </w:rPr>
      </w:pPr>
      <w:r>
        <w:rPr>
          <w:i w:val="false"/>
          <w:iCs w:val="false"/>
        </w:rPr>
        <w:t>The scope of this document is to define a computational reference architecture for moral reasoning. It is not intended to present a complete philosophical doctrine, a single moral rule set, a closed ontology, or a finished software product. The document defines the major concepts, relationships, context structures, and assessment logic required to represent moral reasoning as a computationally inspectable state-transition process.</w:t>
      </w:r>
    </w:p>
    <w:p>
      <w:pPr>
        <w:pStyle w:val="BodyText"/>
        <w:spacing w:before="0" w:after="200"/>
        <w:contextualSpacing/>
        <w:rPr>
          <w:i w:val="false"/>
          <w:iCs w:val="false"/>
        </w:rPr>
      </w:pPr>
      <w:r>
        <w:rPr>
          <w:i w:val="false"/>
          <w:iCs w:val="false"/>
        </w:rPr>
        <w:t>This document therefore includes architectural definitions, methodological guidance, implementation considerations, and validation strategy, but these must remain conceptually separated. The Reference Architecture defines what the moral reasoning system is. The Moral Assessment Methodology defines how the architecture may be used to perform assessments. The Implementation section describes how the architecture may be realized in software or institutional processes. None of these layers should be collapsed into a single implementation-specific design.</w:t>
      </w:r>
    </w:p>
    <w:p>
      <w:pPr>
        <w:pStyle w:val="Heading3"/>
        <w:ind w:hanging="0" w:left="0"/>
        <w:rPr>
          <w:i w:val="false"/>
          <w:iCs w:val="false"/>
        </w:rPr>
      </w:pPr>
      <w:r>
        <w:rPr/>
        <w:t>Architectural Scope</w:t>
      </w:r>
    </w:p>
    <w:p>
      <w:pPr>
        <w:pStyle w:val="BodyText"/>
        <w:spacing w:before="0" w:after="200"/>
        <w:contextualSpacing/>
        <w:rPr>
          <w:i w:val="false"/>
          <w:iCs w:val="false"/>
        </w:rPr>
      </w:pPr>
      <w:r>
        <w:rPr>
          <w:i w:val="false"/>
          <w:iCs w:val="false"/>
        </w:rPr>
        <w:t>Architectural scope defines the conceptual structures that belong inside the Reference Architecture. These include Objects, Associations, contexts, objectives, Assessed Actions, state transitions, Long-Term Flourishing, and Distributed Policy Effects. Architectural scope is concerned with what must exist in the model for moral assessment to be represented coherently.</w:t>
      </w:r>
    </w:p>
    <w:p>
      <w:pPr>
        <w:pStyle w:val="BodyText"/>
        <w:spacing w:before="0" w:after="200"/>
        <w:contextualSpacing/>
        <w:rPr>
          <w:i w:val="false"/>
          <w:iCs w:val="false"/>
        </w:rPr>
      </w:pPr>
      <w:r>
        <w:rPr>
          <w:i w:val="false"/>
          <w:iCs w:val="false"/>
        </w:rPr>
        <w:t>The Reference Architecture should remain implementation-independent. It should define components, relationships, and information flow without prescribing a programming language, database structure, inference engine, mathematical formalism, user interface, or deployment platform. The purpose of architectural scope is to ensure that the framework can be implemented in many ways while preserving a stable conceptual foundation.</w:t>
      </w:r>
    </w:p>
    <w:p>
      <w:pPr>
        <w:pStyle w:val="Heading3"/>
        <w:ind w:hanging="0" w:left="0"/>
        <w:rPr>
          <w:i w:val="false"/>
          <w:iCs w:val="false"/>
        </w:rPr>
      </w:pPr>
      <w:r>
        <w:rPr>
          <w:rFonts w:ascii="Aptos" w:hAnsi="Aptos"/>
          <w:i w:val="false"/>
          <w:iCs w:val="false"/>
        </w:rPr>
        <w:t xml:space="preserve">Methodological </w:t>
      </w:r>
      <w:r>
        <w:rPr>
          <w:i w:val="false"/>
          <w:iCs w:val="false"/>
        </w:rPr>
        <w:t>Scope</w:t>
      </w:r>
    </w:p>
    <w:p>
      <w:pPr>
        <w:pStyle w:val="BodyText"/>
        <w:spacing w:before="0" w:after="200"/>
        <w:contextualSpacing/>
        <w:rPr>
          <w:i w:val="false"/>
          <w:iCs w:val="false"/>
        </w:rPr>
      </w:pPr>
      <w:r>
        <w:rPr>
          <w:i w:val="false"/>
          <w:iCs w:val="false"/>
        </w:rPr>
        <w:t>Methodological scope defines how the Reference Architecture is used to perform a moral assessment. It includes evidence handling, uncertainty representation, confidence estimation, state-transition prediction, multi-horizon assessment, aggregation of flourishing changes, and generation of assessment outputs.</w:t>
      </w:r>
    </w:p>
    <w:p>
      <w:pPr>
        <w:pStyle w:val="BodyText"/>
        <w:spacing w:before="0" w:after="200"/>
        <w:contextualSpacing/>
        <w:rPr>
          <w:i w:val="false"/>
          <w:iCs w:val="false"/>
        </w:rPr>
      </w:pPr>
      <w:r>
        <w:rPr>
          <w:i w:val="false"/>
          <w:iCs w:val="false"/>
        </w:rPr>
        <w:t>Methodological scope may include probabilistic reasoning, stochastic approximation, candidate state variables, and structured assessment artifacts. These elements are necessary to operationalize the architecture, but they should not be confused with the architecture itself. The methodology may evolve as better mathematical tools, empirical evidence, predictive models, or computational methods become available.</w:t>
      </w:r>
    </w:p>
    <w:p>
      <w:pPr>
        <w:pStyle w:val="Heading3"/>
        <w:ind w:hanging="0" w:left="0"/>
        <w:rPr>
          <w:i w:val="false"/>
          <w:iCs w:val="false"/>
        </w:rPr>
      </w:pPr>
      <w:r>
        <w:rPr/>
        <w:t>Implementation Scope</w:t>
      </w:r>
    </w:p>
    <w:p>
      <w:pPr>
        <w:pStyle w:val="BodyText"/>
        <w:spacing w:before="0" w:after="200"/>
        <w:contextualSpacing/>
        <w:rPr>
          <w:i w:val="false"/>
          <w:iCs w:val="false"/>
        </w:rPr>
      </w:pPr>
      <w:r>
        <w:rPr>
          <w:i w:val="false"/>
          <w:iCs w:val="false"/>
        </w:rPr>
        <w:t>Implementation scope defines how the architecture and methodology may be realized in a particular system. Implementations may include standalone services, embedded libraries, workflow components, agent modules, audit systems, governance tools, robotics control layers, or Moral Reasoning Runtime deployments.</w:t>
      </w:r>
    </w:p>
    <w:p>
      <w:pPr>
        <w:pStyle w:val="BodyText"/>
        <w:spacing w:before="0" w:after="200"/>
        <w:contextualSpacing/>
        <w:rPr>
          <w:i w:val="false"/>
          <w:iCs w:val="false"/>
        </w:rPr>
      </w:pPr>
      <w:r>
        <w:rPr>
          <w:i w:val="false"/>
          <w:iCs w:val="false"/>
        </w:rPr>
        <w:t>A Moral Reasoning Runtime is one possible implementation path, not the architecture itself. Similarly, an LLM harness, autonomous robotics system, clinical decision-support tool, legal analysis system, or public-policy evaluation platform may implement parts of the architecture without defining the architecture. Implementation scope must therefore remain subordinate to architectural scope.</w:t>
      </w:r>
    </w:p>
    <w:p>
      <w:pPr>
        <w:pStyle w:val="Heading3"/>
        <w:ind w:hanging="0" w:left="0"/>
        <w:rPr>
          <w:i w:val="false"/>
          <w:iCs w:val="false"/>
        </w:rPr>
      </w:pPr>
      <w:r>
        <w:rPr/>
        <w:t>Application Scope</w:t>
      </w:r>
    </w:p>
    <w:p>
      <w:pPr>
        <w:pStyle w:val="BodyText"/>
        <w:spacing w:before="0" w:after="200"/>
        <w:contextualSpacing/>
        <w:rPr>
          <w:i w:val="false"/>
          <w:iCs w:val="false"/>
        </w:rPr>
      </w:pPr>
      <w:r>
        <w:rPr>
          <w:i w:val="false"/>
          <w:iCs w:val="false"/>
        </w:rPr>
        <w:t>Application scope defines the domains in which the framework may be used. These include human ethical decision-making, organizational governance, public policy, legal analysis, medical ethics, autonomous systems, robotics, multi-agent systems, LLM alignment, AGI safety, and other domains involving consequential action.</w:t>
      </w:r>
    </w:p>
    <w:p>
      <w:pPr>
        <w:pStyle w:val="BodyText"/>
        <w:spacing w:before="0" w:after="200"/>
        <w:contextualSpacing/>
        <w:rPr>
          <w:i w:val="false"/>
          <w:iCs w:val="false"/>
        </w:rPr>
      </w:pPr>
      <w:r>
        <w:rPr>
          <w:i w:val="false"/>
          <w:iCs w:val="false"/>
        </w:rPr>
        <w:t>AI alignment is an important application, but it is not the defining scope of the framework. The framework is intended to support moral reasoning across human, institutional, biological, ecological, and artificial domains wherever actions can be represented as transformations of a World Context.</w:t>
      </w:r>
    </w:p>
    <w:p>
      <w:pPr>
        <w:pStyle w:val="Heading3"/>
        <w:ind w:hanging="0" w:left="0"/>
        <w:rPr>
          <w:i w:val="false"/>
          <w:iCs w:val="false"/>
        </w:rPr>
      </w:pPr>
      <w:r>
        <w:rPr/>
        <w:t>Assessment Scope</w:t>
      </w:r>
    </w:p>
    <w:p>
      <w:pPr>
        <w:pStyle w:val="BodyText"/>
        <w:spacing w:before="0" w:after="200"/>
        <w:contextualSpacing/>
        <w:rPr>
          <w:i w:val="false"/>
          <w:iCs w:val="false"/>
        </w:rPr>
      </w:pPr>
      <w:r>
        <w:rPr>
          <w:i w:val="false"/>
          <w:iCs w:val="false"/>
        </w:rPr>
        <w:t>Assessment scope defines the specific moral question being evaluated. It identifies the Assessed Action, the Actor or Actors, the relevant Objectives, the affected Objects and Associations, and the World Context transition to be assessed.</w:t>
      </w:r>
    </w:p>
    <w:p>
      <w:pPr>
        <w:pStyle w:val="BodyText"/>
        <w:spacing w:before="0" w:after="200"/>
        <w:contextualSpacing/>
        <w:rPr>
          <w:i w:val="false"/>
          <w:iCs w:val="false"/>
        </w:rPr>
      </w:pPr>
      <w:r>
        <w:rPr>
          <w:i w:val="false"/>
          <w:iCs w:val="false"/>
        </w:rPr>
        <w:t>Assessment scope is narrower than document scope, architectural scope, or application scope. It applies to a particular proposed, ongoing, or completed action. For example, the framework as a whole may apply to medical ethics, but the assessment scope for a particular case may be limited to whether a physician should recommend a specific treatment to a specific patient under defined clinical uncertainty.</w:t>
      </w:r>
    </w:p>
    <w:p>
      <w:pPr>
        <w:pStyle w:val="Heading3"/>
        <w:ind w:hanging="0" w:left="0"/>
        <w:rPr>
          <w:i w:val="false"/>
          <w:iCs w:val="false"/>
        </w:rPr>
      </w:pPr>
      <w:r>
        <w:rPr/>
        <w:t>Contextual Scope</w:t>
      </w:r>
    </w:p>
    <w:p>
      <w:pPr>
        <w:pStyle w:val="BodyText"/>
        <w:spacing w:before="0" w:after="200"/>
        <w:contextualSpacing/>
        <w:rPr>
          <w:i w:val="false"/>
          <w:iCs w:val="false"/>
        </w:rPr>
      </w:pPr>
      <w:r>
        <w:rPr>
          <w:i w:val="false"/>
          <w:iCs w:val="false"/>
        </w:rPr>
        <w:t>Contextual scope defines which portion of the World Context is considered relevant to the assessment. The World Context represents the complete theoretical state of the world at the time of assessment. Because this complete state cannot be fully represented or evaluated in practice, the architecture uses progressively filtered context structures.</w:t>
      </w:r>
    </w:p>
    <w:p>
      <w:pPr>
        <w:pStyle w:val="BodyText"/>
        <w:spacing w:before="0" w:after="200"/>
        <w:contextualSpacing/>
        <w:rPr>
          <w:i w:val="false"/>
          <w:iCs w:val="false"/>
        </w:rPr>
      </w:pPr>
      <w:r>
        <w:rPr>
          <w:i w:val="false"/>
          <w:iCs w:val="false"/>
        </w:rPr>
        <w:t>The Local Context identifies the portion of the World Context relevant to a class of assessments, such as healthcare, public policy, family obligations, environmental stewardship, or military action. The Situational Context identifies the subset of the Local Context directly relevant to the specific Assessed Action. Additional context structures, such as Decision Context, Accessible Context, and Assessment Context, define the information available to the Actor, the information reasonably obtainable through due diligence, and the information available to the assessor at the time of evaluation.</w:t>
      </w:r>
    </w:p>
    <w:p>
      <w:pPr>
        <w:pStyle w:val="Heading3"/>
        <w:ind w:hanging="0" w:left="0"/>
        <w:rPr>
          <w:i w:val="false"/>
          <w:iCs w:val="false"/>
        </w:rPr>
      </w:pPr>
      <w:r>
        <w:rPr/>
        <w:t>Domain Scope</w:t>
      </w:r>
    </w:p>
    <w:p>
      <w:pPr>
        <w:pStyle w:val="BodyText"/>
        <w:spacing w:before="0" w:after="200"/>
        <w:contextualSpacing/>
        <w:rPr>
          <w:i w:val="false"/>
          <w:iCs w:val="false"/>
        </w:rPr>
      </w:pPr>
      <w:r>
        <w:rPr>
          <w:i w:val="false"/>
          <w:iCs w:val="false"/>
        </w:rPr>
        <w:t>Domain scope defines the class of activity, institution, or practice within which the assessment occurs. Examples include medicine, law, organizational governance, transportation, environmental management, military operations, education, finance, robotics, and artificial intelligence.</w:t>
      </w:r>
    </w:p>
    <w:p>
      <w:pPr>
        <w:pStyle w:val="BodyText"/>
        <w:spacing w:before="0" w:after="200"/>
        <w:contextualSpacing/>
        <w:rPr>
          <w:i w:val="false"/>
          <w:iCs w:val="false"/>
        </w:rPr>
      </w:pPr>
      <w:r>
        <w:rPr>
          <w:i w:val="false"/>
          <w:iCs w:val="false"/>
        </w:rPr>
        <w:t>Domain scope helps determine which Objects, Associations, norms, evidence sources, risks, obligations, and state variables are likely to be relevant. A medical decision and a public-policy decision may both use the same Reference Architecture, but they will require different Local Contexts, different evidence standards, different Associations, and different domain-specific state variables.</w:t>
      </w:r>
    </w:p>
    <w:p>
      <w:pPr>
        <w:pStyle w:val="Heading3"/>
        <w:ind w:hanging="0" w:left="0"/>
        <w:rPr>
          <w:i w:val="false"/>
          <w:iCs w:val="false"/>
        </w:rPr>
      </w:pPr>
      <w:r>
        <w:rPr/>
        <w:t>Entity Scope</w:t>
      </w:r>
    </w:p>
    <w:p>
      <w:pPr>
        <w:pStyle w:val="BodyText"/>
        <w:spacing w:before="0" w:after="200"/>
        <w:contextualSpacing/>
        <w:rPr>
          <w:i w:val="false"/>
          <w:iCs w:val="false"/>
        </w:rPr>
      </w:pPr>
      <w:r>
        <w:rPr>
          <w:i w:val="false"/>
          <w:iCs w:val="false"/>
        </w:rPr>
        <w:t>Entity scope defines which Objects and Flourishing Entities are included in the assessment. Not every Object in the World Context is morally relevant to every action. An Object becomes relevant when its state, relationships, future opportunities, or Long-Term Flourishing may be meaningfully affected by the Assessed Action.</w:t>
      </w:r>
    </w:p>
    <w:p>
      <w:pPr>
        <w:pStyle w:val="BodyText"/>
        <w:spacing w:before="0" w:after="200"/>
        <w:contextualSpacing/>
        <w:rPr>
          <w:i w:val="false"/>
          <w:iCs w:val="false"/>
        </w:rPr>
      </w:pPr>
      <w:r>
        <w:rPr>
          <w:i w:val="false"/>
          <w:iCs w:val="false"/>
        </w:rPr>
        <w:t>Entity scope must distinguish among Objects, Flourishing Entities, Moral Agents, Actors, affected entities, observers, responders, institutions, and non-flourishing objects. A rock may be an Object in the World Context, but it is not a Flourishing Entity unless it satisfies the framework’s criteria for Long-Term Flourishing. A human, animal, ecosystem, institution, or sufficiently self-directed artificial system may fall within entity scope when its flourishing can be meaningfully increased or diminished.</w:t>
      </w:r>
    </w:p>
    <w:p>
      <w:pPr>
        <w:pStyle w:val="Heading3"/>
        <w:ind w:hanging="0" w:left="0"/>
        <w:rPr>
          <w:i w:val="false"/>
          <w:iCs w:val="false"/>
        </w:rPr>
      </w:pPr>
      <w:r>
        <w:rPr/>
        <w:t>Causal Scope</w:t>
      </w:r>
    </w:p>
    <w:p>
      <w:pPr>
        <w:pStyle w:val="BodyText"/>
        <w:spacing w:before="0" w:after="200"/>
        <w:contextualSpacing/>
        <w:rPr>
          <w:i w:val="false"/>
          <w:iCs w:val="false"/>
        </w:rPr>
      </w:pPr>
      <w:r>
        <w:rPr>
          <w:i w:val="false"/>
          <w:iCs w:val="false"/>
        </w:rPr>
        <w:t>Causal scope defines which consequences of the Assessed Action are included in the predicted World Context transition. It includes direct effects, indirect effects, side effects, foreseeable downstream effects, changes to Associations, changes to institutions, changes to future opportunities, and changes to the decision policies of relevant moral agents.</w:t>
      </w:r>
    </w:p>
    <w:p>
      <w:pPr>
        <w:pStyle w:val="BodyText"/>
        <w:spacing w:before="0" w:after="200"/>
        <w:contextualSpacing/>
        <w:rPr>
          <w:i w:val="false"/>
          <w:iCs w:val="false"/>
        </w:rPr>
      </w:pPr>
      <w:r>
        <w:rPr>
          <w:i w:val="false"/>
          <w:iCs w:val="false"/>
        </w:rPr>
        <w:t>Causal scope is necessary because moral significance is not limited to immediate outcomes. An action may produce a beneficial short-term result while also damaging trust, incentives, institutions, or future decision behavior. These causal effects must be included when they are sufficiently connected to the Assessed Action and sufficiently material to the resulting World Context transition.</w:t>
      </w:r>
    </w:p>
    <w:p>
      <w:pPr>
        <w:pStyle w:val="Heading3"/>
        <w:ind w:hanging="0" w:left="0"/>
        <w:rPr>
          <w:i w:val="false"/>
          <w:iCs w:val="false"/>
        </w:rPr>
      </w:pPr>
      <w:r>
        <w:rPr/>
        <w:t>Temporal Scope</w:t>
      </w:r>
    </w:p>
    <w:p>
      <w:pPr>
        <w:pStyle w:val="BodyText"/>
        <w:spacing w:before="0" w:after="200"/>
        <w:contextualSpacing/>
        <w:rPr>
          <w:i w:val="false"/>
          <w:iCs w:val="false"/>
        </w:rPr>
      </w:pPr>
      <w:r>
        <w:rPr>
          <w:i w:val="false"/>
          <w:iCs w:val="false"/>
        </w:rPr>
        <w:t>Temporal scope defines the assessment horizons over which consequences are evaluated. The default horizons include immediate, short-term, long-term, multi-generational, and civilizational timeframes. Additional horizons may be introduced when required by the domain or situation.</w:t>
      </w:r>
    </w:p>
    <w:p>
      <w:pPr>
        <w:pStyle w:val="BodyText"/>
        <w:spacing w:before="0" w:after="200"/>
        <w:contextualSpacing/>
        <w:rPr>
          <w:i w:val="false"/>
          <w:iCs w:val="false"/>
        </w:rPr>
      </w:pPr>
      <w:r>
        <w:rPr>
          <w:i w:val="false"/>
          <w:iCs w:val="false"/>
        </w:rPr>
        <w:t>Temporal scope is essential because the moral character of an action may change across time. An action may produce short-term harm but long-term flourishing, or short-term benefit but long-term degradation of institutions, trust, adaptive capacity, or future state space. Confidence generally decreases as temporal scope extends farther into the future, so temporal scope must be paired with explicit uncertainty and confidence reporting.</w:t>
      </w:r>
    </w:p>
    <w:p>
      <w:pPr>
        <w:pStyle w:val="Heading3"/>
        <w:ind w:hanging="0" w:left="0"/>
        <w:rPr>
          <w:i w:val="false"/>
          <w:iCs w:val="false"/>
        </w:rPr>
      </w:pPr>
      <w:r>
        <w:rPr/>
        <w:t>Epistemic Scope</w:t>
      </w:r>
    </w:p>
    <w:p>
      <w:pPr>
        <w:pStyle w:val="BodyText"/>
        <w:spacing w:before="0" w:after="200"/>
        <w:contextualSpacing/>
        <w:rPr>
          <w:i w:val="false"/>
          <w:iCs w:val="false"/>
        </w:rPr>
      </w:pPr>
      <w:r>
        <w:rPr>
          <w:i w:val="false"/>
          <w:iCs w:val="false"/>
        </w:rPr>
        <w:t>Epistemic scope defines what information is considered available, reasonably obtainable, or admissible for assessment. The Decision Context includes the information reasonably available to the Actor at the time of decision. The Accessible Context includes the information a reasonably competent Moral Agent could have obtained through appropriate diligence within the same Situational Context. The Assessment Context includes information available to the assessor, including later-discovered evidence and observed outcomes.</w:t>
      </w:r>
    </w:p>
    <w:p>
      <w:pPr>
        <w:pStyle w:val="BodyText"/>
        <w:spacing w:before="0" w:after="200"/>
        <w:contextualSpacing/>
        <w:rPr>
          <w:i w:val="false"/>
          <w:iCs w:val="false"/>
        </w:rPr>
      </w:pPr>
      <w:r>
        <w:rPr>
          <w:i w:val="false"/>
          <w:iCs w:val="false"/>
        </w:rPr>
        <w:t>This distinction is important because moral responsibility should not be evaluated solely according to what the Actor claims to have known. It should also consider what a competent moral agent could reasonably have known or discovered under the circumstances. Epistemic scope therefore affects both the assessment of the action and the confidence assigned to the assessment.</w:t>
      </w:r>
    </w:p>
    <w:p>
      <w:pPr>
        <w:pStyle w:val="Heading3"/>
        <w:ind w:hanging="0" w:left="0"/>
        <w:rPr>
          <w:i w:val="false"/>
          <w:iCs w:val="false"/>
        </w:rPr>
      </w:pPr>
      <w:r>
        <w:rPr/>
        <w:t>Normative Scope</w:t>
      </w:r>
    </w:p>
    <w:p>
      <w:pPr>
        <w:pStyle w:val="BodyText"/>
        <w:spacing w:before="0" w:after="200"/>
        <w:contextualSpacing/>
        <w:rPr>
          <w:i w:val="false"/>
          <w:iCs w:val="false"/>
        </w:rPr>
      </w:pPr>
      <w:r>
        <w:rPr>
          <w:i w:val="false"/>
          <w:iCs w:val="false"/>
        </w:rPr>
        <w:t>Normative scope defines the moral direction supplied by the Foundational Axiom and the Primary Objective of supporting Long-Term Flourishing. It determines what the assessment is ultimately trying to preserve, promote, or avoid diminishing.</w:t>
      </w:r>
    </w:p>
    <w:p>
      <w:pPr>
        <w:pStyle w:val="BodyText"/>
        <w:spacing w:before="0" w:after="200"/>
        <w:contextualSpacing/>
        <w:rPr>
          <w:i w:val="false"/>
          <w:iCs w:val="false"/>
        </w:rPr>
      </w:pPr>
      <w:r>
        <w:rPr>
          <w:i w:val="false"/>
          <w:iCs w:val="false"/>
        </w:rPr>
        <w:t>Normative scope does not prescribe a single algorithm or outcome. Instead, it provides the evaluative direction against which World Context transitions are assessed. Operational objectives within a specific domain or situation may be relevant, but they cannot override the Foundational Axiom. For example, an organization’s objective to survive financially cannot justify actions that materially diminish the long-term flourishing of other relevant Flourishing Entities.</w:t>
      </w:r>
    </w:p>
    <w:p>
      <w:pPr>
        <w:pStyle w:val="Heading3"/>
        <w:ind w:hanging="0" w:left="0"/>
        <w:rPr>
          <w:i w:val="false"/>
          <w:iCs w:val="false"/>
        </w:rPr>
      </w:pPr>
      <w:r>
        <w:rPr/>
        <w:t>Perspective Scope</w:t>
      </w:r>
    </w:p>
    <w:p>
      <w:pPr>
        <w:pStyle w:val="BodyText"/>
        <w:spacing w:before="0" w:after="200"/>
        <w:contextualSpacing/>
        <w:rPr>
          <w:i w:val="false"/>
          <w:iCs w:val="false"/>
        </w:rPr>
      </w:pPr>
      <w:r>
        <w:rPr>
          <w:i w:val="false"/>
          <w:iCs w:val="false"/>
        </w:rPr>
        <w:t>Perspective scope defines the standpoint from which the assessment is being considered. A moral assessment may need to distinguish the Actor’s perspective, the affected entity’s perspective, the observer’s perspective, the institutional perspective, and the external assessor’s perspective.</w:t>
      </w:r>
    </w:p>
    <w:p>
      <w:pPr>
        <w:pStyle w:val="BodyText"/>
        <w:spacing w:before="0" w:after="200"/>
        <w:contextualSpacing/>
        <w:rPr>
          <w:i w:val="false"/>
          <w:iCs w:val="false"/>
        </w:rPr>
      </w:pPr>
      <w:r>
        <w:rPr>
          <w:i w:val="false"/>
          <w:iCs w:val="false"/>
        </w:rPr>
        <w:t>The framework should not allow perspective scope to collapse into subjective preference. Instead, perspective scope identifies which information, relationships, obligations, incentives, and policy updates are visible or relevant from a given standpoint. This allows the model to represent disagreement, asymmetry of information, and institutional role differences without abandoning objective assessment.</w:t>
      </w:r>
    </w:p>
    <w:p>
      <w:pPr>
        <w:pStyle w:val="Heading3"/>
        <w:ind w:hanging="0" w:left="0"/>
        <w:rPr>
          <w:i w:val="false"/>
          <w:iCs w:val="false"/>
        </w:rPr>
      </w:pPr>
      <w:r>
        <w:rPr>
          <w:rFonts w:ascii="Aptos" w:hAnsi="Aptos"/>
          <w:i w:val="false"/>
          <w:iCs w:val="false"/>
        </w:rPr>
        <w:t xml:space="preserve">Jurisdictional and </w:t>
      </w:r>
      <w:r>
        <w:rPr>
          <w:i w:val="false"/>
          <w:iCs w:val="false"/>
        </w:rPr>
        <w:t>Authority</w:t>
      </w:r>
      <w:r>
        <w:rPr>
          <w:rFonts w:ascii="Aptos" w:hAnsi="Aptos"/>
          <w:i w:val="false"/>
          <w:iCs w:val="false"/>
        </w:rPr>
        <w:t xml:space="preserve"> Scope</w:t>
      </w:r>
    </w:p>
    <w:p>
      <w:pPr>
        <w:pStyle w:val="BodyText"/>
        <w:spacing w:before="0" w:after="200"/>
        <w:contextualSpacing/>
        <w:rPr>
          <w:i w:val="false"/>
          <w:iCs w:val="false"/>
        </w:rPr>
      </w:pPr>
      <w:r>
        <w:rPr>
          <w:i w:val="false"/>
          <w:iCs w:val="false"/>
        </w:rPr>
        <w:t>Jurisdictional and authority scope define the legal, institutional, organizational, or procedural boundaries within which an action occurs. These boundaries may determine who has authority to act, who has responsibility, which rules apply, which institutions are affected, and which Associations carry moral significance.</w:t>
      </w:r>
    </w:p>
    <w:p>
      <w:pPr>
        <w:pStyle w:val="BodyText"/>
        <w:spacing w:before="0" w:after="200"/>
        <w:contextualSpacing/>
        <w:rPr>
          <w:i w:val="false"/>
          <w:iCs w:val="false"/>
        </w:rPr>
      </w:pPr>
      <w:r>
        <w:rPr>
          <w:i w:val="false"/>
          <w:iCs w:val="false"/>
        </w:rPr>
        <w:t>Jurisdictional scope does not determine morality by itself. A legal action may still be morally harmful, and an illegal action may sometimes be morally defensible under extreme circumstances. However, jurisdictional and authority structures are part of the World Context and may affect obligations, legitimacy, trust, institutional stability, and future policy updates.</w:t>
      </w:r>
    </w:p>
    <w:p>
      <w:pPr>
        <w:pStyle w:val="Heading3"/>
        <w:ind w:hanging="0" w:left="0"/>
        <w:rPr>
          <w:i w:val="false"/>
          <w:iCs w:val="false"/>
        </w:rPr>
      </w:pPr>
      <w:r>
        <w:rPr/>
        <w:t>Computational Scope</w:t>
      </w:r>
    </w:p>
    <w:p>
      <w:pPr>
        <w:pStyle w:val="BodyText"/>
        <w:spacing w:before="0" w:after="200"/>
        <w:contextualSpacing/>
        <w:rPr>
          <w:i w:val="false"/>
          <w:iCs w:val="false"/>
        </w:rPr>
      </w:pPr>
      <w:r>
        <w:rPr>
          <w:i w:val="false"/>
          <w:iCs w:val="false"/>
        </w:rPr>
        <w:t>Computational scope defines what can realistically be represented, estimated, or computed during an assessment. Exact computation of the full World Context transition will often be impossible. The framework therefore expects approximation, abstraction, probabilistic reasoning, hierarchical modeling, and confidence reporting.</w:t>
      </w:r>
    </w:p>
    <w:p>
      <w:pPr>
        <w:pStyle w:val="BodyText"/>
        <w:spacing w:before="0" w:after="200"/>
        <w:contextualSpacing/>
        <w:rPr>
          <w:i w:val="false"/>
          <w:iCs w:val="false"/>
        </w:rPr>
      </w:pPr>
      <w:r>
        <w:rPr>
          <w:i w:val="false"/>
          <w:iCs w:val="false"/>
        </w:rPr>
        <w:t>Computational limits should not be hidden. When an assessment relies on incomplete information, simplified models, uncertain predictions, or bounded computation, those limits should reduce confidence rather than be ignored. Computational scope therefore defines not only what the system attempts to calculate, but also what uncertainty must be disclosed.</w:t>
      </w:r>
    </w:p>
    <w:p>
      <w:pPr>
        <w:pStyle w:val="Heading3"/>
        <w:ind w:hanging="0" w:left="0"/>
        <w:rPr>
          <w:i w:val="false"/>
          <w:iCs w:val="false"/>
        </w:rPr>
      </w:pPr>
      <w:r>
        <w:rPr/>
        <w:t>Scope Interaction</w:t>
      </w:r>
    </w:p>
    <w:p>
      <w:pPr>
        <w:pStyle w:val="BodyText"/>
        <w:spacing w:before="0" w:after="200"/>
        <w:contextualSpacing/>
        <w:rPr>
          <w:i w:val="false"/>
          <w:iCs w:val="false"/>
        </w:rPr>
      </w:pPr>
      <w:r>
        <w:rPr>
          <w:i w:val="false"/>
          <w:iCs w:val="false"/>
        </w:rPr>
        <w:t>The scope structures in this framework are interdependent. Application scope helps determine domain scope. Domain scope helps determine Local Context. Assessment scope identifies the specific Assessed Action. Contextual scope determines which portion of the World Context is considered. Entity scope determines which Flourishing Entities and Associations are relevant. Causal and temporal scope determine which consequences are evaluated. Epistemic scope determines what evidence is available or reasonably obtainable. Computational scope determines the confidence with which the assessment can be performed.</w:t>
      </w:r>
    </w:p>
    <w:p>
      <w:pPr>
        <w:pStyle w:val="BodyText"/>
        <w:spacing w:before="0" w:after="200"/>
        <w:contextualSpacing/>
        <w:rPr>
          <w:i w:val="false"/>
          <w:iCs w:val="false"/>
        </w:rPr>
      </w:pPr>
      <w:r>
        <w:rPr>
          <w:i w:val="false"/>
          <w:iCs w:val="false"/>
        </w:rPr>
        <w:t>A complete moral assessment should therefore identify its scope assumptions explicitly. When scope boundaries are uncertain, contested, or incomplete, the assessment should state those limitations and reflect them in the resulting confidence estimate.</w:t>
      </w:r>
    </w:p>
    <w:p>
      <w:pPr>
        <w:pStyle w:val="Heading1"/>
        <w:numPr>
          <w:ilvl w:val="0"/>
          <w:numId w:val="179"/>
        </w:numPr>
        <w:ind w:hanging="0" w:left="0"/>
        <w:rPr/>
      </w:pPr>
      <w:r>
        <w:rPr/>
        <w:t>Design Principles</w:t>
      </w:r>
    </w:p>
    <w:p>
      <w:pPr>
        <w:pStyle w:val="Heading2"/>
        <w:ind w:hanging="0" w:left="0"/>
        <w:rPr/>
      </w:pPr>
      <w:r>
        <w:rPr/>
        <w:t>Explicit Assumptions</w:t>
      </w:r>
    </w:p>
    <w:p>
      <w:pPr>
        <w:pStyle w:val="Normal"/>
        <w:rPr/>
      </w:pPr>
      <w:r>
        <w:rPr/>
        <w:t>The framework shall make its foundational assumptions explicit rather than embedding them implicitly within rules, heuristics, or ideology.</w:t>
      </w:r>
    </w:p>
    <w:p>
      <w:pPr>
        <w:pStyle w:val="Heading2"/>
        <w:ind w:hanging="0" w:left="0"/>
        <w:rPr/>
      </w:pPr>
      <w:r>
        <w:rPr/>
        <w:t>Explainability</w:t>
      </w:r>
    </w:p>
    <w:p>
      <w:pPr>
        <w:pStyle w:val="Normal"/>
        <w:rPr/>
      </w:pPr>
      <w:r>
        <w:rPr/>
        <w:t>Every moral assessment shall be traceable through explicit reasoning, allowing both humans and machines to inspect how conclusions were reached.</w:t>
      </w:r>
    </w:p>
    <w:p>
      <w:pPr>
        <w:pStyle w:val="Heading2"/>
        <w:ind w:hanging="0" w:left="0"/>
        <w:rPr/>
      </w:pPr>
      <w:r>
        <w:rPr/>
        <w:t>Computational Representability</w:t>
      </w:r>
    </w:p>
    <w:p>
      <w:pPr>
        <w:pStyle w:val="Normal"/>
        <w:rPr/>
      </w:pPr>
      <w:r>
        <w:rPr/>
        <w:t>Every major architectural concept shall admit a computational representation. The architecture should remain abstract, but it shall not depend on concepts that cannot, in principle, be represented computationally.</w:t>
      </w:r>
    </w:p>
    <w:p>
      <w:pPr>
        <w:pStyle w:val="Heading2"/>
        <w:ind w:hanging="0" w:left="0"/>
        <w:rPr/>
      </w:pPr>
      <w:r>
        <w:rPr/>
        <w:t>Objective Assessment</w:t>
      </w:r>
    </w:p>
    <w:p>
      <w:pPr>
        <w:pStyle w:val="Normal"/>
        <w:rPr/>
      </w:pPr>
      <w:r>
        <w:rPr/>
        <w:t>Actions shall be evaluated using explicit models, evidence, and probabilistic reasoning rather than intuition, ideology, or implicit moral preferences.</w:t>
      </w:r>
    </w:p>
    <w:p>
      <w:pPr>
        <w:pStyle w:val="Heading2"/>
        <w:ind w:hanging="0" w:left="0"/>
        <w:rPr/>
      </w:pPr>
      <w:r>
        <w:rPr/>
        <w:t>Probabilistic Reasoning</w:t>
      </w:r>
    </w:p>
    <w:p>
      <w:pPr>
        <w:pStyle w:val="Normal"/>
        <w:rPr/>
      </w:pPr>
      <w:r>
        <w:rPr/>
        <w:t>Uncertainty shall be represented explicitly and propagated throughout the assessment process.</w:t>
      </w:r>
    </w:p>
    <w:p>
      <w:pPr>
        <w:pStyle w:val="Heading2"/>
        <w:ind w:hanging="0" w:left="0"/>
        <w:rPr/>
      </w:pPr>
      <w:r>
        <w:rPr/>
        <w:t>Multi-Horizon Assessment</w:t>
      </w:r>
    </w:p>
    <w:p>
      <w:pPr>
        <w:pStyle w:val="Normal"/>
        <w:rPr/>
      </w:pPr>
      <w:r>
        <w:rPr/>
        <w:t>Actions shall be evaluated across multiple temporal horizons because immediate and long-term consequences may differ substantially.</w:t>
      </w:r>
    </w:p>
    <w:p>
      <w:pPr>
        <w:pStyle w:val="Heading2"/>
        <w:ind w:hanging="0" w:left="0"/>
        <w:rPr/>
      </w:pPr>
      <w:r>
        <w:rPr/>
        <w:t>Extensibility</w:t>
      </w:r>
    </w:p>
    <w:p>
      <w:pPr>
        <w:pStyle w:val="Normal"/>
        <w:rPr/>
      </w:pPr>
      <w:r>
        <w:rPr/>
        <w:t>The architecture shall accommodate new entity types, objectives, state variables, assessment methods, application domains, and implementation technologies without modifying its foundational principles.</w:t>
      </w:r>
    </w:p>
    <w:p>
      <w:pPr>
        <w:pStyle w:val="Heading2"/>
        <w:ind w:hanging="0" w:left="0"/>
        <w:rPr/>
      </w:pPr>
      <w:r>
        <w:rPr/>
        <w:t>Implementation Independence</w:t>
      </w:r>
    </w:p>
    <w:p>
      <w:pPr>
        <w:pStyle w:val="Normal"/>
        <w:rPr/>
      </w:pPr>
      <w:r>
        <w:rPr/>
        <w:t>The specification defines an architecture rather than a software product. It shall support multiple independent implementations.</w:t>
      </w:r>
    </w:p>
    <w:p>
      <w:pPr>
        <w:pStyle w:val="Heading2"/>
        <w:ind w:hanging="0" w:left="0"/>
        <w:rPr/>
      </w:pPr>
      <w:r>
        <w:rPr/>
        <w:t>Technology Independence</w:t>
      </w:r>
    </w:p>
    <w:p>
      <w:pPr>
        <w:pStyle w:val="Normal"/>
        <w:rPr/>
      </w:pPr>
      <w:r>
        <w:rPr/>
        <w:t>The architecture shall not be constrained by the current limits of data availability, computational resources, or implementation technology. Where exact computation is impractical, stochastic, probabilistic, hierarchical, or future computational methods may be employed while preserving the architectural principles.</w:t>
      </w:r>
    </w:p>
    <w:p>
      <w:pPr>
        <w:pStyle w:val="Heading2"/>
        <w:ind w:hanging="0" w:left="0"/>
        <w:rPr/>
      </w:pPr>
      <w:r>
        <w:rPr/>
        <w:t>Continuous Refinement</w:t>
      </w:r>
    </w:p>
    <w:p>
      <w:pPr>
        <w:pStyle w:val="Normal"/>
        <w:rPr/>
      </w:pPr>
      <w:r>
        <w:rPr/>
        <w:t>Models, evidence, uncertainty estimates, and assessment methods may evolve without changing the core architecture.</w:t>
      </w:r>
    </w:p>
    <w:p>
      <w:pPr>
        <w:pStyle w:val="Heading2"/>
        <w:ind w:hanging="0" w:left="0"/>
        <w:rPr/>
      </w:pPr>
      <w:r>
        <w:rPr/>
        <w:t>Separation of Architecture and Implementation</w:t>
      </w:r>
    </w:p>
    <w:p>
      <w:pPr>
        <w:pStyle w:val="Normal"/>
        <w:rPr/>
      </w:pPr>
      <w:r>
        <w:rPr/>
        <w:t>Abstract models such as nodes, edges, contexts, and state transitions belong in the architecture. Concrete deployment patterns such as MRRs, LLM harnesses, or robotics platforms belong in the implementation section.</w:t>
      </w:r>
    </w:p>
    <w:p>
      <w:pPr>
        <w:pStyle w:val="Heading1"/>
        <w:numPr>
          <w:ilvl w:val="0"/>
          <w:numId w:val="179"/>
        </w:numPr>
        <w:ind w:hanging="0" w:left="0"/>
        <w:rPr/>
      </w:pPr>
      <w:bookmarkStart w:id="0" w:name="__RefHeading___Toc23537_3508477456"/>
      <w:bookmarkEnd w:id="0"/>
      <w:r>
        <w:rPr/>
        <w:t>Known Limitations</w:t>
      </w:r>
    </w:p>
    <w:p>
      <w:pPr>
        <w:pStyle w:val="Heading3"/>
        <w:ind w:hanging="0" w:left="0"/>
        <w:rPr/>
      </w:pPr>
      <w:r>
        <w:rPr/>
        <w:t>Framework Identity and Normative Authority</w:t>
      </w:r>
    </w:p>
    <w:p>
      <w:pPr>
        <w:pStyle w:val="Normal"/>
        <w:widowControl/>
        <w:bidi w:val="0"/>
        <w:spacing w:lineRule="auto" w:line="276"/>
        <w:jc w:val="left"/>
        <w:rPr/>
      </w:pPr>
      <w:r>
        <w:rPr/>
        <w:t>Objective-Based Systems Ethics is a normatively committed reference architecture. Its Foundational Axiom supplies a constitutional direction, while other ethical traditions may provide interpretive profiles, constraints, evaluative dimensions, or procedural requirements. Their status and interaction must be explicitly defined before they can be described as incorporated into the framework.</w:t>
      </w:r>
    </w:p>
    <w:p>
      <w:pPr>
        <w:pStyle w:val="Heading4"/>
        <w:ind w:hanging="0" w:left="0"/>
        <w:rPr/>
      </w:pPr>
      <w:r>
        <w:rPr/>
        <w:t>Limitation Statement</w:t>
      </w:r>
    </w:p>
    <w:p>
      <w:pPr>
        <w:pStyle w:val="Normal"/>
        <w:widowControl/>
        <w:bidi w:val="0"/>
        <w:spacing w:lineRule="auto" w:line="276"/>
        <w:jc w:val="left"/>
        <w:rPr/>
      </w:pPr>
      <w:r>
        <w:rPr/>
        <w:t>State that the framework’s identity and source of normative authority remain insufficiently defined, affecting interpretation, conformance, and legitimacy.</w:t>
      </w:r>
    </w:p>
    <w:p>
      <w:pPr>
        <w:pStyle w:val="Normal"/>
        <w:rPr/>
      </w:pPr>
      <w:r>
        <w:rPr/>
        <w:t>9.4.1.2 Competing Framework Identities</w:t>
        <w:br/>
      </w:r>
      <w:r>
        <w:rPr>
          <w:b w:val="false"/>
          <w:bCs w:val="false"/>
        </w:rPr>
        <w:t>Examine whether it is a normative ethical theory, computational reference architecture, assessment methodology, meta-framework, or combination.</w:t>
      </w:r>
    </w:p>
    <w:p>
      <w:pPr>
        <w:pStyle w:val="Heading4"/>
        <w:ind w:hanging="0" w:left="0"/>
        <w:rPr/>
      </w:pPr>
      <w:r>
        <w:rPr/>
        <w:t>Recommended Classification</w:t>
      </w:r>
    </w:p>
    <w:p>
      <w:pPr>
        <w:pStyle w:val="Normal"/>
        <w:widowControl/>
        <w:bidi w:val="0"/>
        <w:spacing w:lineRule="auto" w:line="276"/>
        <w:jc w:val="left"/>
        <w:rPr/>
      </w:pPr>
      <w:r>
        <w:rPr>
          <w:b w:val="false"/>
          <w:bCs w:val="false"/>
        </w:rPr>
        <w:t xml:space="preserve">Define it as a </w:t>
      </w:r>
      <w:r>
        <w:rPr>
          <w:rStyle w:val="Strong"/>
          <w:b w:val="false"/>
          <w:bCs w:val="false"/>
        </w:rPr>
        <w:t>normatively committed, pluralistic reference architecture for structured moral assessment</w:t>
      </w:r>
      <w:r>
        <w:rPr>
          <w:b w:val="false"/>
          <w:bCs w:val="false"/>
        </w:rPr>
        <w:t>—not a value-neutral architecture or presently complete ethical theory.</w:t>
      </w:r>
    </w:p>
    <w:p>
      <w:pPr>
        <w:pStyle w:val="Heading4"/>
        <w:ind w:hanging="0" w:left="0"/>
        <w:rPr/>
      </w:pPr>
      <w:r>
        <w:rPr/>
        <w:t>Normative Status of the Foundational Axiom</w:t>
      </w:r>
    </w:p>
    <w:p>
      <w:pPr>
        <w:pStyle w:val="Normal"/>
        <w:widowControl/>
        <w:bidi w:val="0"/>
        <w:spacing w:lineRule="auto" w:line="276"/>
        <w:jc w:val="left"/>
        <w:rPr/>
      </w:pPr>
      <w:r>
        <w:rPr/>
        <w:t>Determine whether the axiom is constitutional, presumptive, amendable, or replaceable; explain its justification and limits. Replacing it should ordinarily create a different framework variant.</w:t>
      </w:r>
    </w:p>
    <w:p>
      <w:pPr>
        <w:pStyle w:val="Heading4"/>
        <w:ind w:hanging="0" w:left="0"/>
        <w:rPr/>
      </w:pPr>
      <w:r>
        <w:rPr/>
        <w:t>Normative Commitments Beyond the Axiom</w:t>
      </w:r>
    </w:p>
    <w:p>
      <w:pPr>
        <w:pStyle w:val="Normal"/>
        <w:widowControl/>
        <w:bidi w:val="0"/>
        <w:spacing w:lineRule="auto" w:line="276"/>
        <w:jc w:val="left"/>
        <w:rPr/>
      </w:pPr>
      <w:r>
        <w:rPr/>
        <w:t>Identify values embedded in “relevant,” “beneficial,” “compatible,” “material,” entity classifications, boundary selection, evidence standards, and designation of the World Context Transition as the primary assessment object.</w:t>
      </w:r>
    </w:p>
    <w:p>
      <w:pPr>
        <w:pStyle w:val="Heading4"/>
        <w:ind w:hanging="0" w:left="0"/>
        <w:rPr/>
      </w:pPr>
      <w:r>
        <w:rPr/>
        <w:t>Invariant Normative Kernel and Ethical Profiles</w:t>
      </w:r>
    </w:p>
    <w:p>
      <w:pPr>
        <w:pStyle w:val="Normal"/>
        <w:widowControl/>
        <w:bidi w:val="0"/>
        <w:spacing w:lineRule="auto" w:line="276"/>
        <w:jc w:val="left"/>
        <w:rPr/>
      </w:pPr>
      <w:r>
        <w:rPr/>
        <w:t>Distinguish mandatory core commitments from extensible ethical profiles. The Capability Approach could become a human-flourishing profile; Environmental Ethics could become an ecological scope and standing profile.</w:t>
      </w:r>
    </w:p>
    <w:p>
      <w:pPr>
        <w:pStyle w:val="Heading4"/>
        <w:ind w:hanging="0" w:left="0"/>
        <w:rPr/>
      </w:pPr>
      <w:r>
        <w:rPr/>
        <w:t>Status of Incorporated Ethical Systems</w:t>
      </w:r>
    </w:p>
    <w:p>
      <w:pPr>
        <w:pStyle w:val="Normal"/>
        <w:widowControl/>
        <w:bidi w:val="0"/>
        <w:spacing w:lineRule="auto" w:line="276"/>
        <w:jc w:val="left"/>
        <w:rPr/>
      </w:pPr>
      <w:r>
        <w:rPr/>
        <w:t>Classify each imported concept as an interpretive lens, measurement method, normative constraint, independent evaluative axis, domain profile, or procedural requirement. Avoid calling something “incorporated” merely because it is representable.</w:t>
      </w:r>
    </w:p>
    <w:p>
      <w:pPr>
        <w:pStyle w:val="Heading4"/>
        <w:ind w:hanging="0" w:left="0"/>
        <w:rPr/>
      </w:pPr>
      <w:r>
        <w:rPr/>
        <w:t>Sources and Allocation of Authority</w:t>
      </w:r>
    </w:p>
    <w:p>
      <w:pPr>
        <w:pStyle w:val="Normal"/>
        <w:widowControl/>
        <w:bidi w:val="0"/>
        <w:spacing w:lineRule="auto" w:line="276"/>
        <w:jc w:val="left"/>
        <w:rPr/>
      </w:pPr>
      <w:r>
        <w:rPr/>
        <w:t>Separate philosophical authority, interpretive authority, institutional authority, and revision authority. Identify who may define capabilities, ecological value, thresholds, relevance, and acceptable trade-offs.</w:t>
      </w:r>
    </w:p>
    <w:p>
      <w:pPr>
        <w:pStyle w:val="Heading4"/>
        <w:ind w:hanging="0" w:left="0"/>
        <w:rPr/>
      </w:pPr>
      <w:r>
        <w:rPr/>
        <w:t>Pluralism, Conflict, and Moral Uncertainty</w:t>
      </w:r>
    </w:p>
    <w:p>
      <w:pPr>
        <w:pStyle w:val="Normal"/>
        <w:widowControl/>
        <w:bidi w:val="0"/>
        <w:spacing w:lineRule="auto" w:line="276"/>
        <w:jc w:val="left"/>
        <w:rPr/>
      </w:pPr>
      <w:r>
        <w:rPr/>
        <w:t>Determine how the framework handles conflicting ethical profiles: precedence, separate findings, partial rankings, unresolved disagreement, or an integration rule. Detailed decision rules can cross-reference 9.4.2.</w:t>
      </w:r>
    </w:p>
    <w:p>
      <w:pPr>
        <w:pStyle w:val="Heading4"/>
        <w:ind w:hanging="0" w:left="0"/>
        <w:rPr/>
      </w:pPr>
      <w:r>
        <w:rPr/>
        <w:t>Conformance and Framework Identity</w:t>
      </w:r>
    </w:p>
    <w:p>
      <w:pPr>
        <w:pStyle w:val="Normal"/>
        <w:widowControl/>
        <w:bidi w:val="0"/>
        <w:spacing w:lineRule="auto" w:line="276"/>
        <w:jc w:val="left"/>
        <w:rPr/>
      </w:pPr>
      <w:r>
        <w:rPr/>
        <w:t>Define which elements every implementation must preserve and when implementation differences produce a distinct ethical framework rather than another conforming implementation.</w:t>
      </w:r>
    </w:p>
    <w:p>
      <w:pPr>
        <w:pStyle w:val="Heading4"/>
        <w:ind w:hanging="0" w:left="0"/>
        <w:rPr/>
      </w:pPr>
      <w:r>
        <w:rPr/>
        <w:t>Failure Modes and Exposure</w:t>
      </w:r>
    </w:p>
    <w:p>
      <w:pPr>
        <w:pStyle w:val="Normal"/>
        <w:widowControl/>
        <w:bidi w:val="0"/>
        <w:spacing w:lineRule="auto" w:line="276"/>
        <w:jc w:val="left"/>
        <w:rPr/>
      </w:pPr>
      <w:r>
        <w:rPr/>
        <w:t>Analyze normative laundering, optional-module shopping, technocratic paternalism, anthropocentric managerialism, inconsistent implementations, and making the framework unfalsifiable by absorbing every criticism.</w:t>
      </w:r>
    </w:p>
    <w:p>
      <w:pPr>
        <w:pStyle w:val="Normal"/>
        <w:widowControl/>
        <w:bidi w:val="0"/>
        <w:spacing w:lineRule="auto" w:line="276"/>
        <w:jc w:val="left"/>
        <w:rPr/>
      </w:pPr>
      <w:r>
        <w:rPr/>
        <w:t>9.4.1.12 Interim Safeguards and Mitigations</w:t>
      </w:r>
    </w:p>
    <w:p>
      <w:pPr>
        <w:pStyle w:val="Normal"/>
        <w:widowControl/>
        <w:bidi w:val="0"/>
        <w:spacing w:lineRule="auto" w:line="276"/>
        <w:jc w:val="left"/>
        <w:rPr/>
      </w:pPr>
      <w:r>
        <w:rPr/>
        <w:t>Require disclosure of normative profiles, assumptions, disputed interpretations, excluded perspectives, decision authority, and unresolved conflicts. Prohibit claims of moral objectivity unsupported by the framework.</w:t>
      </w:r>
    </w:p>
    <w:p>
      <w:pPr>
        <w:pStyle w:val="Heading4"/>
        <w:ind w:hanging="0" w:left="0"/>
        <w:rPr/>
      </w:pPr>
      <w:r>
        <w:rPr/>
        <w:t>Research Deliverables and Acceptance Criteria</w:t>
      </w:r>
    </w:p>
    <w:p>
      <w:pPr>
        <w:pStyle w:val="Normal"/>
        <w:widowControl/>
        <w:bidi w:val="0"/>
        <w:spacing w:lineRule="auto" w:line="276"/>
        <w:jc w:val="left"/>
        <w:rPr/>
      </w:pPr>
      <w:r>
        <w:rPr/>
        <w:t>Require a Framework Identity Statement, Normative Kernel Specification, Ethical Profile Registry, Authority Matrix, conformance rules, and theory-discriminating test cases.</w:t>
      </w:r>
    </w:p>
    <w:p>
      <w:pPr>
        <w:pStyle w:val="Heading4"/>
        <w:ind w:hanging="0" w:left="0"/>
        <w:rPr/>
      </w:pPr>
      <w:r>
        <w:rPr/>
        <w:t>Residual Risk</w:t>
      </w:r>
    </w:p>
    <w:p>
      <w:pPr>
        <w:pStyle w:val="Normal"/>
        <w:widowControl/>
        <w:bidi w:val="0"/>
        <w:spacing w:lineRule="auto" w:line="276"/>
        <w:jc w:val="left"/>
        <w:rPr/>
      </w:pPr>
      <w:r>
        <w:rPr/>
        <w:t>Acknowledge that explicit governance cannot eliminate foundational disagreement, cultural conflict, interpretive discretion, or institutional capture.</w:t>
      </w:r>
    </w:p>
    <w:p>
      <w:pPr>
        <w:pStyle w:val="Heading3"/>
        <w:ind w:hanging="0" w:left="0"/>
        <w:rPr/>
      </w:pPr>
      <w:r>
        <w:rPr/>
        <w:t>Decision Completeness and Conflict Resolution</w:t>
      </w:r>
    </w:p>
    <w:p>
      <w:pPr>
        <w:pStyle w:val="Heading4"/>
        <w:ind w:hanging="0" w:left="0"/>
        <w:rPr/>
      </w:pPr>
      <w:r>
        <w:rPr/>
        <w:t>Limitation Statement</w:t>
      </w:r>
    </w:p>
    <w:p>
      <w:pPr>
        <w:pStyle w:val="Normal"/>
        <w:widowControl/>
        <w:bidi w:val="0"/>
        <w:spacing w:lineRule="auto" w:line="276"/>
        <w:jc w:val="left"/>
        <w:rPr/>
      </w:pPr>
      <w:r>
        <w:rPr/>
        <w:t>Explain that the Foundational Axiom identifies a moral direction but does not yet resolve conflicts among entities, values, duties, rights, capabilities, ecological levels, or time horizons.</w:t>
      </w:r>
    </w:p>
    <w:p>
      <w:pPr>
        <w:pStyle w:val="Heading4"/>
        <w:ind w:hanging="0" w:left="0"/>
        <w:rPr/>
      </w:pPr>
      <w:r>
        <w:rPr/>
        <w:t>Meaning of Decision Completeness</w:t>
      </w:r>
    </w:p>
    <w:p>
      <w:pPr>
        <w:pStyle w:val="Normal"/>
        <w:widowControl/>
        <w:bidi w:val="0"/>
        <w:spacing w:lineRule="auto" w:line="276"/>
        <w:jc w:val="left"/>
        <w:rPr/>
      </w:pPr>
      <w:r>
        <w:rPr/>
        <w:t>Define completeness as the ability to identify applicable considerations, compare feasible alternatives, apply resolution rules, explain the result, and recognize justified indeterminacy.</w:t>
      </w:r>
    </w:p>
    <w:p>
      <w:pPr>
        <w:pStyle w:val="Heading4"/>
        <w:ind w:hanging="0" w:left="0"/>
        <w:rPr/>
      </w:pPr>
      <w:r>
        <w:rPr/>
        <w:t>Types of Moral Conflict</w:t>
      </w:r>
    </w:p>
    <w:p>
      <w:pPr>
        <w:pStyle w:val="Normal"/>
        <w:widowControl/>
        <w:bidi w:val="0"/>
        <w:spacing w:lineRule="auto" w:line="276"/>
        <w:jc w:val="left"/>
        <w:rPr/>
      </w:pPr>
      <w:r>
        <w:rPr/>
        <w:t>Classify conflicts among duties; rights; values; capabilities; entities; individuals and collectives; organisms and ecosystems; present and future parties; means and outcomes; and ethical profiles.</w:t>
      </w:r>
    </w:p>
    <w:p>
      <w:pPr>
        <w:pStyle w:val="Heading4"/>
        <w:ind w:hanging="0" w:left="0"/>
        <w:rPr/>
      </w:pPr>
      <w:r>
        <w:rPr/>
        <w:t>Feasible Alternatives and Decision Baseline</w:t>
      </w:r>
    </w:p>
    <w:p>
      <w:pPr>
        <w:pStyle w:val="Normal"/>
        <w:widowControl/>
        <w:bidi w:val="0"/>
        <w:spacing w:lineRule="auto" w:line="276"/>
        <w:jc w:val="left"/>
        <w:rPr/>
      </w:pPr>
      <w:r>
        <w:rPr/>
        <w:t>Require comparison with credible alternatives, including inaction, delay, partial implementation, mitigation, delegation, experimentation, and system redesign. Define the baseline against which change is assessed.</w:t>
      </w:r>
    </w:p>
    <w:p>
      <w:pPr>
        <w:pStyle w:val="Heading4"/>
        <w:ind w:hanging="0" w:left="0"/>
        <w:rPr/>
      </w:pPr>
      <w:r>
        <w:rPr/>
        <w:t>Normative Hierarchy and Types of Moral Reasons</w:t>
      </w:r>
    </w:p>
    <w:p>
      <w:pPr>
        <w:pStyle w:val="Normal"/>
        <w:widowControl/>
        <w:bidi w:val="0"/>
        <w:spacing w:lineRule="auto" w:line="276"/>
        <w:jc w:val="left"/>
        <w:rPr/>
      </w:pPr>
      <w:r>
        <w:rPr/>
        <w:t>Distinguish categorical constraints, protected minimums, presumptive duties, thresholds, objectives, defeasible reasons, procedural requirements, and advisory considerations. Specify how each affects the permissible action space.</w:t>
      </w:r>
    </w:p>
    <w:p>
      <w:pPr>
        <w:pStyle w:val="Heading4"/>
        <w:ind w:hanging="0" w:left="0"/>
        <w:rPr/>
      </w:pPr>
      <w:r>
        <w:rPr/>
        <w:t>Material Diminishment</w:t>
      </w:r>
    </w:p>
    <w:p>
      <w:pPr>
        <w:pStyle w:val="Normal"/>
        <w:widowControl/>
        <w:bidi w:val="0"/>
        <w:spacing w:lineRule="auto" w:line="276"/>
        <w:jc w:val="left"/>
        <w:rPr/>
      </w:pPr>
      <w:r>
        <w:rPr/>
        <w:t>Operationalize material diminishment using magnitude, probability, duration, reversibility, concentration, vulnerability, consent, threshold crossing, cumulative effects, and contraction of Future State Space.</w:t>
      </w:r>
    </w:p>
    <w:p>
      <w:pPr>
        <w:pStyle w:val="Heading4"/>
        <w:ind w:hanging="0" w:left="0"/>
        <w:rPr/>
      </w:pPr>
      <w:r>
        <w:rPr/>
        <w:t>Protected Minimums and Noncompensable Losses</w:t>
      </w:r>
    </w:p>
    <w:p>
      <w:pPr>
        <w:pStyle w:val="Normal"/>
        <w:widowControl/>
        <w:bidi w:val="0"/>
        <w:spacing w:lineRule="auto" w:line="276"/>
        <w:jc w:val="left"/>
        <w:rPr/>
      </w:pPr>
      <w:r>
        <w:rPr/>
        <w:t>Determine which rights, capabilities, ecological values, or flourishing thresholds cannot ordinarily be exchanged for gains elsewhere. Define the presumption and burden of proof associated with such protections.</w:t>
      </w:r>
    </w:p>
    <w:p>
      <w:pPr>
        <w:pStyle w:val="Heading4"/>
        <w:ind w:hanging="0" w:left="0"/>
        <w:rPr/>
      </w:pPr>
      <w:r>
        <w:rPr/>
        <w:t>Commensurability, Aggregation, and Weighting</w:t>
      </w:r>
    </w:p>
    <w:p>
      <w:pPr>
        <w:pStyle w:val="Normal"/>
        <w:widowControl/>
        <w:bidi w:val="0"/>
        <w:spacing w:lineRule="auto" w:line="276"/>
        <w:jc w:val="left"/>
        <w:rPr/>
      </w:pPr>
      <w:r>
        <w:rPr/>
        <w:t>Establish when values may be measured or aggregated, when only ordinal comparison is justified, and when values remain incommensurable. Require underlying dimensions and distributions to remain visible.</w:t>
      </w:r>
    </w:p>
    <w:p>
      <w:pPr>
        <w:pStyle w:val="Heading4"/>
        <w:ind w:hanging="0" w:left="0"/>
        <w:rPr/>
      </w:pPr>
      <w:r>
        <w:rPr/>
        <w:t>Distributional and Inter-Entity Conflicts</w:t>
      </w:r>
    </w:p>
    <w:p>
      <w:pPr>
        <w:pStyle w:val="Normal"/>
        <w:widowControl/>
        <w:bidi w:val="0"/>
        <w:spacing w:lineRule="auto" w:line="276"/>
        <w:jc w:val="left"/>
        <w:rPr/>
      </w:pPr>
      <w:r>
        <w:rPr/>
        <w:t>Address whether benefits to many can justify severe harm to a few, how vulnerability affects priority, and how conflicts among humans, animals, institutions, artificial systems, and ecological entities are evaluated.</w:t>
      </w:r>
    </w:p>
    <w:p>
      <w:pPr>
        <w:pStyle w:val="Heading4"/>
        <w:ind w:hanging="0" w:left="0"/>
        <w:rPr/>
      </w:pPr>
      <w:r>
        <w:rPr/>
        <w:t>Cross-Level and System Conflicts</w:t>
      </w:r>
    </w:p>
    <w:p>
      <w:pPr>
        <w:pStyle w:val="Normal"/>
        <w:widowControl/>
        <w:bidi w:val="0"/>
        <w:spacing w:lineRule="auto" w:line="276"/>
        <w:jc w:val="left"/>
        <w:rPr/>
      </w:pPr>
      <w:r>
        <w:rPr/>
        <w:t>Address conflicts between individual and collective flourishing, animal welfare and ecosystem integrity, institutional viability and personal rights, or local improvement and broader systemic harm.</w:t>
      </w:r>
    </w:p>
    <w:p>
      <w:pPr>
        <w:pStyle w:val="Normal"/>
        <w:widowControl/>
        <w:bidi w:val="0"/>
        <w:spacing w:lineRule="auto" w:line="276"/>
        <w:jc w:val="left"/>
        <w:rPr/>
      </w:pPr>
      <w:r>
        <w:rPr/>
        <w:t>9.4.2.11 Temporal and Intergenerational Conflicts</w:t>
      </w:r>
    </w:p>
    <w:p>
      <w:pPr>
        <w:pStyle w:val="Normal"/>
        <w:widowControl/>
        <w:bidi w:val="0"/>
        <w:spacing w:lineRule="auto" w:line="276"/>
        <w:jc w:val="left"/>
        <w:rPr/>
      </w:pPr>
      <w:r>
        <w:rPr/>
        <w:t>Distinguish moral significance from predictive confidence and temporal discounting. Address present sacrifice, future capability, irreversible loss, future entities, and intergenerational distribution.</w:t>
      </w:r>
    </w:p>
    <w:p>
      <w:pPr>
        <w:pStyle w:val="Heading4"/>
        <w:ind w:hanging="0" w:left="0"/>
        <w:rPr/>
      </w:pPr>
      <w:r>
        <w:rPr/>
        <w:t>Risk, Epistemic Uncertainty, and Moral Uncertainty</w:t>
      </w:r>
    </w:p>
    <w:p>
      <w:pPr>
        <w:pStyle w:val="Normal"/>
        <w:widowControl/>
        <w:bidi w:val="0"/>
        <w:spacing w:lineRule="auto" w:line="276"/>
        <w:jc w:val="left"/>
        <w:rPr/>
      </w:pPr>
      <w:r>
        <w:rPr/>
        <w:t>Separate uncertainty about consequences from disagreement about values. Define treatment of catastrophic risk, ambiguous probabilities, competing causal models, and conflicts among ethical profiles.</w:t>
      </w:r>
    </w:p>
    <w:p>
      <w:pPr>
        <w:pStyle w:val="Heading4"/>
        <w:ind w:hanging="0" w:left="0"/>
        <w:rPr/>
      </w:pPr>
      <w:r>
        <w:rPr/>
        <w:t>Conflict-Resolution Procedure</w:t>
      </w:r>
    </w:p>
    <w:p>
      <w:pPr>
        <w:pStyle w:val="Normal"/>
        <w:widowControl/>
        <w:bidi w:val="0"/>
        <w:spacing w:lineRule="auto" w:line="276"/>
        <w:jc w:val="left"/>
        <w:rPr/>
      </w:pPr>
      <w:r>
        <w:rPr/>
        <w:t>Establish the ordered procedure for filtering prohibited alternatives, protecting minimums, comparing remaining transitions, testing robustness, and selecting among permissible options.</w:t>
      </w:r>
    </w:p>
    <w:p>
      <w:pPr>
        <w:pStyle w:val="Heading4"/>
        <w:ind w:hanging="0" w:left="0"/>
        <w:rPr/>
      </w:pPr>
      <w:r>
        <w:rPr/>
        <w:t>Exceptions and Constraint Overrides</w:t>
      </w:r>
    </w:p>
    <w:p>
      <w:pPr>
        <w:pStyle w:val="Normal"/>
        <w:widowControl/>
        <w:bidi w:val="0"/>
        <w:spacing w:lineRule="auto" w:line="276"/>
        <w:jc w:val="left"/>
        <w:rPr/>
      </w:pPr>
      <w:r>
        <w:rPr/>
        <w:t>Define when necessity may override a constraint. Require legitimate purpose, absence of a less harmful alternative, proportionality, minimum infringement, time limitation, review, and repair.</w:t>
      </w:r>
    </w:p>
    <w:p>
      <w:pPr>
        <w:pStyle w:val="Heading4"/>
        <w:ind w:hanging="0" w:left="0"/>
        <w:rPr/>
      </w:pPr>
      <w:r>
        <w:rPr/>
        <w:t>Tragic Choices and Moral Remainder</w:t>
      </w:r>
    </w:p>
    <w:p>
      <w:pPr>
        <w:pStyle w:val="Normal"/>
        <w:widowControl/>
        <w:bidi w:val="0"/>
        <w:spacing w:lineRule="auto" w:line="276"/>
        <w:jc w:val="left"/>
        <w:rPr/>
      </w:pPr>
      <w:r>
        <w:rPr/>
        <w:t>Recognize cases in which every feasible option causes serious wrong or loss. Preserve duties of explanation, apology, compensation, restitution, monitoring, and institutional correction.</w:t>
      </w:r>
    </w:p>
    <w:p>
      <w:pPr>
        <w:pStyle w:val="Heading4"/>
        <w:ind w:hanging="0" w:left="0"/>
        <w:rPr/>
      </w:pPr>
      <w:r>
        <w:rPr/>
        <w:t>Decision Outputs and Closure Rules</w:t>
      </w:r>
    </w:p>
    <w:p>
      <w:pPr>
        <w:pStyle w:val="Normal"/>
        <w:widowControl/>
        <w:bidi w:val="0"/>
        <w:spacing w:lineRule="auto" w:line="276"/>
        <w:jc w:val="left"/>
        <w:rPr/>
      </w:pPr>
      <w:r>
        <w:rPr/>
        <w:t>Define the possible outputs and the conditions for each. Prevent uncertainty or unresolved conflict from being hidden inside a forced numerical ranking.</w:t>
      </w:r>
    </w:p>
    <w:p>
      <w:pPr>
        <w:pStyle w:val="Heading4"/>
        <w:ind w:hanging="0" w:left="0"/>
        <w:rPr/>
      </w:pPr>
      <w:r>
        <w:rPr/>
        <w:t>Failure Modes and Exposure</w:t>
      </w:r>
    </w:p>
    <w:p>
      <w:pPr>
        <w:pStyle w:val="Normal"/>
        <w:widowControl/>
        <w:bidi w:val="0"/>
        <w:spacing w:lineRule="auto" w:line="276"/>
        <w:jc w:val="left"/>
        <w:rPr/>
      </w:pPr>
      <w:r>
        <w:rPr/>
        <w:t>Analyze arbitrary weighting, disguised consequentialism, absolute-rule rigidity, double counting, strategic boundary selection, false precision, module shopping, analysis paralysis, and unjustified decision closure.</w:t>
      </w:r>
    </w:p>
    <w:p>
      <w:pPr>
        <w:pStyle w:val="Heading4"/>
        <w:ind w:hanging="0" w:left="0"/>
        <w:rPr/>
      </w:pPr>
      <w:r>
        <w:rPr/>
        <w:t>Interim Safeguards and Mitigations</w:t>
      </w:r>
    </w:p>
    <w:p>
      <w:pPr>
        <w:pStyle w:val="Normal"/>
        <w:widowControl/>
        <w:bidi w:val="0"/>
        <w:spacing w:lineRule="auto" w:line="276"/>
        <w:jc w:val="left"/>
        <w:rPr/>
      </w:pPr>
      <w:r>
        <w:rPr/>
        <w:t>Require explicit decision rules, disaggregated effects, sensitivity analysis, minority reports, independent review for overrides, and restrictions on irreversible actions when resolution remains weak.</w:t>
      </w:r>
    </w:p>
    <w:p>
      <w:pPr>
        <w:pStyle w:val="Heading4"/>
        <w:ind w:hanging="0" w:left="0"/>
        <w:rPr/>
      </w:pPr>
      <w:r>
        <w:rPr/>
        <w:t>Research Deliverables and Acceptance Criteria</w:t>
      </w:r>
    </w:p>
    <w:p>
      <w:pPr>
        <w:pStyle w:val="Normal"/>
        <w:widowControl/>
        <w:bidi w:val="0"/>
        <w:spacing w:lineRule="auto" w:line="276"/>
        <w:jc w:val="left"/>
        <w:rPr/>
      </w:pPr>
      <w:r>
        <w:rPr/>
        <w:t>Require a conflict taxonomy, normative-priority schema, materiality test, override protocol, decision-output ontology, benchmark cases, and cross-implementation conformance tests.</w:t>
      </w:r>
    </w:p>
    <w:p>
      <w:pPr>
        <w:pStyle w:val="Heading4"/>
        <w:ind w:hanging="0" w:left="0"/>
        <w:rPr/>
      </w:pPr>
      <w:r>
        <w:rPr/>
        <w:t>Residual Risk</w:t>
      </w:r>
    </w:p>
    <w:p>
      <w:pPr>
        <w:pStyle w:val="Normal"/>
        <w:widowControl/>
        <w:bidi w:val="0"/>
        <w:spacing w:lineRule="auto" w:line="276"/>
        <w:jc w:val="left"/>
        <w:rPr/>
      </w:pPr>
      <w:r>
        <w:rPr/>
        <w:t>Acknowledge that formal procedures cannot eliminate moral tragedy, incommensurable values, contested thresholds, interpretive judgment, or institutional misuse.</w:t>
      </w:r>
    </w:p>
    <w:p>
      <w:pPr>
        <w:pStyle w:val="Heading3"/>
        <w:ind w:hanging="0" w:left="0"/>
        <w:rPr/>
      </w:pPr>
      <w:r>
        <w:rPr/>
        <w:t>Representation–Normativity Gap</w:t>
      </w:r>
    </w:p>
    <w:p>
      <w:pPr>
        <w:pStyle w:val="Normal"/>
        <w:widowControl/>
        <w:bidi w:val="0"/>
        <w:spacing w:lineRule="auto" w:line="276"/>
        <w:jc w:val="left"/>
        <w:rPr/>
      </w:pPr>
      <w:r>
        <w:rPr/>
        <w:t>This section should distinguish representing an ethical concept from granting it moral authority. A model may record a right, duty, capability, relationship, virtue, or ecological loss without specifying how that information changes what an actor ought to do.</w:t>
      </w:r>
    </w:p>
    <w:p>
      <w:pPr>
        <w:pStyle w:val="Heading4"/>
        <w:ind w:hanging="0" w:left="0"/>
        <w:rPr/>
      </w:pPr>
      <w:r>
        <w:rPr/>
        <w:t>Limitation Statement</w:t>
      </w:r>
    </w:p>
    <w:p>
      <w:pPr>
        <w:pStyle w:val="Normal"/>
        <w:widowControl/>
        <w:bidi w:val="0"/>
        <w:spacing w:lineRule="auto" w:line="276"/>
        <w:jc w:val="left"/>
        <w:rPr/>
      </w:pPr>
      <w:r>
        <w:rPr/>
        <w:t>Explain that computational representability does not establish moral relevance, binding force, priority, or influence over the final judgment.</w:t>
      </w:r>
    </w:p>
    <w:p>
      <w:pPr>
        <w:pStyle w:val="Heading4"/>
        <w:ind w:hanging="0" w:left="0"/>
        <w:rPr/>
      </w:pPr>
      <w:r>
        <w:rPr/>
        <w:t>Descriptive Representation Versus Normative Force</w:t>
      </w:r>
    </w:p>
    <w:p>
      <w:pPr>
        <w:pStyle w:val="Normal"/>
        <w:widowControl/>
        <w:bidi w:val="0"/>
        <w:spacing w:lineRule="auto" w:line="276"/>
        <w:jc w:val="left"/>
        <w:rPr/>
      </w:pPr>
      <w:r>
        <w:rPr/>
        <w:t>Distinguish facts about the World Context from evaluations, moral reasons, obligations, constraints, and decision rules.</w:t>
      </w:r>
    </w:p>
    <w:p>
      <w:pPr>
        <w:pStyle w:val="Heading4"/>
        <w:ind w:hanging="0" w:left="0"/>
        <w:rPr/>
      </w:pPr>
      <w:r>
        <w:rPr/>
        <w:t>Inventory and Provenance of Normative Constructs</w:t>
      </w:r>
    </w:p>
    <w:p>
      <w:pPr>
        <w:pStyle w:val="Normal"/>
        <w:widowControl/>
        <w:bidi w:val="0"/>
        <w:spacing w:lineRule="auto" w:line="276"/>
        <w:jc w:val="left"/>
        <w:rPr/>
      </w:pPr>
      <w:r>
        <w:rPr/>
        <w:t>Require every normative construct to identify its source: Foundational Axiom, ethical profile, role, relationship, agreement, law, institutional mandate, public reasoning, or domain standard.</w:t>
      </w:r>
    </w:p>
    <w:p>
      <w:pPr>
        <w:pStyle w:val="Heading4"/>
        <w:ind w:hanging="0" w:left="0"/>
        <w:rPr/>
      </w:pPr>
      <w:r>
        <w:rPr/>
        <w:t>Types of Normative Function</w:t>
      </w:r>
    </w:p>
    <w:p>
      <w:pPr>
        <w:pStyle w:val="Normal"/>
        <w:widowControl/>
        <w:bidi w:val="0"/>
        <w:spacing w:lineRule="auto" w:line="276"/>
        <w:jc w:val="left"/>
        <w:rPr/>
      </w:pPr>
      <w:r>
        <w:rPr/>
        <w:t>Classify constructs as objectives, reasons, duties, prohibitions, permissions, rights, protected minimums, thresholds, virtues, procedural requirements, evidentiary considerations, remedy triggers, or independent assessment axes.</w:t>
      </w:r>
    </w:p>
    <w:p>
      <w:pPr>
        <w:pStyle w:val="Heading4"/>
        <w:ind w:hanging="0" w:left="0"/>
        <w:rPr/>
      </w:pPr>
      <w:r>
        <w:rPr/>
        <w:t>Normative Activation Conditions</w:t>
      </w:r>
    </w:p>
    <w:p>
      <w:pPr>
        <w:pStyle w:val="Normal"/>
        <w:widowControl/>
        <w:bidi w:val="0"/>
        <w:spacing w:lineRule="auto" w:line="276"/>
        <w:jc w:val="left"/>
        <w:rPr/>
      </w:pPr>
      <w:r>
        <w:rPr/>
        <w:t>Specify when a represented concept becomes applicable—for example, when a particular relationship creates a duty, an entity possesses a right, or an ecological threshold is threatened.</w:t>
      </w:r>
    </w:p>
    <w:p>
      <w:pPr>
        <w:pStyle w:val="Heading4"/>
        <w:ind w:hanging="0" w:left="0"/>
        <w:rPr/>
      </w:pPr>
      <w:r>
        <w:rPr/>
        <w:t>Scope, Strength, and Defeasibility</w:t>
      </w:r>
    </w:p>
    <w:p>
      <w:pPr>
        <w:pStyle w:val="Normal"/>
        <w:widowControl/>
        <w:bidi w:val="0"/>
        <w:spacing w:lineRule="auto" w:line="276"/>
        <w:jc w:val="left"/>
        <w:rPr/>
      </w:pPr>
      <w:r>
        <w:rPr/>
        <w:t>Define who is bound or protected, which actions are covered, how strongly the consideration applies, and whether it is absolute, presumptive, threshold-based, or ordinarily defeasible.</w:t>
      </w:r>
    </w:p>
    <w:p>
      <w:pPr>
        <w:pStyle w:val="Heading4"/>
        <w:ind w:hanging="0" w:left="0"/>
        <w:rPr/>
      </w:pPr>
      <w:r>
        <w:rPr/>
        <w:t>Source and Justification of Normative Authority</w:t>
      </w:r>
    </w:p>
    <w:p>
      <w:pPr>
        <w:pStyle w:val="Normal"/>
        <w:widowControl/>
        <w:bidi w:val="0"/>
        <w:spacing w:lineRule="auto" w:line="276"/>
        <w:jc w:val="left"/>
        <w:rPr/>
      </w:pPr>
      <w:r>
        <w:rPr/>
        <w:t>Explain why the construct should influence conduct. Representation, legal recognition, cultural acceptance, or stakeholder preference should not automatically establish moral authority.</w:t>
      </w:r>
    </w:p>
    <w:p>
      <w:pPr>
        <w:pStyle w:val="Heading4"/>
        <w:ind w:hanging="0" w:left="0"/>
        <w:rPr/>
      </w:pPr>
      <w:r>
        <w:rPr/>
        <w:t>Relationship to the Foundational Axiom</w:t>
      </w:r>
    </w:p>
    <w:p>
      <w:pPr>
        <w:pStyle w:val="Normal"/>
        <w:widowControl/>
        <w:bidi w:val="0"/>
        <w:spacing w:lineRule="auto" w:line="276"/>
        <w:jc w:val="left"/>
        <w:rPr/>
      </w:pPr>
      <w:r>
        <w:rPr/>
        <w:t>Determine whether each construct derives from the axiom, interprets it, constrains it, supplements it, or provides an independent judgment that may conflict with it.</w:t>
      </w:r>
    </w:p>
    <w:p>
      <w:pPr>
        <w:pStyle w:val="Heading4"/>
        <w:ind w:hanging="0" w:left="0"/>
        <w:rPr/>
      </w:pPr>
      <w:r>
        <w:rPr/>
        <w:t>Ethical-System Profile Mapping</w:t>
      </w:r>
    </w:p>
    <w:p>
      <w:pPr>
        <w:pStyle w:val="Normal"/>
        <w:widowControl/>
        <w:bidi w:val="0"/>
        <w:spacing w:lineRule="auto" w:line="276"/>
        <w:jc w:val="left"/>
        <w:rPr/>
      </w:pPr>
      <w:r>
        <w:rPr/>
        <w:t>Define how concepts from each ethical system enter the architecture rather than treating all of them as generic state variables.</w:t>
      </w:r>
    </w:p>
    <w:p>
      <w:pPr>
        <w:pStyle w:val="Heading4"/>
        <w:ind w:hanging="0" w:left="0"/>
        <w:rPr/>
      </w:pPr>
      <w:r>
        <w:rPr/>
        <w:t>Entity-, Role-, and Domain-Specific Normativity</w:t>
      </w:r>
    </w:p>
    <w:p>
      <w:pPr>
        <w:pStyle w:val="Normal"/>
        <w:widowControl/>
        <w:bidi w:val="0"/>
        <w:spacing w:lineRule="auto" w:line="276"/>
        <w:jc w:val="left"/>
        <w:rPr/>
      </w:pPr>
      <w:r>
        <w:rPr/>
        <w:t>Permit different normative profiles for persons, animals, ecosystems, institutions, artificial systems, caregivers, public officials, and other roles without assuming identical moral status.</w:t>
      </w:r>
    </w:p>
    <w:p>
      <w:pPr>
        <w:pStyle w:val="Heading4"/>
        <w:ind w:hanging="0" w:left="0"/>
        <w:rPr/>
      </w:pPr>
      <w:r>
        <w:rPr/>
        <w:t>Interaction and Priority Among Normative Constructs</w:t>
      </w:r>
    </w:p>
    <w:p>
      <w:pPr>
        <w:pStyle w:val="Normal"/>
        <w:widowControl/>
        <w:bidi w:val="0"/>
        <w:spacing w:lineRule="auto" w:line="276"/>
        <w:jc w:val="left"/>
        <w:rPr/>
      </w:pPr>
      <w:r>
        <w:rPr/>
        <w:t>Specify how duties, rights, capabilities, virtues, care obligations, ecological values, legitimacy requirements, and transition effects interact. Refer detailed conflict resolution to 9.4.2.</w:t>
      </w:r>
    </w:p>
    <w:p>
      <w:pPr>
        <w:pStyle w:val="Heading4"/>
        <w:ind w:hanging="0" w:left="0"/>
        <w:rPr/>
      </w:pPr>
      <w:r>
        <w:rPr/>
        <w:t>Computational Representation and Semantic Consistency</w:t>
      </w:r>
    </w:p>
    <w:p>
      <w:pPr>
        <w:pStyle w:val="Normal"/>
        <w:widowControl/>
        <w:bidi w:val="0"/>
        <w:spacing w:lineRule="auto" w:line="276"/>
        <w:jc w:val="left"/>
        <w:rPr/>
      </w:pPr>
      <w:r>
        <w:rPr/>
        <w:t>Require machine-readable definitions of normative type, holder, bearer, scope, strength, activation conditions, exceptions, evidence, and provenance.</w:t>
      </w:r>
    </w:p>
    <w:p>
      <w:pPr>
        <w:pStyle w:val="Heading4"/>
        <w:ind w:hanging="0" w:left="0"/>
        <w:rPr/>
      </w:pPr>
      <w:r>
        <w:rPr/>
        <w:t>Traceability to the Decision Output</w:t>
      </w:r>
    </w:p>
    <w:p>
      <w:pPr>
        <w:pStyle w:val="Normal"/>
        <w:widowControl/>
        <w:bidi w:val="0"/>
        <w:spacing w:lineRule="auto" w:line="276"/>
        <w:jc w:val="left"/>
        <w:rPr/>
      </w:pPr>
      <w:r>
        <w:rPr/>
        <w:t>Show exactly where each normatively active construct affected the permissible action set, ranking, justification, confidence, or remedy requirements.</w:t>
      </w:r>
    </w:p>
    <w:p>
      <w:pPr>
        <w:pStyle w:val="Heading4"/>
        <w:ind w:hanging="0" w:left="0"/>
        <w:rPr/>
      </w:pPr>
      <w:r>
        <w:rPr/>
        <w:t>Counterfactual Influence Test</w:t>
      </w:r>
    </w:p>
    <w:p>
      <w:pPr>
        <w:pStyle w:val="Normal"/>
        <w:widowControl/>
        <w:bidi w:val="0"/>
        <w:spacing w:lineRule="auto" w:line="276"/>
        <w:jc w:val="left"/>
        <w:rPr/>
      </w:pPr>
      <w:r>
        <w:rPr/>
        <w:t>Require evidence that changing a normative construct could change the conclusion. If removing a claimed right or duty never affects the output, it has not been meaningfully integrated.</w:t>
      </w:r>
    </w:p>
    <w:p>
      <w:pPr>
        <w:pStyle w:val="Heading4"/>
        <w:ind w:hanging="0" w:left="0"/>
        <w:rPr/>
      </w:pPr>
      <w:r>
        <w:rPr/>
        <w:t>Failure Modes and Exposure</w:t>
      </w:r>
    </w:p>
    <w:p>
      <w:pPr>
        <w:pStyle w:val="Normal"/>
        <w:widowControl/>
        <w:bidi w:val="0"/>
        <w:spacing w:lineRule="auto" w:line="276"/>
        <w:jc w:val="left"/>
        <w:rPr/>
      </w:pPr>
      <w:r>
        <w:rPr/>
        <w:t>Analyze decorative representation, normative laundering, hidden consequentialism, double counting, optional safeguards, strategic profile selection, incompatible implementations, and false claims of ethical pluralism.</w:t>
      </w:r>
    </w:p>
    <w:p>
      <w:pPr>
        <w:pStyle w:val="Heading4"/>
        <w:ind w:hanging="0" w:left="0"/>
        <w:rPr/>
      </w:pPr>
      <w:r>
        <w:rPr/>
        <w:t>Interim Safeguards and Mitigations</w:t>
      </w:r>
    </w:p>
    <w:p>
      <w:pPr>
        <w:pStyle w:val="Normal"/>
        <w:widowControl/>
        <w:bidi w:val="0"/>
        <w:spacing w:lineRule="auto" w:line="276"/>
        <w:jc w:val="left"/>
        <w:rPr/>
      </w:pPr>
      <w:r>
        <w:rPr/>
        <w:t>Require explicit normative typing, profile disclosure, decision-impact tracing, independent review, and language distinguishing current incorporation from proposed integration.</w:t>
      </w:r>
    </w:p>
    <w:p>
      <w:pPr>
        <w:pStyle w:val="Heading4"/>
        <w:ind w:hanging="0" w:left="0"/>
        <w:rPr/>
      </w:pPr>
      <w:r>
        <w:rPr/>
        <w:t>Research Deliverables and Acceptance Criteria</w:t>
      </w:r>
    </w:p>
    <w:p>
      <w:pPr>
        <w:pStyle w:val="Normal"/>
        <w:widowControl/>
        <w:bidi w:val="0"/>
        <w:spacing w:lineRule="auto" w:line="276"/>
        <w:jc w:val="left"/>
        <w:rPr/>
      </w:pPr>
      <w:r>
        <w:rPr/>
        <w:t>Require a normative ontology, construct registry, ethical-profile schema, activation rules, traceability model, conformance tests, and theory-discriminating benchmark cases.</w:t>
      </w:r>
    </w:p>
    <w:p>
      <w:pPr>
        <w:pStyle w:val="Heading4"/>
        <w:ind w:hanging="0" w:left="0"/>
        <w:rPr/>
      </w:pPr>
      <w:r>
        <w:rPr/>
        <w:t>Residual Risk</w:t>
      </w:r>
    </w:p>
    <w:p>
      <w:pPr>
        <w:pStyle w:val="Normal"/>
        <w:widowControl/>
        <w:bidi w:val="0"/>
        <w:spacing w:lineRule="auto" w:line="276"/>
        <w:jc w:val="left"/>
        <w:rPr/>
      </w:pPr>
      <w:r>
        <w:rPr/>
        <w:t>Acknowledge that formal typing cannot eliminate disagreement about the existence, justification, interpretation, or comparative strength of moral claims.</w:t>
      </w:r>
    </w:p>
    <w:p>
      <w:pPr>
        <w:pStyle w:val="Normal"/>
        <w:widowControl/>
        <w:bidi w:val="0"/>
        <w:spacing w:lineRule="auto" w:line="276"/>
        <w:jc w:val="left"/>
        <w:rPr>
          <w:b/>
          <w:bCs/>
        </w:rPr>
      </w:pPr>
      <w:r>
        <w:rPr>
          <w:b/>
          <w:bCs/>
        </w:rPr>
        <w:t>Recommended integration-maturity scale</w:t>
      </w:r>
    </w:p>
    <w:tbl>
      <w:tblPr>
        <w:tblW w:w="8640" w:type="dxa"/>
        <w:jc w:val="left"/>
        <w:tblInd w:w="28" w:type="dxa"/>
        <w:tblLayout w:type="fixed"/>
        <w:tblCellMar>
          <w:top w:w="28" w:type="dxa"/>
          <w:left w:w="28" w:type="dxa"/>
          <w:bottom w:w="28" w:type="dxa"/>
          <w:right w:w="28" w:type="dxa"/>
        </w:tblCellMar>
      </w:tblPr>
      <w:tblGrid>
        <w:gridCol w:w="2691"/>
        <w:gridCol w:w="5949"/>
      </w:tblGrid>
      <w:tr>
        <w:trPr>
          <w:tblHeader w:val="true"/>
        </w:trPr>
        <w:tc>
          <w:tcPr>
            <w:tcW w:w="2691" w:type="dxa"/>
            <w:tcBorders/>
            <w:vAlign w:val="center"/>
          </w:tcPr>
          <w:p>
            <w:pPr>
              <w:pStyle w:val="TableHeading"/>
              <w:suppressLineNumbers/>
              <w:spacing w:before="0" w:after="200"/>
              <w:jc w:val="center"/>
              <w:rPr/>
            </w:pPr>
            <w:r>
              <w:rPr/>
              <w:t>Level</w:t>
            </w:r>
          </w:p>
        </w:tc>
        <w:tc>
          <w:tcPr>
            <w:tcW w:w="5949" w:type="dxa"/>
            <w:tcBorders/>
            <w:vAlign w:val="center"/>
          </w:tcPr>
          <w:p>
            <w:pPr>
              <w:pStyle w:val="TableHeading"/>
              <w:suppressLineNumbers/>
              <w:spacing w:before="0" w:after="200"/>
              <w:jc w:val="center"/>
              <w:rPr/>
            </w:pPr>
            <w:r>
              <w:rPr/>
              <w:t>Status</w:t>
            </w:r>
          </w:p>
        </w:tc>
      </w:tr>
      <w:tr>
        <w:trPr/>
        <w:tc>
          <w:tcPr>
            <w:tcW w:w="2691" w:type="dxa"/>
            <w:tcBorders/>
            <w:vAlign w:val="center"/>
          </w:tcPr>
          <w:p>
            <w:pPr>
              <w:pStyle w:val="TableContents"/>
              <w:widowControl w:val="false"/>
              <w:suppressLineNumbers/>
              <w:spacing w:before="0" w:after="200"/>
              <w:rPr/>
            </w:pPr>
            <w:r>
              <w:rPr>
                <w:rStyle w:val="Strong"/>
              </w:rPr>
              <w:t>0 — Acknowledged</w:t>
            </w:r>
          </w:p>
        </w:tc>
        <w:tc>
          <w:tcPr>
            <w:tcW w:w="5949" w:type="dxa"/>
            <w:tcBorders/>
            <w:vAlign w:val="center"/>
          </w:tcPr>
          <w:p>
            <w:pPr>
              <w:pStyle w:val="TableContents"/>
              <w:widowControl w:val="false"/>
              <w:suppressLineNumbers/>
              <w:spacing w:before="0" w:after="200"/>
              <w:rPr/>
            </w:pPr>
            <w:r>
              <w:rPr/>
              <w:t>The concept is discussed.</w:t>
            </w:r>
          </w:p>
        </w:tc>
      </w:tr>
      <w:tr>
        <w:trPr/>
        <w:tc>
          <w:tcPr>
            <w:tcW w:w="2691" w:type="dxa"/>
            <w:tcBorders/>
            <w:vAlign w:val="center"/>
          </w:tcPr>
          <w:p>
            <w:pPr>
              <w:pStyle w:val="TableContents"/>
              <w:widowControl w:val="false"/>
              <w:suppressLineNumbers/>
              <w:spacing w:before="0" w:after="200"/>
              <w:rPr/>
            </w:pPr>
            <w:r>
              <w:rPr>
                <w:rStyle w:val="Strong"/>
              </w:rPr>
              <w:t>1 — Representable</w:t>
            </w:r>
          </w:p>
        </w:tc>
        <w:tc>
          <w:tcPr>
            <w:tcW w:w="5949" w:type="dxa"/>
            <w:tcBorders/>
            <w:vAlign w:val="center"/>
          </w:tcPr>
          <w:p>
            <w:pPr>
              <w:pStyle w:val="TableContents"/>
              <w:widowControl w:val="false"/>
              <w:suppressLineNumbers/>
              <w:spacing w:before="0" w:after="200"/>
              <w:rPr/>
            </w:pPr>
            <w:r>
              <w:rPr/>
              <w:t>The architecture can store relevant information.</w:t>
            </w:r>
          </w:p>
        </w:tc>
      </w:tr>
      <w:tr>
        <w:trPr/>
        <w:tc>
          <w:tcPr>
            <w:tcW w:w="2691" w:type="dxa"/>
            <w:tcBorders/>
            <w:vAlign w:val="center"/>
          </w:tcPr>
          <w:p>
            <w:pPr>
              <w:pStyle w:val="TableContents"/>
              <w:widowControl w:val="false"/>
              <w:suppressLineNumbers/>
              <w:spacing w:before="0" w:after="200"/>
              <w:rPr/>
            </w:pPr>
            <w:r>
              <w:rPr>
                <w:rStyle w:val="Strong"/>
              </w:rPr>
              <w:t>2 — Operationalized</w:t>
            </w:r>
          </w:p>
        </w:tc>
        <w:tc>
          <w:tcPr>
            <w:tcW w:w="5949" w:type="dxa"/>
            <w:tcBorders/>
            <w:vAlign w:val="center"/>
          </w:tcPr>
          <w:p>
            <w:pPr>
              <w:pStyle w:val="TableContents"/>
              <w:widowControl w:val="false"/>
              <w:suppressLineNumbers/>
              <w:spacing w:before="0" w:after="200"/>
              <w:rPr/>
            </w:pPr>
            <w:r>
              <w:rPr/>
              <w:t>Evidence and assessment procedures are defined.</w:t>
            </w:r>
          </w:p>
        </w:tc>
      </w:tr>
      <w:tr>
        <w:trPr/>
        <w:tc>
          <w:tcPr>
            <w:tcW w:w="2691" w:type="dxa"/>
            <w:tcBorders/>
            <w:vAlign w:val="center"/>
          </w:tcPr>
          <w:p>
            <w:pPr>
              <w:pStyle w:val="TableContents"/>
              <w:widowControl w:val="false"/>
              <w:suppressLineNumbers/>
              <w:spacing w:before="0" w:after="200"/>
              <w:rPr/>
            </w:pPr>
            <w:r>
              <w:rPr>
                <w:rStyle w:val="Strong"/>
              </w:rPr>
              <w:t>3 — Normatively typed</w:t>
            </w:r>
          </w:p>
        </w:tc>
        <w:tc>
          <w:tcPr>
            <w:tcW w:w="5949" w:type="dxa"/>
            <w:tcBorders/>
            <w:vAlign w:val="center"/>
          </w:tcPr>
          <w:p>
            <w:pPr>
              <w:pStyle w:val="TableContents"/>
              <w:widowControl w:val="false"/>
              <w:suppressLineNumbers/>
              <w:spacing w:before="0" w:after="200"/>
              <w:rPr/>
            </w:pPr>
            <w:r>
              <w:rPr/>
              <w:t>Its moral function, scope, and strength are specified.</w:t>
            </w:r>
          </w:p>
        </w:tc>
      </w:tr>
      <w:tr>
        <w:trPr/>
        <w:tc>
          <w:tcPr>
            <w:tcW w:w="2691" w:type="dxa"/>
            <w:tcBorders/>
            <w:vAlign w:val="center"/>
          </w:tcPr>
          <w:p>
            <w:pPr>
              <w:pStyle w:val="TableContents"/>
              <w:widowControl w:val="false"/>
              <w:suppressLineNumbers/>
              <w:spacing w:before="0" w:after="200"/>
              <w:rPr/>
            </w:pPr>
            <w:r>
              <w:rPr>
                <w:rStyle w:val="Strong"/>
              </w:rPr>
              <w:t>4 — Decision-integrated</w:t>
            </w:r>
          </w:p>
        </w:tc>
        <w:tc>
          <w:tcPr>
            <w:tcW w:w="5949" w:type="dxa"/>
            <w:tcBorders/>
            <w:vAlign w:val="center"/>
          </w:tcPr>
          <w:p>
            <w:pPr>
              <w:pStyle w:val="TableContents"/>
              <w:widowControl w:val="false"/>
              <w:suppressLineNumbers/>
              <w:spacing w:before="0" w:after="200"/>
              <w:rPr/>
            </w:pPr>
            <w:r>
              <w:rPr/>
              <w:t>It can alter permissibility, ranking, justification, or remedy.</w:t>
            </w:r>
          </w:p>
        </w:tc>
      </w:tr>
      <w:tr>
        <w:trPr/>
        <w:tc>
          <w:tcPr>
            <w:tcW w:w="2691" w:type="dxa"/>
            <w:tcBorders/>
            <w:vAlign w:val="center"/>
          </w:tcPr>
          <w:p>
            <w:pPr>
              <w:pStyle w:val="TableContents"/>
              <w:widowControl w:val="false"/>
              <w:suppressLineNumbers/>
              <w:spacing w:before="0" w:after="200"/>
              <w:rPr/>
            </w:pPr>
            <w:r>
              <w:rPr>
                <w:rStyle w:val="Strong"/>
              </w:rPr>
              <w:t>5 — Governed and tested</w:t>
            </w:r>
          </w:p>
        </w:tc>
        <w:tc>
          <w:tcPr>
            <w:tcW w:w="5949" w:type="dxa"/>
            <w:tcBorders/>
            <w:vAlign w:val="center"/>
          </w:tcPr>
          <w:p>
            <w:pPr>
              <w:pStyle w:val="TableContents"/>
              <w:widowControl w:val="false"/>
              <w:suppressLineNumbers/>
              <w:spacing w:before="0" w:after="200"/>
              <w:rPr/>
            </w:pPr>
            <w:r>
              <w:rPr/>
              <w:t>Interpretation, revision, conformance, and validation procedures exist.</w:t>
            </w:r>
          </w:p>
        </w:tc>
      </w:tr>
    </w:tbl>
    <w:p>
      <w:pPr>
        <w:pStyle w:val="Normal"/>
        <w:widowControl/>
        <w:bidi w:val="0"/>
        <w:spacing w:lineRule="auto" w:line="276"/>
        <w:jc w:val="left"/>
        <w:rPr/>
      </w:pPr>
      <w:r>
        <w:rPr/>
      </w:r>
    </w:p>
    <w:p>
      <w:pPr>
        <w:pStyle w:val="Normal"/>
        <w:widowControl/>
        <w:bidi w:val="0"/>
        <w:spacing w:lineRule="auto" w:line="276"/>
        <w:jc w:val="left"/>
        <w:rPr/>
      </w:pPr>
      <w:r>
        <w:rPr/>
        <w:t xml:space="preserve">The document should reserve </w:t>
      </w:r>
      <w:r>
        <w:rPr>
          <w:rStyle w:val="Strong"/>
        </w:rPr>
        <w:t>“incorporated”</w:t>
      </w:r>
      <w:r>
        <w:rPr/>
        <w:t xml:space="preserve"> for Levels 4–5. Concepts at earlier levels should be described as acknowledged, representable, or proposed for integration.</w:t>
      </w:r>
    </w:p>
    <w:p>
      <w:pPr>
        <w:pStyle w:val="Normal"/>
        <w:widowControl/>
        <w:bidi w:val="0"/>
        <w:spacing w:lineRule="auto" w:line="276"/>
        <w:jc w:val="left"/>
        <w:rPr>
          <w:b/>
          <w:bCs/>
        </w:rPr>
      </w:pPr>
      <w:r>
        <w:rPr>
          <w:b/>
          <w:bCs/>
        </w:rPr>
        <w:t>Illustrative normative mapping</w:t>
      </w:r>
    </w:p>
    <w:p>
      <w:pPr>
        <w:pStyle w:val="Normal"/>
        <w:widowControl/>
        <w:bidi w:val="0"/>
        <w:spacing w:lineRule="auto" w:line="276"/>
        <w:jc w:val="left"/>
        <w:rPr/>
      </w:pPr>
      <w:r>
        <w:rPr/>
      </w:r>
    </w:p>
    <w:tbl>
      <w:tblPr>
        <w:tblW w:w="8640" w:type="dxa"/>
        <w:jc w:val="left"/>
        <w:tblInd w:w="28" w:type="dxa"/>
        <w:tblLayout w:type="fixed"/>
        <w:tblCellMar>
          <w:top w:w="28" w:type="dxa"/>
          <w:left w:w="28" w:type="dxa"/>
          <w:bottom w:w="28" w:type="dxa"/>
          <w:right w:w="28" w:type="dxa"/>
        </w:tblCellMar>
      </w:tblPr>
      <w:tblGrid>
        <w:gridCol w:w="2890"/>
        <w:gridCol w:w="5750"/>
      </w:tblGrid>
      <w:tr>
        <w:trPr>
          <w:tblHeader w:val="true"/>
        </w:trPr>
        <w:tc>
          <w:tcPr>
            <w:tcW w:w="2890" w:type="dxa"/>
            <w:tcBorders/>
            <w:vAlign w:val="center"/>
          </w:tcPr>
          <w:p>
            <w:pPr>
              <w:pStyle w:val="TableHeading"/>
              <w:suppressLineNumbers/>
              <w:spacing w:before="0" w:after="200"/>
              <w:jc w:val="center"/>
              <w:rPr/>
            </w:pPr>
            <w:r>
              <w:rPr/>
              <w:t>Ethical source</w:t>
            </w:r>
          </w:p>
        </w:tc>
        <w:tc>
          <w:tcPr>
            <w:tcW w:w="5750" w:type="dxa"/>
            <w:tcBorders/>
            <w:vAlign w:val="center"/>
          </w:tcPr>
          <w:p>
            <w:pPr>
              <w:pStyle w:val="TableHeading"/>
              <w:suppressLineNumbers/>
              <w:spacing w:before="0" w:after="200"/>
              <w:jc w:val="center"/>
              <w:rPr/>
            </w:pPr>
            <w:r>
              <w:rPr/>
              <w:t>Likely normative role</w:t>
            </w:r>
          </w:p>
        </w:tc>
      </w:tr>
      <w:tr>
        <w:trPr/>
        <w:tc>
          <w:tcPr>
            <w:tcW w:w="2890" w:type="dxa"/>
            <w:tcBorders/>
            <w:vAlign w:val="center"/>
          </w:tcPr>
          <w:p>
            <w:pPr>
              <w:pStyle w:val="TableContents"/>
              <w:widowControl w:val="false"/>
              <w:suppressLineNumbers/>
              <w:spacing w:before="0" w:after="200"/>
              <w:rPr/>
            </w:pPr>
            <w:r>
              <w:rPr/>
              <w:t>Utilitarianism</w:t>
            </w:r>
          </w:p>
        </w:tc>
        <w:tc>
          <w:tcPr>
            <w:tcW w:w="5750" w:type="dxa"/>
            <w:tcBorders/>
            <w:vAlign w:val="center"/>
          </w:tcPr>
          <w:p>
            <w:pPr>
              <w:pStyle w:val="TableContents"/>
              <w:widowControl w:val="false"/>
              <w:suppressLineNumbers/>
              <w:spacing w:before="0" w:after="200"/>
              <w:rPr/>
            </w:pPr>
            <w:r>
              <w:rPr/>
              <w:t>Consequence-evaluation method and comparative objective</w:t>
            </w:r>
          </w:p>
        </w:tc>
      </w:tr>
      <w:tr>
        <w:trPr/>
        <w:tc>
          <w:tcPr>
            <w:tcW w:w="2890" w:type="dxa"/>
            <w:tcBorders/>
            <w:vAlign w:val="center"/>
          </w:tcPr>
          <w:p>
            <w:pPr>
              <w:pStyle w:val="TableContents"/>
              <w:widowControl w:val="false"/>
              <w:suppressLineNumbers/>
              <w:spacing w:before="0" w:after="200"/>
              <w:rPr/>
            </w:pPr>
            <w:r>
              <w:rPr/>
              <w:t>Deontology and rights</w:t>
            </w:r>
          </w:p>
        </w:tc>
        <w:tc>
          <w:tcPr>
            <w:tcW w:w="5750" w:type="dxa"/>
            <w:tcBorders/>
            <w:vAlign w:val="center"/>
          </w:tcPr>
          <w:p>
            <w:pPr>
              <w:pStyle w:val="TableContents"/>
              <w:widowControl w:val="false"/>
              <w:suppressLineNumbers/>
              <w:spacing w:before="0" w:after="200"/>
              <w:rPr/>
            </w:pPr>
            <w:r>
              <w:rPr/>
              <w:t>Duties, prohibitions, claims, permissions, and constraints</w:t>
            </w:r>
          </w:p>
        </w:tc>
      </w:tr>
      <w:tr>
        <w:trPr/>
        <w:tc>
          <w:tcPr>
            <w:tcW w:w="2890" w:type="dxa"/>
            <w:tcBorders/>
            <w:vAlign w:val="center"/>
          </w:tcPr>
          <w:p>
            <w:pPr>
              <w:pStyle w:val="TableContents"/>
              <w:widowControl w:val="false"/>
              <w:suppressLineNumbers/>
              <w:spacing w:before="0" w:after="200"/>
              <w:rPr/>
            </w:pPr>
            <w:r>
              <w:rPr/>
              <w:t>Virtue ethics and Stoicism</w:t>
            </w:r>
          </w:p>
        </w:tc>
        <w:tc>
          <w:tcPr>
            <w:tcW w:w="5750" w:type="dxa"/>
            <w:tcBorders/>
            <w:vAlign w:val="center"/>
          </w:tcPr>
          <w:p>
            <w:pPr>
              <w:pStyle w:val="TableContents"/>
              <w:widowControl w:val="false"/>
              <w:suppressLineNumbers/>
              <w:spacing w:before="0" w:after="200"/>
              <w:rPr/>
            </w:pPr>
            <w:r>
              <w:rPr/>
              <w:t>Independent agent-quality and practical-judgment axis</w:t>
            </w:r>
          </w:p>
        </w:tc>
      </w:tr>
      <w:tr>
        <w:trPr/>
        <w:tc>
          <w:tcPr>
            <w:tcW w:w="2890" w:type="dxa"/>
            <w:tcBorders/>
            <w:vAlign w:val="center"/>
          </w:tcPr>
          <w:p>
            <w:pPr>
              <w:pStyle w:val="TableContents"/>
              <w:widowControl w:val="false"/>
              <w:suppressLineNumbers/>
              <w:spacing w:before="0" w:after="200"/>
              <w:rPr/>
            </w:pPr>
            <w:r>
              <w:rPr/>
              <w:t>Ethics of care and Confucian ethics</w:t>
            </w:r>
          </w:p>
        </w:tc>
        <w:tc>
          <w:tcPr>
            <w:tcW w:w="5750" w:type="dxa"/>
            <w:tcBorders/>
            <w:vAlign w:val="center"/>
          </w:tcPr>
          <w:p>
            <w:pPr>
              <w:pStyle w:val="TableContents"/>
              <w:widowControl w:val="false"/>
              <w:suppressLineNumbers/>
              <w:spacing w:before="0" w:after="200"/>
              <w:rPr/>
            </w:pPr>
            <w:r>
              <w:rPr/>
              <w:t>Relational obligations, moral perception, and role-based reasons</w:t>
            </w:r>
          </w:p>
        </w:tc>
      </w:tr>
      <w:tr>
        <w:trPr/>
        <w:tc>
          <w:tcPr>
            <w:tcW w:w="2890" w:type="dxa"/>
            <w:tcBorders/>
            <w:vAlign w:val="center"/>
          </w:tcPr>
          <w:p>
            <w:pPr>
              <w:pStyle w:val="TableContents"/>
              <w:widowControl w:val="false"/>
              <w:suppressLineNumbers/>
              <w:spacing w:before="0" w:after="200"/>
              <w:rPr/>
            </w:pPr>
            <w:r>
              <w:rPr/>
              <w:t>Capability Approach</w:t>
            </w:r>
          </w:p>
        </w:tc>
        <w:tc>
          <w:tcPr>
            <w:tcW w:w="5750" w:type="dxa"/>
            <w:tcBorders/>
            <w:vAlign w:val="center"/>
          </w:tcPr>
          <w:p>
            <w:pPr>
              <w:pStyle w:val="TableContents"/>
              <w:widowControl w:val="false"/>
              <w:suppressLineNumbers/>
              <w:spacing w:before="0" w:after="200"/>
              <w:rPr/>
            </w:pPr>
            <w:r>
              <w:rPr/>
              <w:t>Substantive-flourishing profile, protected thresholds, and effective-access tests</w:t>
            </w:r>
          </w:p>
        </w:tc>
      </w:tr>
      <w:tr>
        <w:trPr/>
        <w:tc>
          <w:tcPr>
            <w:tcW w:w="2890" w:type="dxa"/>
            <w:tcBorders/>
            <w:vAlign w:val="center"/>
          </w:tcPr>
          <w:p>
            <w:pPr>
              <w:pStyle w:val="TableContents"/>
              <w:widowControl w:val="false"/>
              <w:suppressLineNumbers/>
              <w:spacing w:before="0" w:after="200"/>
              <w:rPr/>
            </w:pPr>
            <w:r>
              <w:rPr/>
              <w:t>Environmental ethics</w:t>
            </w:r>
          </w:p>
        </w:tc>
        <w:tc>
          <w:tcPr>
            <w:tcW w:w="5750" w:type="dxa"/>
            <w:tcBorders/>
            <w:vAlign w:val="center"/>
          </w:tcPr>
          <w:p>
            <w:pPr>
              <w:pStyle w:val="TableContents"/>
              <w:widowControl w:val="false"/>
              <w:suppressLineNumbers/>
              <w:spacing w:before="0" w:after="200"/>
              <w:rPr/>
            </w:pPr>
            <w:r>
              <w:rPr/>
              <w:t>Moral-standing profile, ecological values, precaution, and non-substitutability</w:t>
            </w:r>
          </w:p>
        </w:tc>
      </w:tr>
      <w:tr>
        <w:trPr/>
        <w:tc>
          <w:tcPr>
            <w:tcW w:w="2890" w:type="dxa"/>
            <w:tcBorders/>
            <w:vAlign w:val="center"/>
          </w:tcPr>
          <w:p>
            <w:pPr>
              <w:pStyle w:val="TableContents"/>
              <w:widowControl w:val="false"/>
              <w:suppressLineNumbers/>
              <w:spacing w:before="0" w:after="200"/>
              <w:rPr/>
            </w:pPr>
            <w:r>
              <w:rPr/>
              <w:t>Contractarianism</w:t>
            </w:r>
          </w:p>
        </w:tc>
        <w:tc>
          <w:tcPr>
            <w:tcW w:w="5750" w:type="dxa"/>
            <w:tcBorders/>
            <w:vAlign w:val="center"/>
          </w:tcPr>
          <w:p>
            <w:pPr>
              <w:pStyle w:val="TableContents"/>
              <w:widowControl w:val="false"/>
              <w:suppressLineNumbers/>
              <w:spacing w:before="0" w:after="200"/>
              <w:rPr/>
            </w:pPr>
            <w:r>
              <w:rPr/>
              <w:t>Legitimacy, public justification, consent, and procedural requirements</w:t>
            </w:r>
          </w:p>
        </w:tc>
      </w:tr>
      <w:tr>
        <w:trPr>
          <w:trHeight w:val="732" w:hRule="atLeast"/>
        </w:trPr>
        <w:tc>
          <w:tcPr>
            <w:tcW w:w="2890" w:type="dxa"/>
            <w:tcBorders/>
            <w:vAlign w:val="center"/>
          </w:tcPr>
          <w:p>
            <w:pPr>
              <w:pStyle w:val="TableContents"/>
              <w:widowControl w:val="false"/>
              <w:suppressLineNumbers/>
              <w:spacing w:before="0" w:after="200"/>
              <w:rPr/>
            </w:pPr>
            <w:r>
              <w:rPr/>
              <w:t>Pragmatism and Systems Ethics</w:t>
            </w:r>
          </w:p>
        </w:tc>
        <w:tc>
          <w:tcPr>
            <w:tcW w:w="5750" w:type="dxa"/>
            <w:tcBorders/>
            <w:vAlign w:val="center"/>
          </w:tcPr>
          <w:p>
            <w:pPr>
              <w:pStyle w:val="TableContents"/>
              <w:widowControl w:val="false"/>
              <w:suppressLineNumbers/>
              <w:spacing w:before="0" w:after="200"/>
              <w:rPr/>
            </w:pPr>
            <w:r>
              <w:rPr/>
              <w:t>Revision, participation, boundary critique, monitoring, and reflexivity</w:t>
            </w:r>
          </w:p>
        </w:tc>
      </w:tr>
    </w:tbl>
    <w:p>
      <w:pPr>
        <w:pStyle w:val="Normal"/>
        <w:widowControl/>
        <w:bidi w:val="0"/>
        <w:spacing w:lineRule="auto" w:line="276"/>
        <w:jc w:val="left"/>
        <w:rPr>
          <w:b/>
          <w:bCs/>
        </w:rPr>
      </w:pPr>
      <w:r>
        <w:rPr>
          <w:b/>
          <w:bCs/>
        </w:rPr>
        <w:t>Central Conclusion</w:t>
      </w:r>
    </w:p>
    <w:p>
      <w:pPr>
        <w:pStyle w:val="Normal"/>
        <w:widowControl/>
        <w:bidi w:val="0"/>
        <w:spacing w:lineRule="auto" w:line="276"/>
        <w:jc w:val="left"/>
        <w:rPr/>
      </w:pPr>
      <w:r>
        <w:rPr/>
        <w:t>An ethical concept is incorporated only when the framework specifies what normative function it performs, why it possesses that authority, when it applies, how it interacts with other considerations, and how it can change the resulting judgment. Otherwise, it remains descriptive information rather than an operative part of the ethical model.</w:t>
      </w:r>
    </w:p>
    <w:p>
      <w:pPr>
        <w:pStyle w:val="Heading3"/>
        <w:rPr/>
      </w:pPr>
      <w:r>
        <w:rPr/>
        <w:t>Moral Standing and Entity Classification</w:t>
      </w:r>
    </w:p>
    <w:p>
      <w:pPr>
        <w:pStyle w:val="Normal"/>
        <w:widowControl/>
        <w:bidi w:val="0"/>
        <w:spacing w:lineRule="auto" w:line="276"/>
        <w:jc w:val="left"/>
        <w:rPr/>
      </w:pPr>
      <w:r>
        <w:rPr/>
        <w:t>This section should determine which entities may matter morally in their own right, why they matter, and how that status differs from moral agency, legal standing, ecological importance, or relevance to a particular assessment.</w:t>
      </w:r>
    </w:p>
    <w:p>
      <w:pPr>
        <w:pStyle w:val="Heading4"/>
        <w:ind w:hanging="0" w:left="0"/>
        <w:rPr/>
      </w:pPr>
      <w:r>
        <w:rPr/>
        <w:t>Limitation Statement</w:t>
      </w:r>
    </w:p>
    <w:p>
      <w:pPr>
        <w:pStyle w:val="Normal"/>
        <w:widowControl/>
        <w:bidi w:val="0"/>
        <w:spacing w:lineRule="auto" w:line="276"/>
        <w:jc w:val="left"/>
        <w:rPr/>
      </w:pPr>
      <w:r>
        <w:rPr/>
        <w:t>Explain that the current progression from Object to Autopoietic Object, Self-Directed Entity, Flourishing Entity, and Moral Agent may exclude vulnerable, low-agency, collective, future, or nonadaptive subjects possessing plausible moral value.</w:t>
      </w:r>
    </w:p>
    <w:p>
      <w:pPr>
        <w:pStyle w:val="Heading4"/>
        <w:ind w:hanging="0" w:left="0"/>
        <w:rPr/>
      </w:pPr>
      <w:r>
        <w:rPr/>
        <w:t>Ontological Classification Versus Moral Classification</w:t>
      </w:r>
    </w:p>
    <w:p>
      <w:pPr>
        <w:pStyle w:val="Normal"/>
        <w:widowControl/>
        <w:bidi w:val="0"/>
        <w:spacing w:lineRule="auto" w:line="276"/>
        <w:jc w:val="left"/>
        <w:rPr/>
      </w:pPr>
      <w:r>
        <w:rPr/>
        <w:t>Distinguish what something is from whether and why it matters morally. Being an Object, system, process, relationship, or context does not by itself establish or deny moral standing.</w:t>
      </w:r>
    </w:p>
    <w:p>
      <w:pPr>
        <w:pStyle w:val="Heading4"/>
        <w:ind w:hanging="0" w:left="0"/>
        <w:rPr/>
      </w:pPr>
      <w:r>
        <w:rPr/>
        <w:t>Moral Agency Versus Moral Patiency</w:t>
      </w:r>
    </w:p>
    <w:p>
      <w:pPr>
        <w:pStyle w:val="Normal"/>
        <w:widowControl/>
        <w:bidi w:val="0"/>
        <w:spacing w:lineRule="auto" w:line="276"/>
        <w:jc w:val="left"/>
        <w:rPr/>
      </w:pPr>
      <w:r>
        <w:rPr/>
        <w:t>Separate the capacity to bear duties and responsibility from the capacity to be morally harmed, benefited, protected, or represented.</w:t>
      </w:r>
    </w:p>
    <w:p>
      <w:pPr>
        <w:pStyle w:val="Heading4"/>
        <w:ind w:hanging="0" w:left="0"/>
        <w:rPr/>
      </w:pPr>
      <w:r>
        <w:rPr/>
        <w:t>Bases of Direct Moral Standing</w:t>
      </w:r>
    </w:p>
    <w:p>
      <w:pPr>
        <w:pStyle w:val="Normal"/>
        <w:widowControl/>
        <w:bidi w:val="0"/>
        <w:spacing w:lineRule="auto" w:line="276"/>
        <w:jc w:val="left"/>
        <w:rPr/>
      </w:pPr>
      <w:r>
        <w:rPr/>
        <w:t>Examine sentience, suffering, interests, life, agency, autonomy, dignity, vulnerability, dependency, relationships, ecological integrity, inherent value, and future existence as possible independent or cumulative grounds.</w:t>
      </w:r>
    </w:p>
    <w:p>
      <w:pPr>
        <w:pStyle w:val="Heading4"/>
        <w:ind w:hanging="0" w:left="0"/>
        <w:rPr/>
      </w:pPr>
      <w:r>
        <w:rPr/>
        <w:t>Direct, Constitutive, Relational, and Instrumental Value</w:t>
      </w:r>
    </w:p>
    <w:p>
      <w:pPr>
        <w:pStyle w:val="Normal"/>
        <w:widowControl/>
        <w:bidi w:val="0"/>
        <w:spacing w:lineRule="auto" w:line="276"/>
        <w:jc w:val="left"/>
        <w:rPr/>
      </w:pPr>
      <w:r>
        <w:rPr/>
        <w:t>Distinguish entities valued for their own sake from entities, places, processes, and relationships valued because they constitute another entity’s identity or flourishing, possess cultural significance, or support other moral patients.</w:t>
      </w:r>
    </w:p>
    <w:p>
      <w:pPr>
        <w:pStyle w:val="Heading4"/>
        <w:ind w:hanging="0" w:left="0"/>
        <w:rPr/>
      </w:pPr>
      <w:r>
        <w:rPr/>
        <w:t>Moral-Status Predicates</w:t>
      </w:r>
    </w:p>
    <w:p>
      <w:pPr>
        <w:pStyle w:val="Normal"/>
        <w:widowControl/>
        <w:bidi w:val="0"/>
        <w:spacing w:lineRule="auto" w:line="276"/>
        <w:jc w:val="left"/>
        <w:rPr/>
      </w:pPr>
      <w:r>
        <w:rPr/>
        <w:t>Introduce distinct predicates such as Moral Patient, Flourishing Subject, Moral Agent, Value-Bearing Collective, Protected Feature or Process, and Normative Representative rather than forcing every form of value into “Flourishing Entity.”</w:t>
      </w:r>
    </w:p>
    <w:p>
      <w:pPr>
        <w:pStyle w:val="Heading4"/>
        <w:ind w:hanging="0" w:left="0"/>
        <w:rPr/>
      </w:pPr>
      <w:r>
        <w:rPr/>
        <w:t>Entity-Specific Classification Profiles</w:t>
      </w:r>
    </w:p>
    <w:p>
      <w:pPr>
        <w:pStyle w:val="Normal"/>
        <w:widowControl/>
        <w:bidi w:val="0"/>
        <w:spacing w:lineRule="auto" w:line="276"/>
        <w:jc w:val="left"/>
        <w:rPr/>
      </w:pPr>
      <w:r>
        <w:rPr/>
        <w:t>Define the evidence and criteria applicable to humans, animals, plants, ecological systems, institutions, artificial systems, and other entity classes.</w:t>
      </w:r>
    </w:p>
    <w:p>
      <w:pPr>
        <w:pStyle w:val="Heading4"/>
        <w:ind w:hanging="0" w:left="0"/>
        <w:rPr/>
      </w:pPr>
      <w:r>
        <w:rPr/>
        <w:t>Humans with Limited or Developing Agency</w:t>
      </w:r>
    </w:p>
    <w:p>
      <w:pPr>
        <w:pStyle w:val="Normal"/>
        <w:widowControl/>
        <w:bidi w:val="0"/>
        <w:spacing w:lineRule="auto" w:line="276"/>
        <w:jc w:val="left"/>
        <w:rPr/>
      </w:pPr>
      <w:r>
        <w:rPr/>
        <w:t>Ensure that infants, children, cognitively impaired persons, unconscious persons, and people requiring supported decision-making retain direct standing independently of conventional self-direction.</w:t>
      </w:r>
    </w:p>
    <w:p>
      <w:pPr>
        <w:pStyle w:val="Heading4"/>
        <w:ind w:hanging="0" w:left="0"/>
        <w:rPr/>
      </w:pPr>
      <w:r>
        <w:rPr/>
        <w:t>Nonhuman Animals and Other Organisms</w:t>
      </w:r>
    </w:p>
    <w:p>
      <w:pPr>
        <w:pStyle w:val="Normal"/>
        <w:widowControl/>
        <w:bidi w:val="0"/>
        <w:spacing w:lineRule="auto" w:line="276"/>
        <w:jc w:val="left"/>
        <w:rPr/>
      </w:pPr>
      <w:r>
        <w:rPr/>
        <w:t>Address sentience, species-appropriate capabilities, biological functioning, sociality, vulnerability, and uncertainty about experience without requiring human-like rationality.</w:t>
      </w:r>
    </w:p>
    <w:p>
      <w:pPr>
        <w:pStyle w:val="Heading4"/>
        <w:ind w:hanging="0" w:left="0"/>
        <w:rPr/>
      </w:pPr>
      <w:r>
        <w:rPr/>
        <w:t>Species, Ecosystems, and Ecological Collectives</w:t>
      </w:r>
    </w:p>
    <w:p>
      <w:pPr>
        <w:pStyle w:val="Normal"/>
        <w:widowControl/>
        <w:bidi w:val="0"/>
        <w:spacing w:lineRule="auto" w:line="276"/>
        <w:jc w:val="left"/>
        <w:rPr/>
      </w:pPr>
      <w:r>
        <w:rPr/>
        <w:t>Determine whether ecological wholes are entities, collectives, emergent systems, contexts, or value-bearing patterns and whether they can possess direct standing or protected properties.</w:t>
      </w:r>
    </w:p>
    <w:p>
      <w:pPr>
        <w:pStyle w:val="Heading4"/>
        <w:ind w:hanging="0" w:left="0"/>
        <w:rPr/>
      </w:pPr>
      <w:r>
        <w:rPr/>
        <w:t>Abiotic Nature, Places, and Processes</w:t>
      </w:r>
    </w:p>
    <w:p>
      <w:pPr>
        <w:pStyle w:val="Normal"/>
        <w:widowControl/>
        <w:bidi w:val="0"/>
        <w:spacing w:lineRule="auto" w:line="276"/>
        <w:jc w:val="left"/>
        <w:rPr/>
      </w:pPr>
      <w:r>
        <w:rPr/>
        <w:t>Address rivers, glaciers, soils, landscapes, geological formations, climate systems, evolutionary processes, and culturally significant places that may lack adaptation or autopoiesis.</w:t>
      </w:r>
    </w:p>
    <w:p>
      <w:pPr>
        <w:pStyle w:val="Heading4"/>
        <w:ind w:hanging="0" w:left="0"/>
        <w:rPr/>
      </w:pPr>
      <w:r>
        <w:rPr/>
        <w:t>Institutions and Collective Agents</w:t>
      </w:r>
    </w:p>
    <w:p>
      <w:pPr>
        <w:pStyle w:val="Normal"/>
        <w:widowControl/>
        <w:bidi w:val="0"/>
        <w:spacing w:lineRule="auto" w:line="276"/>
        <w:jc w:val="left"/>
        <w:rPr/>
      </w:pPr>
      <w:r>
        <w:rPr/>
        <w:t>Distinguish institutional agency and responsibility from institutional moral standing. Organizational persistence or operational capacity should not automatically compete equally with human or ecological flourishing.</w:t>
      </w:r>
    </w:p>
    <w:p>
      <w:pPr>
        <w:pStyle w:val="Heading4"/>
        <w:ind w:hanging="0" w:left="0"/>
        <w:rPr/>
      </w:pPr>
      <w:r>
        <w:rPr/>
        <w:t>Artificial Systems</w:t>
      </w:r>
    </w:p>
    <w:p>
      <w:pPr>
        <w:pStyle w:val="Normal"/>
        <w:widowControl/>
        <w:bidi w:val="0"/>
        <w:spacing w:lineRule="auto" w:line="276"/>
        <w:jc w:val="left"/>
        <w:rPr/>
      </w:pPr>
      <w:r>
        <w:rPr/>
        <w:t>Define evidence needed for artificial moral agency, moral patiency, experience, autonomy, persistence, vulnerability, or merely instrumental operational capacity. Avoid both automatic exclusion and premature attribution.</w:t>
      </w:r>
    </w:p>
    <w:p>
      <w:pPr>
        <w:pStyle w:val="Heading4"/>
        <w:ind w:hanging="0" w:left="0"/>
        <w:rPr/>
      </w:pPr>
      <w:r>
        <w:rPr/>
        <w:t>Future, Possible, and Contingent Entities</w:t>
      </w:r>
    </w:p>
    <w:p>
      <w:pPr>
        <w:pStyle w:val="Normal"/>
        <w:widowControl/>
        <w:bidi w:val="0"/>
        <w:spacing w:lineRule="auto" w:line="276"/>
        <w:jc w:val="left"/>
        <w:rPr/>
      </w:pPr>
      <w:r>
        <w:rPr/>
        <w:t>Establish how future persons, future nonhuman life, potential artificial subjects, and entities whose identity depends on present decisions enter the assessment.</w:t>
      </w:r>
    </w:p>
    <w:p>
      <w:pPr>
        <w:pStyle w:val="Heading4"/>
        <w:ind w:hanging="0" w:left="0"/>
        <w:rPr/>
      </w:pPr>
      <w:r>
        <w:rPr/>
        <w:t>Identity, Persistence, and Transformation</w:t>
      </w:r>
    </w:p>
    <w:p>
      <w:pPr>
        <w:pStyle w:val="Normal"/>
        <w:widowControl/>
        <w:bidi w:val="0"/>
        <w:spacing w:lineRule="auto" w:line="276"/>
        <w:jc w:val="left"/>
        <w:rPr/>
      </w:pPr>
      <w:r>
        <w:rPr/>
        <w:t>Address identity through change, replacement of components, merging, division, enhancement, species transformation, institutional succession, and discontinuity of artificial systems.</w:t>
      </w:r>
    </w:p>
    <w:p>
      <w:pPr>
        <w:pStyle w:val="Heading4"/>
        <w:ind w:hanging="0" w:left="0"/>
        <w:rPr/>
      </w:pPr>
      <w:r>
        <w:rPr/>
        <w:t>Nested Entities and Cross-Level Classification</w:t>
      </w:r>
    </w:p>
    <w:p>
      <w:pPr>
        <w:pStyle w:val="Normal"/>
        <w:widowControl/>
        <w:bidi w:val="0"/>
        <w:spacing w:lineRule="auto" w:line="276"/>
        <w:jc w:val="left"/>
        <w:rPr/>
      </w:pPr>
      <w:r>
        <w:rPr/>
        <w:t>Prevent double counting and unjustified priority when individuals belong to families, communities, institutions, species, ecosystems, and planetary systems simultaneously.</w:t>
      </w:r>
    </w:p>
    <w:p>
      <w:pPr>
        <w:pStyle w:val="Heading4"/>
        <w:ind w:hanging="0" w:left="0"/>
        <w:rPr/>
      </w:pPr>
      <w:r>
        <w:rPr/>
        <w:t>Moral Standing Versus Assessment Relevance</w:t>
      </w:r>
    </w:p>
    <w:p>
      <w:pPr>
        <w:pStyle w:val="Normal"/>
        <w:widowControl/>
        <w:bidi w:val="0"/>
        <w:spacing w:lineRule="auto" w:line="276"/>
        <w:jc w:val="left"/>
        <w:rPr/>
      </w:pPr>
      <w:r>
        <w:rPr/>
        <w:t>Clarify that direct standing does not make an entity material to every assessment, while lacking direct standing does not make its effects irrelevant. Boundary relevance should be determined separately.</w:t>
      </w:r>
    </w:p>
    <w:p>
      <w:pPr>
        <w:pStyle w:val="Heading4"/>
        <w:ind w:hanging="0" w:left="0"/>
        <w:rPr/>
      </w:pPr>
      <w:r>
        <w:rPr/>
        <w:t>Classification Under Uncertainty</w:t>
      </w:r>
    </w:p>
    <w:p>
      <w:pPr>
        <w:pStyle w:val="Normal"/>
        <w:widowControl/>
        <w:bidi w:val="0"/>
        <w:spacing w:lineRule="auto" w:line="276"/>
        <w:jc w:val="left"/>
        <w:rPr/>
      </w:pPr>
      <w:r>
        <w:rPr/>
        <w:t>Establish precautionary inclusion, confidence levels, competing classifications, and review triggers when sentience, agency, ecological identity, or artificial experience is uncertain.</w:t>
      </w:r>
    </w:p>
    <w:p>
      <w:pPr>
        <w:pStyle w:val="Heading4"/>
        <w:ind w:hanging="0" w:left="0"/>
        <w:rPr/>
      </w:pPr>
      <w:r>
        <w:rPr/>
        <w:t>Representation and Guardianship</w:t>
      </w:r>
    </w:p>
    <w:p>
      <w:pPr>
        <w:pStyle w:val="Normal"/>
        <w:widowControl/>
        <w:bidi w:val="0"/>
        <w:spacing w:lineRule="auto" w:line="276"/>
        <w:jc w:val="left"/>
        <w:rPr/>
      </w:pPr>
      <w:r>
        <w:rPr/>
        <w:t>Define how children, future generations, animals, ecosystems, and other nonparticipants are represented, including authority, conflicts of interest, accountability, and challenges to representatives.</w:t>
      </w:r>
    </w:p>
    <w:p>
      <w:pPr>
        <w:pStyle w:val="Heading4"/>
        <w:ind w:hanging="0" w:left="0"/>
        <w:rPr/>
      </w:pPr>
      <w:r>
        <w:rPr/>
        <w:t>Effect of Standing on Moral Assessment</w:t>
      </w:r>
    </w:p>
    <w:p>
      <w:pPr>
        <w:pStyle w:val="Normal"/>
        <w:widowControl/>
        <w:bidi w:val="0"/>
        <w:spacing w:lineRule="auto" w:line="276"/>
        <w:jc w:val="left"/>
        <w:rPr/>
      </w:pPr>
      <w:r>
        <w:rPr/>
        <w:t>Specify which protections follow from each status: consideration, rights, thresholds, constraints, participation, representation, remedies, or responsibility. Standing should not be merely an informational label.</w:t>
      </w:r>
    </w:p>
    <w:p>
      <w:pPr>
        <w:pStyle w:val="Heading4"/>
        <w:ind w:hanging="0" w:left="0"/>
        <w:rPr/>
      </w:pPr>
      <w:r>
        <w:rPr/>
        <w:t>Conflicts Among Standing Entities</w:t>
      </w:r>
    </w:p>
    <w:p>
      <w:pPr>
        <w:pStyle w:val="Normal"/>
        <w:widowControl/>
        <w:bidi w:val="0"/>
        <w:spacing w:lineRule="auto" w:line="276"/>
        <w:jc w:val="left"/>
        <w:rPr/>
      </w:pPr>
      <w:r>
        <w:rPr/>
        <w:t>Identify individual–collective, human–nonhuman, organism–ecosystem, biological–artificial, and present–future conflicts. Refer priority and trade-off rules to 9.4.2.</w:t>
      </w:r>
    </w:p>
    <w:p>
      <w:pPr>
        <w:pStyle w:val="Heading4"/>
        <w:ind w:hanging="0" w:left="0"/>
        <w:rPr/>
      </w:pPr>
      <w:r>
        <w:rPr/>
        <w:t>Classification Evidence and Governance</w:t>
      </w:r>
    </w:p>
    <w:p>
      <w:pPr>
        <w:pStyle w:val="Normal"/>
        <w:widowControl/>
        <w:bidi w:val="0"/>
        <w:spacing w:lineRule="auto" w:line="276"/>
        <w:jc w:val="left"/>
        <w:rPr/>
      </w:pPr>
      <w:r>
        <w:rPr/>
        <w:t>Require documented criteria, evidence provenance, domain expertise, affected-party input, periodic review, appeal, and version control for classification profiles.</w:t>
      </w:r>
    </w:p>
    <w:p>
      <w:pPr>
        <w:pStyle w:val="Heading4"/>
        <w:ind w:hanging="0" w:left="0"/>
        <w:rPr/>
      </w:pPr>
      <w:r>
        <w:rPr/>
        <w:t>Failure Modes and Exposure</w:t>
      </w:r>
    </w:p>
    <w:p>
      <w:pPr>
        <w:pStyle w:val="Normal"/>
        <w:widowControl/>
        <w:bidi w:val="0"/>
        <w:spacing w:lineRule="auto" w:line="276"/>
        <w:jc w:val="left"/>
        <w:rPr/>
      </w:pPr>
      <w:r>
        <w:rPr/>
        <w:t>Analyze anthropocentrism, agency bias, sentience chauvinism, indiscriminate attribution, corporate self-preservation, ecological holism, projection onto nature, AI anthropomorphism, strategic exclusion, and double counting.</w:t>
      </w:r>
    </w:p>
    <w:p>
      <w:pPr>
        <w:pStyle w:val="Heading4"/>
        <w:ind w:hanging="0" w:left="0"/>
        <w:rPr/>
      </w:pPr>
      <w:r>
        <w:rPr/>
        <w:t>Interim Safeguards and Mitigations</w:t>
      </w:r>
    </w:p>
    <w:p>
      <w:pPr>
        <w:pStyle w:val="Normal"/>
        <w:widowControl/>
        <w:bidi w:val="0"/>
        <w:spacing w:lineRule="auto" w:line="276"/>
        <w:jc w:val="left"/>
        <w:rPr/>
      </w:pPr>
      <w:r>
        <w:rPr/>
        <w:t>Require provisional inclusion under serious uncertainty, separate agency and patiency findings, explicit value grounds, profile disclosure, representation for nonparticipants, and heightened review before irreversible harm.</w:t>
      </w:r>
    </w:p>
    <w:p>
      <w:pPr>
        <w:pStyle w:val="Heading4"/>
        <w:ind w:hanging="0" w:left="0"/>
        <w:rPr/>
      </w:pPr>
      <w:r>
        <w:rPr/>
        <w:t>Research Deliverables and Acceptance Criteria</w:t>
      </w:r>
    </w:p>
    <w:p>
      <w:pPr>
        <w:pStyle w:val="Normal"/>
        <w:widowControl/>
        <w:bidi w:val="0"/>
        <w:spacing w:lineRule="auto" w:line="276"/>
        <w:jc w:val="left"/>
        <w:rPr/>
      </w:pPr>
      <w:r>
        <w:rPr/>
        <w:t>Require a revised entity ontology, moral-status taxonomy, entity-profile registry, classification protocol, uncertainty rules, representation standard, and benchmark cases involving disputed standing.</w:t>
      </w:r>
    </w:p>
    <w:p>
      <w:pPr>
        <w:pStyle w:val="Heading4"/>
        <w:ind w:hanging="0" w:left="0"/>
        <w:rPr/>
      </w:pPr>
      <w:r>
        <w:rPr/>
        <w:t>Residual Risk</w:t>
      </w:r>
    </w:p>
    <w:p>
      <w:pPr>
        <w:pStyle w:val="Normal"/>
        <w:widowControl/>
        <w:bidi w:val="0"/>
        <w:spacing w:lineRule="auto" w:line="276"/>
        <w:jc w:val="left"/>
        <w:rPr/>
      </w:pPr>
      <w:r>
        <w:rPr/>
        <w:t>Acknowledge that no classification system can eliminate disagreement about consciousness, intrinsic value, collective identity, ecological standing, future entities, or artificial moral status.</w:t>
      </w:r>
    </w:p>
    <w:p>
      <w:pPr>
        <w:pStyle w:val="Heading4"/>
        <w:ind w:hanging="0" w:left="0"/>
        <w:rPr>
          <w:rFonts w:ascii="Aptos" w:hAnsi="Aptos"/>
          <w:color w:val="auto"/>
        </w:rPr>
      </w:pPr>
      <w:r>
        <w:rPr/>
        <w:t>Recommended classification layers</w:t>
      </w:r>
    </w:p>
    <w:p>
      <w:pPr>
        <w:pStyle w:val="BodyText"/>
        <w:spacing w:before="0" w:after="200"/>
        <w:rPr/>
      </w:pPr>
      <w:r>
        <w:rPr/>
        <w:t>The framework should classify each subject across separate dimensions rather than assigning one all-purpose status.</w:t>
      </w:r>
    </w:p>
    <w:tbl>
      <w:tblPr>
        <w:tblW w:w="8640" w:type="dxa"/>
        <w:jc w:val="left"/>
        <w:tblInd w:w="28" w:type="dxa"/>
        <w:tblLayout w:type="fixed"/>
        <w:tblCellMar>
          <w:top w:w="28" w:type="dxa"/>
          <w:left w:w="28" w:type="dxa"/>
          <w:bottom w:w="28" w:type="dxa"/>
          <w:right w:w="28" w:type="dxa"/>
        </w:tblCellMar>
      </w:tblPr>
      <w:tblGrid>
        <w:gridCol w:w="2782"/>
        <w:gridCol w:w="5858"/>
      </w:tblGrid>
      <w:tr>
        <w:trPr>
          <w:tblHeader w:val="true"/>
        </w:trPr>
        <w:tc>
          <w:tcPr>
            <w:tcW w:w="2782" w:type="dxa"/>
            <w:tcBorders/>
            <w:vAlign w:val="center"/>
          </w:tcPr>
          <w:p>
            <w:pPr>
              <w:pStyle w:val="TableHeading"/>
              <w:suppressLineNumbers/>
              <w:spacing w:before="0" w:after="200"/>
              <w:jc w:val="center"/>
              <w:rPr/>
            </w:pPr>
            <w:r>
              <w:rPr/>
              <w:t>Classification layer</w:t>
            </w:r>
          </w:p>
        </w:tc>
        <w:tc>
          <w:tcPr>
            <w:tcW w:w="5858" w:type="dxa"/>
            <w:tcBorders/>
            <w:vAlign w:val="center"/>
          </w:tcPr>
          <w:p>
            <w:pPr>
              <w:pStyle w:val="TableHeading"/>
              <w:suppressLineNumbers/>
              <w:spacing w:before="0" w:after="200"/>
              <w:jc w:val="center"/>
              <w:rPr/>
            </w:pPr>
            <w:r>
              <w:rPr/>
              <w:t>Question answered</w:t>
            </w:r>
          </w:p>
        </w:tc>
      </w:tr>
      <w:tr>
        <w:trPr/>
        <w:tc>
          <w:tcPr>
            <w:tcW w:w="2782" w:type="dxa"/>
            <w:tcBorders/>
            <w:vAlign w:val="center"/>
          </w:tcPr>
          <w:p>
            <w:pPr>
              <w:pStyle w:val="TableContents"/>
              <w:widowControl w:val="false"/>
              <w:suppressLineNumbers/>
              <w:spacing w:before="0" w:after="200"/>
              <w:rPr/>
            </w:pPr>
            <w:r>
              <w:rPr>
                <w:rStyle w:val="Strong"/>
              </w:rPr>
              <w:t>Ontological status</w:t>
            </w:r>
          </w:p>
        </w:tc>
        <w:tc>
          <w:tcPr>
            <w:tcW w:w="5858" w:type="dxa"/>
            <w:tcBorders/>
            <w:vAlign w:val="center"/>
          </w:tcPr>
          <w:p>
            <w:pPr>
              <w:pStyle w:val="TableContents"/>
              <w:widowControl w:val="false"/>
              <w:suppressLineNumbers/>
              <w:spacing w:before="0" w:after="200"/>
              <w:rPr/>
            </w:pPr>
            <w:r>
              <w:rPr/>
              <w:t>What kind of object, system, collective, process, relationship, or context is it?</w:t>
            </w:r>
          </w:p>
        </w:tc>
      </w:tr>
      <w:tr>
        <w:trPr/>
        <w:tc>
          <w:tcPr>
            <w:tcW w:w="2782" w:type="dxa"/>
            <w:tcBorders/>
            <w:vAlign w:val="center"/>
          </w:tcPr>
          <w:p>
            <w:pPr>
              <w:pStyle w:val="TableContents"/>
              <w:widowControl w:val="false"/>
              <w:suppressLineNumbers/>
              <w:spacing w:before="0" w:after="200"/>
              <w:rPr/>
            </w:pPr>
            <w:r>
              <w:rPr>
                <w:rStyle w:val="Strong"/>
              </w:rPr>
              <w:t>Direct moral standing</w:t>
            </w:r>
          </w:p>
        </w:tc>
        <w:tc>
          <w:tcPr>
            <w:tcW w:w="5858" w:type="dxa"/>
            <w:tcBorders/>
            <w:vAlign w:val="center"/>
          </w:tcPr>
          <w:p>
            <w:pPr>
              <w:pStyle w:val="TableContents"/>
              <w:widowControl w:val="false"/>
              <w:suppressLineNumbers/>
              <w:spacing w:before="0" w:after="200"/>
              <w:rPr/>
            </w:pPr>
            <w:r>
              <w:rPr/>
              <w:t>Does it matter morally for its own sake, and on what basis?</w:t>
            </w:r>
          </w:p>
        </w:tc>
      </w:tr>
      <w:tr>
        <w:trPr/>
        <w:tc>
          <w:tcPr>
            <w:tcW w:w="2782" w:type="dxa"/>
            <w:tcBorders/>
            <w:vAlign w:val="center"/>
          </w:tcPr>
          <w:p>
            <w:pPr>
              <w:pStyle w:val="TableContents"/>
              <w:widowControl w:val="false"/>
              <w:suppressLineNumbers/>
              <w:spacing w:before="0" w:after="200"/>
              <w:rPr/>
            </w:pPr>
            <w:r>
              <w:rPr>
                <w:rStyle w:val="Strong"/>
              </w:rPr>
              <w:t>Flourishing status</w:t>
            </w:r>
          </w:p>
        </w:tc>
        <w:tc>
          <w:tcPr>
            <w:tcW w:w="5858" w:type="dxa"/>
            <w:tcBorders/>
            <w:vAlign w:val="center"/>
          </w:tcPr>
          <w:p>
            <w:pPr>
              <w:pStyle w:val="TableContents"/>
              <w:widowControl w:val="false"/>
              <w:suppressLineNumbers/>
              <w:spacing w:before="0" w:after="200"/>
              <w:rPr/>
            </w:pPr>
            <w:r>
              <w:rPr/>
              <w:t>Can beneficial or detrimental flourishing be meaningfully attributed to it?</w:t>
            </w:r>
          </w:p>
        </w:tc>
      </w:tr>
      <w:tr>
        <w:trPr/>
        <w:tc>
          <w:tcPr>
            <w:tcW w:w="2782" w:type="dxa"/>
            <w:tcBorders/>
            <w:vAlign w:val="center"/>
          </w:tcPr>
          <w:p>
            <w:pPr>
              <w:pStyle w:val="TableContents"/>
              <w:widowControl w:val="false"/>
              <w:suppressLineNumbers/>
              <w:spacing w:before="0" w:after="200"/>
              <w:rPr/>
            </w:pPr>
            <w:r>
              <w:rPr>
                <w:rStyle w:val="Strong"/>
              </w:rPr>
              <w:t>Moral patiency</w:t>
            </w:r>
          </w:p>
        </w:tc>
        <w:tc>
          <w:tcPr>
            <w:tcW w:w="5858" w:type="dxa"/>
            <w:tcBorders/>
            <w:vAlign w:val="center"/>
          </w:tcPr>
          <w:p>
            <w:pPr>
              <w:pStyle w:val="TableContents"/>
              <w:widowControl w:val="false"/>
              <w:suppressLineNumbers/>
              <w:spacing w:before="0" w:after="200"/>
              <w:rPr/>
            </w:pPr>
            <w:r>
              <w:rPr/>
              <w:t>Can it be wronged, harmed, protected, or owed a remedy?</w:t>
            </w:r>
          </w:p>
        </w:tc>
      </w:tr>
      <w:tr>
        <w:trPr/>
        <w:tc>
          <w:tcPr>
            <w:tcW w:w="2782" w:type="dxa"/>
            <w:tcBorders/>
            <w:vAlign w:val="center"/>
          </w:tcPr>
          <w:p>
            <w:pPr>
              <w:pStyle w:val="TableContents"/>
              <w:widowControl w:val="false"/>
              <w:suppressLineNumbers/>
              <w:spacing w:before="0" w:after="200"/>
              <w:rPr/>
            </w:pPr>
            <w:r>
              <w:rPr>
                <w:rStyle w:val="Strong"/>
              </w:rPr>
              <w:t>Moral agency</w:t>
            </w:r>
          </w:p>
        </w:tc>
        <w:tc>
          <w:tcPr>
            <w:tcW w:w="5858" w:type="dxa"/>
            <w:tcBorders/>
            <w:vAlign w:val="center"/>
          </w:tcPr>
          <w:p>
            <w:pPr>
              <w:pStyle w:val="TableContents"/>
              <w:widowControl w:val="false"/>
              <w:suppressLineNumbers/>
              <w:spacing w:before="0" w:after="200"/>
              <w:rPr/>
            </w:pPr>
            <w:r>
              <w:rPr/>
              <w:t>Can it understand reasons, select among alternatives, and bear responsibility?</w:t>
            </w:r>
          </w:p>
        </w:tc>
      </w:tr>
      <w:tr>
        <w:trPr/>
        <w:tc>
          <w:tcPr>
            <w:tcW w:w="2782" w:type="dxa"/>
            <w:tcBorders/>
            <w:vAlign w:val="center"/>
          </w:tcPr>
          <w:p>
            <w:pPr>
              <w:pStyle w:val="TableContents"/>
              <w:widowControl w:val="false"/>
              <w:suppressLineNumbers/>
              <w:spacing w:before="0" w:after="200"/>
              <w:rPr/>
            </w:pPr>
            <w:r>
              <w:rPr>
                <w:rStyle w:val="Strong"/>
              </w:rPr>
              <w:t>Relational or constitutive value</w:t>
            </w:r>
          </w:p>
        </w:tc>
        <w:tc>
          <w:tcPr>
            <w:tcW w:w="5858" w:type="dxa"/>
            <w:tcBorders/>
            <w:vAlign w:val="center"/>
          </w:tcPr>
          <w:p>
            <w:pPr>
              <w:pStyle w:val="TableContents"/>
              <w:widowControl w:val="false"/>
              <w:suppressLineNumbers/>
              <w:spacing w:before="0" w:after="200"/>
              <w:rPr/>
            </w:pPr>
            <w:r>
              <w:rPr/>
              <w:t>Does it form part of another entity’s identity, community, culture, or flourishing?</w:t>
            </w:r>
          </w:p>
        </w:tc>
      </w:tr>
      <w:tr>
        <w:trPr/>
        <w:tc>
          <w:tcPr>
            <w:tcW w:w="2782" w:type="dxa"/>
            <w:tcBorders/>
            <w:vAlign w:val="center"/>
          </w:tcPr>
          <w:p>
            <w:pPr>
              <w:pStyle w:val="TableContents"/>
              <w:widowControl w:val="false"/>
              <w:suppressLineNumbers/>
              <w:spacing w:before="0" w:after="200"/>
              <w:rPr/>
            </w:pPr>
            <w:r>
              <w:rPr>
                <w:rStyle w:val="Strong"/>
              </w:rPr>
              <w:t>Legal or procedural standing</w:t>
            </w:r>
          </w:p>
        </w:tc>
        <w:tc>
          <w:tcPr>
            <w:tcW w:w="5858" w:type="dxa"/>
            <w:tcBorders/>
            <w:vAlign w:val="center"/>
          </w:tcPr>
          <w:p>
            <w:pPr>
              <w:pStyle w:val="TableContents"/>
              <w:widowControl w:val="false"/>
              <w:suppressLineNumbers/>
              <w:spacing w:before="0" w:after="200"/>
              <w:rPr/>
            </w:pPr>
            <w:r>
              <w:rPr/>
              <w:t>Can it make claims or receive representation within an institution?</w:t>
            </w:r>
          </w:p>
        </w:tc>
      </w:tr>
      <w:tr>
        <w:trPr/>
        <w:tc>
          <w:tcPr>
            <w:tcW w:w="2782" w:type="dxa"/>
            <w:tcBorders/>
            <w:vAlign w:val="center"/>
          </w:tcPr>
          <w:p>
            <w:pPr>
              <w:pStyle w:val="TableContents"/>
              <w:widowControl w:val="false"/>
              <w:suppressLineNumbers/>
              <w:spacing w:before="0" w:after="200"/>
              <w:rPr/>
            </w:pPr>
            <w:r>
              <w:rPr>
                <w:rStyle w:val="Strong"/>
              </w:rPr>
              <w:t>Assessment relevance</w:t>
            </w:r>
          </w:p>
        </w:tc>
        <w:tc>
          <w:tcPr>
            <w:tcW w:w="5858" w:type="dxa"/>
            <w:tcBorders/>
            <w:vAlign w:val="center"/>
          </w:tcPr>
          <w:p>
            <w:pPr>
              <w:pStyle w:val="TableContents"/>
              <w:widowControl w:val="false"/>
              <w:suppressLineNumbers/>
              <w:spacing w:before="0" w:after="200"/>
              <w:rPr/>
            </w:pPr>
            <w:r>
              <w:rPr/>
              <w:t>Is it materially implicated in the particular World Context Transition?</w:t>
            </w:r>
          </w:p>
        </w:tc>
      </w:tr>
    </w:tbl>
    <w:p>
      <w:pPr>
        <w:pStyle w:val="Heading4"/>
        <w:ind w:hanging="0" w:left="0"/>
        <w:rPr/>
      </w:pPr>
      <w:r>
        <w:rPr/>
        <w:t>Recommended revision to the ontology</w:t>
      </w:r>
    </w:p>
    <w:p>
      <w:pPr>
        <w:pStyle w:val="BodyText"/>
        <w:spacing w:before="0" w:after="200"/>
        <w:rPr/>
      </w:pPr>
      <w:r>
        <w:rPr/>
        <w:t xml:space="preserve">The current ontology should add </w:t>
      </w:r>
      <w:r>
        <w:rPr>
          <w:rStyle w:val="Strong"/>
        </w:rPr>
        <w:t>Moral Patient</w:t>
      </w:r>
      <w:r>
        <w:rPr/>
        <w:t xml:space="preserve"> as a predicate independent of Self-Directed Entity and Moral Agent:</w:t>
      </w:r>
    </w:p>
    <w:p>
      <w:pPr>
        <w:pStyle w:val="Normal"/>
        <w:widowControl/>
        <w:bidi w:val="0"/>
        <w:spacing w:lineRule="auto" w:line="276"/>
        <w:jc w:val="left"/>
        <w:rPr/>
      </w:pPr>
      <w:r>
        <w:rPr/>
        <w:drawing>
          <wp:anchor distT="0" distB="0" distL="0" distR="0" simplePos="0" relativeHeight="2" behindDoc="0" locked="0" layoutInCell="0" allowOverlap="1">
            <wp:simplePos x="0" y="0"/>
            <wp:positionH relativeFrom="column">
              <wp:posOffset>610870</wp:posOffset>
            </wp:positionH>
            <wp:positionV relativeFrom="paragraph">
              <wp:posOffset>-110490</wp:posOffset>
            </wp:positionV>
            <wp:extent cx="4422775" cy="19500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422775" cy="1950085"/>
                    </a:xfrm>
                    <a:prstGeom prst="rect">
                      <a:avLst/>
                    </a:prstGeom>
                    <a:noFill/>
                  </pic:spPr>
                </pic:pic>
              </a:graphicData>
            </a:graphic>
          </wp:anchor>
        </w:drawing>
      </w:r>
    </w:p>
    <w:p>
      <w:pPr>
        <w:pStyle w:val="Normal"/>
        <w:widowControl/>
        <w:bidi w:val="0"/>
        <w:spacing w:lineRule="auto" w:line="276"/>
        <w:jc w:val="left"/>
        <w:rPr/>
      </w:pPr>
      <w:r>
        <w:rPr/>
      </w:r>
    </w:p>
    <w:p>
      <w:pPr>
        <w:pStyle w:val="Normal"/>
        <w:widowControl/>
        <w:bidi w:val="0"/>
        <w:spacing w:lineRule="auto" w:line="276"/>
        <w:jc w:val="left"/>
        <w:rPr/>
      </w:pPr>
      <w:r>
        <w:rPr/>
      </w:r>
    </w:p>
    <w:p>
      <w:pPr>
        <w:pStyle w:val="Normal"/>
        <w:widowControl/>
        <w:bidi w:val="0"/>
        <w:spacing w:lineRule="auto" w:line="276"/>
        <w:jc w:val="left"/>
        <w:rPr/>
      </w:pPr>
      <w:r>
        <w:rPr/>
      </w:r>
    </w:p>
    <w:p>
      <w:pPr>
        <w:pStyle w:val="Normal"/>
        <w:widowControl/>
        <w:bidi w:val="0"/>
        <w:spacing w:lineRule="auto" w:line="276"/>
        <w:jc w:val="left"/>
        <w:rPr/>
      </w:pPr>
      <w:r>
        <w:rPr/>
      </w:r>
    </w:p>
    <w:p>
      <w:pPr>
        <w:pStyle w:val="Normal"/>
        <w:widowControl/>
        <w:bidi w:val="0"/>
        <w:spacing w:lineRule="auto" w:line="276"/>
        <w:jc w:val="left"/>
        <w:rPr/>
      </w:pPr>
      <w:r>
        <w:rPr/>
      </w:r>
    </w:p>
    <w:p>
      <w:pPr>
        <w:pStyle w:val="BodyText"/>
        <w:widowControl/>
        <w:bidi w:val="0"/>
        <w:spacing w:lineRule="auto" w:line="276"/>
        <w:jc w:val="left"/>
        <w:rPr/>
      </w:pPr>
      <w:r>
        <w:rPr/>
        <w:t>These predicates may overlap but should not be treated as a single hierarchy. A human infant might be a Moral Patient and Flourishing Subject without being a full Moral Agent. An institution might be a Moral Agent without possessing moral standing equivalent to a person. An ecosystem might be a Flourishing Subject or Value-Bearing Collective without being sentient.</w:t>
      </w:r>
    </w:p>
    <w:p>
      <w:pPr>
        <w:pStyle w:val="BodyText"/>
        <w:spacing w:before="0" w:after="200"/>
        <w:rPr/>
      </w:pPr>
      <w:r>
        <w:rPr/>
        <w:t>The section’s central conclusion should be:</w:t>
      </w:r>
    </w:p>
    <w:p>
      <w:pPr>
        <w:pStyle w:val="Normal"/>
        <w:widowControl/>
        <w:bidi w:val="0"/>
        <w:spacing w:lineRule="auto" w:line="276"/>
        <w:jc w:val="left"/>
        <w:rPr/>
      </w:pPr>
      <w:r>
        <w:rPr/>
        <w:t>Moral standing must not be derived solely from persistence, adaptation, self-direction, or moral agency. The framework should separately classify ontology, moral patiency, flourishing, agency, relational value, legal status, and assessment relevance. When standing is uncertain and the possible harm is serious or irreversible, uncertainty should support provisional consideration rather than automatic exclusion.</w:t>
      </w:r>
    </w:p>
    <w:p>
      <w:pPr>
        <w:pStyle w:val="Heading3"/>
        <w:ind w:hanging="0" w:left="0"/>
        <w:rPr/>
      </w:pPr>
      <w:r>
        <w:rPr/>
        <w:t>Meaning and measurement of Long-Term Flourishing</w:t>
      </w:r>
    </w:p>
    <w:p>
      <w:pPr>
        <w:pStyle w:val="Normal"/>
        <w:widowControl/>
        <w:bidi w:val="0"/>
        <w:spacing w:lineRule="auto" w:line="276"/>
        <w:jc w:val="left"/>
        <w:rPr/>
      </w:pPr>
      <w:r>
        <w:rPr/>
        <w:t>This section should define Long-Term Flourishing as a normative construct before attempting to measure it. Measurement cannot resolve uncertainty about what flourishing ought to mean.</w:t>
      </w:r>
    </w:p>
    <w:p>
      <w:pPr>
        <w:pStyle w:val="Heading4"/>
        <w:ind w:hanging="0" w:left="0"/>
        <w:rPr/>
      </w:pPr>
      <w:r>
        <w:rPr/>
        <w:t>Limitation Statement</w:t>
      </w:r>
    </w:p>
    <w:p>
      <w:pPr>
        <w:pStyle w:val="Normal"/>
        <w:widowControl/>
        <w:bidi w:val="0"/>
        <w:spacing w:lineRule="auto" w:line="276"/>
        <w:jc w:val="left"/>
        <w:rPr/>
      </w:pPr>
      <w:r>
        <w:rPr/>
        <w:t>Explain that Long-Term Flourishing is foundational to the axiom, entity classification, and decision procedure, but remains circular, multidimensional, entity-dependent, and insufficiently operationalized.</w:t>
      </w:r>
    </w:p>
    <w:p>
      <w:pPr>
        <w:pStyle w:val="Heading4"/>
        <w:ind w:hanging="0" w:left="0"/>
        <w:rPr/>
      </w:pPr>
      <w:r>
        <w:rPr/>
        <w:t>Functions of Long-Term Flourishing Within the Framework</w:t>
      </w:r>
    </w:p>
    <w:p>
      <w:pPr>
        <w:pStyle w:val="Normal"/>
        <w:widowControl/>
        <w:bidi w:val="0"/>
        <w:spacing w:lineRule="auto" w:line="276"/>
        <w:jc w:val="left"/>
        <w:rPr/>
      </w:pPr>
      <w:r>
        <w:rPr/>
        <w:t>Identify every role the construct performs: defining Flourishing Entities, evaluating State Transitions, determining material diminishment, comparing alternatives, and interpreting compatible World Contexts.</w:t>
      </w:r>
    </w:p>
    <w:p>
      <w:pPr>
        <w:pStyle w:val="Heading4"/>
        <w:ind w:hanging="0" w:left="0"/>
        <w:rPr/>
      </w:pPr>
      <w:r>
        <w:rPr/>
        <w:t>Construct Boundaries</w:t>
      </w:r>
    </w:p>
    <w:p>
      <w:pPr>
        <w:pStyle w:val="Normal"/>
        <w:widowControl/>
        <w:bidi w:val="0"/>
        <w:spacing w:lineRule="auto" w:line="276"/>
        <w:jc w:val="left"/>
        <w:rPr/>
      </w:pPr>
      <w:r>
        <w:rPr/>
        <w:t>Distinguish flourishing from persistence, expansion, adaptation, resilience, welfare, preference satisfaction, happiness, resources, capabilities, functioning, autonomy, virtue, institutional viability, and system stability.</w:t>
      </w:r>
    </w:p>
    <w:p>
      <w:pPr>
        <w:pStyle w:val="Heading4"/>
        <w:ind w:hanging="0" w:left="0"/>
        <w:rPr/>
      </w:pPr>
      <w:r>
        <w:rPr/>
        <w:t>Intrinsic, Constitutive, and Instrumental Goods</w:t>
      </w:r>
    </w:p>
    <w:p>
      <w:pPr>
        <w:pStyle w:val="Normal"/>
        <w:widowControl/>
        <w:bidi w:val="0"/>
        <w:spacing w:lineRule="auto" w:line="276"/>
        <w:jc w:val="left"/>
        <w:rPr/>
      </w:pPr>
      <w:r>
        <w:rPr/>
        <w:t>Determine which goods are valuable in themselves, which constitute flourishing, and which are valuable because they support another good. Prevent instrumental indicators such as income, institutional capacity, or longevity from being treated as flourishing automatically.</w:t>
      </w:r>
    </w:p>
    <w:p>
      <w:pPr>
        <w:pStyle w:val="Heading4"/>
        <w:ind w:hanging="0" w:left="0"/>
        <w:rPr/>
      </w:pPr>
      <w:r>
        <w:rPr/>
        <w:t>Constitutive Dimensions of Flourishing</w:t>
      </w:r>
    </w:p>
    <w:p>
      <w:pPr>
        <w:pStyle w:val="Normal"/>
        <w:widowControl/>
        <w:bidi w:val="0"/>
        <w:spacing w:lineRule="auto" w:line="276"/>
        <w:jc w:val="left"/>
        <w:rPr/>
      </w:pPr>
      <w:r>
        <w:rPr/>
        <w:t>Establish a general dimensional architecture that may include health, bodily integrity, agency, knowledge, relationships, security, capability, meaningful activity, ecological integrity, resilience, and valuable future possibilities.</w:t>
      </w:r>
    </w:p>
    <w:p>
      <w:pPr>
        <w:pStyle w:val="Heading4"/>
        <w:ind w:hanging="0" w:left="0"/>
        <w:rPr/>
      </w:pPr>
      <w:r>
        <w:rPr/>
        <w:t>Universal Dimensions Versus Entity-Specific Profiles</w:t>
      </w:r>
    </w:p>
    <w:p>
      <w:pPr>
        <w:pStyle w:val="Normal"/>
        <w:widowControl/>
        <w:bidi w:val="0"/>
        <w:spacing w:lineRule="auto" w:line="276"/>
        <w:jc w:val="left"/>
        <w:rPr/>
      </w:pPr>
      <w:r>
        <w:rPr/>
        <w:t>Determine whether any dimensions apply universally and which must vary among humans, animals, organisms, ecosystems, institutions, and artificial systems.</w:t>
      </w:r>
    </w:p>
    <w:p>
      <w:pPr>
        <w:pStyle w:val="Heading4"/>
        <w:ind w:hanging="0" w:left="0"/>
        <w:rPr/>
      </w:pPr>
      <w:r>
        <w:rPr/>
        <w:t>Human Flourishing and Eudaimonia</w:t>
      </w:r>
    </w:p>
    <w:p>
      <w:pPr>
        <w:pStyle w:val="Normal"/>
        <w:widowControl/>
        <w:bidi w:val="0"/>
        <w:spacing w:lineRule="auto" w:line="276"/>
        <w:jc w:val="left"/>
        <w:rPr/>
      </w:pPr>
      <w:r>
        <w:rPr/>
        <w:t>Clarify whether eudaimonia is a human-specific flourishing profile, a constitutive component, or a competing conception. Preserve its emphasis on virtuous activity, practical wisdom, relationships, and living well across a life.</w:t>
      </w:r>
    </w:p>
    <w:p>
      <w:pPr>
        <w:pStyle w:val="Heading4"/>
        <w:ind w:hanging="0" w:left="0"/>
        <w:rPr/>
      </w:pPr>
      <w:r>
        <w:rPr/>
        <w:t>Capabilities, Functionings, Welfare, and Flourishing</w:t>
      </w:r>
    </w:p>
    <w:p>
      <w:pPr>
        <w:pStyle w:val="Normal"/>
        <w:widowControl/>
        <w:bidi w:val="0"/>
        <w:spacing w:lineRule="auto" w:line="276"/>
        <w:jc w:val="left"/>
        <w:rPr/>
      </w:pPr>
      <w:r>
        <w:rPr/>
        <w:t>Distinguish valuable opportunities from achieved states and subjective experience. Explain how capabilities and functionings contribute to flourishing without becoming synonymous with it.</w:t>
      </w:r>
    </w:p>
    <w:p>
      <w:pPr>
        <w:pStyle w:val="Heading4"/>
        <w:ind w:hanging="0" w:left="0"/>
        <w:rPr/>
      </w:pPr>
      <w:r>
        <w:rPr/>
        <w:t>Relational and Collective Dimensions</w:t>
      </w:r>
    </w:p>
    <w:p>
      <w:pPr>
        <w:pStyle w:val="Normal"/>
        <w:widowControl/>
        <w:bidi w:val="0"/>
        <w:spacing w:lineRule="auto" w:line="276"/>
        <w:jc w:val="left"/>
        <w:rPr/>
      </w:pPr>
      <w:r>
        <w:rPr/>
        <w:t>Represent goods that arise through relationships, communities, institutions, cultural practices, care, ecological participation, and shared infrastructure rather than through isolated entity states.</w:t>
      </w:r>
    </w:p>
    <w:p>
      <w:pPr>
        <w:pStyle w:val="Heading4"/>
        <w:ind w:hanging="0" w:left="0"/>
        <w:rPr/>
      </w:pPr>
      <w:r>
        <w:rPr/>
        <w:t>Entity Flourishing Versus System Flourishing</w:t>
      </w:r>
    </w:p>
    <w:p>
      <w:pPr>
        <w:pStyle w:val="Normal"/>
        <w:widowControl/>
        <w:bidi w:val="0"/>
        <w:spacing w:lineRule="auto" w:line="276"/>
        <w:jc w:val="left"/>
        <w:rPr/>
      </w:pPr>
      <w:r>
        <w:rPr/>
        <w:t>Prevent system persistence, institutional success, or aggregate improvement from automatically overriding individual flourishing. Define system flourishing through the defensible conditions it maintains for constituent and affected entities.</w:t>
      </w:r>
    </w:p>
    <w:p>
      <w:pPr>
        <w:pStyle w:val="Heading4"/>
        <w:ind w:hanging="0" w:left="0"/>
        <w:rPr/>
      </w:pPr>
      <w:r>
        <w:rPr/>
        <w:t>Meaning of Compatible Flourishing</w:t>
      </w:r>
    </w:p>
    <w:p>
      <w:pPr>
        <w:pStyle w:val="Normal"/>
        <w:widowControl/>
        <w:bidi w:val="0"/>
        <w:spacing w:lineRule="auto" w:line="276"/>
        <w:jc w:val="left"/>
        <w:rPr/>
      </w:pPr>
      <w:r>
        <w:rPr/>
        <w:t>Determine whether compatibility means noninterference, avoidance of material diminishment, mutual support, fair coexistence, ecological sustainability, or positive contribution. Avoid making moral standing contingent on productivity or usefulness to the larger system.</w:t>
      </w:r>
    </w:p>
    <w:p>
      <w:pPr>
        <w:pStyle w:val="Heading4"/>
        <w:ind w:hanging="0" w:left="0"/>
        <w:rPr/>
      </w:pPr>
      <w:r>
        <w:rPr/>
        <w:t>Construct-to-Measurement Architecture</w:t>
      </w:r>
    </w:p>
    <w:p>
      <w:pPr>
        <w:pStyle w:val="Normal"/>
        <w:widowControl/>
        <w:bidi w:val="0"/>
        <w:spacing w:lineRule="auto" w:line="276"/>
        <w:jc w:val="left"/>
        <w:rPr/>
      </w:pPr>
      <w:r>
        <w:rPr/>
        <w:t>Define the progression from normative construct to dimensions, indicators, observations, estimates, and decision use. Require traceability across every layer.</w:t>
      </w:r>
    </w:p>
    <w:p>
      <w:pPr>
        <w:pStyle w:val="Heading4"/>
        <w:ind w:hanging="0" w:left="0"/>
        <w:rPr/>
      </w:pPr>
      <w:r>
        <w:rPr/>
        <w:t>Indicator Selection and Operational Definitions</w:t>
      </w:r>
    </w:p>
    <w:p>
      <w:pPr>
        <w:pStyle w:val="Normal"/>
        <w:widowControl/>
        <w:bidi w:val="0"/>
        <w:spacing w:lineRule="auto" w:line="276"/>
        <w:jc w:val="left"/>
        <w:rPr/>
      </w:pPr>
      <w:r>
        <w:rPr/>
        <w:t>Specify how indicators are selected, justified, measured, normalized, updated, and retired. Distinguish direct measures from proxies and leading indicators from observed outcomes.</w:t>
      </w:r>
    </w:p>
    <w:p>
      <w:pPr>
        <w:pStyle w:val="Heading4"/>
        <w:ind w:hanging="0" w:left="0"/>
        <w:rPr/>
      </w:pPr>
      <w:r>
        <w:rPr/>
        <w:t>Objective, Subjective, and Qualitative Evidence</w:t>
      </w:r>
    </w:p>
    <w:p>
      <w:pPr>
        <w:pStyle w:val="Normal"/>
        <w:widowControl/>
        <w:bidi w:val="0"/>
        <w:spacing w:lineRule="auto" w:line="276"/>
        <w:jc w:val="left"/>
        <w:rPr/>
      </w:pPr>
      <w:r>
        <w:rPr/>
        <w:t>Combine observable conditions with testimony, preferences, narrative, lived experience, expert interpretation, and relational knowledge without treating any single evidence type as conclusive.</w:t>
      </w:r>
    </w:p>
    <w:p>
      <w:pPr>
        <w:pStyle w:val="Heading4"/>
        <w:ind w:hanging="0" w:left="0"/>
        <w:rPr/>
      </w:pPr>
      <w:r>
        <w:rPr/>
        <w:t>Adaptive Preferences and Paternalism</w:t>
      </w:r>
    </w:p>
    <w:p>
      <w:pPr>
        <w:pStyle w:val="Normal"/>
        <w:widowControl/>
        <w:bidi w:val="0"/>
        <w:spacing w:lineRule="auto" w:line="276"/>
        <w:jc w:val="left"/>
        <w:rPr/>
      </w:pPr>
      <w:r>
        <w:rPr/>
        <w:t>Address circumstances in which reported satisfaction may reflect deprivation while preventing assessors from dismissing affected entities’ values merely because they differ from expert expectations.</w:t>
      </w:r>
    </w:p>
    <w:p>
      <w:pPr>
        <w:pStyle w:val="Heading4"/>
        <w:ind w:hanging="0" w:left="0"/>
        <w:rPr/>
      </w:pPr>
      <w:r>
        <w:rPr/>
        <w:t>Intra-Personal and Interpersonal Comparison</w:t>
      </w:r>
    </w:p>
    <w:p>
      <w:pPr>
        <w:pStyle w:val="Normal"/>
        <w:widowControl/>
        <w:bidi w:val="0"/>
        <w:spacing w:lineRule="auto" w:line="276"/>
        <w:jc w:val="left"/>
        <w:rPr/>
      </w:pPr>
      <w:r>
        <w:rPr/>
        <w:t>Define how changes within one entity are compared over time and when comparisons across persons are defensible. Specify the limits of common scales and normalization.</w:t>
      </w:r>
    </w:p>
    <w:p>
      <w:pPr>
        <w:pStyle w:val="Heading4"/>
        <w:ind w:hanging="0" w:left="0"/>
        <w:rPr/>
      </w:pPr>
      <w:r>
        <w:rPr/>
        <w:t>Inter-Entity Comparison</w:t>
      </w:r>
    </w:p>
    <w:p>
      <w:pPr>
        <w:pStyle w:val="Normal"/>
        <w:widowControl/>
        <w:bidi w:val="0"/>
        <w:spacing w:lineRule="auto" w:line="276"/>
        <w:jc w:val="left"/>
        <w:rPr/>
      </w:pPr>
      <w:r>
        <w:rPr/>
        <w:t>Address comparisons across humans, animals, ecosystems, institutions, and artificial systems. Prefer entity-specific profiles, severity classes, thresholds, and partial ordering when common units would create false equivalence.</w:t>
      </w:r>
    </w:p>
    <w:p>
      <w:pPr>
        <w:pStyle w:val="Heading4"/>
        <w:ind w:hanging="0" w:left="0"/>
        <w:rPr/>
      </w:pPr>
      <w:r>
        <w:rPr/>
        <w:t>Distribution Versus Aggregation</w:t>
      </w:r>
    </w:p>
    <w:p>
      <w:pPr>
        <w:pStyle w:val="Normal"/>
        <w:widowControl/>
        <w:bidi w:val="0"/>
        <w:spacing w:lineRule="auto" w:line="276"/>
        <w:jc w:val="left"/>
        <w:rPr/>
      </w:pPr>
      <w:r>
        <w:rPr/>
        <w:t>Require disaggregation by entity and group before calculating averages or composite scores. Preserve concentration, inequality, vulnerability, minimum conditions, and severe tail losses.</w:t>
      </w:r>
    </w:p>
    <w:p>
      <w:pPr>
        <w:pStyle w:val="Heading4"/>
        <w:ind w:hanging="0" w:left="0"/>
        <w:rPr/>
      </w:pPr>
      <w:r>
        <w:rPr/>
        <w:t>Thresholds, Sufficiency, and Noncompensability</w:t>
      </w:r>
    </w:p>
    <w:p>
      <w:pPr>
        <w:pStyle w:val="Normal"/>
        <w:widowControl/>
        <w:bidi w:val="0"/>
        <w:spacing w:lineRule="auto" w:line="276"/>
        <w:jc w:val="left"/>
        <w:rPr/>
      </w:pPr>
      <w:r>
        <w:rPr/>
        <w:t>Define minimum flourishing conditions, protected dimensions, threshold crossings, and losses that cannot ordinarily be offset by unrelated gains elsewhere.</w:t>
      </w:r>
    </w:p>
    <w:p>
      <w:pPr>
        <w:pStyle w:val="Normal"/>
        <w:widowControl/>
        <w:bidi w:val="0"/>
        <w:spacing w:lineRule="auto" w:line="276"/>
        <w:jc w:val="left"/>
        <w:rPr/>
      </w:pPr>
      <w:r>
        <w:rPr/>
        <w:t>9.4.5.21 Temporal Structure and Flourishing Trajectories</w:t>
      </w:r>
    </w:p>
    <w:p>
      <w:pPr>
        <w:pStyle w:val="Normal"/>
        <w:widowControl/>
        <w:bidi w:val="0"/>
        <w:spacing w:lineRule="auto" w:line="276"/>
        <w:jc w:val="left"/>
        <w:rPr/>
      </w:pPr>
      <w:r>
        <w:rPr/>
        <w:t>Measure flourishing as a trajectory rather than a snapshot. Distinguish current functioning, capability security, resilience, recovery potential, developmental effects, and long-term contraction or expansion.</w:t>
      </w:r>
    </w:p>
    <w:p>
      <w:pPr>
        <w:pStyle w:val="Heading4"/>
        <w:ind w:hanging="0" w:left="0"/>
        <w:rPr/>
      </w:pPr>
      <w:r>
        <w:rPr/>
        <w:t>Future State Space and Option Quality</w:t>
      </w:r>
    </w:p>
    <w:p>
      <w:pPr>
        <w:pStyle w:val="Normal"/>
        <w:widowControl/>
        <w:bidi w:val="0"/>
        <w:spacing w:lineRule="auto" w:line="276"/>
        <w:jc w:val="left"/>
        <w:rPr/>
      </w:pPr>
      <w:r>
        <w:rPr/>
        <w:t>Evaluate the value, accessibility, diversity, independence, security, and compatibility of future options rather than simply counting possible states.</w:t>
      </w:r>
    </w:p>
    <w:p>
      <w:pPr>
        <w:pStyle w:val="Heading4"/>
        <w:ind w:hanging="0" w:left="0"/>
        <w:rPr/>
      </w:pPr>
      <w:r>
        <w:rPr/>
        <w:t>Epistemic Uncertainty Versus Moral Weight</w:t>
      </w:r>
    </w:p>
    <w:p>
      <w:pPr>
        <w:pStyle w:val="Normal"/>
        <w:widowControl/>
        <w:bidi w:val="0"/>
        <w:spacing w:lineRule="auto" w:line="276"/>
        <w:jc w:val="left"/>
        <w:rPr/>
      </w:pPr>
      <w:r>
        <w:rPr/>
        <w:t>Separate uncertainty about an effect from the moral importance of that effect. Lower predictive confidence should not automatically reduce the moral importance of future, unmeasured, or poorly represented entities.</w:t>
      </w:r>
    </w:p>
    <w:p>
      <w:pPr>
        <w:pStyle w:val="Heading4"/>
        <w:ind w:hanging="0" w:left="0"/>
        <w:rPr/>
      </w:pPr>
      <w:r>
        <w:rPr/>
        <w:t>Normative and Measurement Uncertainty</w:t>
      </w:r>
    </w:p>
    <w:p>
      <w:pPr>
        <w:pStyle w:val="Normal"/>
        <w:widowControl/>
        <w:bidi w:val="0"/>
        <w:spacing w:lineRule="auto" w:line="276"/>
        <w:jc w:val="left"/>
        <w:rPr/>
      </w:pPr>
      <w:r>
        <w:rPr/>
        <w:t>Report disagreement about dimensions, values, weights, and thresholds separately from uncertainty about data, causal effects, or future outcomes.</w:t>
      </w:r>
    </w:p>
    <w:p>
      <w:pPr>
        <w:pStyle w:val="Heading4"/>
        <w:ind w:hanging="0" w:left="0"/>
        <w:rPr/>
      </w:pPr>
      <w:r>
        <w:rPr/>
        <w:t>Interaction, Causation, and Double Counting</w:t>
      </w:r>
    </w:p>
    <w:p>
      <w:pPr>
        <w:pStyle w:val="Normal"/>
        <w:widowControl/>
        <w:bidi w:val="0"/>
        <w:spacing w:lineRule="auto" w:line="276"/>
        <w:jc w:val="left"/>
        <w:rPr/>
      </w:pPr>
      <w:r>
        <w:rPr/>
        <w:t>Address dependencies among dimensions—for example, health enabling agency or ecosystem integrity supporting human capability—without counting the same underlying effect repeatedly.</w:t>
      </w:r>
    </w:p>
    <w:p>
      <w:pPr>
        <w:pStyle w:val="Heading4"/>
        <w:ind w:hanging="0" w:left="0"/>
        <w:rPr/>
      </w:pPr>
      <w:r>
        <w:rPr/>
        <w:t>Measurement Validity and Sensitivity</w:t>
      </w:r>
    </w:p>
    <w:p>
      <w:pPr>
        <w:pStyle w:val="Normal"/>
        <w:widowControl/>
        <w:bidi w:val="0"/>
        <w:spacing w:lineRule="auto" w:line="276"/>
        <w:jc w:val="left"/>
        <w:rPr/>
      </w:pPr>
      <w:r>
        <w:rPr/>
        <w:t>Require construct validity, indicator reliability, uncertainty ranges, sensitivity to weights and thresholds, subgroup analysis, and comparison with later observed experience.</w:t>
      </w:r>
    </w:p>
    <w:p>
      <w:pPr>
        <w:pStyle w:val="Heading4"/>
        <w:ind w:hanging="0" w:left="0"/>
        <w:rPr/>
      </w:pPr>
      <w:r>
        <w:rPr/>
        <w:t>Measurement Governance and Participation</w:t>
      </w:r>
    </w:p>
    <w:p>
      <w:pPr>
        <w:pStyle w:val="Normal"/>
        <w:widowControl/>
        <w:bidi w:val="0"/>
        <w:spacing w:lineRule="auto" w:line="276"/>
        <w:jc w:val="left"/>
        <w:rPr/>
      </w:pPr>
      <w:r>
        <w:rPr/>
        <w:t>Specify who may define, weight, challenge, revise, and retire flourishing dimensions and indicators. Include affected entities, representatives, domain experts, and independent reviewers.</w:t>
      </w:r>
    </w:p>
    <w:p>
      <w:pPr>
        <w:pStyle w:val="Heading4"/>
        <w:ind w:hanging="0" w:left="0"/>
        <w:rPr/>
      </w:pPr>
      <w:r>
        <w:rPr/>
        <w:t>Failure Modes and Exposure</w:t>
      </w:r>
    </w:p>
    <w:p>
      <w:pPr>
        <w:pStyle w:val="Normal"/>
        <w:widowControl/>
        <w:bidi w:val="0"/>
        <w:spacing w:lineRule="auto" w:line="276"/>
        <w:jc w:val="left"/>
        <w:rPr/>
      </w:pPr>
      <w:r>
        <w:rPr/>
        <w:t>Analyze circularity, proxy substitution, false precision, metric gaming, cultural imposition, adaptive-preference error, aggregation bias, productivity bias, institutional self-preservation, and ecological reductionism.</w:t>
      </w:r>
    </w:p>
    <w:p>
      <w:pPr>
        <w:pStyle w:val="Heading4"/>
        <w:ind w:hanging="0" w:left="0"/>
        <w:rPr/>
      </w:pPr>
      <w:r>
        <w:rPr/>
        <w:t>Interim Safeguards and Mitigations</w:t>
      </w:r>
    </w:p>
    <w:p>
      <w:pPr>
        <w:pStyle w:val="Normal"/>
        <w:widowControl/>
        <w:bidi w:val="0"/>
        <w:spacing w:lineRule="auto" w:line="276"/>
        <w:jc w:val="left"/>
        <w:rPr/>
      </w:pPr>
      <w:r>
        <w:rPr/>
        <w:t>Require multidimensional profiles, disaggregated reporting, explicit normative assumptions, threshold disclosure, sensitivity analysis, qualitative review, and restrictions on single-score decision-making.</w:t>
      </w:r>
    </w:p>
    <w:p>
      <w:pPr>
        <w:pStyle w:val="Normal"/>
        <w:widowControl/>
        <w:bidi w:val="0"/>
        <w:spacing w:lineRule="auto" w:line="276"/>
        <w:jc w:val="left"/>
        <w:rPr/>
      </w:pPr>
      <w:r>
        <w:rPr/>
        <w:t>9.4.5.30 Research Deliverables and Acceptance Criteria</w:t>
      </w:r>
    </w:p>
    <w:p>
      <w:pPr>
        <w:pStyle w:val="Normal"/>
        <w:widowControl/>
        <w:bidi w:val="0"/>
        <w:spacing w:lineRule="auto" w:line="276"/>
        <w:jc w:val="left"/>
        <w:rPr/>
      </w:pPr>
      <w:r>
        <w:rPr/>
        <w:t>Require a construct specification, dimensional taxonomy, entity-profile registry, indicator dictionary, comparison protocol, distribution standard, uncertainty model, validation plan, and benchmark cases.</w:t>
      </w:r>
    </w:p>
    <w:p>
      <w:pPr>
        <w:pStyle w:val="Heading4"/>
        <w:ind w:hanging="0" w:left="0"/>
        <w:rPr/>
      </w:pPr>
      <w:r>
        <w:rPr/>
        <w:t>Residual Risk</w:t>
      </w:r>
    </w:p>
    <w:p>
      <w:pPr>
        <w:pStyle w:val="Normal"/>
        <w:widowControl/>
        <w:bidi w:val="0"/>
        <w:spacing w:lineRule="auto" w:line="276"/>
        <w:jc w:val="left"/>
        <w:rPr/>
      </w:pPr>
      <w:r>
        <w:rPr/>
        <w:t>Acknowledge that no measurement system can eliminate plural conceptions of the good, cultural disagreement, incomplete comparability, qualitative judgment, or uncertainty about future flourishing.</w:t>
      </w:r>
    </w:p>
    <w:p>
      <w:pPr>
        <w:pStyle w:val="Heading4"/>
        <w:ind w:hanging="0" w:left="0"/>
        <w:rPr>
          <w:rFonts w:ascii="Aptos" w:hAnsi="Aptos"/>
          <w:color w:val="auto"/>
          <w:sz w:val="21"/>
          <w:szCs w:val="22"/>
        </w:rPr>
      </w:pPr>
      <w:r>
        <w:rPr/>
        <w:t>Construct-specification requirements</w:t>
      </w:r>
    </w:p>
    <w:p>
      <w:pPr>
        <w:pStyle w:val="BodyText"/>
        <w:spacing w:before="0" w:after="200"/>
        <w:rPr/>
      </w:pPr>
      <w:r>
        <w:rPr/>
        <w:t>Every flourishing profile should specify:</w:t>
      </w:r>
    </w:p>
    <w:tbl>
      <w:tblPr>
        <w:tblW w:w="8640" w:type="dxa"/>
        <w:jc w:val="left"/>
        <w:tblInd w:w="28" w:type="dxa"/>
        <w:tblLayout w:type="fixed"/>
        <w:tblCellMar>
          <w:top w:w="28" w:type="dxa"/>
          <w:left w:w="28" w:type="dxa"/>
          <w:bottom w:w="28" w:type="dxa"/>
          <w:right w:w="28" w:type="dxa"/>
        </w:tblCellMar>
      </w:tblPr>
      <w:tblGrid>
        <w:gridCol w:w="2514"/>
        <w:gridCol w:w="6126"/>
      </w:tblGrid>
      <w:tr>
        <w:trPr>
          <w:tblHeader w:val="true"/>
        </w:trPr>
        <w:tc>
          <w:tcPr>
            <w:tcW w:w="2514" w:type="dxa"/>
            <w:tcBorders/>
            <w:vAlign w:val="center"/>
          </w:tcPr>
          <w:p>
            <w:pPr>
              <w:pStyle w:val="TableHeading"/>
              <w:suppressLineNumbers/>
              <w:spacing w:before="0" w:after="200"/>
              <w:jc w:val="center"/>
              <w:rPr/>
            </w:pPr>
            <w:r>
              <w:rPr/>
              <w:t>Element</w:t>
            </w:r>
          </w:p>
        </w:tc>
        <w:tc>
          <w:tcPr>
            <w:tcW w:w="6126" w:type="dxa"/>
            <w:tcBorders/>
            <w:vAlign w:val="center"/>
          </w:tcPr>
          <w:p>
            <w:pPr>
              <w:pStyle w:val="TableHeading"/>
              <w:suppressLineNumbers/>
              <w:spacing w:before="0" w:after="200"/>
              <w:jc w:val="center"/>
              <w:rPr/>
            </w:pPr>
            <w:r>
              <w:rPr/>
              <w:t>Required definition</w:t>
            </w:r>
          </w:p>
        </w:tc>
      </w:tr>
      <w:tr>
        <w:trPr/>
        <w:tc>
          <w:tcPr>
            <w:tcW w:w="2514" w:type="dxa"/>
            <w:tcBorders/>
            <w:vAlign w:val="center"/>
          </w:tcPr>
          <w:p>
            <w:pPr>
              <w:pStyle w:val="TableContents"/>
              <w:widowControl w:val="false"/>
              <w:suppressLineNumbers/>
              <w:spacing w:before="0" w:after="200"/>
              <w:rPr/>
            </w:pPr>
            <w:r>
              <w:rPr>
                <w:rStyle w:val="Strong"/>
              </w:rPr>
              <w:t>Subject</w:t>
            </w:r>
          </w:p>
        </w:tc>
        <w:tc>
          <w:tcPr>
            <w:tcW w:w="6126" w:type="dxa"/>
            <w:tcBorders/>
            <w:vAlign w:val="center"/>
          </w:tcPr>
          <w:p>
            <w:pPr>
              <w:pStyle w:val="TableContents"/>
              <w:widowControl w:val="false"/>
              <w:suppressLineNumbers/>
              <w:spacing w:before="0" w:after="200"/>
              <w:rPr/>
            </w:pPr>
            <w:r>
              <w:rPr/>
              <w:t>The entity, collective, or system whose flourishing is being evaluated</w:t>
            </w:r>
          </w:p>
        </w:tc>
      </w:tr>
      <w:tr>
        <w:trPr/>
        <w:tc>
          <w:tcPr>
            <w:tcW w:w="2514" w:type="dxa"/>
            <w:tcBorders/>
            <w:vAlign w:val="center"/>
          </w:tcPr>
          <w:p>
            <w:pPr>
              <w:pStyle w:val="TableContents"/>
              <w:widowControl w:val="false"/>
              <w:suppressLineNumbers/>
              <w:spacing w:before="0" w:after="200"/>
              <w:rPr/>
            </w:pPr>
            <w:r>
              <w:rPr>
                <w:rStyle w:val="Strong"/>
              </w:rPr>
              <w:t>Normative basis</w:t>
            </w:r>
          </w:p>
        </w:tc>
        <w:tc>
          <w:tcPr>
            <w:tcW w:w="6126" w:type="dxa"/>
            <w:tcBorders/>
            <w:vAlign w:val="center"/>
          </w:tcPr>
          <w:p>
            <w:pPr>
              <w:pStyle w:val="TableContents"/>
              <w:widowControl w:val="false"/>
              <w:suppressLineNumbers/>
              <w:spacing w:before="0" w:after="200"/>
              <w:rPr/>
            </w:pPr>
            <w:r>
              <w:rPr/>
              <w:t>Why each dimension is considered valuable</w:t>
            </w:r>
          </w:p>
        </w:tc>
      </w:tr>
      <w:tr>
        <w:trPr/>
        <w:tc>
          <w:tcPr>
            <w:tcW w:w="2514" w:type="dxa"/>
            <w:tcBorders/>
            <w:vAlign w:val="center"/>
          </w:tcPr>
          <w:p>
            <w:pPr>
              <w:pStyle w:val="TableContents"/>
              <w:widowControl w:val="false"/>
              <w:suppressLineNumbers/>
              <w:spacing w:before="0" w:after="200"/>
              <w:rPr/>
            </w:pPr>
            <w:r>
              <w:rPr>
                <w:rStyle w:val="Strong"/>
              </w:rPr>
              <w:t>Constitutive dimensions</w:t>
            </w:r>
          </w:p>
        </w:tc>
        <w:tc>
          <w:tcPr>
            <w:tcW w:w="6126" w:type="dxa"/>
            <w:tcBorders/>
            <w:vAlign w:val="center"/>
          </w:tcPr>
          <w:p>
            <w:pPr>
              <w:pStyle w:val="TableContents"/>
              <w:widowControl w:val="false"/>
              <w:suppressLineNumbers/>
              <w:spacing w:before="0" w:after="200"/>
              <w:rPr/>
            </w:pPr>
            <w:r>
              <w:rPr/>
              <w:t>Goods that form part of flourishing</w:t>
            </w:r>
          </w:p>
        </w:tc>
      </w:tr>
      <w:tr>
        <w:trPr/>
        <w:tc>
          <w:tcPr>
            <w:tcW w:w="2514" w:type="dxa"/>
            <w:tcBorders/>
            <w:vAlign w:val="center"/>
          </w:tcPr>
          <w:p>
            <w:pPr>
              <w:pStyle w:val="TableContents"/>
              <w:widowControl w:val="false"/>
              <w:suppressLineNumbers/>
              <w:spacing w:before="0" w:after="200"/>
              <w:rPr/>
            </w:pPr>
            <w:r>
              <w:rPr>
                <w:rStyle w:val="Strong"/>
              </w:rPr>
              <w:t>Instrumental conditions</w:t>
            </w:r>
          </w:p>
        </w:tc>
        <w:tc>
          <w:tcPr>
            <w:tcW w:w="6126" w:type="dxa"/>
            <w:tcBorders/>
            <w:vAlign w:val="center"/>
          </w:tcPr>
          <w:p>
            <w:pPr>
              <w:pStyle w:val="TableContents"/>
              <w:widowControl w:val="false"/>
              <w:suppressLineNumbers/>
              <w:spacing w:before="0" w:after="200"/>
              <w:rPr/>
            </w:pPr>
            <w:r>
              <w:rPr/>
              <w:t>Resources and conditions that support those goods</w:t>
            </w:r>
          </w:p>
        </w:tc>
      </w:tr>
      <w:tr>
        <w:trPr/>
        <w:tc>
          <w:tcPr>
            <w:tcW w:w="2514" w:type="dxa"/>
            <w:tcBorders/>
            <w:vAlign w:val="center"/>
          </w:tcPr>
          <w:p>
            <w:pPr>
              <w:pStyle w:val="TableContents"/>
              <w:widowControl w:val="false"/>
              <w:suppressLineNumbers/>
              <w:spacing w:before="0" w:after="200"/>
              <w:rPr/>
            </w:pPr>
            <w:r>
              <w:rPr>
                <w:rStyle w:val="Strong"/>
              </w:rPr>
              <w:t>Indicators</w:t>
            </w:r>
          </w:p>
        </w:tc>
        <w:tc>
          <w:tcPr>
            <w:tcW w:w="6126" w:type="dxa"/>
            <w:tcBorders/>
            <w:vAlign w:val="center"/>
          </w:tcPr>
          <w:p>
            <w:pPr>
              <w:pStyle w:val="TableContents"/>
              <w:widowControl w:val="false"/>
              <w:suppressLineNumbers/>
              <w:spacing w:before="0" w:after="200"/>
              <w:rPr/>
            </w:pPr>
            <w:r>
              <w:rPr/>
              <w:t>Observable measures or justified proxies</w:t>
            </w:r>
          </w:p>
        </w:tc>
      </w:tr>
      <w:tr>
        <w:trPr/>
        <w:tc>
          <w:tcPr>
            <w:tcW w:w="2514" w:type="dxa"/>
            <w:tcBorders/>
            <w:vAlign w:val="center"/>
          </w:tcPr>
          <w:p>
            <w:pPr>
              <w:pStyle w:val="TableContents"/>
              <w:widowControl w:val="false"/>
              <w:suppressLineNumbers/>
              <w:spacing w:before="0" w:after="200"/>
              <w:rPr/>
            </w:pPr>
            <w:r>
              <w:rPr>
                <w:rStyle w:val="Strong"/>
              </w:rPr>
              <w:t>Directionality</w:t>
            </w:r>
          </w:p>
        </w:tc>
        <w:tc>
          <w:tcPr>
            <w:tcW w:w="6126" w:type="dxa"/>
            <w:tcBorders/>
            <w:vAlign w:val="center"/>
          </w:tcPr>
          <w:p>
            <w:pPr>
              <w:pStyle w:val="TableContents"/>
              <w:widowControl w:val="false"/>
              <w:suppressLineNumbers/>
              <w:spacing w:before="0" w:after="200"/>
              <w:rPr/>
            </w:pPr>
            <w:r>
              <w:rPr/>
              <w:t>What constitutes improvement, deterioration, or ambiguity</w:t>
            </w:r>
          </w:p>
        </w:tc>
      </w:tr>
      <w:tr>
        <w:trPr/>
        <w:tc>
          <w:tcPr>
            <w:tcW w:w="2514" w:type="dxa"/>
            <w:tcBorders/>
            <w:vAlign w:val="center"/>
          </w:tcPr>
          <w:p>
            <w:pPr>
              <w:pStyle w:val="TableContents"/>
              <w:widowControl w:val="false"/>
              <w:suppressLineNumbers/>
              <w:spacing w:before="0" w:after="200"/>
              <w:rPr/>
            </w:pPr>
            <w:r>
              <w:rPr>
                <w:rStyle w:val="Strong"/>
              </w:rPr>
              <w:t>Thresholds</w:t>
            </w:r>
          </w:p>
        </w:tc>
        <w:tc>
          <w:tcPr>
            <w:tcW w:w="6126" w:type="dxa"/>
            <w:tcBorders/>
            <w:vAlign w:val="center"/>
          </w:tcPr>
          <w:p>
            <w:pPr>
              <w:pStyle w:val="TableContents"/>
              <w:widowControl w:val="false"/>
              <w:suppressLineNumbers/>
              <w:spacing w:before="0" w:after="200"/>
              <w:rPr/>
            </w:pPr>
            <w:r>
              <w:rPr/>
              <w:t>Minimums, critical limits, and noncompensable losses</w:t>
            </w:r>
          </w:p>
        </w:tc>
      </w:tr>
      <w:tr>
        <w:trPr/>
        <w:tc>
          <w:tcPr>
            <w:tcW w:w="2514" w:type="dxa"/>
            <w:tcBorders/>
            <w:vAlign w:val="center"/>
          </w:tcPr>
          <w:p>
            <w:pPr>
              <w:pStyle w:val="TableContents"/>
              <w:widowControl w:val="false"/>
              <w:suppressLineNumbers/>
              <w:spacing w:before="0" w:after="200"/>
              <w:rPr/>
            </w:pPr>
            <w:r>
              <w:rPr>
                <w:rStyle w:val="Strong"/>
              </w:rPr>
              <w:t>Comparability</w:t>
            </w:r>
          </w:p>
        </w:tc>
        <w:tc>
          <w:tcPr>
            <w:tcW w:w="6126" w:type="dxa"/>
            <w:tcBorders/>
            <w:vAlign w:val="center"/>
          </w:tcPr>
          <w:p>
            <w:pPr>
              <w:pStyle w:val="TableContents"/>
              <w:widowControl w:val="false"/>
              <w:suppressLineNumbers/>
              <w:spacing w:before="0" w:after="200"/>
              <w:rPr/>
            </w:pPr>
            <w:r>
              <w:rPr/>
              <w:t>Permitted within-entity and cross-entity comparisons</w:t>
            </w:r>
          </w:p>
        </w:tc>
      </w:tr>
      <w:tr>
        <w:trPr/>
        <w:tc>
          <w:tcPr>
            <w:tcW w:w="2514" w:type="dxa"/>
            <w:tcBorders/>
            <w:vAlign w:val="center"/>
          </w:tcPr>
          <w:p>
            <w:pPr>
              <w:pStyle w:val="TableContents"/>
              <w:widowControl w:val="false"/>
              <w:suppressLineNumbers/>
              <w:spacing w:before="0" w:after="200"/>
              <w:rPr/>
            </w:pPr>
            <w:r>
              <w:rPr>
                <w:rStyle w:val="Strong"/>
              </w:rPr>
              <w:t>Distribution</w:t>
            </w:r>
          </w:p>
        </w:tc>
        <w:tc>
          <w:tcPr>
            <w:tcW w:w="6126" w:type="dxa"/>
            <w:tcBorders/>
            <w:vAlign w:val="center"/>
          </w:tcPr>
          <w:p>
            <w:pPr>
              <w:pStyle w:val="TableContents"/>
              <w:widowControl w:val="false"/>
              <w:suppressLineNumbers/>
              <w:spacing w:before="0" w:after="200"/>
              <w:rPr/>
            </w:pPr>
            <w:r>
              <w:rPr/>
              <w:t>How benefits and harms are disaggregated</w:t>
            </w:r>
          </w:p>
        </w:tc>
      </w:tr>
      <w:tr>
        <w:trPr/>
        <w:tc>
          <w:tcPr>
            <w:tcW w:w="2514" w:type="dxa"/>
            <w:tcBorders/>
            <w:vAlign w:val="center"/>
          </w:tcPr>
          <w:p>
            <w:pPr>
              <w:pStyle w:val="TableContents"/>
              <w:widowControl w:val="false"/>
              <w:suppressLineNumbers/>
              <w:spacing w:before="0" w:after="200"/>
              <w:rPr/>
            </w:pPr>
            <w:r>
              <w:rPr>
                <w:rStyle w:val="Strong"/>
              </w:rPr>
              <w:t>Temporal structure</w:t>
            </w:r>
          </w:p>
        </w:tc>
        <w:tc>
          <w:tcPr>
            <w:tcW w:w="6126" w:type="dxa"/>
            <w:tcBorders/>
            <w:vAlign w:val="center"/>
          </w:tcPr>
          <w:p>
            <w:pPr>
              <w:pStyle w:val="TableContents"/>
              <w:widowControl w:val="false"/>
              <w:suppressLineNumbers/>
              <w:spacing w:before="0" w:after="200"/>
              <w:rPr/>
            </w:pPr>
            <w:r>
              <w:rPr/>
              <w:t>Relevant horizons, trajectories, security, and reversibility</w:t>
            </w:r>
          </w:p>
        </w:tc>
      </w:tr>
      <w:tr>
        <w:trPr/>
        <w:tc>
          <w:tcPr>
            <w:tcW w:w="2514" w:type="dxa"/>
            <w:tcBorders/>
            <w:vAlign w:val="center"/>
          </w:tcPr>
          <w:p>
            <w:pPr>
              <w:pStyle w:val="TableContents"/>
              <w:widowControl w:val="false"/>
              <w:suppressLineNumbers/>
              <w:spacing w:before="0" w:after="200"/>
              <w:rPr/>
            </w:pPr>
            <w:r>
              <w:rPr>
                <w:rStyle w:val="Strong"/>
              </w:rPr>
              <w:t>Uncertainty</w:t>
            </w:r>
          </w:p>
        </w:tc>
        <w:tc>
          <w:tcPr>
            <w:tcW w:w="6126" w:type="dxa"/>
            <w:tcBorders/>
            <w:vAlign w:val="center"/>
          </w:tcPr>
          <w:p>
            <w:pPr>
              <w:pStyle w:val="TableContents"/>
              <w:widowControl w:val="false"/>
              <w:suppressLineNumbers/>
              <w:spacing w:before="0" w:after="200"/>
              <w:rPr/>
            </w:pPr>
            <w:r>
              <w:rPr/>
              <w:t>Separate epistemic, measurement, model, and normative uncertainty</w:t>
            </w:r>
          </w:p>
        </w:tc>
      </w:tr>
      <w:tr>
        <w:trPr/>
        <w:tc>
          <w:tcPr>
            <w:tcW w:w="2514" w:type="dxa"/>
            <w:tcBorders/>
            <w:vAlign w:val="center"/>
          </w:tcPr>
          <w:p>
            <w:pPr>
              <w:pStyle w:val="TableContents"/>
              <w:widowControl w:val="false"/>
              <w:suppressLineNumbers/>
              <w:spacing w:before="0" w:after="200"/>
              <w:rPr/>
            </w:pPr>
            <w:r>
              <w:rPr>
                <w:rStyle w:val="Strong"/>
              </w:rPr>
              <w:t>Decision effect</w:t>
            </w:r>
          </w:p>
        </w:tc>
        <w:tc>
          <w:tcPr>
            <w:tcW w:w="6126" w:type="dxa"/>
            <w:tcBorders/>
            <w:vAlign w:val="center"/>
          </w:tcPr>
          <w:p>
            <w:pPr>
              <w:pStyle w:val="TableContents"/>
              <w:widowControl w:val="false"/>
              <w:suppressLineNumbers/>
              <w:spacing w:before="0" w:after="200"/>
              <w:rPr/>
            </w:pPr>
            <w:r>
              <w:rPr/>
              <w:t>How the result changes permissibility, ranking, or remedy</w:t>
            </w:r>
          </w:p>
        </w:tc>
      </w:tr>
      <w:tr>
        <w:trPr/>
        <w:tc>
          <w:tcPr>
            <w:tcW w:w="2514" w:type="dxa"/>
            <w:tcBorders/>
            <w:vAlign w:val="center"/>
          </w:tcPr>
          <w:p>
            <w:pPr>
              <w:pStyle w:val="TableContents"/>
              <w:widowControl w:val="false"/>
              <w:suppressLineNumbers/>
              <w:spacing w:before="0" w:after="200"/>
              <w:rPr/>
            </w:pPr>
            <w:r>
              <w:rPr>
                <w:rStyle w:val="Strong"/>
              </w:rPr>
              <w:t>Governance</w:t>
            </w:r>
          </w:p>
        </w:tc>
        <w:tc>
          <w:tcPr>
            <w:tcW w:w="6126" w:type="dxa"/>
            <w:tcBorders/>
            <w:vAlign w:val="center"/>
          </w:tcPr>
          <w:p>
            <w:pPr>
              <w:pStyle w:val="TableContents"/>
              <w:widowControl w:val="false"/>
              <w:suppressLineNumbers/>
              <w:spacing w:before="0" w:after="200"/>
              <w:rPr/>
            </w:pPr>
            <w:r>
              <w:rPr/>
              <w:t>Who defines, reviews, challenges, and revises the profile</w:t>
            </w:r>
          </w:p>
        </w:tc>
      </w:tr>
    </w:tbl>
    <w:p>
      <w:pPr>
        <w:pStyle w:val="Heading4"/>
        <w:ind w:hanging="0" w:left="0"/>
        <w:rPr>
          <w:rFonts w:ascii="Aptos" w:hAnsi="Aptos"/>
          <w:color w:val="auto"/>
          <w:sz w:val="21"/>
          <w:szCs w:val="22"/>
        </w:rPr>
      </w:pPr>
      <w:r>
        <w:rPr/>
        <w:t>Recommended working definition</w:t>
      </w:r>
    </w:p>
    <w:p>
      <w:pPr>
        <w:pStyle w:val="BlockQuotation"/>
        <w:spacing w:before="0" w:after="200"/>
        <w:rPr/>
      </w:pPr>
      <w:r>
        <w:rPr>
          <w:rStyle w:val="Strong"/>
        </w:rPr>
        <w:t>Long-Term Flourishing is an entity-relative, multidimensional, and temporally extended profile of constitutive goods, secure capabilities, realized functionings, relational conditions, resilience, and valuable future possibilities, evaluated across relevant horizons and constrained by the standing and protected interests of other affected entities.</w:t>
      </w:r>
    </w:p>
    <w:p>
      <w:pPr>
        <w:pStyle w:val="BodyText"/>
        <w:spacing w:before="0" w:after="200"/>
        <w:rPr/>
      </w:pPr>
      <w:r>
        <w:rPr/>
        <w:t>This definition should be treated as a starting construct rather than a final mathematical formula.</w:t>
      </w:r>
    </w:p>
    <w:p>
      <w:pPr>
        <w:pStyle w:val="BodyText"/>
        <w:spacing w:before="0" w:after="200"/>
        <w:rPr/>
      </w:pPr>
      <w:r>
        <w:rPr/>
        <w:t>The section’s central conclusion should be:</w:t>
      </w:r>
    </w:p>
    <w:p>
      <w:pPr>
        <w:pStyle w:val="BlockQuotation"/>
        <w:spacing w:before="0" w:after="200"/>
        <w:rPr/>
      </w:pPr>
      <w:r>
        <w:rPr/>
        <w:t>Long-Term Flourishing should be represented as a governed multidimensional profile, not a single score. Its meaning must be normatively specified before indicators are selected; distribution must remain visible before aggregation; and uncertainty about measurement must not be confused with reduced moral importance.</w:t>
      </w:r>
    </w:p>
    <w:p>
      <w:pPr>
        <w:pStyle w:val="Heading3"/>
        <w:ind w:hanging="0" w:left="0"/>
        <w:rPr/>
      </w:pPr>
      <w:r>
        <w:rPr/>
        <w:t>Multiple Objects and Axes of Moral Assessment</w:t>
      </w:r>
    </w:p>
    <w:p>
      <w:pPr>
        <w:pStyle w:val="Normal"/>
        <w:widowControl/>
        <w:bidi w:val="0"/>
        <w:spacing w:lineRule="auto" w:line="276"/>
        <w:jc w:val="left"/>
        <w:rPr/>
      </w:pPr>
      <w:r>
        <w:rPr/>
        <w:t xml:space="preserve">This section should redefine the World Context Transition as the framework’s primary </w:t>
      </w:r>
      <w:r>
        <w:rPr>
          <w:rStyle w:val="Strong"/>
        </w:rPr>
        <w:t>systems-analysis object</w:t>
      </w:r>
      <w:r>
        <w:rPr/>
        <w:t>, but not its sole or exhaustive object of moral judgment. Ethical evaluation must separately examine the agent, action, means, relationships, procedure, resulting transition, responsibility, and required repair.</w:t>
      </w:r>
    </w:p>
    <w:p>
      <w:pPr>
        <w:pStyle w:val="Heading4"/>
        <w:ind w:hanging="0" w:left="0"/>
        <w:rPr/>
      </w:pPr>
      <w:r>
        <w:rPr/>
        <w:t>Limitation Statement</w:t>
      </w:r>
    </w:p>
    <w:p>
      <w:pPr>
        <w:pStyle w:val="Normal"/>
        <w:widowControl/>
        <w:bidi w:val="0"/>
        <w:spacing w:lineRule="auto" w:line="276"/>
        <w:jc w:val="left"/>
        <w:rPr/>
      </w:pPr>
      <w:r>
        <w:rPr/>
        <w:t>Explain that privileging the World Context Transition risks treating intentions, means, duties, character, consent, care, authority, and legitimacy as morally important only because of their consequences.</w:t>
      </w:r>
    </w:p>
    <w:p>
      <w:pPr>
        <w:pStyle w:val="Heading4"/>
        <w:ind w:hanging="0" w:left="0"/>
        <w:rPr/>
      </w:pPr>
      <w:r>
        <w:rPr/>
        <w:t>Object, Subject, and Axis of Assessment</w:t>
      </w:r>
    </w:p>
    <w:p>
      <w:pPr>
        <w:pStyle w:val="Normal"/>
        <w:widowControl/>
        <w:bidi w:val="0"/>
        <w:spacing w:lineRule="auto" w:line="276"/>
        <w:jc w:val="left"/>
        <w:rPr/>
      </w:pPr>
      <w:r>
        <w:rPr/>
        <w:t>Distinguish the object being evaluated, the subject whose conduct or flourishing is considered, and the normative axis used to evaluate it.</w:t>
      </w:r>
    </w:p>
    <w:p>
      <w:pPr>
        <w:pStyle w:val="Heading4"/>
        <w:ind w:hanging="0" w:left="0"/>
        <w:rPr/>
      </w:pPr>
      <w:r>
        <w:rPr/>
        <w:t>Units and Levels of Analysis</w:t>
      </w:r>
    </w:p>
    <w:p>
      <w:pPr>
        <w:pStyle w:val="Normal"/>
        <w:widowControl/>
        <w:bidi w:val="0"/>
        <w:spacing w:lineRule="auto" w:line="276"/>
        <w:jc w:val="left"/>
        <w:rPr/>
      </w:pPr>
      <w:r>
        <w:rPr/>
        <w:t>Identify individual agents, collective agents, actions, omissions, means, procedures, relationships, policies, institutions, structures, and resulting world states as potentially distinct units.</w:t>
      </w:r>
    </w:p>
    <w:p>
      <w:pPr>
        <w:pStyle w:val="Heading4"/>
        <w:ind w:hanging="0" w:left="0"/>
        <w:rPr/>
      </w:pPr>
      <w:r>
        <w:rPr/>
        <w:t>Independence and Interaction of Assessment Axes</w:t>
      </w:r>
    </w:p>
    <w:p>
      <w:pPr>
        <w:pStyle w:val="Normal"/>
        <w:widowControl/>
        <w:bidi w:val="0"/>
        <w:spacing w:lineRule="auto" w:line="276"/>
        <w:jc w:val="left"/>
        <w:rPr/>
      </w:pPr>
      <w:r>
        <w:rPr/>
        <w:t>Require each axis to produce its own finding before integration. Prevent favorable findings on one axis from silently erasing adverse findings on another.</w:t>
      </w:r>
    </w:p>
    <w:p>
      <w:pPr>
        <w:pStyle w:val="Heading4"/>
        <w:ind w:hanging="0" w:left="0"/>
        <w:rPr/>
      </w:pPr>
      <w:r>
        <w:rPr/>
        <w:t>Action and Means Permissibility</w:t>
      </w:r>
    </w:p>
    <w:p>
      <w:pPr>
        <w:pStyle w:val="Normal"/>
        <w:widowControl/>
        <w:bidi w:val="0"/>
        <w:spacing w:lineRule="auto" w:line="276"/>
        <w:jc w:val="left"/>
        <w:rPr/>
      </w:pPr>
      <w:r>
        <w:rPr/>
        <w:t>Evaluate the chosen act, maxim, means, omissions, side effects, duties, rights, prohibitions, protected minimums, and available alternatives independently of the final outcome.</w:t>
      </w:r>
    </w:p>
    <w:p>
      <w:pPr>
        <w:pStyle w:val="Heading4"/>
        <w:ind w:hanging="0" w:left="0"/>
        <w:rPr/>
      </w:pPr>
      <w:r>
        <w:rPr/>
        <w:t>Intention, Motivation, and Deliberation</w:t>
      </w:r>
    </w:p>
    <w:p>
      <w:pPr>
        <w:pStyle w:val="Normal"/>
        <w:widowControl/>
        <w:bidi w:val="0"/>
        <w:spacing w:lineRule="auto" w:line="276"/>
        <w:jc w:val="left"/>
        <w:rPr/>
      </w:pPr>
      <w:r>
        <w:rPr/>
        <w:t>Assess what the agent intended as an end or means, accepted as a side effect, attempted to avoid, believed, valued, and considered during deliberation.</w:t>
      </w:r>
    </w:p>
    <w:p>
      <w:pPr>
        <w:pStyle w:val="Heading4"/>
        <w:ind w:hanging="0" w:left="0"/>
        <w:rPr/>
      </w:pPr>
      <w:r>
        <w:rPr/>
        <w:t>Character and Agent Policy State</w:t>
      </w:r>
    </w:p>
    <w:p>
      <w:pPr>
        <w:pStyle w:val="Normal"/>
        <w:widowControl/>
        <w:bidi w:val="0"/>
        <w:spacing w:lineRule="auto" w:line="276"/>
        <w:jc w:val="left"/>
        <w:rPr/>
      </w:pPr>
      <w:r>
        <w:rPr/>
        <w:t>Examine whether the conduct expresses stable virtues, vices, dispositions, practical wisdom, moral perception, responsiveness to correction, or merely situational compliance.</w:t>
      </w:r>
    </w:p>
    <w:p>
      <w:pPr>
        <w:pStyle w:val="Heading4"/>
        <w:ind w:hanging="0" w:left="0"/>
        <w:rPr/>
      </w:pPr>
      <w:r>
        <w:rPr/>
        <w:t>Decision Quality Under the Available Context</w:t>
      </w:r>
    </w:p>
    <w:p>
      <w:pPr>
        <w:pStyle w:val="Normal"/>
        <w:widowControl/>
        <w:bidi w:val="0"/>
        <w:spacing w:lineRule="auto" w:line="276"/>
        <w:jc w:val="left"/>
        <w:rPr/>
      </w:pPr>
      <w:r>
        <w:rPr/>
        <w:t>Evaluate whether the agent used the Decision Context and reasonably obtainable Accessible Context competently, including due diligence, evidence quality, uncertainty, and alternative consideration.</w:t>
      </w:r>
    </w:p>
    <w:p>
      <w:pPr>
        <w:pStyle w:val="Heading4"/>
        <w:ind w:hanging="0" w:left="0"/>
        <w:rPr/>
      </w:pPr>
      <w:r>
        <w:rPr/>
        <w:t>Responsibility, Control, and Moral Luck</w:t>
      </w:r>
    </w:p>
    <w:p>
      <w:pPr>
        <w:pStyle w:val="Normal"/>
        <w:widowControl/>
        <w:bidi w:val="0"/>
        <w:spacing w:lineRule="auto" w:line="276"/>
        <w:jc w:val="left"/>
        <w:rPr/>
      </w:pPr>
      <w:r>
        <w:rPr/>
        <w:t>Separate causal contribution from blameworthiness and accountability. Consider authority, control, knowledge, foreseeability, capability, alternatives, negligence, recklessness, and factors outside the agent’s control.</w:t>
      </w:r>
    </w:p>
    <w:p>
      <w:pPr>
        <w:pStyle w:val="Heading4"/>
        <w:ind w:hanging="0" w:left="0"/>
        <w:rPr/>
      </w:pPr>
      <w:r>
        <w:rPr/>
        <w:t>Relational and Care Assessment</w:t>
      </w:r>
    </w:p>
    <w:p>
      <w:pPr>
        <w:pStyle w:val="Normal"/>
        <w:widowControl/>
        <w:bidi w:val="0"/>
        <w:spacing w:lineRule="auto" w:line="276"/>
        <w:jc w:val="left"/>
        <w:rPr/>
      </w:pPr>
      <w:r>
        <w:rPr/>
        <w:t>Evaluate attentiveness, dependency, responsiveness, special obligations, trust, dignity, continuity of care, role fidelity, power imbalances, and the distribution of relational burdens.</w:t>
      </w:r>
    </w:p>
    <w:p>
      <w:pPr>
        <w:pStyle w:val="Heading4"/>
        <w:ind w:hanging="0" w:left="0"/>
        <w:rPr/>
      </w:pPr>
      <w:r>
        <w:rPr/>
        <w:t>Consent and Agency Assessment</w:t>
      </w:r>
    </w:p>
    <w:p>
      <w:pPr>
        <w:pStyle w:val="Normal"/>
        <w:widowControl/>
        <w:bidi w:val="0"/>
        <w:spacing w:lineRule="auto" w:line="276"/>
        <w:jc w:val="left"/>
        <w:rPr/>
      </w:pPr>
      <w:r>
        <w:rPr/>
        <w:t>Examine whether consent was informed, voluntary, specific, competent, revocable, and supported by meaningful alternatives rather than coercion, manipulation, dependency, or unacceptable exit costs.</w:t>
      </w:r>
    </w:p>
    <w:p>
      <w:pPr>
        <w:pStyle w:val="Heading4"/>
        <w:ind w:hanging="0" w:left="0"/>
        <w:rPr/>
      </w:pPr>
      <w:r>
        <w:rPr/>
        <w:t>Procedural Legitimacy</w:t>
      </w:r>
    </w:p>
    <w:p>
      <w:pPr>
        <w:pStyle w:val="Normal"/>
        <w:widowControl/>
        <w:bidi w:val="0"/>
        <w:spacing w:lineRule="auto" w:line="276"/>
        <w:jc w:val="left"/>
        <w:rPr/>
      </w:pPr>
      <w:r>
        <w:rPr/>
        <w:t>Evaluate authority, participation, representation, due process, transparency, public justification, consistency, appeal, dissent, and protection of minorities and nonparticipants.</w:t>
      </w:r>
    </w:p>
    <w:p>
      <w:pPr>
        <w:pStyle w:val="Heading4"/>
        <w:ind w:hanging="0" w:left="0"/>
        <w:rPr/>
      </w:pPr>
      <w:r>
        <w:rPr/>
        <w:t>Institutional and Structural Assessment</w:t>
      </w:r>
    </w:p>
    <w:p>
      <w:pPr>
        <w:pStyle w:val="Normal"/>
        <w:widowControl/>
        <w:bidi w:val="0"/>
        <w:spacing w:lineRule="auto" w:line="276"/>
        <w:jc w:val="left"/>
        <w:rPr/>
      </w:pPr>
      <w:r>
        <w:rPr/>
        <w:t>Examine whether rules, incentives, ownership, hierarchy, infrastructure, historical conditions, or distributed practices produced the decision and whether the action reinforces or reforms those structures.</w:t>
      </w:r>
    </w:p>
    <w:p>
      <w:pPr>
        <w:pStyle w:val="Heading4"/>
        <w:ind w:hanging="0" w:left="0"/>
        <w:rPr/>
      </w:pPr>
      <w:r>
        <w:rPr/>
        <w:t>World Context Transition Quality</w:t>
      </w:r>
    </w:p>
    <w:p>
      <w:pPr>
        <w:pStyle w:val="Normal"/>
        <w:widowControl/>
        <w:bidi w:val="0"/>
        <w:spacing w:lineRule="auto" w:line="276"/>
        <w:jc w:val="left"/>
        <w:rPr/>
      </w:pPr>
      <w:r>
        <w:rPr/>
        <w:t>Assess changes in Long-Term Flourishing, capabilities, distributions, relationships, institutions, ecological systems, Future State Space, and Distributed Policy Effects across relevant horizons.</w:t>
      </w:r>
    </w:p>
    <w:p>
      <w:pPr>
        <w:pStyle w:val="Heading4"/>
        <w:ind w:hanging="0" w:left="0"/>
        <w:rPr/>
      </w:pPr>
      <w:r>
        <w:rPr/>
        <w:t>Remedy and Forward-Looking Obligations</w:t>
      </w:r>
    </w:p>
    <w:p>
      <w:pPr>
        <w:pStyle w:val="Normal"/>
        <w:widowControl/>
        <w:bidi w:val="0"/>
        <w:spacing w:lineRule="auto" w:line="276"/>
        <w:jc w:val="left"/>
        <w:rPr/>
      </w:pPr>
      <w:r>
        <w:rPr/>
        <w:t>Determine obligations of mitigation, cessation, monitoring, explanation, apology, restitution, compensation, restoration, rehabilitation, institutional reform, and prevention of recurrence.</w:t>
      </w:r>
    </w:p>
    <w:p>
      <w:pPr>
        <w:pStyle w:val="Heading4"/>
        <w:ind w:hanging="0" w:left="0"/>
        <w:rPr/>
      </w:pPr>
      <w:r>
        <w:rPr/>
        <w:t>Remedy Without Blame</w:t>
      </w:r>
    </w:p>
    <w:p>
      <w:pPr>
        <w:pStyle w:val="Normal"/>
        <w:widowControl/>
        <w:bidi w:val="0"/>
        <w:spacing w:lineRule="auto" w:line="276"/>
        <w:jc w:val="left"/>
        <w:rPr/>
      </w:pPr>
      <w:r>
        <w:rPr/>
        <w:t>Recognize that repair obligations may exist even when the agent acted permissibly, lacked fault, or could not reasonably have predicted the harm.</w:t>
      </w:r>
    </w:p>
    <w:p>
      <w:pPr>
        <w:pStyle w:val="Heading4"/>
        <w:ind w:hanging="0" w:left="0"/>
        <w:rPr/>
      </w:pPr>
      <w:r>
        <w:rPr/>
        <w:t>Moral Residue After Justified Action</w:t>
      </w:r>
    </w:p>
    <w:p>
      <w:pPr>
        <w:pStyle w:val="Normal"/>
        <w:widowControl/>
        <w:bidi w:val="0"/>
        <w:spacing w:lineRule="auto" w:line="276"/>
        <w:jc w:val="left"/>
        <w:rPr/>
      </w:pPr>
      <w:r>
        <w:rPr/>
        <w:t>Preserve regret, apology, compensation, and acknowledgment of loss when a justified or tragically necessary action nevertheless violates an important value or harms an entity.</w:t>
      </w:r>
    </w:p>
    <w:p>
      <w:pPr>
        <w:pStyle w:val="Heading4"/>
        <w:ind w:hanging="0" w:left="0"/>
        <w:rPr/>
      </w:pPr>
      <w:r>
        <w:rPr/>
        <w:t>Ex Ante, Concurrent, and Ex Post Assessment</w:t>
      </w:r>
    </w:p>
    <w:p>
      <w:pPr>
        <w:pStyle w:val="Normal"/>
        <w:widowControl/>
        <w:bidi w:val="0"/>
        <w:spacing w:lineRule="auto" w:line="276"/>
        <w:jc w:val="left"/>
        <w:rPr/>
      </w:pPr>
      <w:r>
        <w:rPr/>
        <w:t>Distinguish proposed-action evaluation, monitoring of ongoing action, and retrospective evaluation using observed outcomes and later-discovered evidence.</w:t>
      </w:r>
    </w:p>
    <w:p>
      <w:pPr>
        <w:pStyle w:val="Heading4"/>
        <w:ind w:hanging="0" w:left="0"/>
        <w:rPr/>
      </w:pPr>
      <w:r>
        <w:rPr/>
        <w:t>Axis-Specific Evidence and Uncertainty</w:t>
      </w:r>
    </w:p>
    <w:p>
      <w:pPr>
        <w:pStyle w:val="Normal"/>
        <w:widowControl/>
        <w:bidi w:val="0"/>
        <w:spacing w:lineRule="auto" w:line="276"/>
        <w:jc w:val="left"/>
        <w:rPr/>
      </w:pPr>
      <w:r>
        <w:rPr/>
        <w:t>Report separate confidence levels for intention, consent, character, responsibility, legitimacy, causal effects, transition quality, and remedy. Strong evidence on one axis should not conceal uncertainty on another.</w:t>
      </w:r>
    </w:p>
    <w:p>
      <w:pPr>
        <w:pStyle w:val="Heading4"/>
        <w:ind w:hanging="0" w:left="0"/>
        <w:rPr/>
      </w:pPr>
      <w:r>
        <w:rPr/>
        <w:t>Conflicts Among Axes</w:t>
      </w:r>
    </w:p>
    <w:p>
      <w:pPr>
        <w:pStyle w:val="Normal"/>
        <w:widowControl/>
        <w:bidi w:val="0"/>
        <w:spacing w:lineRule="auto" w:line="276"/>
        <w:jc w:val="left"/>
        <w:rPr/>
      </w:pPr>
      <w:r>
        <w:rPr/>
        <w:t>Address cases where permissible means produce poor outcomes, wrongful means produce benefits, good intentions accompany negligence, or legitimate procedures produce severe harm. Refer precedence rules to 9.4.2.</w:t>
      </w:r>
    </w:p>
    <w:p>
      <w:pPr>
        <w:pStyle w:val="Heading4"/>
        <w:ind w:hanging="0" w:left="0"/>
        <w:rPr/>
      </w:pPr>
      <w:r>
        <w:rPr/>
        <w:t>Integrated Judgment Without Collapse</w:t>
      </w:r>
    </w:p>
    <w:p>
      <w:pPr>
        <w:pStyle w:val="Normal"/>
        <w:widowControl/>
        <w:bidi w:val="0"/>
        <w:spacing w:lineRule="auto" w:line="276"/>
        <w:jc w:val="left"/>
        <w:rPr/>
      </w:pPr>
      <w:r>
        <w:rPr/>
        <w:t>Define how separate findings contribute to an overall conclusion while preserving conflicts, minority findings, unresolved moral disagreement, and moral residue.</w:t>
      </w:r>
    </w:p>
    <w:p>
      <w:pPr>
        <w:pStyle w:val="Heading4"/>
        <w:ind w:hanging="0" w:left="0"/>
        <w:rPr/>
      </w:pPr>
      <w:r>
        <w:rPr/>
        <w:t>Multidimensional Output Schema</w:t>
      </w:r>
    </w:p>
    <w:p>
      <w:pPr>
        <w:pStyle w:val="Normal"/>
        <w:widowControl/>
        <w:bidi w:val="0"/>
        <w:spacing w:lineRule="auto" w:line="276"/>
        <w:jc w:val="left"/>
        <w:rPr/>
      </w:pPr>
      <w:r>
        <w:rPr/>
        <w:t>Establish a standardized output containing each axis, its conclusion, supporting reasons, evidence, uncertainty, affected entities, and required follow-up.</w:t>
      </w:r>
    </w:p>
    <w:p>
      <w:pPr>
        <w:pStyle w:val="Heading4"/>
        <w:ind w:hanging="0" w:left="0"/>
        <w:rPr/>
      </w:pPr>
      <w:r>
        <w:rPr/>
        <w:t>Traceability and Explanation</w:t>
      </w:r>
    </w:p>
    <w:p>
      <w:pPr>
        <w:pStyle w:val="Normal"/>
        <w:widowControl/>
        <w:bidi w:val="0"/>
        <w:spacing w:lineRule="auto" w:line="276"/>
        <w:jc w:val="left"/>
        <w:rPr/>
      </w:pPr>
      <w:r>
        <w:rPr/>
        <w:t>Require every integrated conclusion to identify which axis and normative rule produced it. A general transition score should not substitute for axis-specific reasoning.</w:t>
      </w:r>
    </w:p>
    <w:p>
      <w:pPr>
        <w:pStyle w:val="Heading4"/>
        <w:ind w:hanging="0" w:left="0"/>
        <w:rPr/>
      </w:pPr>
      <w:r>
        <w:rPr/>
        <w:t>Failure Modes and Exposure</w:t>
      </w:r>
    </w:p>
    <w:p>
      <w:pPr>
        <w:pStyle w:val="Normal"/>
        <w:widowControl/>
        <w:bidi w:val="0"/>
        <w:spacing w:lineRule="auto" w:line="276"/>
        <w:jc w:val="left"/>
        <w:rPr/>
      </w:pPr>
      <w:r>
        <w:rPr/>
        <w:t>Analyze outcome bias, intention laundering, moral luck, procedural formalism, relationship reduction, speculative character inference, responsibility gaps, remedy omission, and composite-score collapse.</w:t>
      </w:r>
    </w:p>
    <w:p>
      <w:pPr>
        <w:pStyle w:val="Heading4"/>
        <w:ind w:hanging="0" w:left="0"/>
        <w:rPr/>
      </w:pPr>
      <w:r>
        <w:rPr/>
        <w:t>Interim Safeguards and Mitigations</w:t>
      </w:r>
    </w:p>
    <w:p>
      <w:pPr>
        <w:pStyle w:val="Normal"/>
        <w:widowControl/>
        <w:bidi w:val="0"/>
        <w:spacing w:lineRule="auto" w:line="276"/>
        <w:jc w:val="left"/>
        <w:rPr/>
      </w:pPr>
      <w:r>
        <w:rPr/>
        <w:t>Require separate findings, context-specific evidence, explicit conflicts, restrictions on inferring character from isolated actions, and mandatory remedy analysis whenever material harm occurs.</w:t>
      </w:r>
    </w:p>
    <w:p>
      <w:pPr>
        <w:pStyle w:val="Heading4"/>
        <w:ind w:hanging="0" w:left="0"/>
        <w:rPr/>
      </w:pPr>
      <w:r>
        <w:rPr/>
        <w:t>Research Deliverables and Acceptance Criteria</w:t>
      </w:r>
    </w:p>
    <w:p>
      <w:pPr>
        <w:pStyle w:val="Normal"/>
        <w:widowControl/>
        <w:bidi w:val="0"/>
        <w:spacing w:lineRule="auto" w:line="276"/>
        <w:jc w:val="left"/>
        <w:rPr/>
      </w:pPr>
      <w:r>
        <w:rPr/>
        <w:t>Require an assessment-object ontology, axis definitions, output schema, evidence standards, integration protocol, responsibility model, remedy taxonomy, and theory-discriminating test cases.</w:t>
      </w:r>
    </w:p>
    <w:p>
      <w:pPr>
        <w:pStyle w:val="Heading4"/>
        <w:ind w:hanging="0" w:left="0"/>
        <w:rPr/>
      </w:pPr>
      <w:r>
        <w:rPr/>
        <w:t>Residual Risk</w:t>
      </w:r>
    </w:p>
    <w:p>
      <w:pPr>
        <w:pStyle w:val="Normal"/>
        <w:widowControl/>
        <w:bidi w:val="0"/>
        <w:spacing w:lineRule="auto" w:line="276"/>
        <w:jc w:val="left"/>
        <w:rPr/>
      </w:pPr>
      <w:r>
        <w:rPr/>
        <w:t>Acknowledge that separating axes does not eliminate disagreement about intention, character, causation, legitimacy, responsibility, or the relative authority of different findings.</w:t>
      </w:r>
    </w:p>
    <w:p>
      <w:pPr>
        <w:pStyle w:val="Heading2"/>
        <w:rPr>
          <w:rFonts w:ascii="Aptos" w:hAnsi="Aptos"/>
          <w:color w:val="auto"/>
          <w:sz w:val="21"/>
          <w:szCs w:val="22"/>
        </w:rPr>
      </w:pPr>
      <w:r>
        <w:rPr/>
        <w:t>Recommended output schema</w:t>
      </w:r>
    </w:p>
    <w:tbl>
      <w:tblPr>
        <w:tblW w:w="8640" w:type="dxa"/>
        <w:jc w:val="left"/>
        <w:tblInd w:w="28" w:type="dxa"/>
        <w:tblLayout w:type="fixed"/>
        <w:tblCellMar>
          <w:top w:w="28" w:type="dxa"/>
          <w:left w:w="28" w:type="dxa"/>
          <w:bottom w:w="28" w:type="dxa"/>
          <w:right w:w="28" w:type="dxa"/>
        </w:tblCellMar>
      </w:tblPr>
      <w:tblGrid>
        <w:gridCol w:w="2102"/>
        <w:gridCol w:w="3311"/>
        <w:gridCol w:w="3227"/>
      </w:tblGrid>
      <w:tr>
        <w:trPr>
          <w:tblHeader w:val="true"/>
        </w:trPr>
        <w:tc>
          <w:tcPr>
            <w:tcW w:w="2102" w:type="dxa"/>
            <w:tcBorders/>
            <w:vAlign w:val="center"/>
          </w:tcPr>
          <w:p>
            <w:pPr>
              <w:pStyle w:val="TableHeading"/>
              <w:suppressLineNumbers/>
              <w:spacing w:before="0" w:after="200"/>
              <w:jc w:val="center"/>
              <w:rPr/>
            </w:pPr>
            <w:r>
              <w:rPr/>
              <w:t>Assessment axis</w:t>
            </w:r>
          </w:p>
        </w:tc>
        <w:tc>
          <w:tcPr>
            <w:tcW w:w="3311" w:type="dxa"/>
            <w:tcBorders/>
            <w:vAlign w:val="center"/>
          </w:tcPr>
          <w:p>
            <w:pPr>
              <w:pStyle w:val="TableHeading"/>
              <w:suppressLineNumbers/>
              <w:spacing w:before="0" w:after="200"/>
              <w:jc w:val="center"/>
              <w:rPr/>
            </w:pPr>
            <w:r>
              <w:rPr/>
              <w:t>Principal question</w:t>
            </w:r>
          </w:p>
        </w:tc>
        <w:tc>
          <w:tcPr>
            <w:tcW w:w="3227" w:type="dxa"/>
            <w:tcBorders/>
            <w:vAlign w:val="center"/>
          </w:tcPr>
          <w:p>
            <w:pPr>
              <w:pStyle w:val="TableHeading"/>
              <w:suppressLineNumbers/>
              <w:spacing w:before="0" w:after="200"/>
              <w:jc w:val="center"/>
              <w:rPr/>
            </w:pPr>
            <w:r>
              <w:rPr/>
              <w:t>Illustrative output</w:t>
            </w:r>
          </w:p>
        </w:tc>
      </w:tr>
      <w:tr>
        <w:trPr/>
        <w:tc>
          <w:tcPr>
            <w:tcW w:w="2102" w:type="dxa"/>
            <w:tcBorders/>
            <w:vAlign w:val="center"/>
          </w:tcPr>
          <w:p>
            <w:pPr>
              <w:pStyle w:val="TableContents"/>
              <w:widowControl w:val="false"/>
              <w:suppressLineNumbers/>
              <w:spacing w:before="0" w:after="200"/>
              <w:rPr/>
            </w:pPr>
            <w:r>
              <w:rPr>
                <w:rStyle w:val="Strong"/>
              </w:rPr>
              <w:t>Action and means permissibility</w:t>
            </w:r>
          </w:p>
        </w:tc>
        <w:tc>
          <w:tcPr>
            <w:tcW w:w="3311" w:type="dxa"/>
            <w:tcBorders/>
            <w:vAlign w:val="center"/>
          </w:tcPr>
          <w:p>
            <w:pPr>
              <w:pStyle w:val="TableContents"/>
              <w:widowControl w:val="false"/>
              <w:suppressLineNumbers/>
              <w:spacing w:before="0" w:after="200"/>
              <w:rPr/>
            </w:pPr>
            <w:r>
              <w:rPr/>
              <w:t>Was the action itself required, permitted, or prohibited, considering its means and applicable constraints?</w:t>
            </w:r>
          </w:p>
        </w:tc>
        <w:tc>
          <w:tcPr>
            <w:tcW w:w="3227" w:type="dxa"/>
            <w:tcBorders/>
            <w:vAlign w:val="center"/>
          </w:tcPr>
          <w:p>
            <w:pPr>
              <w:pStyle w:val="TableContents"/>
              <w:widowControl w:val="false"/>
              <w:suppressLineNumbers/>
              <w:spacing w:before="0" w:after="200"/>
              <w:rPr/>
            </w:pPr>
            <w:r>
              <w:rPr/>
              <w:t>Required, permissible, conditionally permissible, impermissible, or tragically necessary</w:t>
            </w:r>
          </w:p>
        </w:tc>
      </w:tr>
      <w:tr>
        <w:trPr/>
        <w:tc>
          <w:tcPr>
            <w:tcW w:w="2102" w:type="dxa"/>
            <w:tcBorders/>
            <w:vAlign w:val="center"/>
          </w:tcPr>
          <w:p>
            <w:pPr>
              <w:pStyle w:val="TableContents"/>
              <w:widowControl w:val="false"/>
              <w:suppressLineNumbers/>
              <w:spacing w:before="0" w:after="200"/>
              <w:rPr/>
            </w:pPr>
            <w:r>
              <w:rPr>
                <w:rStyle w:val="Strong"/>
              </w:rPr>
              <w:t>Agent intention and responsibility</w:t>
            </w:r>
          </w:p>
        </w:tc>
        <w:tc>
          <w:tcPr>
            <w:tcW w:w="3311" w:type="dxa"/>
            <w:tcBorders/>
            <w:vAlign w:val="center"/>
          </w:tcPr>
          <w:p>
            <w:pPr>
              <w:pStyle w:val="TableContents"/>
              <w:widowControl w:val="false"/>
              <w:suppressLineNumbers/>
              <w:spacing w:before="0" w:after="200"/>
              <w:rPr/>
            </w:pPr>
            <w:r>
              <w:rPr/>
              <w:t>What did the agent intend, know, control, foresee, and have the capacity to do differently?</w:t>
            </w:r>
          </w:p>
        </w:tc>
        <w:tc>
          <w:tcPr>
            <w:tcW w:w="3227" w:type="dxa"/>
            <w:tcBorders/>
            <w:vAlign w:val="center"/>
          </w:tcPr>
          <w:p>
            <w:pPr>
              <w:pStyle w:val="TableContents"/>
              <w:widowControl w:val="false"/>
              <w:suppressLineNumbers/>
              <w:spacing w:before="0" w:after="200"/>
              <w:rPr/>
            </w:pPr>
            <w:r>
              <w:rPr/>
              <w:t>Responsible, partially responsible, negligent, reckless, excused, nonculpable, or indeterminate</w:t>
            </w:r>
          </w:p>
        </w:tc>
      </w:tr>
      <w:tr>
        <w:trPr/>
        <w:tc>
          <w:tcPr>
            <w:tcW w:w="2102" w:type="dxa"/>
            <w:tcBorders/>
            <w:vAlign w:val="center"/>
          </w:tcPr>
          <w:p>
            <w:pPr>
              <w:pStyle w:val="TableContents"/>
              <w:widowControl w:val="false"/>
              <w:suppressLineNumbers/>
              <w:spacing w:before="0" w:after="200"/>
              <w:rPr/>
            </w:pPr>
            <w:r>
              <w:rPr>
                <w:rStyle w:val="Strong"/>
              </w:rPr>
              <w:t>Relational and procedural legitimacy</w:t>
            </w:r>
          </w:p>
        </w:tc>
        <w:tc>
          <w:tcPr>
            <w:tcW w:w="3311" w:type="dxa"/>
            <w:tcBorders/>
            <w:vAlign w:val="center"/>
          </w:tcPr>
          <w:p>
            <w:pPr>
              <w:pStyle w:val="TableContents"/>
              <w:widowControl w:val="false"/>
              <w:suppressLineNumbers/>
              <w:spacing w:before="0" w:after="200"/>
              <w:rPr/>
            </w:pPr>
            <w:r>
              <w:rPr/>
              <w:t>Were relationships, consent, authority, participation, care, and due process ethically adequate?</w:t>
            </w:r>
          </w:p>
        </w:tc>
        <w:tc>
          <w:tcPr>
            <w:tcW w:w="3227" w:type="dxa"/>
            <w:tcBorders/>
            <w:vAlign w:val="center"/>
          </w:tcPr>
          <w:p>
            <w:pPr>
              <w:pStyle w:val="TableContents"/>
              <w:widowControl w:val="false"/>
              <w:suppressLineNumbers/>
              <w:spacing w:before="0" w:after="200"/>
              <w:rPr/>
            </w:pPr>
            <w:r>
              <w:rPr/>
              <w:t>Legitimate, qualified, procedurally deficient, relationally harmful, illegitimate, or indeterminate</w:t>
            </w:r>
          </w:p>
        </w:tc>
      </w:tr>
      <w:tr>
        <w:trPr/>
        <w:tc>
          <w:tcPr>
            <w:tcW w:w="2102" w:type="dxa"/>
            <w:tcBorders/>
            <w:vAlign w:val="center"/>
          </w:tcPr>
          <w:p>
            <w:pPr>
              <w:pStyle w:val="TableContents"/>
              <w:widowControl w:val="false"/>
              <w:suppressLineNumbers/>
              <w:spacing w:before="0" w:after="200"/>
              <w:rPr/>
            </w:pPr>
            <w:r>
              <w:rPr>
                <w:rStyle w:val="Strong"/>
              </w:rPr>
              <w:t>Transition quality</w:t>
            </w:r>
          </w:p>
        </w:tc>
        <w:tc>
          <w:tcPr>
            <w:tcW w:w="3311" w:type="dxa"/>
            <w:tcBorders/>
            <w:vAlign w:val="center"/>
          </w:tcPr>
          <w:p>
            <w:pPr>
              <w:pStyle w:val="TableContents"/>
              <w:widowControl w:val="false"/>
              <w:suppressLineNumbers/>
              <w:spacing w:before="0" w:after="200"/>
              <w:rPr/>
            </w:pPr>
            <w:r>
              <w:rPr/>
              <w:t>What World Context Transition occurred or is expected, and how are its benefits and harms distributed?</w:t>
            </w:r>
          </w:p>
        </w:tc>
        <w:tc>
          <w:tcPr>
            <w:tcW w:w="3227" w:type="dxa"/>
            <w:tcBorders/>
            <w:vAlign w:val="center"/>
          </w:tcPr>
          <w:p>
            <w:pPr>
              <w:pStyle w:val="TableContents"/>
              <w:widowControl w:val="false"/>
              <w:suppressLineNumbers/>
              <w:spacing w:before="0" w:after="200"/>
              <w:rPr/>
            </w:pPr>
            <w:r>
              <w:rPr/>
              <w:t>Beneficial, supportable, mixed, detrimental, catastrophic, or uncertain</w:t>
            </w:r>
          </w:p>
        </w:tc>
      </w:tr>
      <w:tr>
        <w:trPr/>
        <w:tc>
          <w:tcPr>
            <w:tcW w:w="2102" w:type="dxa"/>
            <w:tcBorders/>
            <w:vAlign w:val="center"/>
          </w:tcPr>
          <w:p>
            <w:pPr>
              <w:pStyle w:val="TableContents"/>
              <w:widowControl w:val="false"/>
              <w:suppressLineNumbers/>
              <w:spacing w:before="0" w:after="200"/>
              <w:rPr/>
            </w:pPr>
            <w:r>
              <w:rPr>
                <w:rStyle w:val="Strong"/>
              </w:rPr>
              <w:t>Remedy obligations</w:t>
            </w:r>
          </w:p>
        </w:tc>
        <w:tc>
          <w:tcPr>
            <w:tcW w:w="3311" w:type="dxa"/>
            <w:tcBorders/>
            <w:vAlign w:val="center"/>
          </w:tcPr>
          <w:p>
            <w:pPr>
              <w:pStyle w:val="TableContents"/>
              <w:widowControl w:val="false"/>
              <w:suppressLineNumbers/>
              <w:spacing w:before="0" w:after="200"/>
              <w:rPr/>
            </w:pPr>
            <w:r>
              <w:rPr/>
              <w:t>What must now be prevented, repaired, restored, compensated, acknowledged, or monitored?</w:t>
            </w:r>
          </w:p>
        </w:tc>
        <w:tc>
          <w:tcPr>
            <w:tcW w:w="3227" w:type="dxa"/>
            <w:tcBorders/>
            <w:vAlign w:val="center"/>
          </w:tcPr>
          <w:p>
            <w:pPr>
              <w:pStyle w:val="TableContents"/>
              <w:widowControl w:val="false"/>
              <w:suppressLineNumbers/>
              <w:spacing w:before="0" w:after="200"/>
              <w:rPr/>
            </w:pPr>
            <w:r>
              <w:rPr/>
              <w:t>None, monitor, mitigate, cease, explain, apologize, compensate, restore, reform, or combinations</w:t>
            </w:r>
          </w:p>
        </w:tc>
      </w:tr>
    </w:tbl>
    <w:p>
      <w:pPr>
        <w:pStyle w:val="BodyText"/>
        <w:spacing w:before="0" w:after="200"/>
        <w:rPr/>
      </w:pPr>
      <w:r>
        <w:rPr/>
        <w:t>Each axis should additionally report:</w:t>
      </w:r>
    </w:p>
    <w:p>
      <w:pPr>
        <w:pStyle w:val="BodyText"/>
        <w:numPr>
          <w:ilvl w:val="0"/>
          <w:numId w:val="157"/>
        </w:numPr>
        <w:tabs>
          <w:tab w:val="clear" w:pos="720"/>
          <w:tab w:val="left" w:pos="0" w:leader="none"/>
        </w:tabs>
        <w:spacing w:before="0" w:after="0"/>
        <w:ind w:hanging="283" w:left="709"/>
        <w:rPr/>
      </w:pPr>
      <w:r>
        <w:rPr/>
        <w:t xml:space="preserve">Applicable normative profile; </w:t>
      </w:r>
    </w:p>
    <w:p>
      <w:pPr>
        <w:pStyle w:val="BodyText"/>
        <w:numPr>
          <w:ilvl w:val="0"/>
          <w:numId w:val="157"/>
        </w:numPr>
        <w:tabs>
          <w:tab w:val="clear" w:pos="720"/>
          <w:tab w:val="left" w:pos="0" w:leader="none"/>
        </w:tabs>
        <w:spacing w:before="0" w:after="0"/>
        <w:ind w:hanging="283" w:left="709"/>
        <w:rPr/>
      </w:pPr>
      <w:r>
        <w:rPr/>
        <w:t xml:space="preserve">Affected entities; </w:t>
      </w:r>
    </w:p>
    <w:p>
      <w:pPr>
        <w:pStyle w:val="BodyText"/>
        <w:numPr>
          <w:ilvl w:val="0"/>
          <w:numId w:val="157"/>
        </w:numPr>
        <w:tabs>
          <w:tab w:val="clear" w:pos="720"/>
          <w:tab w:val="left" w:pos="0" w:leader="none"/>
        </w:tabs>
        <w:spacing w:before="0" w:after="0"/>
        <w:ind w:hanging="283" w:left="709"/>
        <w:rPr/>
      </w:pPr>
      <w:r>
        <w:rPr/>
        <w:t xml:space="preserve">Supporting evidence; </w:t>
      </w:r>
    </w:p>
    <w:p>
      <w:pPr>
        <w:pStyle w:val="BodyText"/>
        <w:numPr>
          <w:ilvl w:val="0"/>
          <w:numId w:val="157"/>
        </w:numPr>
        <w:tabs>
          <w:tab w:val="clear" w:pos="720"/>
          <w:tab w:val="left" w:pos="0" w:leader="none"/>
        </w:tabs>
        <w:spacing w:before="0" w:after="0"/>
        <w:ind w:hanging="283" w:left="709"/>
        <w:rPr/>
      </w:pPr>
      <w:r>
        <w:rPr/>
        <w:t xml:space="preserve">Assumptions and exclusions; </w:t>
      </w:r>
    </w:p>
    <w:p>
      <w:pPr>
        <w:pStyle w:val="BodyText"/>
        <w:numPr>
          <w:ilvl w:val="0"/>
          <w:numId w:val="157"/>
        </w:numPr>
        <w:tabs>
          <w:tab w:val="clear" w:pos="720"/>
          <w:tab w:val="left" w:pos="0" w:leader="none"/>
        </w:tabs>
        <w:spacing w:before="0" w:after="0"/>
        <w:ind w:hanging="283" w:left="709"/>
        <w:rPr/>
      </w:pPr>
      <w:r>
        <w:rPr/>
        <w:t xml:space="preserve">Confidence level; </w:t>
      </w:r>
    </w:p>
    <w:p>
      <w:pPr>
        <w:pStyle w:val="BodyText"/>
        <w:numPr>
          <w:ilvl w:val="0"/>
          <w:numId w:val="157"/>
        </w:numPr>
        <w:tabs>
          <w:tab w:val="clear" w:pos="720"/>
          <w:tab w:val="left" w:pos="0" w:leader="none"/>
        </w:tabs>
        <w:spacing w:before="0" w:after="0"/>
        <w:ind w:hanging="283" w:left="709"/>
        <w:rPr/>
      </w:pPr>
      <w:r>
        <w:rPr/>
        <w:t xml:space="preserve">Dissenting interpretation; </w:t>
      </w:r>
    </w:p>
    <w:p>
      <w:pPr>
        <w:pStyle w:val="BodyText"/>
        <w:numPr>
          <w:ilvl w:val="0"/>
          <w:numId w:val="157"/>
        </w:numPr>
        <w:tabs>
          <w:tab w:val="clear" w:pos="720"/>
          <w:tab w:val="left" w:pos="0" w:leader="none"/>
        </w:tabs>
        <w:spacing w:before="0" w:after="0"/>
        <w:ind w:hanging="283" w:left="709"/>
        <w:rPr/>
      </w:pPr>
      <w:r>
        <w:rPr/>
        <w:t xml:space="preserve">Interaction with other axes; and </w:t>
      </w:r>
    </w:p>
    <w:p>
      <w:pPr>
        <w:pStyle w:val="BodyText"/>
        <w:numPr>
          <w:ilvl w:val="0"/>
          <w:numId w:val="157"/>
        </w:numPr>
        <w:tabs>
          <w:tab w:val="clear" w:pos="720"/>
          <w:tab w:val="left" w:pos="0" w:leader="none"/>
        </w:tabs>
        <w:ind w:hanging="283" w:left="709"/>
        <w:rPr/>
      </w:pPr>
      <w:r>
        <w:rPr/>
        <w:t xml:space="preserve">Required reassessment conditions. </w:t>
      </w:r>
    </w:p>
    <w:p>
      <w:pPr>
        <w:pStyle w:val="Heading3"/>
        <w:ind w:hanging="0" w:left="0"/>
        <w:rPr>
          <w:rFonts w:ascii="Aptos" w:hAnsi="Aptos"/>
          <w:color w:val="auto"/>
          <w:sz w:val="21"/>
          <w:szCs w:val="22"/>
        </w:rPr>
      </w:pPr>
      <w:r>
        <w:rPr/>
        <w:t>Theory-discriminating test cases</w:t>
      </w:r>
    </w:p>
    <w:p>
      <w:pPr>
        <w:pStyle w:val="BodyText"/>
        <w:spacing w:before="0" w:after="200"/>
        <w:rPr/>
      </w:pPr>
      <w:r>
        <w:rPr/>
        <w:t>The architecture should demonstrate that it can distinguish:</w:t>
      </w:r>
    </w:p>
    <w:p>
      <w:pPr>
        <w:pStyle w:val="BodyText"/>
        <w:numPr>
          <w:ilvl w:val="0"/>
          <w:numId w:val="158"/>
        </w:numPr>
        <w:tabs>
          <w:tab w:val="clear" w:pos="720"/>
          <w:tab w:val="left" w:pos="0" w:leader="none"/>
        </w:tabs>
        <w:spacing w:before="0" w:after="0"/>
        <w:ind w:hanging="283" w:left="709"/>
        <w:rPr/>
      </w:pPr>
      <w:r>
        <w:rPr>
          <w:rStyle w:val="Strong"/>
        </w:rPr>
        <w:t>Permissible decision, harmful unforeseen result</w:t>
      </w:r>
      <w:r>
        <w:rPr/>
        <w:br/>
        <w:t xml:space="preserve">The agent acted competently, but the transition was detrimental. Blame may be limited while mitigation and repair remain required. </w:t>
      </w:r>
    </w:p>
    <w:p>
      <w:pPr>
        <w:pStyle w:val="BodyText"/>
        <w:numPr>
          <w:ilvl w:val="0"/>
          <w:numId w:val="158"/>
        </w:numPr>
        <w:tabs>
          <w:tab w:val="clear" w:pos="720"/>
          <w:tab w:val="left" w:pos="0" w:leader="none"/>
        </w:tabs>
        <w:spacing w:before="0" w:after="0"/>
        <w:ind w:hanging="283" w:left="709"/>
        <w:rPr/>
      </w:pPr>
      <w:r>
        <w:rPr>
          <w:rStyle w:val="Strong"/>
        </w:rPr>
        <w:t>Wrongful means, beneficial result</w:t>
      </w:r>
      <w:r>
        <w:rPr/>
        <w:br/>
        <w:t xml:space="preserve">The transition appears favorable, but deception, coercion, or rights violation makes the action impermissible and creates remedy obligations. </w:t>
      </w:r>
    </w:p>
    <w:p>
      <w:pPr>
        <w:pStyle w:val="BodyText"/>
        <w:numPr>
          <w:ilvl w:val="0"/>
          <w:numId w:val="158"/>
        </w:numPr>
        <w:tabs>
          <w:tab w:val="clear" w:pos="720"/>
          <w:tab w:val="left" w:pos="0" w:leader="none"/>
        </w:tabs>
        <w:spacing w:before="0" w:after="0"/>
        <w:ind w:hanging="283" w:left="709"/>
        <w:rPr/>
      </w:pPr>
      <w:r>
        <w:rPr>
          <w:rStyle w:val="Strong"/>
        </w:rPr>
        <w:t>Good intention, negligent execution</w:t>
      </w:r>
      <w:r>
        <w:rPr/>
        <w:br/>
        <w:t xml:space="preserve">Motivation was benevolent, but inadequate diligence creates responsibility for preventable harm. </w:t>
      </w:r>
    </w:p>
    <w:p>
      <w:pPr>
        <w:pStyle w:val="BodyText"/>
        <w:numPr>
          <w:ilvl w:val="0"/>
          <w:numId w:val="158"/>
        </w:numPr>
        <w:tabs>
          <w:tab w:val="clear" w:pos="720"/>
          <w:tab w:val="left" w:pos="0" w:leader="none"/>
        </w:tabs>
        <w:spacing w:before="0" w:after="0"/>
        <w:ind w:hanging="283" w:left="709"/>
        <w:rPr/>
      </w:pPr>
      <w:r>
        <w:rPr>
          <w:rStyle w:val="Strong"/>
        </w:rPr>
        <w:t>Valid consent, structurally constrained choice</w:t>
      </w:r>
      <w:r>
        <w:rPr/>
        <w:br/>
        <w:t xml:space="preserve">Formal consent exists, but dependency or lack of meaningful alternatives weakens procedural legitimacy. </w:t>
      </w:r>
    </w:p>
    <w:p>
      <w:pPr>
        <w:pStyle w:val="BodyText"/>
        <w:numPr>
          <w:ilvl w:val="0"/>
          <w:numId w:val="158"/>
        </w:numPr>
        <w:tabs>
          <w:tab w:val="clear" w:pos="720"/>
          <w:tab w:val="left" w:pos="0" w:leader="none"/>
        </w:tabs>
        <w:spacing w:before="0" w:after="0"/>
        <w:ind w:hanging="283" w:left="709"/>
        <w:rPr/>
      </w:pPr>
      <w:r>
        <w:rPr>
          <w:rStyle w:val="Strong"/>
        </w:rPr>
        <w:t>Fair procedure, unjust transition</w:t>
      </w:r>
      <w:r>
        <w:rPr/>
        <w:br/>
        <w:t xml:space="preserve">Participation was legitimate, but the outcome severely harms a minority or nonparticipant. </w:t>
      </w:r>
    </w:p>
    <w:p>
      <w:pPr>
        <w:pStyle w:val="BodyText"/>
        <w:numPr>
          <w:ilvl w:val="0"/>
          <w:numId w:val="158"/>
        </w:numPr>
        <w:tabs>
          <w:tab w:val="clear" w:pos="720"/>
          <w:tab w:val="left" w:pos="0" w:leader="none"/>
        </w:tabs>
        <w:spacing w:before="0" w:after="0"/>
        <w:ind w:hanging="283" w:left="709"/>
        <w:rPr/>
      </w:pPr>
      <w:r>
        <w:rPr>
          <w:rStyle w:val="Strong"/>
        </w:rPr>
        <w:t>Caring relationship, systemic injustice</w:t>
      </w:r>
      <w:r>
        <w:rPr/>
        <w:br/>
        <w:t xml:space="preserve">Interpersonal care is sincere while the surrounding institution distributes care burdens unfairly. </w:t>
      </w:r>
    </w:p>
    <w:p>
      <w:pPr>
        <w:pStyle w:val="BodyText"/>
        <w:numPr>
          <w:ilvl w:val="0"/>
          <w:numId w:val="158"/>
        </w:numPr>
        <w:tabs>
          <w:tab w:val="clear" w:pos="720"/>
          <w:tab w:val="left" w:pos="0" w:leader="none"/>
        </w:tabs>
        <w:ind w:hanging="283" w:left="709"/>
        <w:rPr/>
      </w:pPr>
      <w:r>
        <w:rPr>
          <w:rStyle w:val="Strong"/>
        </w:rPr>
        <w:t>Ecological benefit, individual harm</w:t>
      </w:r>
      <w:r>
        <w:rPr/>
        <w:br/>
        <w:t xml:space="preserve">Ecosystem restoration improves transition quality while harming individual animals or displacing a community, requiring separate justification and mitigation. </w:t>
      </w:r>
    </w:p>
    <w:p>
      <w:pPr>
        <w:pStyle w:val="BodyText"/>
        <w:spacing w:before="0" w:after="200"/>
        <w:rPr/>
      </w:pPr>
      <w:r>
        <w:rPr/>
        <w:t>The section’s central conclusion should be:</w:t>
      </w:r>
    </w:p>
    <w:p>
      <w:pPr>
        <w:pStyle w:val="BlockQuotation"/>
        <w:spacing w:before="0" w:after="200"/>
        <w:rPr/>
      </w:pPr>
      <w:r>
        <w:rPr/>
        <w:t>The World Context Transition is the framework’s primary systems-analysis object, but moral assessment must produce a vector of independent findings. A beneficial transition does not erase impermissible means; good intentions do not erase preventable harm; procedural legitimacy does not guarantee a just outcome; and absence of blame does not eliminate obligations of repair.</w:t>
      </w:r>
    </w:p>
    <w:p>
      <w:pPr>
        <w:pStyle w:val="Heading3"/>
        <w:ind w:hanging="0" w:left="0"/>
        <w:rPr/>
      </w:pPr>
      <w:bookmarkStart w:id="1" w:name="__RefHeading___Toc23525_3508477456"/>
      <w:bookmarkEnd w:id="1"/>
      <w:r>
        <w:rPr/>
        <w:t>Boundary selection, structural causation, and competing models</w:t>
      </w:r>
    </w:p>
    <w:p>
      <w:pPr>
        <w:pStyle w:val="Normal"/>
        <w:widowControl/>
        <w:bidi w:val="0"/>
        <w:spacing w:lineRule="auto" w:line="276"/>
        <w:jc w:val="left"/>
        <w:rPr/>
      </w:pPr>
      <w:r>
        <w:rPr/>
        <w:t>This section should treat boundary selection as an ethically consequential judgment rather than a preliminary technical choice. The entities, histories, causal pathways, scales, horizons, alternatives, and models included in an assessment substantially determine its conclusion.</w:t>
      </w:r>
    </w:p>
    <w:p>
      <w:pPr>
        <w:pStyle w:val="Heading4"/>
        <w:ind w:hanging="0" w:left="0"/>
        <w:rPr/>
      </w:pPr>
      <w:r>
        <w:rPr/>
        <w:t>Limitation Statement</w:t>
      </w:r>
    </w:p>
    <w:p>
      <w:pPr>
        <w:pStyle w:val="Normal"/>
        <w:widowControl/>
        <w:bidi w:val="0"/>
        <w:spacing w:lineRule="auto" w:line="276"/>
        <w:jc w:val="left"/>
        <w:rPr/>
      </w:pPr>
      <w:r>
        <w:rPr/>
        <w:t>Explain that the present boundary limitation focuses too narrowly on defining the relevant World Context and does not adequately address history, structural causes, omissions, cross-scale effects, excluded entities, competing models, or assessor authority.</w:t>
      </w:r>
    </w:p>
    <w:p>
      <w:pPr>
        <w:pStyle w:val="Heading4"/>
        <w:ind w:hanging="0" w:left="0"/>
        <w:rPr/>
      </w:pPr>
      <w:r>
        <w:rPr/>
        <w:t>Completeness as a Regulative Requirement</w:t>
      </w:r>
    </w:p>
    <w:p>
      <w:pPr>
        <w:pStyle w:val="Normal"/>
        <w:widowControl/>
        <w:bidi w:val="0"/>
        <w:spacing w:lineRule="auto" w:line="276"/>
        <w:jc w:val="left"/>
        <w:rPr/>
      </w:pPr>
      <w:r>
        <w:rPr/>
        <w:t>Clarify that a “complete World Context Transition” is not an omniscient model. It is complete only relative to a disclosed purpose, boundary, materiality standard, evidence base, and uncertainty statement.</w:t>
      </w:r>
    </w:p>
    <w:p>
      <w:pPr>
        <w:pStyle w:val="Heading4"/>
        <w:ind w:hanging="0" w:left="0"/>
        <w:rPr/>
      </w:pPr>
      <w:r>
        <w:rPr/>
        <w:t>Assessment Purpose and System of Interest</w:t>
      </w:r>
    </w:p>
    <w:p>
      <w:pPr>
        <w:pStyle w:val="Normal"/>
        <w:widowControl/>
        <w:bidi w:val="0"/>
        <w:spacing w:lineRule="auto" w:line="276"/>
        <w:jc w:val="left"/>
        <w:rPr/>
      </w:pPr>
      <w:r>
        <w:rPr/>
        <w:t>Define the decision being supported, Assessed Action, commissioner, intended users, affected systems, and reasons for selecting the initial system of interest.</w:t>
      </w:r>
    </w:p>
    <w:p>
      <w:pPr>
        <w:pStyle w:val="Heading4"/>
        <w:ind w:hanging="0" w:left="0"/>
        <w:rPr/>
      </w:pPr>
      <w:r>
        <w:rPr/>
        <w:t>Authority to Define and Approve Boundaries</w:t>
      </w:r>
    </w:p>
    <w:p>
      <w:pPr>
        <w:pStyle w:val="Normal"/>
        <w:widowControl/>
        <w:bidi w:val="0"/>
        <w:spacing w:lineRule="auto" w:line="276"/>
        <w:jc w:val="left"/>
        <w:rPr/>
      </w:pPr>
      <w:r>
        <w:rPr/>
        <w:t>Identify who proposes, approves, challenges, and revises boundaries. Distinguish the authority of commissioners, assessors, affected parties, domain experts, representatives, decision-makers, and independent reviewers.</w:t>
      </w:r>
    </w:p>
    <w:p>
      <w:pPr>
        <w:pStyle w:val="Heading4"/>
        <w:ind w:hanging="0" w:left="0"/>
        <w:rPr/>
      </w:pPr>
      <w:r>
        <w:rPr/>
        <w:t>Problem Framing and Objective Selection</w:t>
      </w:r>
    </w:p>
    <w:p>
      <w:pPr>
        <w:pStyle w:val="Normal"/>
        <w:widowControl/>
        <w:bidi w:val="0"/>
        <w:spacing w:lineRule="auto" w:line="276"/>
        <w:jc w:val="left"/>
        <w:rPr/>
      </w:pPr>
      <w:r>
        <w:rPr/>
        <w:t>Examine how the framing of the problem determines which causes and remedies become visible. Require consideration of whether the stated problem serves the actor’s objective while concealing a broader structural problem.</w:t>
      </w:r>
    </w:p>
    <w:p>
      <w:pPr>
        <w:pStyle w:val="Heading4"/>
        <w:ind w:hanging="0" w:left="0"/>
        <w:rPr/>
      </w:pPr>
      <w:r>
        <w:rPr/>
        <w:t>Provisional Boundary Construction</w:t>
      </w:r>
    </w:p>
    <w:p>
      <w:pPr>
        <w:pStyle w:val="Normal"/>
        <w:widowControl/>
        <w:bidi w:val="0"/>
        <w:spacing w:lineRule="auto" w:line="276"/>
        <w:jc w:val="left"/>
        <w:rPr/>
      </w:pPr>
      <w:r>
        <w:rPr/>
        <w:t>Require an initial boundary that is explicitly provisional and subject to expansion, contraction, or restructuring as affected entities and causal pathways are discovered.</w:t>
      </w:r>
    </w:p>
    <w:p>
      <w:pPr>
        <w:pStyle w:val="Heading4"/>
        <w:ind w:hanging="0" w:left="0"/>
        <w:rPr/>
      </w:pPr>
      <w:r>
        <w:rPr/>
        <w:t>Entity and Association Discovery</w:t>
      </w:r>
    </w:p>
    <w:p>
      <w:pPr>
        <w:pStyle w:val="Normal"/>
        <w:widowControl/>
        <w:bidi w:val="0"/>
        <w:spacing w:lineRule="auto" w:line="276"/>
        <w:jc w:val="left"/>
        <w:rPr/>
      </w:pPr>
      <w:r>
        <w:rPr/>
        <w:t>Establish methods for identifying direct, indirect, remote, future, nonhuman, low-power, latent, and difficult-to-measure entities and relationships.</w:t>
      </w:r>
    </w:p>
    <w:p>
      <w:pPr>
        <w:pStyle w:val="Heading4"/>
        <w:ind w:hanging="0" w:left="0"/>
        <w:rPr/>
      </w:pPr>
      <w:r>
        <w:rPr/>
        <w:t>Relevance and Materiality Criteria</w:t>
      </w:r>
    </w:p>
    <w:p>
      <w:pPr>
        <w:pStyle w:val="Normal"/>
        <w:widowControl/>
        <w:bidi w:val="0"/>
        <w:spacing w:lineRule="auto" w:line="276"/>
        <w:jc w:val="left"/>
        <w:rPr/>
      </w:pPr>
      <w:r>
        <w:rPr/>
        <w:t>Define relevance through plausible causal connection, moral standing, severity, probability, duration, irreversibility, vulnerability, cumulative effects, threshold risk, and potential influence on the conclusion.</w:t>
      </w:r>
    </w:p>
    <w:p>
      <w:pPr>
        <w:pStyle w:val="Heading4"/>
        <w:ind w:hanging="0" w:left="0"/>
        <w:rPr/>
      </w:pPr>
      <w:r>
        <w:rPr/>
        <w:t>Excluded Entities and Effects</w:t>
      </w:r>
    </w:p>
    <w:p>
      <w:pPr>
        <w:pStyle w:val="Normal"/>
        <w:widowControl/>
        <w:bidi w:val="0"/>
        <w:spacing w:lineRule="auto" w:line="276"/>
        <w:jc w:val="left"/>
        <w:rPr/>
      </w:pPr>
      <w:r>
        <w:rPr/>
        <w:t>Require explicit documentation of entities, effects, relationships, and evidence considered but excluded. Data unavailability or measurement difficulty should not automatically establish irrelevance.</w:t>
      </w:r>
    </w:p>
    <w:p>
      <w:pPr>
        <w:pStyle w:val="Heading4"/>
        <w:ind w:hanging="0" w:left="0"/>
        <w:rPr/>
      </w:pPr>
      <w:r>
        <w:rPr/>
        <w:t>Historical Boundary and Path Dependence</w:t>
      </w:r>
    </w:p>
    <w:p>
      <w:pPr>
        <w:pStyle w:val="Normal"/>
        <w:widowControl/>
        <w:bidi w:val="0"/>
        <w:spacing w:lineRule="auto" w:line="276"/>
        <w:jc w:val="left"/>
        <w:rPr/>
      </w:pPr>
      <w:r>
        <w:rPr/>
        <w:t>Include prior policies, cumulative harm, institutional development, dispossession, discrimination, ecological degradation, technological lock-in, precedent, and inherited distributions of power and capability.</w:t>
      </w:r>
    </w:p>
    <w:p>
      <w:pPr>
        <w:pStyle w:val="Heading4"/>
        <w:ind w:hanging="0" w:left="0"/>
        <w:rPr/>
      </w:pPr>
      <w:r>
        <w:rPr/>
        <w:t>Structural Causation</w:t>
      </w:r>
    </w:p>
    <w:p>
      <w:pPr>
        <w:pStyle w:val="Normal"/>
        <w:widowControl/>
        <w:bidi w:val="0"/>
        <w:spacing w:lineRule="auto" w:line="276"/>
        <w:jc w:val="left"/>
        <w:rPr/>
      </w:pPr>
      <w:r>
        <w:rPr/>
        <w:t>Analyze how rules, incentives, ownership, authority, infrastructure, market arrangements, cultural norms, information systems, and recurring practices produce or sustain the assessed condition.</w:t>
      </w:r>
    </w:p>
    <w:p>
      <w:pPr>
        <w:pStyle w:val="Heading4"/>
        <w:ind w:hanging="0" w:left="0"/>
        <w:rPr/>
      </w:pPr>
      <w:r>
        <w:rPr/>
        <w:t>Individual and Structural Causes</w:t>
      </w:r>
    </w:p>
    <w:p>
      <w:pPr>
        <w:pStyle w:val="Normal"/>
        <w:widowControl/>
        <w:bidi w:val="0"/>
        <w:spacing w:lineRule="auto" w:line="276"/>
        <w:jc w:val="left"/>
        <w:rPr/>
      </w:pPr>
      <w:r>
        <w:rPr/>
        <w:t>Preserve both levels of analysis. Structural explanation should not excuse individual misconduct, while individual attribution should not conceal the system that made the conduct likely or rewarded.</w:t>
      </w:r>
    </w:p>
    <w:p>
      <w:pPr>
        <w:pStyle w:val="Heading4"/>
        <w:ind w:hanging="0" w:left="0"/>
        <w:rPr/>
      </w:pPr>
      <w:r>
        <w:rPr/>
        <w:t>Omissions, Inaction, and Maintenance Failures</w:t>
      </w:r>
    </w:p>
    <w:p>
      <w:pPr>
        <w:pStyle w:val="Normal"/>
        <w:widowControl/>
        <w:bidi w:val="0"/>
        <w:spacing w:lineRule="auto" w:line="276"/>
        <w:jc w:val="left"/>
        <w:rPr/>
      </w:pPr>
      <w:r>
        <w:rPr/>
        <w:t>Treat failures to regulate, monitor, maintain, warn, repair, provide resources, or intervene as potentially causal and morally assessable.</w:t>
      </w:r>
    </w:p>
    <w:p>
      <w:pPr>
        <w:pStyle w:val="Heading4"/>
        <w:ind w:hanging="0" w:left="0"/>
        <w:rPr/>
      </w:pPr>
      <w:r>
        <w:rPr/>
        <w:t>Cross-Scale Effects</w:t>
      </w:r>
    </w:p>
    <w:p>
      <w:pPr>
        <w:pStyle w:val="Normal"/>
        <w:widowControl/>
        <w:bidi w:val="0"/>
        <w:spacing w:lineRule="auto" w:line="276"/>
        <w:jc w:val="left"/>
        <w:rPr/>
      </w:pPr>
      <w:r>
        <w:rPr/>
        <w:t>Examine effects across individual, relational, organizational, community, regional, national, ecological, global, and planetary scales. Identify local optimization that transfers harm elsewhere.</w:t>
      </w:r>
    </w:p>
    <w:p>
      <w:pPr>
        <w:pStyle w:val="Heading4"/>
        <w:ind w:hanging="0" w:left="0"/>
        <w:rPr/>
      </w:pPr>
      <w:r>
        <w:rPr/>
        <w:t>Spatial and Supply-Chain Boundaries</w:t>
      </w:r>
    </w:p>
    <w:p>
      <w:pPr>
        <w:pStyle w:val="Normal"/>
        <w:widowControl/>
        <w:bidi w:val="0"/>
        <w:spacing w:lineRule="auto" w:line="276"/>
        <w:jc w:val="left"/>
        <w:rPr/>
      </w:pPr>
      <w:r>
        <w:rPr/>
        <w:t>Include extraction, production, financing, transportation, use, maintenance, disposal, and recovery where they create material remote effects.</w:t>
      </w:r>
    </w:p>
    <w:p>
      <w:pPr>
        <w:pStyle w:val="Heading4"/>
        <w:ind w:hanging="0" w:left="0"/>
        <w:rPr/>
      </w:pPr>
      <w:r>
        <w:rPr/>
        <w:t>Temporal Boundaries and Horizon Rationale</w:t>
      </w:r>
    </w:p>
    <w:p>
      <w:pPr>
        <w:pStyle w:val="Normal"/>
        <w:widowControl/>
        <w:bidi w:val="0"/>
        <w:spacing w:lineRule="auto" w:line="276"/>
        <w:jc w:val="left"/>
        <w:rPr/>
      </w:pPr>
      <w:r>
        <w:rPr/>
        <w:t>Justify the selected immediate, short-term, long-term, multigenerational, ecological, and civilizational horizons using causal delays, life cycles, irreversibility, institutional duration, and Future State Space.</w:t>
      </w:r>
    </w:p>
    <w:p>
      <w:pPr>
        <w:pStyle w:val="Heading4"/>
        <w:ind w:hanging="0" w:left="0"/>
        <w:rPr/>
      </w:pPr>
      <w:r>
        <w:rPr/>
        <w:t>Causal Boundaries and Indirect Effects</w:t>
      </w:r>
    </w:p>
    <w:p>
      <w:pPr>
        <w:pStyle w:val="Normal"/>
        <w:widowControl/>
        <w:bidi w:val="0"/>
        <w:spacing w:lineRule="auto" w:line="276"/>
        <w:jc w:val="left"/>
        <w:rPr/>
      </w:pPr>
      <w:r>
        <w:rPr/>
        <w:t>Identify direct effects, mediating mechanisms, feedback loops, cumulative effects, rebound effects, policy updates, behavioral adaptation, and emergent consequences.</w:t>
      </w:r>
    </w:p>
    <w:p>
      <w:pPr>
        <w:pStyle w:val="Heading4"/>
        <w:ind w:hanging="0" w:left="0"/>
        <w:rPr/>
      </w:pPr>
      <w:r>
        <w:rPr/>
        <w:t>Institutional and Jurisdictional Boundaries</w:t>
      </w:r>
    </w:p>
    <w:p>
      <w:pPr>
        <w:pStyle w:val="Normal"/>
        <w:widowControl/>
        <w:bidi w:val="0"/>
        <w:spacing w:lineRule="auto" w:line="276"/>
        <w:jc w:val="left"/>
        <w:rPr/>
      </w:pPr>
      <w:r>
        <w:rPr/>
        <w:t>Prevent legal ownership, organizational charts, contracts, or political borders from being treated as the limits of ethical causation or responsibility.</w:t>
      </w:r>
    </w:p>
    <w:p>
      <w:pPr>
        <w:pStyle w:val="Heading4"/>
        <w:ind w:hanging="0" w:left="0"/>
        <w:rPr/>
      </w:pPr>
      <w:r>
        <w:rPr/>
        <w:t>Epistemic and Data Boundaries</w:t>
      </w:r>
    </w:p>
    <w:p>
      <w:pPr>
        <w:pStyle w:val="Normal"/>
        <w:widowControl/>
        <w:bidi w:val="0"/>
        <w:spacing w:lineRule="auto" w:line="276"/>
        <w:jc w:val="left"/>
        <w:rPr/>
      </w:pPr>
      <w:r>
        <w:rPr/>
        <w:t>Document what is known, reasonably knowable, contested, inaccessible, suppressed, or omitted because of privacy, secrecy, cost, language, institutional incentives, or lack of research.</w:t>
      </w:r>
    </w:p>
    <w:p>
      <w:pPr>
        <w:pStyle w:val="Heading4"/>
        <w:ind w:hanging="0" w:left="0"/>
        <w:rPr/>
      </w:pPr>
      <w:r>
        <w:rPr/>
        <w:t>Computational Boundaries and Approximation</w:t>
      </w:r>
    </w:p>
    <w:p>
      <w:pPr>
        <w:pStyle w:val="Normal"/>
        <w:widowControl/>
        <w:bidi w:val="0"/>
        <w:spacing w:lineRule="auto" w:line="276"/>
        <w:jc w:val="left"/>
        <w:rPr/>
      </w:pPr>
      <w:r>
        <w:rPr/>
        <w:t>Identify effects excluded or simplified because of computational limits. Explain how abstraction, sampling, clustering, or model reduction could affect the ethical conclusion.</w:t>
      </w:r>
    </w:p>
    <w:p>
      <w:pPr>
        <w:pStyle w:val="Heading4"/>
        <w:ind w:hanging="0" w:left="0"/>
        <w:rPr/>
      </w:pPr>
      <w:r>
        <w:rPr/>
        <w:t>Counterfactual and Alternative-Action Boundaries</w:t>
      </w:r>
    </w:p>
    <w:p>
      <w:pPr>
        <w:pStyle w:val="Normal"/>
        <w:widowControl/>
        <w:bidi w:val="0"/>
        <w:spacing w:lineRule="auto" w:line="276"/>
        <w:jc w:val="left"/>
        <w:rPr/>
      </w:pPr>
      <w:r>
        <w:rPr/>
        <w:t>Compare the proposed action with inaction, delay, partial implementation, mitigation, institutional redesign, different allocation of resources, and changes to the system that created the problem.</w:t>
      </w:r>
    </w:p>
    <w:p>
      <w:pPr>
        <w:pStyle w:val="Heading4"/>
        <w:ind w:hanging="0" w:left="0"/>
        <w:rPr/>
      </w:pPr>
      <w:r>
        <w:rPr/>
        <w:t>Competing Causal Models</w:t>
      </w:r>
    </w:p>
    <w:p>
      <w:pPr>
        <w:pStyle w:val="Normal"/>
        <w:widowControl/>
        <w:bidi w:val="0"/>
        <w:spacing w:lineRule="auto" w:line="276"/>
        <w:jc w:val="left"/>
        <w:rPr/>
      </w:pPr>
      <w:r>
        <w:rPr/>
        <w:t>Require materially plausible alternative models when different boundaries, mechanisms, assumptions, or stakeholder perspectives could change the predicted transition.</w:t>
      </w:r>
    </w:p>
    <w:p>
      <w:pPr>
        <w:pStyle w:val="Heading4"/>
        <w:ind w:hanging="0" w:left="0"/>
        <w:rPr/>
      </w:pPr>
      <w:r>
        <w:rPr/>
        <w:t>Model Comparison and Evidentiary Weight</w:t>
      </w:r>
    </w:p>
    <w:p>
      <w:pPr>
        <w:pStyle w:val="Normal"/>
        <w:widowControl/>
        <w:bidi w:val="0"/>
        <w:spacing w:lineRule="auto" w:line="276"/>
        <w:jc w:val="left"/>
        <w:rPr/>
      </w:pPr>
      <w:r>
        <w:rPr/>
        <w:t>Compare competing models according to evidence, explanatory adequacy, assumptions, omitted variables, predictive history, sensitivity, and stakeholder knowledge rather than selecting the most convenient or numerically precise model.</w:t>
      </w:r>
    </w:p>
    <w:p>
      <w:pPr>
        <w:pStyle w:val="Heading4"/>
        <w:ind w:hanging="0" w:left="0"/>
        <w:rPr/>
      </w:pPr>
      <w:r>
        <w:rPr/>
        <w:t>Boundary and Model Sensitivity Analysis</w:t>
      </w:r>
    </w:p>
    <w:p>
      <w:pPr>
        <w:pStyle w:val="Normal"/>
        <w:widowControl/>
        <w:bidi w:val="0"/>
        <w:spacing w:lineRule="auto" w:line="276"/>
        <w:jc w:val="left"/>
        <w:rPr/>
      </w:pPr>
      <w:r>
        <w:rPr/>
        <w:t>Test whether the conclusion changes when entities, horizons, causal links, baselines, probabilities, or structural assumptions are varied.</w:t>
      </w:r>
    </w:p>
    <w:p>
      <w:pPr>
        <w:pStyle w:val="Heading4"/>
        <w:ind w:hanging="0" w:left="0"/>
        <w:rPr/>
      </w:pPr>
      <w:r>
        <w:rPr/>
        <w:t>Robust, Conditional, and Divergent Findings</w:t>
      </w:r>
    </w:p>
    <w:p>
      <w:pPr>
        <w:pStyle w:val="Normal"/>
        <w:widowControl/>
        <w:bidi w:val="0"/>
        <w:spacing w:lineRule="auto" w:line="276"/>
        <w:jc w:val="left"/>
        <w:rPr/>
      </w:pPr>
      <w:r>
        <w:rPr/>
        <w:t>Classify conclusions according to whether they remain stable across plausible boundaries and models, depend on specified assumptions, or diverge materially.</w:t>
      </w:r>
    </w:p>
    <w:p>
      <w:pPr>
        <w:pStyle w:val="Heading4"/>
        <w:ind w:hanging="0" w:left="0"/>
        <w:rPr/>
      </w:pPr>
      <w:r>
        <w:rPr/>
        <w:t>Reflexivity and Framework-Induced Effects</w:t>
      </w:r>
    </w:p>
    <w:p>
      <w:pPr>
        <w:pStyle w:val="Normal"/>
        <w:widowControl/>
        <w:bidi w:val="0"/>
        <w:spacing w:lineRule="auto" w:line="276"/>
        <w:jc w:val="left"/>
        <w:rPr/>
      </w:pPr>
      <w:r>
        <w:rPr/>
        <w:t>Evaluate how measurement, classification, forecasts, publication, and recommendations change incentives, behavior, power, resource allocation, or the system being assessed.</w:t>
      </w:r>
    </w:p>
    <w:p>
      <w:pPr>
        <w:pStyle w:val="Heading4"/>
        <w:ind w:hanging="0" w:left="0"/>
        <w:rPr/>
      </w:pPr>
      <w:r>
        <w:rPr/>
        <w:t>Boundary Review and Reassessment Triggers</w:t>
      </w:r>
    </w:p>
    <w:p>
      <w:pPr>
        <w:pStyle w:val="Normal"/>
        <w:widowControl/>
        <w:bidi w:val="0"/>
        <w:spacing w:lineRule="auto" w:line="276"/>
        <w:jc w:val="left"/>
        <w:rPr/>
      </w:pPr>
      <w:r>
        <w:rPr/>
        <w:t>Define events requiring reassessment, including newly discovered entities, prediction errors, threshold proximity, changed causal structures, stakeholder challenge, implementation feedback, or unexpected harm.</w:t>
      </w:r>
    </w:p>
    <w:p>
      <w:pPr>
        <w:pStyle w:val="Heading4"/>
        <w:ind w:hanging="0" w:left="0"/>
        <w:rPr/>
      </w:pPr>
      <w:r>
        <w:rPr/>
        <w:t>Boundary and Model Disclosure in the Output</w:t>
      </w:r>
    </w:p>
    <w:p>
      <w:pPr>
        <w:pStyle w:val="Normal"/>
        <w:widowControl/>
        <w:bidi w:val="0"/>
        <w:spacing w:lineRule="auto" w:line="276"/>
        <w:jc w:val="left"/>
        <w:rPr/>
      </w:pPr>
      <w:r>
        <w:rPr/>
        <w:t>Require every conclusion to report the system of interest, included and excluded entities, boundary rationale, horizons, causal assumptions, competing models, sensitivity findings, and remaining uncertainty.</w:t>
      </w:r>
    </w:p>
    <w:p>
      <w:pPr>
        <w:pStyle w:val="Heading4"/>
        <w:ind w:hanging="0" w:left="0"/>
        <w:rPr/>
      </w:pPr>
      <w:r>
        <w:rPr/>
        <w:t>Failure Modes and Exposure</w:t>
      </w:r>
    </w:p>
    <w:p>
      <w:pPr>
        <w:pStyle w:val="Normal"/>
        <w:widowControl/>
        <w:bidi w:val="0"/>
        <w:spacing w:lineRule="auto" w:line="276"/>
        <w:jc w:val="left"/>
        <w:rPr/>
      </w:pPr>
      <w:r>
        <w:rPr/>
        <w:t>Analyze boundary gaming, history erasure, data-availability bias, local optimization, model monopoly, causal overreach, responsibility shifting, double counting, assessor capture, false completeness, and analysis paralysis.</w:t>
      </w:r>
    </w:p>
    <w:p>
      <w:pPr>
        <w:pStyle w:val="Normal"/>
        <w:widowControl/>
        <w:bidi w:val="0"/>
        <w:spacing w:lineRule="auto" w:line="276"/>
        <w:jc w:val="left"/>
        <w:rPr/>
      </w:pPr>
      <w:r>
        <w:rPr/>
        <w:t>9.4.7.31 Interim Safeguards and Mitigations</w:t>
      </w:r>
    </w:p>
    <w:p>
      <w:pPr>
        <w:pStyle w:val="Normal"/>
        <w:widowControl/>
        <w:bidi w:val="0"/>
        <w:spacing w:lineRule="auto" w:line="276"/>
        <w:jc w:val="left"/>
        <w:rPr/>
      </w:pPr>
      <w:r>
        <w:rPr/>
        <w:t>Require boundary challenges, exclusion logs, alternative-model review, stakeholder and nonparticipant representation, sensitivity analysis, independent review for high-stakes decisions, and restrictions on conclusions that are highly boundary-dependent.</w:t>
      </w:r>
    </w:p>
    <w:p>
      <w:pPr>
        <w:pStyle w:val="Heading4"/>
        <w:ind w:hanging="0" w:left="0"/>
        <w:rPr/>
      </w:pPr>
      <w:r>
        <w:rPr/>
        <w:t>Research Deliverables and Acceptance Criteria</w:t>
      </w:r>
    </w:p>
    <w:p>
      <w:pPr>
        <w:pStyle w:val="Normal"/>
        <w:widowControl/>
        <w:bidi w:val="0"/>
        <w:spacing w:lineRule="auto" w:line="276"/>
        <w:jc w:val="left"/>
        <w:rPr/>
      </w:pPr>
      <w:r>
        <w:rPr/>
        <w:t>Require a boundary-selection protocol, boundary taxonomy, exclusion-log schema, horizon-rationale standard, structural-cause template, alternative-model protocol, sensitivity tests, and benchmark cases.</w:t>
      </w:r>
    </w:p>
    <w:p>
      <w:pPr>
        <w:pStyle w:val="Heading4"/>
        <w:ind w:hanging="0" w:left="0"/>
        <w:rPr/>
      </w:pPr>
      <w:r>
        <w:rPr/>
        <w:t>Residual Risk</w:t>
      </w:r>
    </w:p>
    <w:p>
      <w:pPr>
        <w:pStyle w:val="Normal"/>
        <w:widowControl/>
        <w:bidi w:val="0"/>
        <w:spacing w:lineRule="auto" w:line="276"/>
        <w:jc w:val="left"/>
        <w:rPr/>
      </w:pPr>
      <w:r>
        <w:rPr/>
        <w:t>Acknowledge that no protocol can identify every entity, causal mechanism, historical influence, emergent effect, or valid model in an open and changing system.</w:t>
      </w:r>
    </w:p>
    <w:p>
      <w:pPr>
        <w:pStyle w:val="Heading4"/>
        <w:ind w:hanging="0" w:left="0"/>
        <w:rPr>
          <w:rFonts w:ascii="Aptos" w:hAnsi="Aptos"/>
          <w:color w:val="auto"/>
          <w:sz w:val="21"/>
          <w:szCs w:val="22"/>
        </w:rPr>
      </w:pPr>
      <w:r>
        <w:rPr/>
        <w:t>Recommended boundary-selection protocol</w:t>
      </w:r>
    </w:p>
    <w:p>
      <w:pPr>
        <w:pStyle w:val="BodyText"/>
        <w:numPr>
          <w:ilvl w:val="0"/>
          <w:numId w:val="159"/>
        </w:numPr>
        <w:tabs>
          <w:tab w:val="clear" w:pos="720"/>
          <w:tab w:val="left" w:pos="0" w:leader="none"/>
        </w:tabs>
        <w:spacing w:before="0" w:after="0"/>
        <w:ind w:hanging="283" w:left="709"/>
        <w:rPr/>
      </w:pPr>
      <w:r>
        <w:rPr>
          <w:rStyle w:val="Strong"/>
        </w:rPr>
        <w:t>State the assessment purpose and decision.</w:t>
      </w:r>
      <w:r>
        <w:rPr/>
        <w:t xml:space="preserve"> </w:t>
      </w:r>
    </w:p>
    <w:p>
      <w:pPr>
        <w:pStyle w:val="BodyText"/>
        <w:numPr>
          <w:ilvl w:val="0"/>
          <w:numId w:val="159"/>
        </w:numPr>
        <w:tabs>
          <w:tab w:val="clear" w:pos="720"/>
          <w:tab w:val="left" w:pos="0" w:leader="none"/>
        </w:tabs>
        <w:spacing w:before="0" w:after="0"/>
        <w:ind w:hanging="283" w:left="709"/>
        <w:rPr/>
      </w:pPr>
      <w:r>
        <w:rPr>
          <w:rStyle w:val="Strong"/>
        </w:rPr>
        <w:t>Identify the commissioner, assessor, decision authority, and affected parties.</w:t>
      </w:r>
      <w:r>
        <w:rPr/>
        <w:t xml:space="preserve"> </w:t>
      </w:r>
    </w:p>
    <w:p>
      <w:pPr>
        <w:pStyle w:val="BodyText"/>
        <w:numPr>
          <w:ilvl w:val="0"/>
          <w:numId w:val="159"/>
        </w:numPr>
        <w:tabs>
          <w:tab w:val="clear" w:pos="720"/>
          <w:tab w:val="left" w:pos="0" w:leader="none"/>
        </w:tabs>
        <w:spacing w:before="0" w:after="0"/>
        <w:ind w:hanging="283" w:left="709"/>
        <w:rPr/>
      </w:pPr>
      <w:r>
        <w:rPr>
          <w:rStyle w:val="Strong"/>
        </w:rPr>
        <w:t>Define the provisional system of interest.</w:t>
      </w:r>
      <w:r>
        <w:rPr/>
        <w:t xml:space="preserve"> </w:t>
      </w:r>
    </w:p>
    <w:p>
      <w:pPr>
        <w:pStyle w:val="BodyText"/>
        <w:numPr>
          <w:ilvl w:val="0"/>
          <w:numId w:val="159"/>
        </w:numPr>
        <w:tabs>
          <w:tab w:val="clear" w:pos="720"/>
          <w:tab w:val="left" w:pos="0" w:leader="none"/>
        </w:tabs>
        <w:spacing w:before="0" w:after="0"/>
        <w:ind w:hanging="283" w:left="709"/>
        <w:rPr/>
      </w:pPr>
      <w:r>
        <w:rPr>
          <w:rStyle w:val="Strong"/>
        </w:rPr>
        <w:t>Map directly and indirectly affected entities and Associations.</w:t>
      </w:r>
      <w:r>
        <w:rPr/>
        <w:t xml:space="preserve"> </w:t>
      </w:r>
    </w:p>
    <w:p>
      <w:pPr>
        <w:pStyle w:val="BodyText"/>
        <w:numPr>
          <w:ilvl w:val="0"/>
          <w:numId w:val="159"/>
        </w:numPr>
        <w:tabs>
          <w:tab w:val="clear" w:pos="720"/>
          <w:tab w:val="left" w:pos="0" w:leader="none"/>
        </w:tabs>
        <w:spacing w:before="0" w:after="0"/>
        <w:ind w:hanging="283" w:left="709"/>
        <w:rPr/>
      </w:pPr>
      <w:r>
        <w:rPr>
          <w:rStyle w:val="Strong"/>
        </w:rPr>
        <w:t>Examine historical conditions and structural causes.</w:t>
      </w:r>
      <w:r>
        <w:rPr/>
        <w:t xml:space="preserve"> </w:t>
      </w:r>
    </w:p>
    <w:p>
      <w:pPr>
        <w:pStyle w:val="BodyText"/>
        <w:numPr>
          <w:ilvl w:val="0"/>
          <w:numId w:val="159"/>
        </w:numPr>
        <w:tabs>
          <w:tab w:val="clear" w:pos="720"/>
          <w:tab w:val="left" w:pos="0" w:leader="none"/>
        </w:tabs>
        <w:spacing w:before="0" w:after="0"/>
        <w:ind w:hanging="283" w:left="709"/>
        <w:rPr/>
      </w:pPr>
      <w:r>
        <w:rPr>
          <w:rStyle w:val="Strong"/>
        </w:rPr>
        <w:t>Map causal mechanisms, feedback, omissions, and cumulative effects.</w:t>
      </w:r>
      <w:r>
        <w:rPr/>
        <w:t xml:space="preserve"> </w:t>
      </w:r>
    </w:p>
    <w:p>
      <w:pPr>
        <w:pStyle w:val="BodyText"/>
        <w:numPr>
          <w:ilvl w:val="0"/>
          <w:numId w:val="159"/>
        </w:numPr>
        <w:tabs>
          <w:tab w:val="clear" w:pos="720"/>
          <w:tab w:val="left" w:pos="0" w:leader="none"/>
        </w:tabs>
        <w:spacing w:before="0" w:after="0"/>
        <w:ind w:hanging="283" w:left="709"/>
        <w:rPr/>
      </w:pPr>
      <w:r>
        <w:rPr>
          <w:rStyle w:val="Strong"/>
        </w:rPr>
        <w:t>Evaluate relevant spatial and organizational scales.</w:t>
      </w:r>
      <w:r>
        <w:rPr/>
        <w:t xml:space="preserve"> </w:t>
      </w:r>
    </w:p>
    <w:p>
      <w:pPr>
        <w:pStyle w:val="BodyText"/>
        <w:numPr>
          <w:ilvl w:val="0"/>
          <w:numId w:val="159"/>
        </w:numPr>
        <w:tabs>
          <w:tab w:val="clear" w:pos="720"/>
          <w:tab w:val="left" w:pos="0" w:leader="none"/>
        </w:tabs>
        <w:spacing w:before="0" w:after="0"/>
        <w:ind w:hanging="283" w:left="709"/>
        <w:rPr/>
      </w:pPr>
      <w:r>
        <w:rPr>
          <w:rStyle w:val="Strong"/>
        </w:rPr>
        <w:t>Select and justify assessment horizons.</w:t>
      </w:r>
      <w:r>
        <w:rPr/>
        <w:t xml:space="preserve"> </w:t>
      </w:r>
    </w:p>
    <w:p>
      <w:pPr>
        <w:pStyle w:val="BodyText"/>
        <w:numPr>
          <w:ilvl w:val="0"/>
          <w:numId w:val="159"/>
        </w:numPr>
        <w:tabs>
          <w:tab w:val="clear" w:pos="720"/>
          <w:tab w:val="left" w:pos="0" w:leader="none"/>
        </w:tabs>
        <w:spacing w:before="0" w:after="0"/>
        <w:ind w:hanging="283" w:left="709"/>
        <w:rPr/>
      </w:pPr>
      <w:r>
        <w:rPr>
          <w:rStyle w:val="Strong"/>
        </w:rPr>
        <w:t>Define relevance and materiality criteria.</w:t>
      </w:r>
      <w:r>
        <w:rPr/>
        <w:t xml:space="preserve"> </w:t>
      </w:r>
    </w:p>
    <w:p>
      <w:pPr>
        <w:pStyle w:val="BodyText"/>
        <w:numPr>
          <w:ilvl w:val="0"/>
          <w:numId w:val="159"/>
        </w:numPr>
        <w:tabs>
          <w:tab w:val="clear" w:pos="720"/>
          <w:tab w:val="left" w:pos="0" w:leader="none"/>
        </w:tabs>
        <w:spacing w:before="0" w:after="0"/>
        <w:ind w:hanging="283" w:left="709"/>
        <w:rPr/>
      </w:pPr>
      <w:r>
        <w:rPr>
          <w:rStyle w:val="Strong"/>
        </w:rPr>
        <w:t>Record exclusions and reasons.</w:t>
      </w:r>
      <w:r>
        <w:rPr/>
        <w:t xml:space="preserve"> </w:t>
      </w:r>
    </w:p>
    <w:p>
      <w:pPr>
        <w:pStyle w:val="BodyText"/>
        <w:numPr>
          <w:ilvl w:val="0"/>
          <w:numId w:val="159"/>
        </w:numPr>
        <w:tabs>
          <w:tab w:val="clear" w:pos="720"/>
          <w:tab w:val="left" w:pos="0" w:leader="none"/>
        </w:tabs>
        <w:spacing w:before="0" w:after="0"/>
        <w:ind w:hanging="283" w:left="709"/>
        <w:rPr/>
      </w:pPr>
      <w:r>
        <w:rPr>
          <w:rStyle w:val="Strong"/>
        </w:rPr>
        <w:t>Construct materially plausible alternative boundaries and causal models.</w:t>
      </w:r>
      <w:r>
        <w:rPr/>
        <w:t xml:space="preserve"> </w:t>
      </w:r>
    </w:p>
    <w:p>
      <w:pPr>
        <w:pStyle w:val="BodyText"/>
        <w:numPr>
          <w:ilvl w:val="0"/>
          <w:numId w:val="159"/>
        </w:numPr>
        <w:tabs>
          <w:tab w:val="clear" w:pos="720"/>
          <w:tab w:val="left" w:pos="0" w:leader="none"/>
        </w:tabs>
        <w:spacing w:before="0" w:after="0"/>
        <w:ind w:hanging="283" w:left="709"/>
        <w:rPr/>
      </w:pPr>
      <w:r>
        <w:rPr>
          <w:rStyle w:val="Strong"/>
        </w:rPr>
        <w:t>Test whether conclusions are sensitive to those alternatives.</w:t>
      </w:r>
      <w:r>
        <w:rPr/>
        <w:t xml:space="preserve"> </w:t>
      </w:r>
    </w:p>
    <w:p>
      <w:pPr>
        <w:pStyle w:val="BodyText"/>
        <w:numPr>
          <w:ilvl w:val="0"/>
          <w:numId w:val="159"/>
        </w:numPr>
        <w:tabs>
          <w:tab w:val="clear" w:pos="720"/>
          <w:tab w:val="left" w:pos="0" w:leader="none"/>
        </w:tabs>
        <w:spacing w:before="0" w:after="0"/>
        <w:ind w:hanging="283" w:left="709"/>
        <w:rPr/>
      </w:pPr>
      <w:r>
        <w:rPr>
          <w:rStyle w:val="Strong"/>
        </w:rPr>
        <w:t>Obtain boundary challenges from affected or independent reviewers.</w:t>
      </w:r>
      <w:r>
        <w:rPr/>
        <w:t xml:space="preserve"> </w:t>
      </w:r>
    </w:p>
    <w:p>
      <w:pPr>
        <w:pStyle w:val="BodyText"/>
        <w:numPr>
          <w:ilvl w:val="0"/>
          <w:numId w:val="159"/>
        </w:numPr>
        <w:tabs>
          <w:tab w:val="clear" w:pos="720"/>
          <w:tab w:val="left" w:pos="0" w:leader="none"/>
        </w:tabs>
        <w:ind w:hanging="283" w:left="709"/>
        <w:rPr/>
      </w:pPr>
      <w:r>
        <w:rPr>
          <w:rStyle w:val="Strong"/>
        </w:rPr>
        <w:t>Publish the boundary rationale and reassessment triggers.</w:t>
      </w:r>
      <w:r>
        <w:rPr/>
        <w:t xml:space="preserve"> </w:t>
      </w:r>
    </w:p>
    <w:p>
      <w:pPr>
        <w:pStyle w:val="Heading4"/>
        <w:ind w:hanging="0" w:left="0"/>
        <w:rPr>
          <w:rFonts w:ascii="Aptos" w:hAnsi="Aptos"/>
          <w:color w:val="auto"/>
          <w:sz w:val="21"/>
          <w:szCs w:val="22"/>
        </w:rPr>
      </w:pPr>
      <w:r>
        <w:rPr/>
        <w:t>Required exclusion log</w:t>
      </w:r>
    </w:p>
    <w:p>
      <w:pPr>
        <w:pStyle w:val="BodyText"/>
        <w:spacing w:before="0" w:after="200"/>
        <w:rPr/>
      </w:pPr>
      <w:r>
        <w:rPr/>
        <w:t>Each excluded item should record:</w:t>
      </w:r>
    </w:p>
    <w:tbl>
      <w:tblPr>
        <w:tblW w:w="8640" w:type="dxa"/>
        <w:jc w:val="left"/>
        <w:tblInd w:w="28" w:type="dxa"/>
        <w:tblLayout w:type="fixed"/>
        <w:tblCellMar>
          <w:top w:w="28" w:type="dxa"/>
          <w:left w:w="28" w:type="dxa"/>
          <w:bottom w:w="28" w:type="dxa"/>
          <w:right w:w="28" w:type="dxa"/>
        </w:tblCellMar>
      </w:tblPr>
      <w:tblGrid>
        <w:gridCol w:w="2344"/>
        <w:gridCol w:w="6296"/>
      </w:tblGrid>
      <w:tr>
        <w:trPr>
          <w:tblHeader w:val="true"/>
        </w:trPr>
        <w:tc>
          <w:tcPr>
            <w:tcW w:w="2344" w:type="dxa"/>
            <w:tcBorders/>
            <w:vAlign w:val="center"/>
          </w:tcPr>
          <w:p>
            <w:pPr>
              <w:pStyle w:val="TableHeading"/>
              <w:suppressLineNumbers/>
              <w:spacing w:before="0" w:after="200"/>
              <w:jc w:val="center"/>
              <w:rPr/>
            </w:pPr>
            <w:r>
              <w:rPr/>
              <w:t>Field</w:t>
            </w:r>
          </w:p>
        </w:tc>
        <w:tc>
          <w:tcPr>
            <w:tcW w:w="6296" w:type="dxa"/>
            <w:tcBorders/>
            <w:vAlign w:val="center"/>
          </w:tcPr>
          <w:p>
            <w:pPr>
              <w:pStyle w:val="TableHeading"/>
              <w:suppressLineNumbers/>
              <w:spacing w:before="0" w:after="200"/>
              <w:jc w:val="center"/>
              <w:rPr/>
            </w:pPr>
            <w:r>
              <w:rPr/>
              <w:t>Required information</w:t>
            </w:r>
          </w:p>
        </w:tc>
      </w:tr>
      <w:tr>
        <w:trPr/>
        <w:tc>
          <w:tcPr>
            <w:tcW w:w="2344" w:type="dxa"/>
            <w:tcBorders/>
            <w:vAlign w:val="center"/>
          </w:tcPr>
          <w:p>
            <w:pPr>
              <w:pStyle w:val="TableContents"/>
              <w:widowControl w:val="false"/>
              <w:suppressLineNumbers/>
              <w:spacing w:before="0" w:after="200"/>
              <w:rPr/>
            </w:pPr>
            <w:r>
              <w:rPr>
                <w:rStyle w:val="Strong"/>
              </w:rPr>
              <w:t>Excluded entity or effect</w:t>
            </w:r>
          </w:p>
        </w:tc>
        <w:tc>
          <w:tcPr>
            <w:tcW w:w="6296" w:type="dxa"/>
            <w:tcBorders/>
            <w:vAlign w:val="center"/>
          </w:tcPr>
          <w:p>
            <w:pPr>
              <w:pStyle w:val="TableContents"/>
              <w:widowControl w:val="false"/>
              <w:suppressLineNumbers/>
              <w:spacing w:before="0" w:after="200"/>
              <w:rPr/>
            </w:pPr>
            <w:r>
              <w:rPr/>
              <w:t>What was omitted</w:t>
            </w:r>
          </w:p>
        </w:tc>
      </w:tr>
      <w:tr>
        <w:trPr/>
        <w:tc>
          <w:tcPr>
            <w:tcW w:w="2344" w:type="dxa"/>
            <w:tcBorders/>
            <w:vAlign w:val="center"/>
          </w:tcPr>
          <w:p>
            <w:pPr>
              <w:pStyle w:val="TableContents"/>
              <w:widowControl w:val="false"/>
              <w:suppressLineNumbers/>
              <w:spacing w:before="0" w:after="200"/>
              <w:rPr/>
            </w:pPr>
            <w:r>
              <w:rPr>
                <w:rStyle w:val="Strong"/>
              </w:rPr>
              <w:t>Entity type or causal role</w:t>
            </w:r>
          </w:p>
        </w:tc>
        <w:tc>
          <w:tcPr>
            <w:tcW w:w="6296" w:type="dxa"/>
            <w:tcBorders/>
            <w:vAlign w:val="center"/>
          </w:tcPr>
          <w:p>
            <w:pPr>
              <w:pStyle w:val="TableContents"/>
              <w:widowControl w:val="false"/>
              <w:suppressLineNumbers/>
              <w:spacing w:before="0" w:after="200"/>
              <w:rPr/>
            </w:pPr>
            <w:r>
              <w:rPr/>
              <w:t>Person, group, animal, ecosystem, institution, process, future party, or other category</w:t>
            </w:r>
          </w:p>
        </w:tc>
      </w:tr>
      <w:tr>
        <w:trPr/>
        <w:tc>
          <w:tcPr>
            <w:tcW w:w="2344" w:type="dxa"/>
            <w:tcBorders/>
            <w:vAlign w:val="center"/>
          </w:tcPr>
          <w:p>
            <w:pPr>
              <w:pStyle w:val="TableContents"/>
              <w:widowControl w:val="false"/>
              <w:suppressLineNumbers/>
              <w:spacing w:before="0" w:after="200"/>
              <w:rPr/>
            </w:pPr>
            <w:r>
              <w:rPr>
                <w:rStyle w:val="Strong"/>
              </w:rPr>
              <w:t>Reason considered</w:t>
            </w:r>
          </w:p>
        </w:tc>
        <w:tc>
          <w:tcPr>
            <w:tcW w:w="6296" w:type="dxa"/>
            <w:tcBorders/>
            <w:vAlign w:val="center"/>
          </w:tcPr>
          <w:p>
            <w:pPr>
              <w:pStyle w:val="TableContents"/>
              <w:widowControl w:val="false"/>
              <w:suppressLineNumbers/>
              <w:spacing w:before="0" w:after="200"/>
              <w:rPr/>
            </w:pPr>
            <w:r>
              <w:rPr/>
              <w:t>Why it might be morally or causally relevant</w:t>
            </w:r>
          </w:p>
        </w:tc>
      </w:tr>
      <w:tr>
        <w:trPr/>
        <w:tc>
          <w:tcPr>
            <w:tcW w:w="2344" w:type="dxa"/>
            <w:tcBorders/>
            <w:vAlign w:val="center"/>
          </w:tcPr>
          <w:p>
            <w:pPr>
              <w:pStyle w:val="TableContents"/>
              <w:widowControl w:val="false"/>
              <w:suppressLineNumbers/>
              <w:spacing w:before="0" w:after="200"/>
              <w:rPr/>
            </w:pPr>
            <w:r>
              <w:rPr>
                <w:rStyle w:val="Strong"/>
              </w:rPr>
              <w:t>Reason excluded</w:t>
            </w:r>
          </w:p>
        </w:tc>
        <w:tc>
          <w:tcPr>
            <w:tcW w:w="6296" w:type="dxa"/>
            <w:tcBorders/>
            <w:vAlign w:val="center"/>
          </w:tcPr>
          <w:p>
            <w:pPr>
              <w:pStyle w:val="TableContents"/>
              <w:widowControl w:val="false"/>
              <w:suppressLineNumbers/>
              <w:spacing w:before="0" w:after="200"/>
              <w:rPr/>
            </w:pPr>
            <w:r>
              <w:rPr/>
              <w:t>Evidentiary, materiality, scope, computational, legal, or other justification</w:t>
            </w:r>
          </w:p>
        </w:tc>
      </w:tr>
      <w:tr>
        <w:trPr/>
        <w:tc>
          <w:tcPr>
            <w:tcW w:w="2344" w:type="dxa"/>
            <w:tcBorders/>
            <w:vAlign w:val="center"/>
          </w:tcPr>
          <w:p>
            <w:pPr>
              <w:pStyle w:val="TableContents"/>
              <w:widowControl w:val="false"/>
              <w:suppressLineNumbers/>
              <w:spacing w:before="0" w:after="200"/>
              <w:rPr/>
            </w:pPr>
            <w:r>
              <w:rPr>
                <w:rStyle w:val="Strong"/>
              </w:rPr>
              <w:t>Decision authority</w:t>
            </w:r>
          </w:p>
        </w:tc>
        <w:tc>
          <w:tcPr>
            <w:tcW w:w="6296" w:type="dxa"/>
            <w:tcBorders/>
            <w:vAlign w:val="center"/>
          </w:tcPr>
          <w:p>
            <w:pPr>
              <w:pStyle w:val="TableContents"/>
              <w:widowControl w:val="false"/>
              <w:suppressLineNumbers/>
              <w:spacing w:before="0" w:after="200"/>
              <w:rPr/>
            </w:pPr>
            <w:r>
              <w:rPr/>
              <w:t>Who approved the exclusion</w:t>
            </w:r>
          </w:p>
        </w:tc>
      </w:tr>
      <w:tr>
        <w:trPr/>
        <w:tc>
          <w:tcPr>
            <w:tcW w:w="2344" w:type="dxa"/>
            <w:tcBorders/>
            <w:vAlign w:val="center"/>
          </w:tcPr>
          <w:p>
            <w:pPr>
              <w:pStyle w:val="TableContents"/>
              <w:widowControl w:val="false"/>
              <w:suppressLineNumbers/>
              <w:spacing w:before="0" w:after="200"/>
              <w:rPr/>
            </w:pPr>
            <w:r>
              <w:rPr>
                <w:rStyle w:val="Strong"/>
              </w:rPr>
              <w:t>Potential consequence</w:t>
            </w:r>
          </w:p>
        </w:tc>
        <w:tc>
          <w:tcPr>
            <w:tcW w:w="6296" w:type="dxa"/>
            <w:tcBorders/>
            <w:vAlign w:val="center"/>
          </w:tcPr>
          <w:p>
            <w:pPr>
              <w:pStyle w:val="TableContents"/>
              <w:widowControl w:val="false"/>
              <w:suppressLineNumbers/>
              <w:spacing w:before="0" w:after="200"/>
              <w:rPr/>
            </w:pPr>
            <w:r>
              <w:rPr/>
              <w:t>How exclusion could affect the conclusion</w:t>
            </w:r>
          </w:p>
        </w:tc>
      </w:tr>
      <w:tr>
        <w:trPr/>
        <w:tc>
          <w:tcPr>
            <w:tcW w:w="2344" w:type="dxa"/>
            <w:tcBorders/>
            <w:vAlign w:val="center"/>
          </w:tcPr>
          <w:p>
            <w:pPr>
              <w:pStyle w:val="TableContents"/>
              <w:widowControl w:val="false"/>
              <w:suppressLineNumbers/>
              <w:spacing w:before="0" w:after="200"/>
              <w:rPr/>
            </w:pPr>
            <w:r>
              <w:rPr>
                <w:rStyle w:val="Strong"/>
              </w:rPr>
              <w:t>Uncertainty</w:t>
            </w:r>
          </w:p>
        </w:tc>
        <w:tc>
          <w:tcPr>
            <w:tcW w:w="6296" w:type="dxa"/>
            <w:tcBorders/>
            <w:vAlign w:val="center"/>
          </w:tcPr>
          <w:p>
            <w:pPr>
              <w:pStyle w:val="TableContents"/>
              <w:widowControl w:val="false"/>
              <w:suppressLineNumbers/>
              <w:spacing w:before="0" w:after="200"/>
              <w:rPr/>
            </w:pPr>
            <w:r>
              <w:rPr/>
              <w:t>Confidence that exclusion is justified</w:t>
            </w:r>
          </w:p>
        </w:tc>
      </w:tr>
      <w:tr>
        <w:trPr/>
        <w:tc>
          <w:tcPr>
            <w:tcW w:w="2344" w:type="dxa"/>
            <w:tcBorders/>
            <w:vAlign w:val="center"/>
          </w:tcPr>
          <w:p>
            <w:pPr>
              <w:pStyle w:val="TableContents"/>
              <w:widowControl w:val="false"/>
              <w:suppressLineNumbers/>
              <w:spacing w:before="0" w:after="200"/>
              <w:rPr/>
            </w:pPr>
            <w:r>
              <w:rPr>
                <w:rStyle w:val="Strong"/>
              </w:rPr>
              <w:t>Challenge status</w:t>
            </w:r>
          </w:p>
        </w:tc>
        <w:tc>
          <w:tcPr>
            <w:tcW w:w="6296" w:type="dxa"/>
            <w:tcBorders/>
            <w:vAlign w:val="center"/>
          </w:tcPr>
          <w:p>
            <w:pPr>
              <w:pStyle w:val="TableContents"/>
              <w:widowControl w:val="false"/>
              <w:suppressLineNumbers/>
              <w:spacing w:before="0" w:after="200"/>
              <w:rPr/>
            </w:pPr>
            <w:r>
              <w:rPr/>
              <w:t>Objections or alternative interpretations</w:t>
            </w:r>
          </w:p>
        </w:tc>
      </w:tr>
      <w:tr>
        <w:trPr/>
        <w:tc>
          <w:tcPr>
            <w:tcW w:w="2344" w:type="dxa"/>
            <w:tcBorders/>
            <w:vAlign w:val="center"/>
          </w:tcPr>
          <w:p>
            <w:pPr>
              <w:pStyle w:val="TableContents"/>
              <w:widowControl w:val="false"/>
              <w:suppressLineNumbers/>
              <w:spacing w:before="0" w:after="200"/>
              <w:rPr/>
            </w:pPr>
            <w:r>
              <w:rPr>
                <w:rStyle w:val="Strong"/>
              </w:rPr>
              <w:t>Review trigger</w:t>
            </w:r>
          </w:p>
        </w:tc>
        <w:tc>
          <w:tcPr>
            <w:tcW w:w="6296" w:type="dxa"/>
            <w:tcBorders/>
            <w:vAlign w:val="center"/>
          </w:tcPr>
          <w:p>
            <w:pPr>
              <w:pStyle w:val="TableContents"/>
              <w:widowControl w:val="false"/>
              <w:suppressLineNumbers/>
              <w:spacing w:before="0" w:after="200"/>
              <w:rPr/>
            </w:pPr>
            <w:r>
              <w:rPr/>
              <w:t>Conditions requiring reconsideration</w:t>
            </w:r>
          </w:p>
        </w:tc>
      </w:tr>
    </w:tbl>
    <w:p>
      <w:pPr>
        <w:pStyle w:val="Heading4"/>
        <w:ind w:hanging="0" w:left="0"/>
        <w:rPr>
          <w:rFonts w:ascii="Aptos" w:hAnsi="Aptos"/>
          <w:color w:val="auto"/>
          <w:sz w:val="21"/>
          <w:szCs w:val="22"/>
        </w:rPr>
      </w:pPr>
      <w:r>
        <w:rPr/>
        <w:t>Required horizon rationale</w:t>
      </w:r>
    </w:p>
    <w:p>
      <w:pPr>
        <w:pStyle w:val="BodyText"/>
        <w:spacing w:before="0" w:after="200"/>
        <w:rPr/>
      </w:pPr>
      <w:r>
        <w:rPr/>
        <w:t>The assessment should explain:</w:t>
      </w:r>
    </w:p>
    <w:p>
      <w:pPr>
        <w:pStyle w:val="BodyText"/>
        <w:numPr>
          <w:ilvl w:val="0"/>
          <w:numId w:val="160"/>
        </w:numPr>
        <w:tabs>
          <w:tab w:val="clear" w:pos="720"/>
          <w:tab w:val="left" w:pos="0" w:leader="none"/>
        </w:tabs>
        <w:spacing w:before="0" w:after="0"/>
        <w:ind w:hanging="283" w:left="709"/>
        <w:rPr/>
      </w:pPr>
      <w:r>
        <w:rPr/>
        <w:t xml:space="preserve">Why each horizon begins and ends where it does; </w:t>
      </w:r>
    </w:p>
    <w:p>
      <w:pPr>
        <w:pStyle w:val="BodyText"/>
        <w:numPr>
          <w:ilvl w:val="0"/>
          <w:numId w:val="160"/>
        </w:numPr>
        <w:tabs>
          <w:tab w:val="clear" w:pos="720"/>
          <w:tab w:val="left" w:pos="0" w:leader="none"/>
        </w:tabs>
        <w:spacing w:before="0" w:after="0"/>
        <w:ind w:hanging="283" w:left="709"/>
        <w:rPr/>
      </w:pPr>
      <w:r>
        <w:rPr/>
        <w:t xml:space="preserve">Which causal delays and feedback loops it captures; </w:t>
      </w:r>
    </w:p>
    <w:p>
      <w:pPr>
        <w:pStyle w:val="BodyText"/>
        <w:numPr>
          <w:ilvl w:val="0"/>
          <w:numId w:val="160"/>
        </w:numPr>
        <w:tabs>
          <w:tab w:val="clear" w:pos="720"/>
          <w:tab w:val="left" w:pos="0" w:leader="none"/>
        </w:tabs>
        <w:spacing w:before="0" w:after="0"/>
        <w:ind w:hanging="283" w:left="709"/>
        <w:rPr/>
      </w:pPr>
      <w:r>
        <w:rPr/>
        <w:t xml:space="preserve">Which entity life cycles or institutional durations are relevant; </w:t>
      </w:r>
    </w:p>
    <w:p>
      <w:pPr>
        <w:pStyle w:val="BodyText"/>
        <w:numPr>
          <w:ilvl w:val="0"/>
          <w:numId w:val="160"/>
        </w:numPr>
        <w:tabs>
          <w:tab w:val="clear" w:pos="720"/>
          <w:tab w:val="left" w:pos="0" w:leader="none"/>
        </w:tabs>
        <w:spacing w:before="0" w:after="0"/>
        <w:ind w:hanging="283" w:left="709"/>
        <w:rPr/>
      </w:pPr>
      <w:r>
        <w:rPr/>
        <w:t xml:space="preserve">Whether irreversible or cumulative effects extend beyond it; </w:t>
      </w:r>
    </w:p>
    <w:p>
      <w:pPr>
        <w:pStyle w:val="BodyText"/>
        <w:numPr>
          <w:ilvl w:val="0"/>
          <w:numId w:val="160"/>
        </w:numPr>
        <w:tabs>
          <w:tab w:val="clear" w:pos="720"/>
          <w:tab w:val="left" w:pos="0" w:leader="none"/>
        </w:tabs>
        <w:spacing w:before="0" w:after="0"/>
        <w:ind w:hanging="283" w:left="709"/>
        <w:rPr/>
      </w:pPr>
      <w:r>
        <w:rPr/>
        <w:t xml:space="preserve">How predictive confidence changes over time; </w:t>
      </w:r>
    </w:p>
    <w:p>
      <w:pPr>
        <w:pStyle w:val="BodyText"/>
        <w:numPr>
          <w:ilvl w:val="0"/>
          <w:numId w:val="160"/>
        </w:numPr>
        <w:tabs>
          <w:tab w:val="clear" w:pos="720"/>
          <w:tab w:val="left" w:pos="0" w:leader="none"/>
        </w:tabs>
        <w:spacing w:before="0" w:after="0"/>
        <w:ind w:hanging="283" w:left="709"/>
        <w:rPr/>
      </w:pPr>
      <w:r>
        <w:rPr/>
        <w:t xml:space="preserve">Why declining confidence does not imply declining moral importance; and </w:t>
      </w:r>
    </w:p>
    <w:p>
      <w:pPr>
        <w:pStyle w:val="BodyText"/>
        <w:numPr>
          <w:ilvl w:val="0"/>
          <w:numId w:val="160"/>
        </w:numPr>
        <w:tabs>
          <w:tab w:val="clear" w:pos="720"/>
          <w:tab w:val="left" w:pos="0" w:leader="none"/>
        </w:tabs>
        <w:ind w:hanging="283" w:left="709"/>
        <w:rPr/>
      </w:pPr>
      <w:r>
        <w:rPr/>
        <w:t xml:space="preserve">Which effects remain outside the selected horizon. </w:t>
      </w:r>
    </w:p>
    <w:p>
      <w:pPr>
        <w:pStyle w:val="Heading4"/>
        <w:ind w:hanging="0" w:left="0"/>
        <w:rPr>
          <w:rFonts w:ascii="Aptos" w:hAnsi="Aptos"/>
          <w:color w:val="auto"/>
          <w:sz w:val="21"/>
          <w:szCs w:val="22"/>
        </w:rPr>
      </w:pPr>
      <w:r>
        <w:rPr/>
        <w:t>Competing-model requirement</w:t>
      </w:r>
    </w:p>
    <w:p>
      <w:pPr>
        <w:pStyle w:val="BodyText"/>
        <w:spacing w:before="0" w:after="200"/>
        <w:rPr/>
      </w:pPr>
      <w:r>
        <w:rPr/>
        <w:t>A competing model should be considered materially plausible when it:</w:t>
      </w:r>
    </w:p>
    <w:p>
      <w:pPr>
        <w:pStyle w:val="BodyText"/>
        <w:numPr>
          <w:ilvl w:val="0"/>
          <w:numId w:val="161"/>
        </w:numPr>
        <w:tabs>
          <w:tab w:val="clear" w:pos="720"/>
          <w:tab w:val="left" w:pos="0" w:leader="none"/>
        </w:tabs>
        <w:spacing w:before="0" w:after="0"/>
        <w:ind w:hanging="283" w:left="709"/>
        <w:rPr/>
      </w:pPr>
      <w:r>
        <w:rPr/>
        <w:t xml:space="preserve">Has defensible empirical, historical, qualitative, or stakeholder support; </w:t>
      </w:r>
    </w:p>
    <w:p>
      <w:pPr>
        <w:pStyle w:val="BodyText"/>
        <w:numPr>
          <w:ilvl w:val="0"/>
          <w:numId w:val="161"/>
        </w:numPr>
        <w:tabs>
          <w:tab w:val="clear" w:pos="720"/>
          <w:tab w:val="left" w:pos="0" w:leader="none"/>
        </w:tabs>
        <w:spacing w:before="0" w:after="0"/>
        <w:ind w:hanging="283" w:left="709"/>
        <w:rPr/>
      </w:pPr>
      <w:r>
        <w:rPr/>
        <w:t xml:space="preserve">Proposes a different causal mechanism or system boundary; </w:t>
      </w:r>
    </w:p>
    <w:p>
      <w:pPr>
        <w:pStyle w:val="BodyText"/>
        <w:numPr>
          <w:ilvl w:val="0"/>
          <w:numId w:val="161"/>
        </w:numPr>
        <w:tabs>
          <w:tab w:val="clear" w:pos="720"/>
          <w:tab w:val="left" w:pos="0" w:leader="none"/>
        </w:tabs>
        <w:spacing w:before="0" w:after="0"/>
        <w:ind w:hanging="283" w:left="709"/>
        <w:rPr/>
      </w:pPr>
      <w:r>
        <w:rPr/>
        <w:t xml:space="preserve">Represents entities or effects omitted by the primary model; and </w:t>
      </w:r>
    </w:p>
    <w:p>
      <w:pPr>
        <w:pStyle w:val="BodyText"/>
        <w:numPr>
          <w:ilvl w:val="0"/>
          <w:numId w:val="161"/>
        </w:numPr>
        <w:tabs>
          <w:tab w:val="clear" w:pos="720"/>
          <w:tab w:val="left" w:pos="0" w:leader="none"/>
        </w:tabs>
        <w:ind w:hanging="283" w:left="709"/>
        <w:rPr/>
      </w:pPr>
      <w:r>
        <w:rPr/>
        <w:t xml:space="preserve">Could materially change permissibility, distribution, responsibility, confidence, or remedy. </w:t>
      </w:r>
    </w:p>
    <w:p>
      <w:pPr>
        <w:pStyle w:val="BodyText"/>
        <w:spacing w:before="0" w:after="200"/>
        <w:rPr/>
      </w:pPr>
      <w:r>
        <w:rPr/>
        <w:t>Model comparison should produce one of four findings:</w:t>
      </w:r>
    </w:p>
    <w:tbl>
      <w:tblPr>
        <w:tblW w:w="8640" w:type="dxa"/>
        <w:jc w:val="left"/>
        <w:tblInd w:w="28" w:type="dxa"/>
        <w:tblLayout w:type="fixed"/>
        <w:tblCellMar>
          <w:top w:w="28" w:type="dxa"/>
          <w:left w:w="28" w:type="dxa"/>
          <w:bottom w:w="28" w:type="dxa"/>
          <w:right w:w="28" w:type="dxa"/>
        </w:tblCellMar>
      </w:tblPr>
      <w:tblGrid>
        <w:gridCol w:w="1668"/>
        <w:gridCol w:w="6972"/>
      </w:tblGrid>
      <w:tr>
        <w:trPr>
          <w:tblHeader w:val="true"/>
        </w:trPr>
        <w:tc>
          <w:tcPr>
            <w:tcW w:w="1668" w:type="dxa"/>
            <w:tcBorders/>
            <w:vAlign w:val="center"/>
          </w:tcPr>
          <w:p>
            <w:pPr>
              <w:pStyle w:val="TableHeading"/>
              <w:suppressLineNumbers/>
              <w:spacing w:before="0" w:after="200"/>
              <w:jc w:val="center"/>
              <w:rPr/>
            </w:pPr>
            <w:r>
              <w:rPr/>
              <w:t>Finding</w:t>
            </w:r>
          </w:p>
        </w:tc>
        <w:tc>
          <w:tcPr>
            <w:tcW w:w="6972" w:type="dxa"/>
            <w:tcBorders/>
            <w:vAlign w:val="center"/>
          </w:tcPr>
          <w:p>
            <w:pPr>
              <w:pStyle w:val="TableHeading"/>
              <w:suppressLineNumbers/>
              <w:spacing w:before="0" w:after="200"/>
              <w:jc w:val="center"/>
              <w:rPr/>
            </w:pPr>
            <w:r>
              <w:rPr/>
              <w:t>Meaning</w:t>
            </w:r>
          </w:p>
        </w:tc>
      </w:tr>
      <w:tr>
        <w:trPr/>
        <w:tc>
          <w:tcPr>
            <w:tcW w:w="1668" w:type="dxa"/>
            <w:tcBorders/>
            <w:vAlign w:val="center"/>
          </w:tcPr>
          <w:p>
            <w:pPr>
              <w:pStyle w:val="TableContents"/>
              <w:widowControl w:val="false"/>
              <w:suppressLineNumbers/>
              <w:spacing w:before="0" w:after="200"/>
              <w:rPr/>
            </w:pPr>
            <w:r>
              <w:rPr>
                <w:rStyle w:val="Strong"/>
              </w:rPr>
              <w:t>Robust</w:t>
            </w:r>
          </w:p>
        </w:tc>
        <w:tc>
          <w:tcPr>
            <w:tcW w:w="6972" w:type="dxa"/>
            <w:tcBorders/>
            <w:vAlign w:val="center"/>
          </w:tcPr>
          <w:p>
            <w:pPr>
              <w:pStyle w:val="TableContents"/>
              <w:widowControl w:val="false"/>
              <w:suppressLineNumbers/>
              <w:spacing w:before="0" w:after="200"/>
              <w:rPr/>
            </w:pPr>
            <w:r>
              <w:rPr/>
              <w:t>The ethical conclusion remains stable across materially plausible models.</w:t>
            </w:r>
          </w:p>
        </w:tc>
      </w:tr>
      <w:tr>
        <w:trPr/>
        <w:tc>
          <w:tcPr>
            <w:tcW w:w="1668" w:type="dxa"/>
            <w:tcBorders/>
            <w:vAlign w:val="center"/>
          </w:tcPr>
          <w:p>
            <w:pPr>
              <w:pStyle w:val="TableContents"/>
              <w:widowControl w:val="false"/>
              <w:suppressLineNumbers/>
              <w:spacing w:before="0" w:after="200"/>
              <w:rPr/>
            </w:pPr>
            <w:r>
              <w:rPr>
                <w:rStyle w:val="Strong"/>
              </w:rPr>
              <w:t>Conditional</w:t>
            </w:r>
          </w:p>
        </w:tc>
        <w:tc>
          <w:tcPr>
            <w:tcW w:w="6972" w:type="dxa"/>
            <w:tcBorders/>
            <w:vAlign w:val="center"/>
          </w:tcPr>
          <w:p>
            <w:pPr>
              <w:pStyle w:val="TableContents"/>
              <w:widowControl w:val="false"/>
              <w:suppressLineNumbers/>
              <w:spacing w:before="0" w:after="200"/>
              <w:rPr/>
            </w:pPr>
            <w:r>
              <w:rPr/>
              <w:t>The conclusion holds only under disclosed assumptions or boundaries.</w:t>
            </w:r>
          </w:p>
        </w:tc>
      </w:tr>
      <w:tr>
        <w:trPr/>
        <w:tc>
          <w:tcPr>
            <w:tcW w:w="1668" w:type="dxa"/>
            <w:tcBorders/>
            <w:vAlign w:val="center"/>
          </w:tcPr>
          <w:p>
            <w:pPr>
              <w:pStyle w:val="TableContents"/>
              <w:widowControl w:val="false"/>
              <w:suppressLineNumbers/>
              <w:spacing w:before="0" w:after="200"/>
              <w:rPr/>
            </w:pPr>
            <w:r>
              <w:rPr>
                <w:rStyle w:val="Strong"/>
              </w:rPr>
              <w:t>Divergent</w:t>
            </w:r>
          </w:p>
        </w:tc>
        <w:tc>
          <w:tcPr>
            <w:tcW w:w="6972" w:type="dxa"/>
            <w:tcBorders/>
            <w:vAlign w:val="center"/>
          </w:tcPr>
          <w:p>
            <w:pPr>
              <w:pStyle w:val="TableContents"/>
              <w:widowControl w:val="false"/>
              <w:suppressLineNumbers/>
              <w:spacing w:before="0" w:after="200"/>
              <w:rPr/>
            </w:pPr>
            <w:r>
              <w:rPr/>
              <w:t>Plausible models support materially different conclusions.</w:t>
            </w:r>
          </w:p>
        </w:tc>
      </w:tr>
      <w:tr>
        <w:trPr/>
        <w:tc>
          <w:tcPr>
            <w:tcW w:w="1668" w:type="dxa"/>
            <w:tcBorders/>
            <w:vAlign w:val="center"/>
          </w:tcPr>
          <w:p>
            <w:pPr>
              <w:pStyle w:val="TableContents"/>
              <w:widowControl w:val="false"/>
              <w:suppressLineNumbers/>
              <w:spacing w:before="0" w:after="200"/>
              <w:rPr/>
            </w:pPr>
            <w:r>
              <w:rPr>
                <w:rStyle w:val="Strong"/>
              </w:rPr>
              <w:t>Indeterminate</w:t>
            </w:r>
          </w:p>
        </w:tc>
        <w:tc>
          <w:tcPr>
            <w:tcW w:w="6972" w:type="dxa"/>
            <w:tcBorders/>
            <w:vAlign w:val="center"/>
          </w:tcPr>
          <w:p>
            <w:pPr>
              <w:pStyle w:val="TableContents"/>
              <w:widowControl w:val="false"/>
              <w:suppressLineNumbers/>
              <w:spacing w:before="0" w:after="200"/>
              <w:rPr/>
            </w:pPr>
            <w:r>
              <w:rPr/>
              <w:t>Evidence is insufficient to prefer a model or robust course of action.</w:t>
            </w:r>
          </w:p>
        </w:tc>
      </w:tr>
    </w:tbl>
    <w:p>
      <w:pPr>
        <w:pStyle w:val="BodyText"/>
        <w:spacing w:before="0" w:after="200"/>
        <w:rPr/>
      </w:pPr>
      <w:r>
        <w:rPr/>
        <w:t>The section’s central conclusion should be:</w:t>
      </w:r>
    </w:p>
    <w:p>
      <w:pPr>
        <w:pStyle w:val="BlockQuotation"/>
        <w:spacing w:before="0" w:after="200"/>
        <w:rPr/>
      </w:pPr>
      <w:r>
        <w:rPr/>
        <w:t>Boundary selection is itself an ethical and causal judgment. A responsible assessment must disclose who defined the system, which entities and histories were excluded, why particular scales and horizons were selected, and whether materially plausible alternative models produce different conclusions. “Complete World Context Transition” should mean materially adequate relative to disclosed boundaries and uncertainty—not complete in an absolute sense.</w:t>
      </w:r>
    </w:p>
    <w:p>
      <w:pPr>
        <w:pStyle w:val="Heading3"/>
        <w:ind w:hanging="0" w:left="0"/>
        <w:rPr/>
      </w:pPr>
      <w:bookmarkStart w:id="2" w:name="__RefHeading___Toc23507_3508477456"/>
      <w:bookmarkEnd w:id="2"/>
      <w:r>
        <w:rPr/>
        <w:t>Evidence, Moral Perception, and Qualitative Knowledge</w:t>
      </w:r>
    </w:p>
    <w:p>
      <w:pPr>
        <w:pStyle w:val="Normal"/>
        <w:widowControl/>
        <w:bidi w:val="0"/>
        <w:spacing w:lineRule="auto" w:line="276"/>
        <w:jc w:val="left"/>
        <w:rPr/>
      </w:pPr>
      <w:r>
        <w:rPr/>
        <w:t>This section should replace the assumption that ethical objectivity requires excluding intuition, emotion, narrative, or situated knowledge. The objective should be disciplined, transparent, plural, and contestable inquiry—not the elimination of perspective.</w:t>
      </w:r>
    </w:p>
    <w:p>
      <w:pPr>
        <w:pStyle w:val="Heading4"/>
        <w:ind w:hanging="0" w:left="0"/>
        <w:rPr/>
      </w:pPr>
      <w:r>
        <w:rPr/>
        <w:t>Limitation Statement</w:t>
      </w:r>
    </w:p>
    <w:p>
      <w:pPr>
        <w:pStyle w:val="Normal"/>
        <w:widowControl/>
        <w:bidi w:val="0"/>
        <w:spacing w:lineRule="auto" w:line="276"/>
        <w:jc w:val="left"/>
        <w:rPr/>
      </w:pPr>
      <w:r>
        <w:rPr/>
        <w:t>Explain that the current “Objective Assessment” principle may privilege quantifiable and formally modeled evidence while excluding morally significant testimony, narrative, emotion, practical knowledge, cultural meaning, and lived experience.</w:t>
      </w:r>
    </w:p>
    <w:p>
      <w:pPr>
        <w:pStyle w:val="Heading4"/>
        <w:ind w:hanging="0" w:left="0"/>
        <w:rPr/>
      </w:pPr>
      <w:r>
        <w:rPr/>
        <w:t>Revision of the Objective Assessment Principle</w:t>
      </w:r>
    </w:p>
    <w:p>
      <w:pPr>
        <w:pStyle w:val="Normal"/>
        <w:widowControl/>
        <w:bidi w:val="0"/>
        <w:spacing w:lineRule="auto" w:line="276"/>
        <w:jc w:val="left"/>
        <w:rPr/>
      </w:pPr>
      <w:r>
        <w:rPr/>
        <w:t>Recommend replacing “Objective Assessment” with Evidence-Disciplined, Reflexive, and Contestable Assessment. Define objectivity as transparency, provenance, challenge, correction, and appropriate use of multiple evidence forms.</w:t>
      </w:r>
    </w:p>
    <w:p>
      <w:pPr>
        <w:pStyle w:val="Heading4"/>
        <w:ind w:hanging="0" w:left="0"/>
        <w:rPr/>
      </w:pPr>
      <w:r>
        <w:rPr/>
        <w:t>Moral Perception as Input Rather Than Proof</w:t>
      </w:r>
    </w:p>
    <w:p>
      <w:pPr>
        <w:pStyle w:val="Normal"/>
        <w:widowControl/>
        <w:bidi w:val="0"/>
        <w:spacing w:lineRule="auto" w:line="276"/>
        <w:jc w:val="left"/>
        <w:rPr/>
      </w:pPr>
      <w:r>
        <w:rPr/>
        <w:t>Treat intuition, emotional response, and practical judgment as sources of hypotheses and salience—not self-validating evidence or final moral conclusions.</w:t>
      </w:r>
    </w:p>
    <w:p>
      <w:pPr>
        <w:pStyle w:val="Heading4"/>
        <w:ind w:hanging="0" w:left="0"/>
        <w:rPr/>
      </w:pPr>
      <w:r>
        <w:rPr/>
        <w:t>Evidence Taxonomy</w:t>
      </w:r>
    </w:p>
    <w:p>
      <w:pPr>
        <w:pStyle w:val="Normal"/>
        <w:widowControl/>
        <w:bidi w:val="0"/>
        <w:spacing w:lineRule="auto" w:line="276"/>
        <w:jc w:val="left"/>
        <w:rPr/>
      </w:pPr>
      <w:r>
        <w:rPr/>
        <w:t>Classify quantitative, documentary, observational, testimonial, narrative, experiential, relational, emotional, embodied, tacit, historical, cultural, Indigenous, local, expert, and model-generated evidence.</w:t>
      </w:r>
    </w:p>
    <w:p>
      <w:pPr>
        <w:pStyle w:val="Heading4"/>
        <w:ind w:hanging="0" w:left="0"/>
        <w:rPr/>
      </w:pPr>
      <w:r>
        <w:rPr/>
        <w:t>Evidence, Interpretation, and Normative Judgment</w:t>
      </w:r>
    </w:p>
    <w:p>
      <w:pPr>
        <w:pStyle w:val="Normal"/>
        <w:widowControl/>
        <w:bidi w:val="0"/>
        <w:spacing w:lineRule="auto" w:line="276"/>
        <w:jc w:val="left"/>
        <w:rPr/>
      </w:pPr>
      <w:r>
        <w:rPr/>
        <w:t>Separate what was observed or reported, how it was interpreted, why it is morally significant, and how it affects the decision. Prevent normative conclusions from being presented as empirical facts.</w:t>
      </w:r>
    </w:p>
    <w:p>
      <w:pPr>
        <w:pStyle w:val="Heading4"/>
        <w:ind w:hanging="0" w:left="0"/>
        <w:rPr/>
      </w:pPr>
      <w:r>
        <w:rPr/>
        <w:t>Affected-Party Testimony</w:t>
      </w:r>
    </w:p>
    <w:p>
      <w:pPr>
        <w:pStyle w:val="Normal"/>
        <w:widowControl/>
        <w:bidi w:val="0"/>
        <w:spacing w:lineRule="auto" w:line="276"/>
        <w:jc w:val="left"/>
        <w:rPr/>
      </w:pPr>
      <w:r>
        <w:rPr/>
        <w:t>Define procedures for collecting and using the testimony of people directly affected by the action, including access, informed participation, translation, support, compensation, refusal, and protection from retaliation.</w:t>
      </w:r>
    </w:p>
    <w:p>
      <w:pPr>
        <w:pStyle w:val="Heading4"/>
        <w:ind w:hanging="0" w:left="0"/>
        <w:rPr/>
      </w:pPr>
      <w:r>
        <w:rPr/>
        <w:t>Narrative Evidence</w:t>
      </w:r>
    </w:p>
    <w:p>
      <w:pPr>
        <w:pStyle w:val="Normal"/>
        <w:widowControl/>
        <w:bidi w:val="0"/>
        <w:spacing w:lineRule="auto" w:line="276"/>
        <w:jc w:val="left"/>
        <w:rPr/>
      </w:pPr>
      <w:r>
        <w:rPr/>
        <w:t>Explain how narratives reveal temporal sequence, identity, relationships, meaning, cumulative harm, coercion, changing preferences, and effects that isolated variables may overlook.</w:t>
      </w:r>
    </w:p>
    <w:p>
      <w:pPr>
        <w:pStyle w:val="Heading4"/>
        <w:ind w:hanging="0" w:left="0"/>
        <w:rPr/>
      </w:pPr>
      <w:r>
        <w:rPr/>
        <w:t>Emotional and Affective Knowledge</w:t>
      </w:r>
    </w:p>
    <w:p>
      <w:pPr>
        <w:pStyle w:val="Normal"/>
        <w:widowControl/>
        <w:bidi w:val="0"/>
        <w:spacing w:lineRule="auto" w:line="276"/>
        <w:jc w:val="left"/>
        <w:rPr/>
      </w:pPr>
      <w:r>
        <w:rPr/>
        <w:t>Recognize emotions as possible indicators of attachment, fear, humiliation, grief, trust, moral injury, or care while guarding against projection, prejudice, emotional manipulation, and empathy bias.</w:t>
      </w:r>
    </w:p>
    <w:p>
      <w:pPr>
        <w:pStyle w:val="Heading4"/>
        <w:ind w:hanging="0" w:left="0"/>
        <w:rPr/>
      </w:pPr>
      <w:r>
        <w:rPr/>
        <w:t>Tacit and Embodied Knowledge</w:t>
      </w:r>
    </w:p>
    <w:p>
      <w:pPr>
        <w:pStyle w:val="Normal"/>
        <w:widowControl/>
        <w:bidi w:val="0"/>
        <w:spacing w:lineRule="auto" w:line="276"/>
        <w:jc w:val="left"/>
        <w:rPr/>
      </w:pPr>
      <w:r>
        <w:rPr/>
        <w:t>Include knowledge expressed through skilled practice, caregiving, bodily experience, pattern recognition, environmental familiarity, and long participation that may not be fully reducible to explicit propositions.</w:t>
      </w:r>
    </w:p>
    <w:p>
      <w:pPr>
        <w:pStyle w:val="Heading4"/>
        <w:ind w:hanging="0" w:left="0"/>
        <w:rPr/>
      </w:pPr>
      <w:r>
        <w:rPr/>
        <w:t>Relational Knowledge</w:t>
      </w:r>
    </w:p>
    <w:p>
      <w:pPr>
        <w:pStyle w:val="Normal"/>
        <w:widowControl/>
        <w:bidi w:val="0"/>
        <w:spacing w:lineRule="auto" w:line="276"/>
        <w:jc w:val="left"/>
        <w:rPr/>
      </w:pPr>
      <w:r>
        <w:rPr/>
        <w:t>Recognize that caregivers, family members, clinicians, community participants, and others may know needs or vulnerabilities through continuing relationships while remaining subject to conflicts of interest and paternalism review.</w:t>
      </w:r>
    </w:p>
    <w:p>
      <w:pPr>
        <w:pStyle w:val="Heading4"/>
        <w:ind w:hanging="0" w:left="0"/>
        <w:rPr/>
      </w:pPr>
      <w:r>
        <w:rPr/>
        <w:t>Practical Wisdom and Domain Expertise</w:t>
      </w:r>
    </w:p>
    <w:p>
      <w:pPr>
        <w:pStyle w:val="Normal"/>
        <w:widowControl/>
        <w:bidi w:val="0"/>
        <w:spacing w:lineRule="auto" w:line="276"/>
        <w:jc w:val="left"/>
        <w:rPr/>
      </w:pPr>
      <w:r>
        <w:rPr/>
        <w:t>Define how experienced judgment contributes to identifying salient particulars, interpreting incomplete evidence, and selecting context-sensitive responses without becoming unchallengeable professional authority.</w:t>
      </w:r>
    </w:p>
    <w:p>
      <w:pPr>
        <w:pStyle w:val="Heading4"/>
        <w:ind w:hanging="0" w:left="0"/>
        <w:rPr/>
      </w:pPr>
      <w:r>
        <w:rPr/>
        <w:t>Cultural and Historically Situated Knowledge</w:t>
      </w:r>
    </w:p>
    <w:p>
      <w:pPr>
        <w:pStyle w:val="Normal"/>
        <w:widowControl/>
        <w:bidi w:val="0"/>
        <w:spacing w:lineRule="auto" w:line="276"/>
        <w:jc w:val="left"/>
        <w:rPr/>
      </w:pPr>
      <w:r>
        <w:rPr/>
        <w:t>Preserve the cultural, linguistic, historical, institutional, and political context necessary to interpret practices, testimony, roles, obligations, and experiences.</w:t>
      </w:r>
    </w:p>
    <w:p>
      <w:pPr>
        <w:pStyle w:val="Heading4"/>
        <w:ind w:hanging="0" w:left="0"/>
        <w:rPr/>
      </w:pPr>
      <w:r>
        <w:rPr/>
        <w:t>Indigenous and Local Knowledge</w:t>
      </w:r>
    </w:p>
    <w:p>
      <w:pPr>
        <w:pStyle w:val="Normal"/>
        <w:widowControl/>
        <w:bidi w:val="0"/>
        <w:spacing w:lineRule="auto" w:line="276"/>
        <w:jc w:val="left"/>
        <w:rPr/>
      </w:pPr>
      <w:r>
        <w:rPr/>
        <w:t>Require respectful inclusion of land-based, ecological, historical, and community knowledge through appropriate authority and participation rather than extraction, tokenism, or decontextualized data collection.</w:t>
      </w:r>
    </w:p>
    <w:p>
      <w:pPr>
        <w:pStyle w:val="Heading4"/>
        <w:ind w:hanging="0" w:left="0"/>
        <w:rPr/>
      </w:pPr>
      <w:r>
        <w:rPr/>
        <w:t>Epistemic Injustice and Unequal Credibility</w:t>
      </w:r>
    </w:p>
    <w:p>
      <w:pPr>
        <w:pStyle w:val="Normal"/>
        <w:widowControl/>
        <w:bidi w:val="0"/>
        <w:spacing w:lineRule="auto" w:line="276"/>
        <w:jc w:val="left"/>
        <w:rPr/>
      </w:pPr>
      <w:r>
        <w:rPr/>
        <w:t>Address testimonial injustice, interpretive exclusion, communication differences, institutional stigma, and systematic discounting of people who lack formal credentials or social power.</w:t>
      </w:r>
    </w:p>
    <w:p>
      <w:pPr>
        <w:pStyle w:val="Heading4"/>
        <w:ind w:hanging="0" w:left="0"/>
        <w:rPr/>
      </w:pPr>
      <w:r>
        <w:rPr/>
        <w:t>Evidence Provenance</w:t>
      </w:r>
    </w:p>
    <w:p>
      <w:pPr>
        <w:pStyle w:val="Normal"/>
        <w:widowControl/>
        <w:bidi w:val="0"/>
        <w:spacing w:lineRule="auto" w:line="276"/>
        <w:jc w:val="left"/>
        <w:rPr/>
      </w:pPr>
      <w:r>
        <w:rPr/>
        <w:t>Require documentation of source, role, collection method, date, context, consent, chain of custody, translation, conflicts of interest, transformations, and prior uses.</w:t>
      </w:r>
    </w:p>
    <w:p>
      <w:pPr>
        <w:pStyle w:val="Heading4"/>
        <w:ind w:hanging="0" w:left="0"/>
        <w:rPr/>
      </w:pPr>
      <w:r>
        <w:rPr/>
        <w:t>Ethical Evidence Collection</w:t>
      </w:r>
    </w:p>
    <w:p>
      <w:pPr>
        <w:pStyle w:val="Normal"/>
        <w:widowControl/>
        <w:bidi w:val="0"/>
        <w:spacing w:lineRule="auto" w:line="276"/>
        <w:jc w:val="left"/>
        <w:rPr/>
      </w:pPr>
      <w:r>
        <w:rPr/>
        <w:t>Apply necessity, proportionality, informed participation, burden minimization, non-retaliation, trauma awareness, cultural protocols, and avoidance of extractive research practices.</w:t>
      </w:r>
    </w:p>
    <w:p>
      <w:pPr>
        <w:pStyle w:val="Heading4"/>
        <w:ind w:hanging="0" w:left="0"/>
        <w:rPr/>
      </w:pPr>
      <w:r>
        <w:rPr/>
        <w:t>Interpretation and Assessor Reflexivity</w:t>
      </w:r>
    </w:p>
    <w:p>
      <w:pPr>
        <w:pStyle w:val="Normal"/>
        <w:widowControl/>
        <w:bidi w:val="0"/>
        <w:spacing w:lineRule="auto" w:line="276"/>
        <w:jc w:val="left"/>
        <w:rPr/>
      </w:pPr>
      <w:r>
        <w:rPr/>
        <w:t>Require assessors to disclose interpretive frameworks, positionality, institutional interests, relevant experience, assumptions, and potential biases.</w:t>
      </w:r>
    </w:p>
    <w:p>
      <w:pPr>
        <w:pStyle w:val="Heading4"/>
        <w:ind w:hanging="0" w:left="0"/>
        <w:rPr/>
      </w:pPr>
      <w:r>
        <w:rPr/>
        <w:t>Language, Translation, and Conceptual Equivalence</w:t>
      </w:r>
    </w:p>
    <w:p>
      <w:pPr>
        <w:pStyle w:val="Normal"/>
        <w:widowControl/>
        <w:bidi w:val="0"/>
        <w:spacing w:lineRule="auto" w:line="276"/>
        <w:jc w:val="left"/>
        <w:rPr/>
      </w:pPr>
      <w:r>
        <w:rPr/>
        <w:t>Document translation decisions, culturally specific concepts, ambiguity, non-equivalent terms, and the risk that standardized categories alter the meaning of testimony.</w:t>
      </w:r>
    </w:p>
    <w:p>
      <w:pPr>
        <w:pStyle w:val="Heading4"/>
        <w:ind w:hanging="0" w:left="0"/>
        <w:rPr/>
      </w:pPr>
      <w:r>
        <w:rPr/>
        <w:t>Credibility and Evidentiary Weight</w:t>
      </w:r>
    </w:p>
    <w:p>
      <w:pPr>
        <w:pStyle w:val="Normal"/>
        <w:widowControl/>
        <w:bidi w:val="0"/>
        <w:spacing w:lineRule="auto" w:line="276"/>
        <w:jc w:val="left"/>
        <w:rPr/>
      </w:pPr>
      <w:r>
        <w:rPr/>
        <w:t>Evaluate evidence according to relevance, proximity, competence, authenticity, contextual adequacy, independence, corroboration, consistency, and exposure to coercion—not status or quantifiability alone.</w:t>
      </w:r>
    </w:p>
    <w:p>
      <w:pPr>
        <w:pStyle w:val="Heading4"/>
        <w:ind w:hanging="0" w:left="0"/>
        <w:rPr/>
      </w:pPr>
      <w:r>
        <w:rPr/>
        <w:t>Disagreement and Conflicting Accounts</w:t>
      </w:r>
    </w:p>
    <w:p>
      <w:pPr>
        <w:pStyle w:val="Normal"/>
        <w:widowControl/>
        <w:bidi w:val="0"/>
        <w:spacing w:lineRule="auto" w:line="276"/>
        <w:jc w:val="left"/>
        <w:rPr/>
      </w:pPr>
      <w:r>
        <w:rPr/>
        <w:t>Preserve material disagreements rather than forcing consensus. Record competing interpretations, areas of agreement, unresolved contradictions, power asymmetries, and the consequences of selecting one account.</w:t>
      </w:r>
    </w:p>
    <w:p>
      <w:pPr>
        <w:pStyle w:val="Heading4"/>
        <w:ind w:hanging="0" w:left="0"/>
        <w:rPr/>
      </w:pPr>
      <w:r>
        <w:rPr/>
        <w:t>Triangulation and Mixed Evidence</w:t>
      </w:r>
    </w:p>
    <w:p>
      <w:pPr>
        <w:pStyle w:val="Normal"/>
        <w:widowControl/>
        <w:bidi w:val="0"/>
        <w:spacing w:lineRule="auto" w:line="276"/>
        <w:jc w:val="left"/>
        <w:rPr/>
      </w:pPr>
      <w:r>
        <w:rPr/>
        <w:t>Compare testimony, observation, records, quantitative measures, expert judgment, and causal models. Lack of numerical confirmation should not automatically invalidate qualitative evidence.</w:t>
      </w:r>
    </w:p>
    <w:p>
      <w:pPr>
        <w:pStyle w:val="Heading4"/>
        <w:ind w:hanging="0" w:left="0"/>
        <w:rPr/>
      </w:pPr>
      <w:r>
        <w:rPr/>
        <w:t>Qualitative and Quantitative Integration</w:t>
      </w:r>
    </w:p>
    <w:p>
      <w:pPr>
        <w:pStyle w:val="Normal"/>
        <w:widowControl/>
        <w:bidi w:val="0"/>
        <w:spacing w:lineRule="auto" w:line="276"/>
        <w:jc w:val="left"/>
        <w:rPr/>
      </w:pPr>
      <w:r>
        <w:rPr/>
        <w:t>Define how evidence forms inform one another without forcing qualitative meaning into numerical scores or allowing narrative evidence to evade standards of scrutiny.</w:t>
      </w:r>
    </w:p>
    <w:p>
      <w:pPr>
        <w:pStyle w:val="Heading4"/>
        <w:ind w:hanging="0" w:left="0"/>
        <w:rPr/>
      </w:pPr>
      <w:r>
        <w:rPr/>
        <w:t>Uncertainty and Interpretive Confidence</w:t>
      </w:r>
    </w:p>
    <w:p>
      <w:pPr>
        <w:pStyle w:val="Normal"/>
        <w:widowControl/>
        <w:bidi w:val="0"/>
        <w:spacing w:lineRule="auto" w:line="276"/>
        <w:jc w:val="left"/>
        <w:rPr/>
      </w:pPr>
      <w:r>
        <w:rPr/>
        <w:t>Report ambiguity, incompleteness, translation uncertainty, disagreement, source limitations, interpretive dependence, and confidence separately from predictive probability.</w:t>
      </w:r>
    </w:p>
    <w:p>
      <w:pPr>
        <w:pStyle w:val="Heading4"/>
        <w:ind w:hanging="0" w:left="0"/>
        <w:rPr/>
      </w:pPr>
      <w:r>
        <w:rPr/>
        <w:t>Computational Representation of Qualitative Evidence</w:t>
      </w:r>
    </w:p>
    <w:p>
      <w:pPr>
        <w:pStyle w:val="Normal"/>
        <w:widowControl/>
        <w:bidi w:val="0"/>
        <w:spacing w:lineRule="auto" w:line="276"/>
        <w:jc w:val="left"/>
        <w:rPr/>
      </w:pPr>
      <w:r>
        <w:rPr/>
        <w:t>Permit computation to organize sources, preserve provenance, identify patterns, retrieve context, and display disagreement while retaining access to original meaning and source limitations.</w:t>
      </w:r>
    </w:p>
    <w:p>
      <w:pPr>
        <w:pStyle w:val="Heading4"/>
        <w:ind w:hanging="0" w:left="0"/>
        <w:rPr/>
      </w:pPr>
      <w:r>
        <w:rPr/>
        <w:t>Limits on Computational Inference</w:t>
      </w:r>
    </w:p>
    <w:p>
      <w:pPr>
        <w:pStyle w:val="Normal"/>
        <w:widowControl/>
        <w:bidi w:val="0"/>
        <w:spacing w:lineRule="auto" w:line="276"/>
        <w:jc w:val="left"/>
        <w:rPr/>
      </w:pPr>
      <w:r>
        <w:rPr/>
        <w:t>Restrict automated inference of intention, emotion, credibility, consent, character, cultural meaning, pain, or preference when the evidence does not support reliable conclusions.</w:t>
      </w:r>
    </w:p>
    <w:p>
      <w:pPr>
        <w:pStyle w:val="Heading4"/>
        <w:ind w:hanging="0" w:left="0"/>
        <w:rPr/>
      </w:pPr>
      <w:r>
        <w:rPr/>
        <w:t>Human Review and Contestability</w:t>
      </w:r>
    </w:p>
    <w:p>
      <w:pPr>
        <w:pStyle w:val="Normal"/>
        <w:widowControl/>
        <w:bidi w:val="0"/>
        <w:spacing w:lineRule="auto" w:line="276"/>
        <w:jc w:val="left"/>
        <w:rPr/>
      </w:pPr>
      <w:r>
        <w:rPr/>
        <w:t>Require qualified human review for sensitive qualitative interpretations and provide affected parties or representatives with methods to correct, contextualize, or challenge conclusions.</w:t>
      </w:r>
    </w:p>
    <w:p>
      <w:pPr>
        <w:pStyle w:val="Heading4"/>
        <w:ind w:hanging="0" w:left="0"/>
        <w:rPr/>
      </w:pPr>
      <w:r>
        <w:rPr/>
        <w:t>Privacy and Data Protection</w:t>
      </w:r>
    </w:p>
    <w:p>
      <w:pPr>
        <w:pStyle w:val="Normal"/>
        <w:widowControl/>
        <w:bidi w:val="0"/>
        <w:spacing w:lineRule="auto" w:line="276"/>
        <w:jc w:val="left"/>
        <w:rPr/>
      </w:pPr>
      <w:r>
        <w:rPr/>
        <w:t>Establish data minimization, purpose limitation, consent, access controls, de-identification, retention limits, deletion procedures, group privacy, community authority, and protection against secondary misuse.</w:t>
      </w:r>
    </w:p>
    <w:p>
      <w:pPr>
        <w:pStyle w:val="Heading4"/>
        <w:ind w:hanging="0" w:left="0"/>
        <w:rPr/>
      </w:pPr>
      <w:r>
        <w:rPr/>
        <w:t>Confidentiality and Retaliation Risk</w:t>
      </w:r>
    </w:p>
    <w:p>
      <w:pPr>
        <w:pStyle w:val="Normal"/>
        <w:widowControl/>
        <w:bidi w:val="0"/>
        <w:spacing w:lineRule="auto" w:line="276"/>
        <w:jc w:val="left"/>
        <w:rPr/>
      </w:pPr>
      <w:r>
        <w:rPr/>
        <w:t>Address circumstances in which disclosure of testimony could expose individuals or communities to employment, legal, political, familial, reputational, or physical harm.</w:t>
      </w:r>
    </w:p>
    <w:p>
      <w:pPr>
        <w:pStyle w:val="Heading4"/>
        <w:ind w:hanging="0" w:left="0"/>
        <w:rPr/>
      </w:pPr>
      <w:r>
        <w:rPr/>
        <w:t>Representation of Nonparticipants</w:t>
      </w:r>
    </w:p>
    <w:p>
      <w:pPr>
        <w:pStyle w:val="Normal"/>
        <w:widowControl/>
        <w:bidi w:val="0"/>
        <w:spacing w:lineRule="auto" w:line="276"/>
        <w:jc w:val="left"/>
        <w:rPr/>
      </w:pPr>
      <w:r>
        <w:rPr/>
        <w:t>Define cautious use of guardians, advocates, historical records, ecological knowledge, behavioral evidence, and proxies for children, future persons, nonhuman entities, and those unable to participate directly.</w:t>
      </w:r>
    </w:p>
    <w:p>
      <w:pPr>
        <w:pStyle w:val="Heading4"/>
        <w:ind w:hanging="0" w:left="0"/>
        <w:rPr/>
      </w:pPr>
      <w:r>
        <w:rPr/>
        <w:t>Decision Traceability</w:t>
      </w:r>
    </w:p>
    <w:p>
      <w:pPr>
        <w:pStyle w:val="Normal"/>
        <w:widowControl/>
        <w:bidi w:val="0"/>
        <w:spacing w:lineRule="auto" w:line="276"/>
        <w:jc w:val="left"/>
        <w:rPr/>
      </w:pPr>
      <w:r>
        <w:rPr/>
        <w:t>Require every qualitative finding used in a decision to identify its source, interpretation, uncertainty, normative relevance, competing accounts, and effect on the assessment.</w:t>
      </w:r>
    </w:p>
    <w:p>
      <w:pPr>
        <w:pStyle w:val="Heading4"/>
        <w:ind w:hanging="0" w:left="0"/>
        <w:rPr/>
      </w:pPr>
      <w:r>
        <w:rPr/>
        <w:t>Evidence Governance and Review</w:t>
      </w:r>
    </w:p>
    <w:p>
      <w:pPr>
        <w:pStyle w:val="Normal"/>
        <w:widowControl/>
        <w:bidi w:val="0"/>
        <w:spacing w:lineRule="auto" w:line="276"/>
        <w:jc w:val="left"/>
        <w:rPr/>
      </w:pPr>
      <w:r>
        <w:rPr/>
        <w:t>Define who may collect, access, interpret, challenge, revise, retain, and retire qualitative evidence and derived findings.</w:t>
      </w:r>
    </w:p>
    <w:p>
      <w:pPr>
        <w:pStyle w:val="Heading4"/>
        <w:ind w:hanging="0" w:left="0"/>
        <w:rPr/>
      </w:pPr>
      <w:r>
        <w:rPr/>
        <w:t>Failure Modes and Exposure</w:t>
      </w:r>
    </w:p>
    <w:p>
      <w:pPr>
        <w:pStyle w:val="Normal"/>
        <w:widowControl/>
        <w:bidi w:val="0"/>
        <w:spacing w:lineRule="auto" w:line="276"/>
        <w:jc w:val="left"/>
        <w:rPr/>
      </w:pPr>
      <w:r>
        <w:rPr/>
        <w:t>Analyze quantification bias, objectivity theater, testimonial injustice, narrative cherry-picking, emotional manipulation, cultural stereotyping, extractive knowledge practices, token participation, surveillance, unsupported inference, and false consensus.</w:t>
      </w:r>
    </w:p>
    <w:p>
      <w:pPr>
        <w:pStyle w:val="Heading4"/>
        <w:ind w:hanging="0" w:left="0"/>
        <w:rPr/>
      </w:pPr>
      <w:r>
        <w:rPr/>
        <w:t>Interim Safeguards and Mitigations</w:t>
      </w:r>
    </w:p>
    <w:p>
      <w:pPr>
        <w:pStyle w:val="Normal"/>
        <w:widowControl/>
        <w:bidi w:val="0"/>
        <w:spacing w:lineRule="auto" w:line="276"/>
        <w:jc w:val="left"/>
        <w:rPr/>
      </w:pPr>
      <w:r>
        <w:rPr/>
        <w:t>Require source preservation, provenance, affected-party review, explicit interpretation, privacy impact analysis, competing accounts, human oversight, and restrictions on sensitive automated classifications.</w:t>
      </w:r>
    </w:p>
    <w:p>
      <w:pPr>
        <w:pStyle w:val="Heading4"/>
        <w:ind w:hanging="0" w:left="0"/>
        <w:rPr/>
      </w:pPr>
      <w:r>
        <w:rPr/>
        <w:t>Research Deliverables and Acceptance Criteria</w:t>
      </w:r>
    </w:p>
    <w:p>
      <w:pPr>
        <w:pStyle w:val="Normal"/>
        <w:widowControl/>
        <w:bidi w:val="0"/>
        <w:spacing w:lineRule="auto" w:line="276"/>
        <w:jc w:val="left"/>
        <w:rPr/>
      </w:pPr>
      <w:r>
        <w:rPr/>
        <w:t>Require an evidence ontology, qualitative-evidence standard, provenance schema, testimony protocol, interpretation guide, disagreement protocol, privacy standard, computational-inference restrictions, and benchmark cases.</w:t>
      </w:r>
    </w:p>
    <w:p>
      <w:pPr>
        <w:pStyle w:val="Heading4"/>
        <w:ind w:hanging="0" w:left="0"/>
        <w:rPr/>
      </w:pPr>
      <w:r>
        <w:rPr/>
        <w:t>Residual Risk</w:t>
      </w:r>
    </w:p>
    <w:p>
      <w:pPr>
        <w:pStyle w:val="Normal"/>
        <w:widowControl/>
        <w:bidi w:val="0"/>
        <w:spacing w:lineRule="auto" w:line="276"/>
        <w:jc w:val="left"/>
        <w:rPr/>
      </w:pPr>
      <w:r>
        <w:rPr/>
        <w:t>Acknowledge that testimony can be incomplete, memory fallible, interpretation contested, emotions biased, tacit knowledge difficult to explain, and cultural understanding imperfect.</w:t>
      </w:r>
    </w:p>
    <w:p>
      <w:pPr>
        <w:pStyle w:val="Heading4"/>
        <w:ind w:hanging="0" w:left="0"/>
        <w:rPr>
          <w:rFonts w:ascii="Aptos" w:hAnsi="Aptos"/>
          <w:color w:val="auto"/>
          <w:sz w:val="21"/>
          <w:szCs w:val="22"/>
        </w:rPr>
      </w:pPr>
      <w:r>
        <w:rPr/>
        <w:t>Recommended evidence-processing distinction</w:t>
      </w:r>
    </w:p>
    <w:p>
      <w:pPr>
        <w:pStyle w:val="BodyText"/>
        <w:spacing w:before="0" w:after="200"/>
        <w:rPr/>
      </w:pPr>
      <w:r>
        <w:rPr/>
        <w:t>The framework should preserve four separate layers:</w:t>
      </w:r>
    </w:p>
    <w:tbl>
      <w:tblPr>
        <w:tblW w:w="8640" w:type="dxa"/>
        <w:jc w:val="left"/>
        <w:tblInd w:w="28" w:type="dxa"/>
        <w:tblLayout w:type="fixed"/>
        <w:tblCellMar>
          <w:top w:w="28" w:type="dxa"/>
          <w:left w:w="28" w:type="dxa"/>
          <w:bottom w:w="28" w:type="dxa"/>
          <w:right w:w="28" w:type="dxa"/>
        </w:tblCellMar>
      </w:tblPr>
      <w:tblGrid>
        <w:gridCol w:w="2128"/>
        <w:gridCol w:w="6512"/>
      </w:tblGrid>
      <w:tr>
        <w:trPr>
          <w:tblHeader w:val="true"/>
        </w:trPr>
        <w:tc>
          <w:tcPr>
            <w:tcW w:w="2128" w:type="dxa"/>
            <w:tcBorders/>
            <w:vAlign w:val="center"/>
          </w:tcPr>
          <w:p>
            <w:pPr>
              <w:pStyle w:val="TableHeading"/>
              <w:suppressLineNumbers/>
              <w:spacing w:before="0" w:after="200"/>
              <w:jc w:val="center"/>
              <w:rPr/>
            </w:pPr>
            <w:r>
              <w:rPr/>
              <w:t>Layer</w:t>
            </w:r>
          </w:p>
        </w:tc>
        <w:tc>
          <w:tcPr>
            <w:tcW w:w="6512" w:type="dxa"/>
            <w:tcBorders/>
            <w:vAlign w:val="center"/>
          </w:tcPr>
          <w:p>
            <w:pPr>
              <w:pStyle w:val="TableHeading"/>
              <w:suppressLineNumbers/>
              <w:spacing w:before="0" w:after="200"/>
              <w:jc w:val="center"/>
              <w:rPr/>
            </w:pPr>
            <w:r>
              <w:rPr/>
              <w:t>Question</w:t>
            </w:r>
          </w:p>
        </w:tc>
      </w:tr>
      <w:tr>
        <w:trPr/>
        <w:tc>
          <w:tcPr>
            <w:tcW w:w="2128" w:type="dxa"/>
            <w:tcBorders/>
            <w:vAlign w:val="center"/>
          </w:tcPr>
          <w:p>
            <w:pPr>
              <w:pStyle w:val="TableContents"/>
              <w:widowControl w:val="false"/>
              <w:suppressLineNumbers/>
              <w:spacing w:before="0" w:after="200"/>
              <w:rPr/>
            </w:pPr>
            <w:r>
              <w:rPr>
                <w:rStyle w:val="Strong"/>
              </w:rPr>
              <w:t>Evidence statement</w:t>
            </w:r>
          </w:p>
        </w:tc>
        <w:tc>
          <w:tcPr>
            <w:tcW w:w="6512" w:type="dxa"/>
            <w:tcBorders/>
            <w:vAlign w:val="center"/>
          </w:tcPr>
          <w:p>
            <w:pPr>
              <w:pStyle w:val="TableContents"/>
              <w:widowControl w:val="false"/>
              <w:suppressLineNumbers/>
              <w:spacing w:before="0" w:after="200"/>
              <w:rPr/>
            </w:pPr>
            <w:r>
              <w:rPr/>
              <w:t>What was observed, experienced, documented, or reported?</w:t>
            </w:r>
          </w:p>
        </w:tc>
      </w:tr>
      <w:tr>
        <w:trPr/>
        <w:tc>
          <w:tcPr>
            <w:tcW w:w="2128" w:type="dxa"/>
            <w:tcBorders/>
            <w:vAlign w:val="center"/>
          </w:tcPr>
          <w:p>
            <w:pPr>
              <w:pStyle w:val="TableContents"/>
              <w:widowControl w:val="false"/>
              <w:suppressLineNumbers/>
              <w:spacing w:before="0" w:after="200"/>
              <w:rPr/>
            </w:pPr>
            <w:r>
              <w:rPr>
                <w:rStyle w:val="Strong"/>
              </w:rPr>
              <w:t>Interpretive finding</w:t>
            </w:r>
          </w:p>
        </w:tc>
        <w:tc>
          <w:tcPr>
            <w:tcW w:w="6512" w:type="dxa"/>
            <w:tcBorders/>
            <w:vAlign w:val="center"/>
          </w:tcPr>
          <w:p>
            <w:pPr>
              <w:pStyle w:val="TableContents"/>
              <w:widowControl w:val="false"/>
              <w:suppressLineNumbers/>
              <w:spacing w:before="0" w:after="200"/>
              <w:rPr/>
            </w:pPr>
            <w:r>
              <w:rPr/>
              <w:t>What does the evidence appear to mean in its context?</w:t>
            </w:r>
          </w:p>
        </w:tc>
      </w:tr>
      <w:tr>
        <w:trPr/>
        <w:tc>
          <w:tcPr>
            <w:tcW w:w="2128" w:type="dxa"/>
            <w:tcBorders/>
            <w:vAlign w:val="center"/>
          </w:tcPr>
          <w:p>
            <w:pPr>
              <w:pStyle w:val="TableContents"/>
              <w:widowControl w:val="false"/>
              <w:suppressLineNumbers/>
              <w:spacing w:before="0" w:after="200"/>
              <w:rPr/>
            </w:pPr>
            <w:r>
              <w:rPr>
                <w:rStyle w:val="Strong"/>
              </w:rPr>
              <w:t>Normative judgment</w:t>
            </w:r>
          </w:p>
        </w:tc>
        <w:tc>
          <w:tcPr>
            <w:tcW w:w="6512" w:type="dxa"/>
            <w:tcBorders/>
            <w:vAlign w:val="center"/>
          </w:tcPr>
          <w:p>
            <w:pPr>
              <w:pStyle w:val="TableContents"/>
              <w:widowControl w:val="false"/>
              <w:suppressLineNumbers/>
              <w:spacing w:before="0" w:after="200"/>
              <w:rPr/>
            </w:pPr>
            <w:r>
              <w:rPr/>
              <w:t>Why and under which ethical profile does that meaning matter morally?</w:t>
            </w:r>
          </w:p>
        </w:tc>
      </w:tr>
      <w:tr>
        <w:trPr/>
        <w:tc>
          <w:tcPr>
            <w:tcW w:w="2128" w:type="dxa"/>
            <w:tcBorders/>
            <w:vAlign w:val="center"/>
          </w:tcPr>
          <w:p>
            <w:pPr>
              <w:pStyle w:val="TableContents"/>
              <w:widowControl w:val="false"/>
              <w:suppressLineNumbers/>
              <w:spacing w:before="0" w:after="200"/>
              <w:rPr/>
            </w:pPr>
            <w:r>
              <w:rPr>
                <w:rStyle w:val="Strong"/>
              </w:rPr>
              <w:t>Decision implication</w:t>
            </w:r>
          </w:p>
        </w:tc>
        <w:tc>
          <w:tcPr>
            <w:tcW w:w="6512" w:type="dxa"/>
            <w:tcBorders/>
            <w:vAlign w:val="center"/>
          </w:tcPr>
          <w:p>
            <w:pPr>
              <w:pStyle w:val="TableContents"/>
              <w:widowControl w:val="false"/>
              <w:suppressLineNumbers/>
              <w:spacing w:before="0" w:after="200"/>
              <w:rPr/>
            </w:pPr>
            <w:r>
              <w:rPr/>
              <w:t>How does it affect permissibility, responsibility, transition quality, or remedy?</w:t>
            </w:r>
          </w:p>
        </w:tc>
      </w:tr>
    </w:tbl>
    <w:p>
      <w:pPr>
        <w:pStyle w:val="BodyText"/>
        <w:spacing w:before="0" w:after="200"/>
        <w:rPr/>
      </w:pPr>
      <w:r>
        <w:rPr/>
        <w:t>A statement should not move from testimony to decision implication without making the interpretive and normative steps visible.</w:t>
      </w:r>
    </w:p>
    <w:p>
      <w:pPr>
        <w:pStyle w:val="Heading4"/>
        <w:ind w:hanging="0" w:left="0"/>
        <w:rPr>
          <w:rFonts w:ascii="Aptos" w:hAnsi="Aptos"/>
          <w:color w:val="auto"/>
          <w:sz w:val="21"/>
          <w:szCs w:val="22"/>
        </w:rPr>
      </w:pPr>
      <w:r>
        <w:rPr/>
        <w:t>Qualitative-evidence record</w:t>
      </w:r>
    </w:p>
    <w:p>
      <w:pPr>
        <w:pStyle w:val="BodyText"/>
        <w:spacing w:before="0" w:after="200"/>
        <w:rPr/>
      </w:pPr>
      <w:r>
        <w:rPr/>
        <w:t>Each material item should include:</w:t>
      </w:r>
    </w:p>
    <w:tbl>
      <w:tblPr>
        <w:tblW w:w="8640" w:type="dxa"/>
        <w:jc w:val="left"/>
        <w:tblInd w:w="28" w:type="dxa"/>
        <w:tblLayout w:type="fixed"/>
        <w:tblCellMar>
          <w:top w:w="28" w:type="dxa"/>
          <w:left w:w="28" w:type="dxa"/>
          <w:bottom w:w="28" w:type="dxa"/>
          <w:right w:w="28" w:type="dxa"/>
        </w:tblCellMar>
      </w:tblPr>
      <w:tblGrid>
        <w:gridCol w:w="2744"/>
        <w:gridCol w:w="5896"/>
      </w:tblGrid>
      <w:tr>
        <w:trPr>
          <w:tblHeader w:val="true"/>
        </w:trPr>
        <w:tc>
          <w:tcPr>
            <w:tcW w:w="2744" w:type="dxa"/>
            <w:tcBorders/>
            <w:vAlign w:val="center"/>
          </w:tcPr>
          <w:p>
            <w:pPr>
              <w:pStyle w:val="TableHeading"/>
              <w:suppressLineNumbers/>
              <w:spacing w:before="0" w:after="200"/>
              <w:jc w:val="center"/>
              <w:rPr/>
            </w:pPr>
            <w:r>
              <w:rPr/>
              <w:t>Field</w:t>
            </w:r>
          </w:p>
        </w:tc>
        <w:tc>
          <w:tcPr>
            <w:tcW w:w="5896" w:type="dxa"/>
            <w:tcBorders/>
            <w:vAlign w:val="center"/>
          </w:tcPr>
          <w:p>
            <w:pPr>
              <w:pStyle w:val="TableHeading"/>
              <w:suppressLineNumbers/>
              <w:spacing w:before="0" w:after="200"/>
              <w:jc w:val="center"/>
              <w:rPr/>
            </w:pPr>
            <w:r>
              <w:rPr/>
              <w:t>Required information</w:t>
            </w:r>
          </w:p>
        </w:tc>
      </w:tr>
      <w:tr>
        <w:trPr/>
        <w:tc>
          <w:tcPr>
            <w:tcW w:w="2744" w:type="dxa"/>
            <w:tcBorders/>
            <w:vAlign w:val="center"/>
          </w:tcPr>
          <w:p>
            <w:pPr>
              <w:pStyle w:val="TableContents"/>
              <w:widowControl w:val="false"/>
              <w:suppressLineNumbers/>
              <w:spacing w:before="0" w:after="200"/>
              <w:rPr/>
            </w:pPr>
            <w:r>
              <w:rPr>
                <w:rStyle w:val="Strong"/>
              </w:rPr>
              <w:t>Evidence identifier and type</w:t>
            </w:r>
          </w:p>
        </w:tc>
        <w:tc>
          <w:tcPr>
            <w:tcW w:w="5896" w:type="dxa"/>
            <w:tcBorders/>
            <w:vAlign w:val="center"/>
          </w:tcPr>
          <w:p>
            <w:pPr>
              <w:pStyle w:val="TableContents"/>
              <w:widowControl w:val="false"/>
              <w:suppressLineNumbers/>
              <w:spacing w:before="0" w:after="200"/>
              <w:rPr/>
            </w:pPr>
            <w:r>
              <w:rPr/>
              <w:t>Testimony, narrative, observation, cultural knowledge, expert judgment, or other category</w:t>
            </w:r>
          </w:p>
        </w:tc>
      </w:tr>
      <w:tr>
        <w:trPr/>
        <w:tc>
          <w:tcPr>
            <w:tcW w:w="2744" w:type="dxa"/>
            <w:tcBorders/>
            <w:vAlign w:val="center"/>
          </w:tcPr>
          <w:p>
            <w:pPr>
              <w:pStyle w:val="TableContents"/>
              <w:widowControl w:val="false"/>
              <w:suppressLineNumbers/>
              <w:spacing w:before="0" w:after="200"/>
              <w:rPr/>
            </w:pPr>
            <w:r>
              <w:rPr>
                <w:rStyle w:val="Strong"/>
              </w:rPr>
              <w:t>Source and role</w:t>
            </w:r>
          </w:p>
        </w:tc>
        <w:tc>
          <w:tcPr>
            <w:tcW w:w="5896" w:type="dxa"/>
            <w:tcBorders/>
            <w:vAlign w:val="center"/>
          </w:tcPr>
          <w:p>
            <w:pPr>
              <w:pStyle w:val="TableContents"/>
              <w:widowControl w:val="false"/>
              <w:suppressLineNumbers/>
              <w:spacing w:before="0" w:after="200"/>
              <w:rPr/>
            </w:pPr>
            <w:r>
              <w:rPr/>
              <w:t>Who supplied it and their relationship to the assessment</w:t>
            </w:r>
          </w:p>
        </w:tc>
      </w:tr>
      <w:tr>
        <w:trPr/>
        <w:tc>
          <w:tcPr>
            <w:tcW w:w="2744" w:type="dxa"/>
            <w:tcBorders/>
            <w:vAlign w:val="center"/>
          </w:tcPr>
          <w:p>
            <w:pPr>
              <w:pStyle w:val="TableContents"/>
              <w:widowControl w:val="false"/>
              <w:suppressLineNumbers/>
              <w:spacing w:before="0" w:after="200"/>
              <w:rPr/>
            </w:pPr>
            <w:r>
              <w:rPr>
                <w:rStyle w:val="Strong"/>
              </w:rPr>
              <w:t>Claim or experience</w:t>
            </w:r>
          </w:p>
        </w:tc>
        <w:tc>
          <w:tcPr>
            <w:tcW w:w="5896" w:type="dxa"/>
            <w:tcBorders/>
            <w:vAlign w:val="center"/>
          </w:tcPr>
          <w:p>
            <w:pPr>
              <w:pStyle w:val="TableContents"/>
              <w:widowControl w:val="false"/>
              <w:suppressLineNumbers/>
              <w:spacing w:before="0" w:after="200"/>
              <w:rPr/>
            </w:pPr>
            <w:r>
              <w:rPr/>
              <w:t>What was reported or observed</w:t>
            </w:r>
          </w:p>
        </w:tc>
      </w:tr>
      <w:tr>
        <w:trPr/>
        <w:tc>
          <w:tcPr>
            <w:tcW w:w="2744" w:type="dxa"/>
            <w:tcBorders/>
            <w:vAlign w:val="center"/>
          </w:tcPr>
          <w:p>
            <w:pPr>
              <w:pStyle w:val="TableContents"/>
              <w:widowControl w:val="false"/>
              <w:suppressLineNumbers/>
              <w:spacing w:before="0" w:after="200"/>
              <w:rPr/>
            </w:pPr>
            <w:r>
              <w:rPr>
                <w:rStyle w:val="Strong"/>
              </w:rPr>
              <w:t>Collection context</w:t>
            </w:r>
          </w:p>
        </w:tc>
        <w:tc>
          <w:tcPr>
            <w:tcW w:w="5896" w:type="dxa"/>
            <w:tcBorders/>
            <w:vAlign w:val="center"/>
          </w:tcPr>
          <w:p>
            <w:pPr>
              <w:pStyle w:val="TableContents"/>
              <w:widowControl w:val="false"/>
              <w:suppressLineNumbers/>
              <w:spacing w:before="0" w:after="200"/>
              <w:rPr/>
            </w:pPr>
            <w:r>
              <w:rPr/>
              <w:t>How, when, where, and under what conditions it was obtained</w:t>
            </w:r>
          </w:p>
        </w:tc>
      </w:tr>
      <w:tr>
        <w:trPr/>
        <w:tc>
          <w:tcPr>
            <w:tcW w:w="2744" w:type="dxa"/>
            <w:tcBorders/>
            <w:vAlign w:val="center"/>
          </w:tcPr>
          <w:p>
            <w:pPr>
              <w:pStyle w:val="TableContents"/>
              <w:widowControl w:val="false"/>
              <w:suppressLineNumbers/>
              <w:spacing w:before="0" w:after="200"/>
              <w:rPr/>
            </w:pPr>
            <w:r>
              <w:rPr>
                <w:rStyle w:val="Strong"/>
              </w:rPr>
              <w:t>Consent and permitted use</w:t>
            </w:r>
          </w:p>
        </w:tc>
        <w:tc>
          <w:tcPr>
            <w:tcW w:w="5896" w:type="dxa"/>
            <w:tcBorders/>
            <w:vAlign w:val="center"/>
          </w:tcPr>
          <w:p>
            <w:pPr>
              <w:pStyle w:val="TableContents"/>
              <w:widowControl w:val="false"/>
              <w:suppressLineNumbers/>
              <w:spacing w:before="0" w:after="200"/>
              <w:rPr/>
            </w:pPr>
            <w:r>
              <w:rPr/>
              <w:t>What uses were authorized</w:t>
            </w:r>
          </w:p>
        </w:tc>
      </w:tr>
      <w:tr>
        <w:trPr/>
        <w:tc>
          <w:tcPr>
            <w:tcW w:w="2744" w:type="dxa"/>
            <w:tcBorders/>
            <w:vAlign w:val="center"/>
          </w:tcPr>
          <w:p>
            <w:pPr>
              <w:pStyle w:val="TableContents"/>
              <w:widowControl w:val="false"/>
              <w:suppressLineNumbers/>
              <w:spacing w:before="0" w:after="200"/>
              <w:rPr/>
            </w:pPr>
            <w:r>
              <w:rPr>
                <w:rStyle w:val="Strong"/>
              </w:rPr>
              <w:t>Language and translation</w:t>
            </w:r>
          </w:p>
        </w:tc>
        <w:tc>
          <w:tcPr>
            <w:tcW w:w="5896" w:type="dxa"/>
            <w:tcBorders/>
            <w:vAlign w:val="center"/>
          </w:tcPr>
          <w:p>
            <w:pPr>
              <w:pStyle w:val="TableContents"/>
              <w:widowControl w:val="false"/>
              <w:suppressLineNumbers/>
              <w:spacing w:before="0" w:after="200"/>
              <w:rPr/>
            </w:pPr>
            <w:r>
              <w:rPr/>
              <w:t>Original language, translator, uncertainties, and culturally specific terms</w:t>
            </w:r>
          </w:p>
        </w:tc>
      </w:tr>
      <w:tr>
        <w:trPr/>
        <w:tc>
          <w:tcPr>
            <w:tcW w:w="2744" w:type="dxa"/>
            <w:tcBorders/>
            <w:vAlign w:val="center"/>
          </w:tcPr>
          <w:p>
            <w:pPr>
              <w:pStyle w:val="TableContents"/>
              <w:widowControl w:val="false"/>
              <w:suppressLineNumbers/>
              <w:spacing w:before="0" w:after="200"/>
              <w:rPr/>
            </w:pPr>
            <w:r>
              <w:rPr>
                <w:rStyle w:val="Strong"/>
              </w:rPr>
              <w:t>Provenance</w:t>
            </w:r>
          </w:p>
        </w:tc>
        <w:tc>
          <w:tcPr>
            <w:tcW w:w="5896" w:type="dxa"/>
            <w:tcBorders/>
            <w:vAlign w:val="center"/>
          </w:tcPr>
          <w:p>
            <w:pPr>
              <w:pStyle w:val="TableContents"/>
              <w:widowControl w:val="false"/>
              <w:suppressLineNumbers/>
              <w:spacing w:before="0" w:after="200"/>
              <w:rPr/>
            </w:pPr>
            <w:r>
              <w:rPr/>
              <w:t>Transformations, summaries, coding, and chain of custody</w:t>
            </w:r>
          </w:p>
        </w:tc>
      </w:tr>
      <w:tr>
        <w:trPr/>
        <w:tc>
          <w:tcPr>
            <w:tcW w:w="2744" w:type="dxa"/>
            <w:tcBorders/>
            <w:vAlign w:val="center"/>
          </w:tcPr>
          <w:p>
            <w:pPr>
              <w:pStyle w:val="TableContents"/>
              <w:widowControl w:val="false"/>
              <w:suppressLineNumbers/>
              <w:spacing w:before="0" w:after="200"/>
              <w:rPr/>
            </w:pPr>
            <w:r>
              <w:rPr>
                <w:rStyle w:val="Strong"/>
              </w:rPr>
              <w:t>Interpretive method</w:t>
            </w:r>
          </w:p>
        </w:tc>
        <w:tc>
          <w:tcPr>
            <w:tcW w:w="5896" w:type="dxa"/>
            <w:tcBorders/>
            <w:vAlign w:val="center"/>
          </w:tcPr>
          <w:p>
            <w:pPr>
              <w:pStyle w:val="TableContents"/>
              <w:widowControl w:val="false"/>
              <w:suppressLineNumbers/>
              <w:spacing w:before="0" w:after="200"/>
              <w:rPr/>
            </w:pPr>
            <w:r>
              <w:rPr/>
              <w:t>How meaning was derived</w:t>
            </w:r>
          </w:p>
        </w:tc>
      </w:tr>
      <w:tr>
        <w:trPr/>
        <w:tc>
          <w:tcPr>
            <w:tcW w:w="2744" w:type="dxa"/>
            <w:tcBorders/>
            <w:vAlign w:val="center"/>
          </w:tcPr>
          <w:p>
            <w:pPr>
              <w:pStyle w:val="TableContents"/>
              <w:widowControl w:val="false"/>
              <w:suppressLineNumbers/>
              <w:spacing w:before="0" w:after="200"/>
              <w:rPr/>
            </w:pPr>
            <w:r>
              <w:rPr>
                <w:rStyle w:val="Strong"/>
              </w:rPr>
              <w:t>Corroboration and disagreement</w:t>
            </w:r>
          </w:p>
        </w:tc>
        <w:tc>
          <w:tcPr>
            <w:tcW w:w="5896" w:type="dxa"/>
            <w:tcBorders/>
            <w:vAlign w:val="center"/>
          </w:tcPr>
          <w:p>
            <w:pPr>
              <w:pStyle w:val="TableContents"/>
              <w:widowControl w:val="false"/>
              <w:suppressLineNumbers/>
              <w:spacing w:before="0" w:after="200"/>
              <w:rPr/>
            </w:pPr>
            <w:r>
              <w:rPr/>
              <w:t>Supporting, conflicting, or absent evidence</w:t>
            </w:r>
          </w:p>
        </w:tc>
      </w:tr>
      <w:tr>
        <w:trPr/>
        <w:tc>
          <w:tcPr>
            <w:tcW w:w="2744" w:type="dxa"/>
            <w:tcBorders/>
            <w:vAlign w:val="center"/>
          </w:tcPr>
          <w:p>
            <w:pPr>
              <w:pStyle w:val="TableContents"/>
              <w:widowControl w:val="false"/>
              <w:suppressLineNumbers/>
              <w:spacing w:before="0" w:after="200"/>
              <w:rPr/>
            </w:pPr>
            <w:r>
              <w:rPr>
                <w:rStyle w:val="Strong"/>
              </w:rPr>
              <w:t>Power and vulnerability factors</w:t>
            </w:r>
          </w:p>
        </w:tc>
        <w:tc>
          <w:tcPr>
            <w:tcW w:w="5896" w:type="dxa"/>
            <w:tcBorders/>
            <w:vAlign w:val="center"/>
          </w:tcPr>
          <w:p>
            <w:pPr>
              <w:pStyle w:val="TableContents"/>
              <w:widowControl w:val="false"/>
              <w:suppressLineNumbers/>
              <w:spacing w:before="0" w:after="200"/>
              <w:rPr/>
            </w:pPr>
            <w:r>
              <w:rPr/>
              <w:t>Coercion, retaliation, dependency, stigma, or exclusion risks</w:t>
            </w:r>
          </w:p>
        </w:tc>
      </w:tr>
      <w:tr>
        <w:trPr/>
        <w:tc>
          <w:tcPr>
            <w:tcW w:w="2744" w:type="dxa"/>
            <w:tcBorders/>
            <w:vAlign w:val="center"/>
          </w:tcPr>
          <w:p>
            <w:pPr>
              <w:pStyle w:val="TableContents"/>
              <w:widowControl w:val="false"/>
              <w:suppressLineNumbers/>
              <w:spacing w:before="0" w:after="200"/>
              <w:rPr/>
            </w:pPr>
            <w:r>
              <w:rPr>
                <w:rStyle w:val="Strong"/>
              </w:rPr>
              <w:t>Privacy classification</w:t>
            </w:r>
          </w:p>
        </w:tc>
        <w:tc>
          <w:tcPr>
            <w:tcW w:w="5896" w:type="dxa"/>
            <w:tcBorders/>
            <w:vAlign w:val="center"/>
          </w:tcPr>
          <w:p>
            <w:pPr>
              <w:pStyle w:val="TableContents"/>
              <w:widowControl w:val="false"/>
              <w:suppressLineNumbers/>
              <w:spacing w:before="0" w:after="200"/>
              <w:rPr/>
            </w:pPr>
            <w:r>
              <w:rPr/>
              <w:t>Sensitivity, access, retention, and disclosure limitations</w:t>
            </w:r>
          </w:p>
        </w:tc>
      </w:tr>
      <w:tr>
        <w:trPr/>
        <w:tc>
          <w:tcPr>
            <w:tcW w:w="2744" w:type="dxa"/>
            <w:tcBorders/>
            <w:vAlign w:val="center"/>
          </w:tcPr>
          <w:p>
            <w:pPr>
              <w:pStyle w:val="TableContents"/>
              <w:widowControl w:val="false"/>
              <w:suppressLineNumbers/>
              <w:spacing w:before="0" w:after="200"/>
              <w:rPr/>
            </w:pPr>
            <w:r>
              <w:rPr>
                <w:rStyle w:val="Strong"/>
              </w:rPr>
              <w:t>Uncertainty</w:t>
            </w:r>
          </w:p>
        </w:tc>
        <w:tc>
          <w:tcPr>
            <w:tcW w:w="5896" w:type="dxa"/>
            <w:tcBorders/>
            <w:vAlign w:val="center"/>
          </w:tcPr>
          <w:p>
            <w:pPr>
              <w:pStyle w:val="TableContents"/>
              <w:widowControl w:val="false"/>
              <w:suppressLineNumbers/>
              <w:spacing w:before="0" w:after="200"/>
              <w:rPr/>
            </w:pPr>
            <w:r>
              <w:rPr/>
              <w:t>Source, interpretation, translation, and contextual uncertainty</w:t>
            </w:r>
          </w:p>
        </w:tc>
      </w:tr>
      <w:tr>
        <w:trPr/>
        <w:tc>
          <w:tcPr>
            <w:tcW w:w="2744" w:type="dxa"/>
            <w:tcBorders/>
            <w:vAlign w:val="center"/>
          </w:tcPr>
          <w:p>
            <w:pPr>
              <w:pStyle w:val="TableContents"/>
              <w:widowControl w:val="false"/>
              <w:suppressLineNumbers/>
              <w:spacing w:before="0" w:after="200"/>
              <w:rPr/>
            </w:pPr>
            <w:r>
              <w:rPr>
                <w:rStyle w:val="Strong"/>
              </w:rPr>
              <w:t>Normative relevance</w:t>
            </w:r>
          </w:p>
        </w:tc>
        <w:tc>
          <w:tcPr>
            <w:tcW w:w="5896" w:type="dxa"/>
            <w:tcBorders/>
            <w:vAlign w:val="center"/>
          </w:tcPr>
          <w:p>
            <w:pPr>
              <w:pStyle w:val="TableContents"/>
              <w:widowControl w:val="false"/>
              <w:suppressLineNumbers/>
              <w:spacing w:before="0" w:after="200"/>
              <w:rPr/>
            </w:pPr>
            <w:r>
              <w:rPr/>
              <w:t>Which ethical consideration or assessment axis it informs</w:t>
            </w:r>
          </w:p>
        </w:tc>
      </w:tr>
      <w:tr>
        <w:trPr/>
        <w:tc>
          <w:tcPr>
            <w:tcW w:w="2744" w:type="dxa"/>
            <w:tcBorders/>
            <w:vAlign w:val="center"/>
          </w:tcPr>
          <w:p>
            <w:pPr>
              <w:pStyle w:val="TableContents"/>
              <w:widowControl w:val="false"/>
              <w:suppressLineNumbers/>
              <w:spacing w:before="0" w:after="200"/>
              <w:rPr/>
            </w:pPr>
            <w:r>
              <w:rPr>
                <w:rStyle w:val="Strong"/>
              </w:rPr>
              <w:t>Decision effect</w:t>
            </w:r>
          </w:p>
        </w:tc>
        <w:tc>
          <w:tcPr>
            <w:tcW w:w="5896" w:type="dxa"/>
            <w:tcBorders/>
            <w:vAlign w:val="center"/>
          </w:tcPr>
          <w:p>
            <w:pPr>
              <w:pStyle w:val="TableContents"/>
              <w:widowControl w:val="false"/>
              <w:suppressLineNumbers/>
              <w:spacing w:before="0" w:after="200"/>
              <w:rPr/>
            </w:pPr>
            <w:r>
              <w:rPr/>
              <w:t>How it influenced the conclusion or remedy</w:t>
            </w:r>
          </w:p>
        </w:tc>
      </w:tr>
    </w:tbl>
    <w:p>
      <w:pPr>
        <w:pStyle w:val="Heading4"/>
        <w:ind w:hanging="0" w:left="0"/>
        <w:rPr>
          <w:rFonts w:ascii="Aptos" w:hAnsi="Aptos"/>
          <w:color w:val="auto"/>
          <w:sz w:val="21"/>
          <w:szCs w:val="22"/>
        </w:rPr>
      </w:pPr>
      <w:r>
        <w:rPr/>
        <w:t>Computational restrictions</w:t>
      </w:r>
    </w:p>
    <w:p>
      <w:pPr>
        <w:pStyle w:val="BodyText"/>
        <w:spacing w:before="0" w:after="200"/>
        <w:rPr/>
      </w:pPr>
      <w:r>
        <w:rPr/>
        <w:t>The framework should prohibit unsupported automated conclusions such as:</w:t>
      </w:r>
    </w:p>
    <w:p>
      <w:pPr>
        <w:pStyle w:val="BodyText"/>
        <w:numPr>
          <w:ilvl w:val="0"/>
          <w:numId w:val="162"/>
        </w:numPr>
        <w:tabs>
          <w:tab w:val="clear" w:pos="720"/>
          <w:tab w:val="left" w:pos="0" w:leader="none"/>
        </w:tabs>
        <w:spacing w:before="0" w:after="0"/>
        <w:ind w:hanging="283" w:left="709"/>
        <w:rPr/>
      </w:pPr>
      <w:r>
        <w:rPr/>
        <w:t xml:space="preserve">Treating vocal tone or facial expression as reliable proof of deception; </w:t>
      </w:r>
    </w:p>
    <w:p>
      <w:pPr>
        <w:pStyle w:val="BodyText"/>
        <w:numPr>
          <w:ilvl w:val="0"/>
          <w:numId w:val="162"/>
        </w:numPr>
        <w:tabs>
          <w:tab w:val="clear" w:pos="720"/>
          <w:tab w:val="left" w:pos="0" w:leader="none"/>
        </w:tabs>
        <w:spacing w:before="0" w:after="0"/>
        <w:ind w:hanging="283" w:left="709"/>
        <w:rPr/>
      </w:pPr>
      <w:r>
        <w:rPr/>
        <w:t xml:space="preserve">Inferring consent from compliance or lack of protest; </w:t>
      </w:r>
    </w:p>
    <w:p>
      <w:pPr>
        <w:pStyle w:val="BodyText"/>
        <w:numPr>
          <w:ilvl w:val="0"/>
          <w:numId w:val="162"/>
        </w:numPr>
        <w:tabs>
          <w:tab w:val="clear" w:pos="720"/>
          <w:tab w:val="left" w:pos="0" w:leader="none"/>
        </w:tabs>
        <w:spacing w:before="0" w:after="0"/>
        <w:ind w:hanging="283" w:left="709"/>
        <w:rPr/>
      </w:pPr>
      <w:r>
        <w:rPr/>
        <w:t xml:space="preserve">Inferring preference from behavior under constrained alternatives; </w:t>
      </w:r>
    </w:p>
    <w:p>
      <w:pPr>
        <w:pStyle w:val="BodyText"/>
        <w:numPr>
          <w:ilvl w:val="0"/>
          <w:numId w:val="162"/>
        </w:numPr>
        <w:tabs>
          <w:tab w:val="clear" w:pos="720"/>
          <w:tab w:val="left" w:pos="0" w:leader="none"/>
        </w:tabs>
        <w:spacing w:before="0" w:after="0"/>
        <w:ind w:hanging="283" w:left="709"/>
        <w:rPr/>
      </w:pPr>
      <w:r>
        <w:rPr/>
        <w:t xml:space="preserve">Inferring character from one action or limited digital records; </w:t>
      </w:r>
    </w:p>
    <w:p>
      <w:pPr>
        <w:pStyle w:val="BodyText"/>
        <w:numPr>
          <w:ilvl w:val="0"/>
          <w:numId w:val="162"/>
        </w:numPr>
        <w:tabs>
          <w:tab w:val="clear" w:pos="720"/>
          <w:tab w:val="left" w:pos="0" w:leader="none"/>
        </w:tabs>
        <w:spacing w:before="0" w:after="0"/>
        <w:ind w:hanging="283" w:left="709"/>
        <w:rPr/>
      </w:pPr>
      <w:r>
        <w:rPr/>
        <w:t xml:space="preserve">Treating frequency of testimony as proof of credibility; </w:t>
      </w:r>
    </w:p>
    <w:p>
      <w:pPr>
        <w:pStyle w:val="BodyText"/>
        <w:numPr>
          <w:ilvl w:val="0"/>
          <w:numId w:val="162"/>
        </w:numPr>
        <w:tabs>
          <w:tab w:val="clear" w:pos="720"/>
          <w:tab w:val="left" w:pos="0" w:leader="none"/>
        </w:tabs>
        <w:spacing w:before="0" w:after="0"/>
        <w:ind w:hanging="283" w:left="709"/>
        <w:rPr/>
      </w:pPr>
      <w:r>
        <w:rPr/>
        <w:t xml:space="preserve">Translating culturally specific concepts into standardized categories without review; </w:t>
      </w:r>
    </w:p>
    <w:p>
      <w:pPr>
        <w:pStyle w:val="BodyText"/>
        <w:numPr>
          <w:ilvl w:val="0"/>
          <w:numId w:val="162"/>
        </w:numPr>
        <w:tabs>
          <w:tab w:val="clear" w:pos="720"/>
          <w:tab w:val="left" w:pos="0" w:leader="none"/>
        </w:tabs>
        <w:spacing w:before="0" w:after="0"/>
        <w:ind w:hanging="283" w:left="709"/>
        <w:rPr/>
      </w:pPr>
      <w:r>
        <w:rPr/>
        <w:t xml:space="preserve">Generating missing testimony or presenting synthetic summaries as original evidence; and </w:t>
      </w:r>
    </w:p>
    <w:p>
      <w:pPr>
        <w:pStyle w:val="BodyText"/>
        <w:numPr>
          <w:ilvl w:val="0"/>
          <w:numId w:val="162"/>
        </w:numPr>
        <w:tabs>
          <w:tab w:val="clear" w:pos="720"/>
          <w:tab w:val="left" w:pos="0" w:leader="none"/>
        </w:tabs>
        <w:ind w:hanging="283" w:left="709"/>
        <w:rPr/>
      </w:pPr>
      <w:r>
        <w:rPr/>
        <w:t xml:space="preserve">Using automated credibility scores as substitutes for contextual evaluation. </w:t>
      </w:r>
    </w:p>
    <w:p>
      <w:pPr>
        <w:pStyle w:val="BodyText"/>
        <w:spacing w:before="0" w:after="200"/>
        <w:rPr/>
      </w:pPr>
      <w:r>
        <w:rPr/>
        <w:t>The section’s central conclusion should be:</w:t>
      </w:r>
    </w:p>
    <w:p>
      <w:pPr>
        <w:pStyle w:val="BlockQuotation"/>
        <w:spacing w:before="0" w:after="200"/>
        <w:rPr/>
      </w:pPr>
      <w:r>
        <w:rPr/>
        <w:t>Ethical objectivity does not require the elimination of testimony, emotion, narrative, tacit knowledge, or cultural perspective. It requires disciplined provenance, transparent interpretation, plural evidence, privacy protection, contestability, and explicit separation of evidence from normative judgment. Computational systems may organize and assist interpretation, but they should not claim authoritative access to intention, meaning, credibility, or lived experience.</w:t>
      </w:r>
    </w:p>
    <w:p>
      <w:pPr>
        <w:pStyle w:val="Heading3"/>
        <w:ind w:hanging="0" w:left="0"/>
        <w:rPr/>
      </w:pPr>
      <w:r>
        <w:rPr/>
        <w:t>Uncertainty, Emergence, Reflexivity, and Irreversibility</w:t>
      </w:r>
    </w:p>
    <w:p>
      <w:pPr>
        <w:pStyle w:val="Normal"/>
        <w:widowControl/>
        <w:bidi w:val="0"/>
        <w:spacing w:lineRule="auto" w:line="276"/>
        <w:jc w:val="left"/>
        <w:rPr/>
      </w:pPr>
      <w:r>
        <w:rPr/>
        <w:t>This section should expand uncertainty beyond prediction error. The framework must address incomplete knowledge, model inadequacy, moral disagreement, strategic behavior, nonlinear systems, changing causal structures, and losses that cannot be repaired within relevant horizons.</w:t>
      </w:r>
    </w:p>
    <w:p>
      <w:pPr>
        <w:pStyle w:val="Heading4"/>
        <w:ind w:hanging="0" w:left="0"/>
        <w:rPr/>
      </w:pPr>
      <w:r>
        <w:rPr/>
        <w:t>Limitation Statement</w:t>
      </w:r>
    </w:p>
    <w:p>
      <w:pPr>
        <w:pStyle w:val="Normal"/>
        <w:widowControl/>
        <w:bidi w:val="0"/>
        <w:spacing w:lineRule="auto" w:line="276"/>
        <w:jc w:val="left"/>
        <w:rPr/>
      </w:pPr>
      <w:r>
        <w:rPr/>
        <w:t>Explain that probabilities attached to predicted State Transitions do not adequately represent deep uncertainty, emergence, reflexivity, model failure, ethical disagreement, or irreversibility.</w:t>
      </w:r>
    </w:p>
    <w:p>
      <w:pPr>
        <w:pStyle w:val="Heading4"/>
        <w:ind w:hanging="0" w:left="0"/>
        <w:rPr/>
      </w:pPr>
      <w:r>
        <w:rPr/>
        <w:t>Risk, Uncertainty, Ambiguity, and Ignorance</w:t>
      </w:r>
    </w:p>
    <w:p>
      <w:pPr>
        <w:pStyle w:val="Normal"/>
        <w:widowControl/>
        <w:bidi w:val="0"/>
        <w:spacing w:lineRule="auto" w:line="276"/>
        <w:jc w:val="left"/>
        <w:rPr/>
      </w:pPr>
      <w:r>
        <w:rPr/>
        <w:t>Distinguish known probabilistic risk from uncertain probabilities, contested interpretations, missing causal knowledge, and unrecognized possibilities.</w:t>
      </w:r>
    </w:p>
    <w:p>
      <w:pPr>
        <w:pStyle w:val="Heading4"/>
        <w:ind w:hanging="0" w:left="0"/>
        <w:rPr/>
      </w:pPr>
      <w:r>
        <w:rPr/>
        <w:t>Aleatory Variability</w:t>
      </w:r>
    </w:p>
    <w:p>
      <w:pPr>
        <w:pStyle w:val="Normal"/>
        <w:widowControl/>
        <w:bidi w:val="0"/>
        <w:spacing w:lineRule="auto" w:line="276"/>
        <w:jc w:val="left"/>
        <w:rPr/>
      </w:pPr>
      <w:r>
        <w:rPr/>
        <w:t>Represent inherent stochastic variation that cannot be eliminated through additional information, including natural, behavioral, and operational variability.</w:t>
      </w:r>
    </w:p>
    <w:p>
      <w:pPr>
        <w:pStyle w:val="Heading4"/>
        <w:ind w:hanging="0" w:left="0"/>
        <w:rPr/>
      </w:pPr>
      <w:r>
        <w:rPr/>
        <w:t>Epistemic and Data Uncertainty</w:t>
      </w:r>
    </w:p>
    <w:p>
      <w:pPr>
        <w:pStyle w:val="Normal"/>
        <w:widowControl/>
        <w:bidi w:val="0"/>
        <w:spacing w:lineRule="auto" w:line="276"/>
        <w:jc w:val="left"/>
        <w:rPr/>
      </w:pPr>
      <w:r>
        <w:rPr/>
        <w:t>Address incomplete, outdated, biased, inaccessible, imprecise, or unrepresentative evidence and uncertainty that may be reduced through additional inquiry.</w:t>
      </w:r>
    </w:p>
    <w:p>
      <w:pPr>
        <w:pStyle w:val="Heading4"/>
        <w:ind w:hanging="0" w:left="0"/>
        <w:rPr/>
      </w:pPr>
      <w:r>
        <w:rPr/>
        <w:t>Measurement and Classification Uncertainty</w:t>
      </w:r>
    </w:p>
    <w:p>
      <w:pPr>
        <w:pStyle w:val="Normal"/>
        <w:widowControl/>
        <w:bidi w:val="0"/>
        <w:spacing w:lineRule="auto" w:line="276"/>
        <w:jc w:val="left"/>
        <w:rPr/>
      </w:pPr>
      <w:r>
        <w:rPr/>
        <w:t>Represent uncertainty about indicators, proxies, entity classification, moral standing, capability access, flourishing profiles, thresholds, and qualitative interpretation.</w:t>
      </w:r>
    </w:p>
    <w:p>
      <w:pPr>
        <w:pStyle w:val="Heading4"/>
        <w:ind w:hanging="0" w:left="0"/>
        <w:rPr/>
      </w:pPr>
      <w:r>
        <w:rPr/>
        <w:t>Causal and Structural-Model Uncertainty</w:t>
      </w:r>
    </w:p>
    <w:p>
      <w:pPr>
        <w:pStyle w:val="Normal"/>
        <w:widowControl/>
        <w:bidi w:val="0"/>
        <w:spacing w:lineRule="auto" w:line="276"/>
        <w:jc w:val="left"/>
        <w:rPr/>
      </w:pPr>
      <w:r>
        <w:rPr/>
        <w:t>Address uncertainty about mechanisms, feedback, dependencies, causal direction, omitted variables, structural conditions, and whether the selected model represents the relevant system.</w:t>
      </w:r>
    </w:p>
    <w:p>
      <w:pPr>
        <w:pStyle w:val="Heading4"/>
        <w:ind w:hanging="0" w:left="0"/>
        <w:rPr/>
      </w:pPr>
      <w:r>
        <w:rPr/>
        <w:t>Boundary, Horizon, and Scenario Uncertainty</w:t>
      </w:r>
    </w:p>
    <w:p>
      <w:pPr>
        <w:pStyle w:val="Normal"/>
        <w:widowControl/>
        <w:bidi w:val="0"/>
        <w:spacing w:lineRule="auto" w:line="276"/>
        <w:jc w:val="left"/>
        <w:rPr/>
      </w:pPr>
      <w:r>
        <w:rPr/>
        <w:t>Record uncertainty created by excluded entities, selected spatial and temporal limits, counterfactual assumptions, baselines, and alternative future scenarios.</w:t>
      </w:r>
    </w:p>
    <w:p>
      <w:pPr>
        <w:pStyle w:val="Heading4"/>
        <w:ind w:hanging="0" w:left="0"/>
        <w:rPr/>
      </w:pPr>
      <w:r>
        <w:rPr/>
        <w:t>Implementation and Compliance Uncertainty</w:t>
      </w:r>
    </w:p>
    <w:p>
      <w:pPr>
        <w:pStyle w:val="Normal"/>
        <w:widowControl/>
        <w:bidi w:val="0"/>
        <w:spacing w:lineRule="auto" w:line="276"/>
        <w:jc w:val="left"/>
        <w:rPr/>
      </w:pPr>
      <w:r>
        <w:rPr/>
        <w:t>Distinguish uncertainty about the assessed policy from uncertainty about whether institutions and agents can implement, maintain, enforce, or comply with it.</w:t>
      </w:r>
    </w:p>
    <w:p>
      <w:pPr>
        <w:pStyle w:val="Heading4"/>
        <w:ind w:hanging="0" w:left="0"/>
        <w:rPr/>
      </w:pPr>
      <w:r>
        <w:rPr/>
        <w:t>Strategic and Adversarial Uncertainty</w:t>
      </w:r>
    </w:p>
    <w:p>
      <w:pPr>
        <w:pStyle w:val="Normal"/>
        <w:widowControl/>
        <w:bidi w:val="0"/>
        <w:spacing w:lineRule="auto" w:line="276"/>
        <w:jc w:val="left"/>
        <w:rPr/>
      </w:pPr>
      <w:r>
        <w:rPr/>
        <w:t>Account for deception, gaming, evasion, data manipulation, concealed objectives, strategic adaptation, and actors attempting to exploit the assessment process.</w:t>
      </w:r>
    </w:p>
    <w:p>
      <w:pPr>
        <w:pStyle w:val="Heading4"/>
        <w:ind w:hanging="0" w:left="0"/>
        <w:rPr/>
      </w:pPr>
      <w:r>
        <w:rPr/>
        <w:t>Normative and Moral Uncertainty</w:t>
      </w:r>
    </w:p>
    <w:p>
      <w:pPr>
        <w:pStyle w:val="Normal"/>
        <w:widowControl/>
        <w:bidi w:val="0"/>
        <w:spacing w:lineRule="auto" w:line="276"/>
        <w:jc w:val="left"/>
        <w:rPr/>
      </w:pPr>
      <w:r>
        <w:rPr/>
        <w:t>Separate disagreement about what will happen from disagreement about moral standing, duties, rights, values, thresholds, trade-offs, and the correct ethical profile.</w:t>
      </w:r>
    </w:p>
    <w:p>
      <w:pPr>
        <w:pStyle w:val="Heading4"/>
        <w:ind w:hanging="0" w:left="0"/>
        <w:rPr/>
      </w:pPr>
      <w:r>
        <w:rPr/>
        <w:t>Deep Uncertainty and Unknown Unknowns</w:t>
      </w:r>
    </w:p>
    <w:p>
      <w:pPr>
        <w:pStyle w:val="Normal"/>
        <w:widowControl/>
        <w:bidi w:val="0"/>
        <w:spacing w:lineRule="auto" w:line="276"/>
        <w:jc w:val="left"/>
        <w:rPr/>
      </w:pPr>
      <w:r>
        <w:rPr/>
        <w:t>Recognize situations in which outcomes, probabilities, mechanisms, or even the relevant variables cannot be identified confidently in advance.</w:t>
      </w:r>
    </w:p>
    <w:p>
      <w:pPr>
        <w:pStyle w:val="Heading4"/>
        <w:ind w:hanging="0" w:left="0"/>
        <w:rPr/>
      </w:pPr>
      <w:r>
        <w:rPr/>
        <w:t>Emergence</w:t>
      </w:r>
    </w:p>
    <w:p>
      <w:pPr>
        <w:pStyle w:val="Normal"/>
        <w:widowControl/>
        <w:bidi w:val="0"/>
        <w:spacing w:lineRule="auto" w:line="276"/>
        <w:jc w:val="left"/>
        <w:rPr/>
      </w:pPr>
      <w:r>
        <w:rPr/>
        <w:t>Define how interactions among entities can produce properties or outcomes not inferable from isolated components, including new norms, behaviors, institutions, ecological states, and technological capabilities.</w:t>
      </w:r>
    </w:p>
    <w:p>
      <w:pPr>
        <w:pStyle w:val="Heading4"/>
        <w:ind w:hanging="0" w:left="0"/>
        <w:rPr/>
      </w:pPr>
      <w:r>
        <w:rPr/>
        <w:t>Nonlinearity, Cascades, and Feedback</w:t>
      </w:r>
    </w:p>
    <w:p>
      <w:pPr>
        <w:pStyle w:val="Normal"/>
        <w:widowControl/>
        <w:bidi w:val="0"/>
        <w:spacing w:lineRule="auto" w:line="276"/>
        <w:jc w:val="left"/>
        <w:rPr/>
      </w:pPr>
      <w:r>
        <w:rPr/>
        <w:t>Address amplification, reinforcing and balancing feedback, network effects, contagion, accumulation, rebound effects, and disproportionate responses to small interventions.</w:t>
      </w:r>
    </w:p>
    <w:p>
      <w:pPr>
        <w:pStyle w:val="Heading4"/>
        <w:ind w:hanging="0" w:left="0"/>
        <w:rPr/>
      </w:pPr>
      <w:r>
        <w:rPr/>
        <w:t>Tipping Points and Regime Change</w:t>
      </w:r>
    </w:p>
    <w:p>
      <w:pPr>
        <w:pStyle w:val="Normal"/>
        <w:widowControl/>
        <w:bidi w:val="0"/>
        <w:spacing w:lineRule="auto" w:line="276"/>
        <w:jc w:val="left"/>
        <w:rPr/>
      </w:pPr>
      <w:r>
        <w:rPr/>
        <w:t>Identify thresholds at which systems move abruptly into a different causal or functional regime, potentially invalidating prior predictions and control assumptions.</w:t>
      </w:r>
    </w:p>
    <w:p>
      <w:pPr>
        <w:pStyle w:val="Heading4"/>
        <w:ind w:hanging="0" w:left="0"/>
        <w:rPr/>
      </w:pPr>
      <w:r>
        <w:rPr/>
        <w:t>Changing Causal Structures and Model Drift</w:t>
      </w:r>
    </w:p>
    <w:p>
      <w:pPr>
        <w:pStyle w:val="Normal"/>
        <w:widowControl/>
        <w:bidi w:val="0"/>
        <w:spacing w:lineRule="auto" w:line="276"/>
        <w:jc w:val="left"/>
        <w:rPr/>
      </w:pPr>
      <w:r>
        <w:rPr/>
        <w:t>Require reassessment when agents learn, institutions adapt, technologies change, environments shift, or interventions alter the causal relationships on which the model depends.</w:t>
      </w:r>
    </w:p>
    <w:p>
      <w:pPr>
        <w:pStyle w:val="Heading4"/>
        <w:ind w:hanging="0" w:left="0"/>
        <w:rPr/>
      </w:pPr>
      <w:r>
        <w:rPr/>
        <w:t>Reflexivity and Endogenous Behavior</w:t>
      </w:r>
    </w:p>
    <w:p>
      <w:pPr>
        <w:pStyle w:val="Normal"/>
        <w:widowControl/>
        <w:bidi w:val="0"/>
        <w:spacing w:lineRule="auto" w:line="276"/>
        <w:jc w:val="left"/>
        <w:rPr/>
      </w:pPr>
      <w:r>
        <w:rPr/>
        <w:t>Evaluate how predictions, classifications, recommendations, and disclosed assessments change expectations, incentives, participation, and the system being modeled.</w:t>
      </w:r>
    </w:p>
    <w:p>
      <w:pPr>
        <w:pStyle w:val="Heading4"/>
        <w:ind w:hanging="0" w:left="0"/>
        <w:rPr/>
      </w:pPr>
      <w:r>
        <w:rPr/>
        <w:t>Self-Fulfilling and Self-Defeating Predictions</w:t>
      </w:r>
    </w:p>
    <w:p>
      <w:pPr>
        <w:pStyle w:val="Normal"/>
        <w:widowControl/>
        <w:bidi w:val="0"/>
        <w:spacing w:lineRule="auto" w:line="276"/>
        <w:jc w:val="left"/>
        <w:rPr/>
      </w:pPr>
      <w:r>
        <w:rPr/>
        <w:t>Identify circumstances in which publication or use of a prediction helps cause or prevent the predicted outcome.</w:t>
      </w:r>
    </w:p>
    <w:p>
      <w:pPr>
        <w:pStyle w:val="Heading4"/>
        <w:ind w:hanging="0" w:left="0"/>
        <w:rPr/>
      </w:pPr>
      <w:r>
        <w:rPr/>
        <w:t>Measurement Gaming and Performative Metrics</w:t>
      </w:r>
    </w:p>
    <w:p>
      <w:pPr>
        <w:pStyle w:val="Normal"/>
        <w:widowControl/>
        <w:bidi w:val="0"/>
        <w:spacing w:lineRule="auto" w:line="276"/>
        <w:jc w:val="left"/>
        <w:rPr/>
      </w:pPr>
      <w:r>
        <w:rPr/>
        <w:t>Address behavior directed toward improving measured indicators rather than underlying flourishing, including suppression of adverse data and shifting harm outside the measured boundary.</w:t>
      </w:r>
    </w:p>
    <w:p>
      <w:pPr>
        <w:pStyle w:val="Heading4"/>
        <w:ind w:hanging="0" w:left="0"/>
        <w:rPr/>
      </w:pPr>
      <w:r>
        <w:rPr/>
        <w:t>Irreversibility Taxonomy</w:t>
      </w:r>
    </w:p>
    <w:p>
      <w:pPr>
        <w:pStyle w:val="Normal"/>
        <w:widowControl/>
        <w:bidi w:val="0"/>
        <w:spacing w:lineRule="auto" w:line="276"/>
        <w:jc w:val="left"/>
        <w:rPr/>
      </w:pPr>
      <w:r>
        <w:rPr/>
        <w:t>Distinguish ecological, biological, technological, institutional, legal, informational, relational, cultural, identity-related, and civilizational irreversibility.</w:t>
      </w:r>
    </w:p>
    <w:p>
      <w:pPr>
        <w:pStyle w:val="Heading4"/>
        <w:ind w:hanging="0" w:left="0"/>
        <w:rPr/>
      </w:pPr>
      <w:r>
        <w:rPr/>
        <w:t>Degrees and Horizons of Reversibility</w:t>
      </w:r>
    </w:p>
    <w:p>
      <w:pPr>
        <w:pStyle w:val="Normal"/>
        <w:widowControl/>
        <w:bidi w:val="0"/>
        <w:spacing w:lineRule="auto" w:line="276"/>
        <w:jc w:val="left"/>
        <w:rPr/>
      </w:pPr>
      <w:r>
        <w:rPr/>
        <w:t>Distinguish technically reversible, practically reversible, prohibitively costly, partially reparable, and permanently irreversible effects. Specify the time horizon within which reversal must remain possible.</w:t>
      </w:r>
    </w:p>
    <w:p>
      <w:pPr>
        <w:pStyle w:val="Heading4"/>
        <w:ind w:hanging="0" w:left="0"/>
        <w:rPr/>
      </w:pPr>
      <w:r>
        <w:rPr/>
        <w:t>Option Value and Future State Space</w:t>
      </w:r>
    </w:p>
    <w:p>
      <w:pPr>
        <w:pStyle w:val="Normal"/>
        <w:widowControl/>
        <w:bidi w:val="0"/>
        <w:spacing w:lineRule="auto" w:line="276"/>
        <w:jc w:val="left"/>
        <w:rPr/>
      </w:pPr>
      <w:r>
        <w:rPr/>
        <w:t>Recognize the moral value of preserving the ability to revise, exit, recover, or choose differently when current knowledge is limited.</w:t>
      </w:r>
    </w:p>
    <w:p>
      <w:pPr>
        <w:pStyle w:val="Heading4"/>
        <w:ind w:hanging="0" w:left="0"/>
        <w:rPr/>
      </w:pPr>
      <w:r>
        <w:rPr/>
        <w:t>Decision Policies Under Uncertainty</w:t>
      </w:r>
    </w:p>
    <w:p>
      <w:pPr>
        <w:pStyle w:val="Normal"/>
        <w:widowControl/>
        <w:bidi w:val="0"/>
        <w:spacing w:lineRule="auto" w:line="276"/>
        <w:jc w:val="left"/>
        <w:rPr/>
      </w:pPr>
      <w:r>
        <w:rPr/>
        <w:t>Define when to use expected-value analysis, precaution, robust dominance, protected thresholds, minimax regret, worst-case safeguards, satisficing, staged experimentation, or explicit indeterminacy.</w:t>
      </w:r>
    </w:p>
    <w:p>
      <w:pPr>
        <w:pStyle w:val="Heading4"/>
        <w:ind w:hanging="0" w:left="0"/>
        <w:rPr/>
      </w:pPr>
      <w:r>
        <w:rPr/>
        <w:t>Limits of Expected-Utility Reasoning</w:t>
      </w:r>
    </w:p>
    <w:p>
      <w:pPr>
        <w:pStyle w:val="Normal"/>
        <w:widowControl/>
        <w:bidi w:val="0"/>
        <w:spacing w:lineRule="auto" w:line="276"/>
        <w:jc w:val="left"/>
        <w:rPr/>
      </w:pPr>
      <w:r>
        <w:rPr/>
        <w:t>Explain why probability-weighted aggregation may be inadequate for rights violations, noncompensable losses, involuntary risk imposition, model uncertainty, catastrophic tails, or disputed moral values.</w:t>
      </w:r>
    </w:p>
    <w:p>
      <w:pPr>
        <w:pStyle w:val="Heading4"/>
        <w:ind w:hanging="0" w:left="0"/>
        <w:rPr/>
      </w:pPr>
      <w:r>
        <w:rPr/>
        <w:t>Sensitivity Analysis</w:t>
      </w:r>
    </w:p>
    <w:p>
      <w:pPr>
        <w:pStyle w:val="Normal"/>
        <w:widowControl/>
        <w:bidi w:val="0"/>
        <w:spacing w:lineRule="auto" w:line="276"/>
        <w:jc w:val="left"/>
        <w:rPr/>
      </w:pPr>
      <w:r>
        <w:rPr/>
        <w:t>Test how conclusions change under alternative data, probabilities, weights, thresholds, boundaries, horizons, entity classifications, causal structures, and ethical profiles.</w:t>
      </w:r>
    </w:p>
    <w:p>
      <w:pPr>
        <w:pStyle w:val="Heading4"/>
        <w:ind w:hanging="0" w:left="0"/>
        <w:rPr/>
      </w:pPr>
      <w:r>
        <w:rPr/>
        <w:t>Scenario and Competing-Model Analysis</w:t>
      </w:r>
    </w:p>
    <w:p>
      <w:pPr>
        <w:pStyle w:val="Normal"/>
        <w:widowControl/>
        <w:bidi w:val="0"/>
        <w:spacing w:lineRule="auto" w:line="276"/>
        <w:jc w:val="left"/>
        <w:rPr/>
      </w:pPr>
      <w:r>
        <w:rPr/>
        <w:t>Compare materially plausible causal models and futures, including favorable, adverse, threshold-crossing, implementation-failure, and adversarial scenarios.</w:t>
      </w:r>
    </w:p>
    <w:p>
      <w:pPr>
        <w:pStyle w:val="Heading4"/>
        <w:ind w:hanging="0" w:left="0"/>
        <w:rPr/>
      </w:pPr>
      <w:r>
        <w:rPr/>
        <w:t>Stress and Adversarial Testing</w:t>
      </w:r>
    </w:p>
    <w:p>
      <w:pPr>
        <w:pStyle w:val="Normal"/>
        <w:widowControl/>
        <w:bidi w:val="0"/>
        <w:spacing w:lineRule="auto" w:line="276"/>
        <w:jc w:val="left"/>
        <w:rPr/>
      </w:pPr>
      <w:r>
        <w:rPr/>
        <w:t>Deliberately test model failure, manipulation, extreme conditions, correlated failures, institutional capture, data loss, delayed harm, and strategic exploitation.</w:t>
      </w:r>
    </w:p>
    <w:p>
      <w:pPr>
        <w:pStyle w:val="Heading4"/>
        <w:ind w:hanging="0" w:left="0"/>
        <w:rPr/>
      </w:pPr>
      <w:r>
        <w:rPr/>
        <w:t>Monitoring Requirements</w:t>
      </w:r>
    </w:p>
    <w:p>
      <w:pPr>
        <w:pStyle w:val="Normal"/>
        <w:widowControl/>
        <w:bidi w:val="0"/>
        <w:spacing w:lineRule="auto" w:line="276"/>
        <w:jc w:val="left"/>
        <w:rPr/>
      </w:pPr>
      <w:r>
        <w:rPr/>
        <w:t>Define baseline conditions, leading and lagging indicators, observation frequency, responsible monitors, access rights, reporting requirements, reassessment triggers, and funding duration.</w:t>
      </w:r>
    </w:p>
    <w:p>
      <w:pPr>
        <w:pStyle w:val="Heading4"/>
        <w:ind w:hanging="0" w:left="0"/>
        <w:rPr/>
      </w:pPr>
      <w:r>
        <w:rPr/>
        <w:t>Monitoring Burdens and Secondary Harms</w:t>
      </w:r>
    </w:p>
    <w:p>
      <w:pPr>
        <w:pStyle w:val="Normal"/>
        <w:widowControl/>
        <w:bidi w:val="0"/>
        <w:spacing w:lineRule="auto" w:line="276"/>
        <w:jc w:val="left"/>
        <w:rPr/>
      </w:pPr>
      <w:r>
        <w:rPr/>
        <w:t>Evaluate privacy, surveillance, environmental, administrative, behavioral, and distributive harms produced by monitoring itself.</w:t>
      </w:r>
    </w:p>
    <w:p>
      <w:pPr>
        <w:pStyle w:val="Heading4"/>
        <w:ind w:hanging="0" w:left="0"/>
        <w:rPr/>
      </w:pPr>
      <w:r>
        <w:rPr/>
        <w:t>Model Updating and Version Control</w:t>
      </w:r>
    </w:p>
    <w:p>
      <w:pPr>
        <w:pStyle w:val="Normal"/>
        <w:widowControl/>
        <w:bidi w:val="0"/>
        <w:spacing w:lineRule="auto" w:line="276"/>
        <w:jc w:val="left"/>
        <w:rPr/>
      </w:pPr>
      <w:r>
        <w:rPr/>
        <w:t>Preserve original assumptions and predictions, compare them with observed effects, document revisions, and distinguish model failure from implementation failure.</w:t>
      </w:r>
    </w:p>
    <w:p>
      <w:pPr>
        <w:pStyle w:val="Heading4"/>
        <w:ind w:hanging="0" w:left="0"/>
        <w:rPr/>
      </w:pPr>
      <w:r>
        <w:rPr/>
        <w:t>Reversible-Experiment Rules</w:t>
      </w:r>
    </w:p>
    <w:p>
      <w:pPr>
        <w:pStyle w:val="Normal"/>
        <w:widowControl/>
        <w:bidi w:val="0"/>
        <w:spacing w:lineRule="auto" w:line="276"/>
        <w:jc w:val="left"/>
        <w:rPr/>
      </w:pPr>
      <w:r>
        <w:rPr/>
        <w:t>Establish when staged, limited, contained, monitored, and reversible interventions are ethically preferable to full deployment.</w:t>
      </w:r>
    </w:p>
    <w:p>
      <w:pPr>
        <w:pStyle w:val="Heading4"/>
        <w:ind w:hanging="0" w:left="0"/>
        <w:rPr/>
      </w:pPr>
      <w:r>
        <w:rPr/>
        <w:t>Escalation Thresholds</w:t>
      </w:r>
    </w:p>
    <w:p>
      <w:pPr>
        <w:pStyle w:val="Normal"/>
        <w:widowControl/>
        <w:bidi w:val="0"/>
        <w:spacing w:lineRule="auto" w:line="276"/>
        <w:jc w:val="left"/>
        <w:rPr/>
      </w:pPr>
      <w:r>
        <w:rPr/>
        <w:t>Define conditions requiring enhanced analysis, independent review, reduced scale, delay, pause, or prohibition based on severity, uncertainty, irreversibility, vulnerability, and loss of control.</w:t>
      </w:r>
    </w:p>
    <w:p>
      <w:pPr>
        <w:pStyle w:val="Heading4"/>
        <w:ind w:hanging="0" w:left="0"/>
        <w:rPr/>
      </w:pPr>
      <w:r>
        <w:rPr/>
        <w:t>Stopping and Rollback Rules</w:t>
      </w:r>
    </w:p>
    <w:p>
      <w:pPr>
        <w:pStyle w:val="Normal"/>
        <w:widowControl/>
        <w:bidi w:val="0"/>
        <w:spacing w:lineRule="auto" w:line="276"/>
        <w:jc w:val="left"/>
        <w:rPr/>
      </w:pPr>
      <w:r>
        <w:rPr/>
        <w:t>Require observable triggers, authorized decision-makers, enforceable intervention mechanisms, rollback capability, participant notification, and post-stop review.</w:t>
      </w:r>
    </w:p>
    <w:p>
      <w:pPr>
        <w:pStyle w:val="Heading4"/>
        <w:ind w:hanging="0" w:left="0"/>
        <w:rPr/>
      </w:pPr>
      <w:r>
        <w:rPr/>
        <w:t>High-Stakes and Irreversible Decisions</w:t>
      </w:r>
    </w:p>
    <w:p>
      <w:pPr>
        <w:pStyle w:val="Normal"/>
        <w:widowControl/>
        <w:bidi w:val="0"/>
        <w:spacing w:lineRule="auto" w:line="276"/>
        <w:jc w:val="left"/>
        <w:rPr/>
      </w:pPr>
      <w:r>
        <w:rPr/>
        <w:t>Apply heightened burden of proof, independent review, competing-model analysis, long-term governance, and stronger justification before actions capable of catastrophic or irreversible harm.</w:t>
      </w:r>
    </w:p>
    <w:p>
      <w:pPr>
        <w:pStyle w:val="Heading4"/>
        <w:ind w:hanging="0" w:left="0"/>
        <w:rPr/>
      </w:pPr>
      <w:r>
        <w:rPr/>
        <w:t>Inaction, Delay, and Foregone Benefits</w:t>
      </w:r>
    </w:p>
    <w:p>
      <w:pPr>
        <w:pStyle w:val="Normal"/>
        <w:widowControl/>
        <w:bidi w:val="0"/>
        <w:spacing w:lineRule="auto" w:line="276"/>
        <w:jc w:val="left"/>
        <w:rPr/>
      </w:pPr>
      <w:r>
        <w:rPr/>
        <w:t>Assess the risks and irreversible consequences of doing nothing or delaying action. Precaution should compare intervention and nonintervention symmetrically.</w:t>
      </w:r>
    </w:p>
    <w:p>
      <w:pPr>
        <w:pStyle w:val="Heading4"/>
        <w:ind w:hanging="0" w:left="0"/>
        <w:rPr/>
      </w:pPr>
      <w:r>
        <w:rPr/>
        <w:t>Uncertainty Communication and Decision Outputs</w:t>
      </w:r>
    </w:p>
    <w:p>
      <w:pPr>
        <w:pStyle w:val="Normal"/>
        <w:widowControl/>
        <w:bidi w:val="0"/>
        <w:spacing w:lineRule="auto" w:line="276"/>
        <w:jc w:val="left"/>
        <w:rPr/>
      </w:pPr>
      <w:r>
        <w:rPr/>
        <w:t>Report uncertainty by type, source, affected conclusion, reducibility, sensitivity, and decision significance rather than collapsing it into one confidence score.</w:t>
      </w:r>
    </w:p>
    <w:p>
      <w:pPr>
        <w:pStyle w:val="Heading4"/>
        <w:ind w:hanging="0" w:left="0"/>
        <w:rPr/>
      </w:pPr>
      <w:r>
        <w:rPr/>
        <w:t>Governance and Responsibility Under Uncertainty</w:t>
      </w:r>
    </w:p>
    <w:p>
      <w:pPr>
        <w:pStyle w:val="Normal"/>
        <w:widowControl/>
        <w:bidi w:val="0"/>
        <w:spacing w:lineRule="auto" w:line="276"/>
        <w:jc w:val="left"/>
        <w:rPr/>
      </w:pPr>
      <w:r>
        <w:rPr/>
        <w:t>Identify who bears the burden of proof, monitors outcomes, authorizes continuation, orders suspension, funds repair, and remains accountable when causal knowledge changes.</w:t>
      </w:r>
    </w:p>
    <w:p>
      <w:pPr>
        <w:pStyle w:val="Heading4"/>
        <w:ind w:hanging="0" w:left="0"/>
        <w:rPr/>
      </w:pPr>
      <w:r>
        <w:rPr/>
        <w:t>Failure Modes and Exposure</w:t>
      </w:r>
    </w:p>
    <w:p>
      <w:pPr>
        <w:pStyle w:val="Normal"/>
        <w:widowControl/>
        <w:bidi w:val="0"/>
        <w:spacing w:lineRule="auto" w:line="276"/>
        <w:jc w:val="left"/>
        <w:rPr/>
      </w:pPr>
      <w:r>
        <w:rPr/>
        <w:t>Analyze false precision, probability laundering, tail-risk neglect, normalcy bias, model monoculture, precautionary paralysis, fictitious reversibility, monitoring theater, stop-rule override, and strategic uncertainty claims.</w:t>
      </w:r>
    </w:p>
    <w:p>
      <w:pPr>
        <w:pStyle w:val="Heading4"/>
        <w:ind w:hanging="0" w:left="0"/>
        <w:rPr/>
      </w:pPr>
      <w:r>
        <w:rPr/>
        <w:t>Interim Safeguards and Mitigations</w:t>
      </w:r>
    </w:p>
    <w:p>
      <w:pPr>
        <w:pStyle w:val="Normal"/>
        <w:widowControl/>
        <w:bidi w:val="0"/>
        <w:spacing w:lineRule="auto" w:line="276"/>
        <w:jc w:val="left"/>
        <w:rPr/>
      </w:pPr>
      <w:r>
        <w:rPr/>
        <w:t>Require uncertainty registers, sensitivity testing, alternative models, precommitted monitoring, staged deployment, independent escalation authority, enforceable stopping rules, and heightened protection for irreversible interests.</w:t>
      </w:r>
    </w:p>
    <w:p>
      <w:pPr>
        <w:pStyle w:val="Heading4"/>
        <w:ind w:hanging="0" w:left="0"/>
        <w:rPr/>
      </w:pPr>
      <w:r>
        <w:rPr/>
        <w:t>Research Deliverables and Acceptance Criteria</w:t>
      </w:r>
    </w:p>
    <w:p>
      <w:pPr>
        <w:pStyle w:val="Normal"/>
        <w:widowControl/>
        <w:bidi w:val="0"/>
        <w:spacing w:lineRule="auto" w:line="276"/>
        <w:jc w:val="left"/>
        <w:rPr/>
      </w:pPr>
      <w:r>
        <w:rPr/>
        <w:t>Require an uncertainty ontology, sensitivity protocol, adversarial test suite, monitoring standard, reversibility test, escalation matrix, stopping-rule template, and benchmark cases involving emergence and model invalidation.</w:t>
      </w:r>
    </w:p>
    <w:p>
      <w:pPr>
        <w:pStyle w:val="Heading4"/>
        <w:ind w:hanging="0" w:left="0"/>
        <w:rPr/>
      </w:pPr>
      <w:r>
        <w:rPr/>
        <w:t>Residual Risk</w:t>
      </w:r>
    </w:p>
    <w:p>
      <w:pPr>
        <w:pStyle w:val="Normal"/>
        <w:widowControl/>
        <w:bidi w:val="0"/>
        <w:spacing w:lineRule="auto" w:line="276"/>
        <w:jc w:val="left"/>
        <w:rPr/>
      </w:pPr>
      <w:r>
        <w:rPr/>
        <w:t>Acknowledge that unknown unknowns, novel interactions, moral disagreement, strategic adaptation, and irreversible errors cannot be eliminated through additional modeling.</w:t>
      </w:r>
    </w:p>
    <w:p>
      <w:pPr>
        <w:pStyle w:val="Heading4"/>
        <w:ind w:hanging="0" w:left="0"/>
        <w:rPr/>
      </w:pPr>
      <w:r>
        <w:rPr/>
        <w:t>Uncertainty taxonomy</w:t>
      </w:r>
    </w:p>
    <w:tbl>
      <w:tblPr>
        <w:tblW w:w="8640" w:type="dxa"/>
        <w:jc w:val="left"/>
        <w:tblInd w:w="28" w:type="dxa"/>
        <w:tblLayout w:type="fixed"/>
        <w:tblCellMar>
          <w:top w:w="28" w:type="dxa"/>
          <w:left w:w="28" w:type="dxa"/>
          <w:bottom w:w="28" w:type="dxa"/>
          <w:right w:w="28" w:type="dxa"/>
        </w:tblCellMar>
      </w:tblPr>
      <w:tblGrid>
        <w:gridCol w:w="1956"/>
        <w:gridCol w:w="3381"/>
        <w:gridCol w:w="3303"/>
      </w:tblGrid>
      <w:tr>
        <w:trPr>
          <w:tblHeader w:val="true"/>
        </w:trPr>
        <w:tc>
          <w:tcPr>
            <w:tcW w:w="1956" w:type="dxa"/>
            <w:tcBorders/>
            <w:vAlign w:val="center"/>
          </w:tcPr>
          <w:p>
            <w:pPr>
              <w:pStyle w:val="TableHeading"/>
              <w:suppressLineNumbers/>
              <w:spacing w:before="0" w:after="200"/>
              <w:jc w:val="center"/>
              <w:rPr/>
            </w:pPr>
            <w:r>
              <w:rPr/>
              <w:t>Uncertainty type</w:t>
            </w:r>
          </w:p>
        </w:tc>
        <w:tc>
          <w:tcPr>
            <w:tcW w:w="3381" w:type="dxa"/>
            <w:tcBorders/>
            <w:vAlign w:val="center"/>
          </w:tcPr>
          <w:p>
            <w:pPr>
              <w:pStyle w:val="TableHeading"/>
              <w:suppressLineNumbers/>
              <w:spacing w:before="0" w:after="200"/>
              <w:jc w:val="center"/>
              <w:rPr/>
            </w:pPr>
            <w:r>
              <w:rPr/>
              <w:t>Central question</w:t>
            </w:r>
          </w:p>
        </w:tc>
        <w:tc>
          <w:tcPr>
            <w:tcW w:w="3303" w:type="dxa"/>
            <w:tcBorders/>
            <w:vAlign w:val="center"/>
          </w:tcPr>
          <w:p>
            <w:pPr>
              <w:pStyle w:val="TableHeading"/>
              <w:suppressLineNumbers/>
              <w:spacing w:before="0" w:after="200"/>
              <w:jc w:val="center"/>
              <w:rPr/>
            </w:pPr>
            <w:r>
              <w:rPr/>
              <w:t>Appropriate response</w:t>
            </w:r>
          </w:p>
        </w:tc>
      </w:tr>
      <w:tr>
        <w:trPr/>
        <w:tc>
          <w:tcPr>
            <w:tcW w:w="1956" w:type="dxa"/>
            <w:tcBorders/>
            <w:vAlign w:val="center"/>
          </w:tcPr>
          <w:p>
            <w:pPr>
              <w:pStyle w:val="TableContents"/>
              <w:widowControl w:val="false"/>
              <w:suppressLineNumbers/>
              <w:spacing w:before="0" w:after="200"/>
              <w:rPr/>
            </w:pPr>
            <w:r>
              <w:rPr>
                <w:rStyle w:val="Strong"/>
              </w:rPr>
              <w:t>Aleatory</w:t>
            </w:r>
          </w:p>
        </w:tc>
        <w:tc>
          <w:tcPr>
            <w:tcW w:w="3381" w:type="dxa"/>
            <w:tcBorders/>
            <w:vAlign w:val="center"/>
          </w:tcPr>
          <w:p>
            <w:pPr>
              <w:pStyle w:val="TableContents"/>
              <w:widowControl w:val="false"/>
              <w:suppressLineNumbers/>
              <w:spacing w:before="0" w:after="200"/>
              <w:rPr/>
            </w:pPr>
            <w:r>
              <w:rPr/>
              <w:t>How variable is the process even with complete knowledge?</w:t>
            </w:r>
          </w:p>
        </w:tc>
        <w:tc>
          <w:tcPr>
            <w:tcW w:w="3303" w:type="dxa"/>
            <w:tcBorders/>
            <w:vAlign w:val="center"/>
          </w:tcPr>
          <w:p>
            <w:pPr>
              <w:pStyle w:val="TableContents"/>
              <w:widowControl w:val="false"/>
              <w:suppressLineNumbers/>
              <w:spacing w:before="0" w:after="200"/>
              <w:rPr/>
            </w:pPr>
            <w:r>
              <w:rPr/>
              <w:t>Probability distributions and scenario ranges</w:t>
            </w:r>
          </w:p>
        </w:tc>
      </w:tr>
      <w:tr>
        <w:trPr/>
        <w:tc>
          <w:tcPr>
            <w:tcW w:w="1956" w:type="dxa"/>
            <w:tcBorders/>
            <w:vAlign w:val="center"/>
          </w:tcPr>
          <w:p>
            <w:pPr>
              <w:pStyle w:val="TableContents"/>
              <w:widowControl w:val="false"/>
              <w:suppressLineNumbers/>
              <w:spacing w:before="0" w:after="200"/>
              <w:rPr/>
            </w:pPr>
            <w:r>
              <w:rPr>
                <w:rStyle w:val="Strong"/>
              </w:rPr>
              <w:t>Epistemic</w:t>
            </w:r>
          </w:p>
        </w:tc>
        <w:tc>
          <w:tcPr>
            <w:tcW w:w="3381" w:type="dxa"/>
            <w:tcBorders/>
            <w:vAlign w:val="center"/>
          </w:tcPr>
          <w:p>
            <w:pPr>
              <w:pStyle w:val="TableContents"/>
              <w:widowControl w:val="false"/>
              <w:suppressLineNumbers/>
              <w:spacing w:before="0" w:after="200"/>
              <w:rPr/>
            </w:pPr>
            <w:r>
              <w:rPr/>
              <w:t>What relevant facts are unknown but potentially knowable?</w:t>
            </w:r>
          </w:p>
        </w:tc>
        <w:tc>
          <w:tcPr>
            <w:tcW w:w="3303" w:type="dxa"/>
            <w:tcBorders/>
            <w:vAlign w:val="center"/>
          </w:tcPr>
          <w:p>
            <w:pPr>
              <w:pStyle w:val="TableContents"/>
              <w:widowControl w:val="false"/>
              <w:suppressLineNumbers/>
              <w:spacing w:before="0" w:after="200"/>
              <w:rPr/>
            </w:pPr>
            <w:r>
              <w:rPr/>
              <w:t>Additional evidence and uncertainty bounds</w:t>
            </w:r>
          </w:p>
        </w:tc>
      </w:tr>
      <w:tr>
        <w:trPr/>
        <w:tc>
          <w:tcPr>
            <w:tcW w:w="1956" w:type="dxa"/>
            <w:tcBorders/>
            <w:vAlign w:val="center"/>
          </w:tcPr>
          <w:p>
            <w:pPr>
              <w:pStyle w:val="TableContents"/>
              <w:widowControl w:val="false"/>
              <w:suppressLineNumbers/>
              <w:spacing w:before="0" w:after="200"/>
              <w:rPr/>
            </w:pPr>
            <w:r>
              <w:rPr>
                <w:rStyle w:val="Strong"/>
              </w:rPr>
              <w:t>Measurement</w:t>
            </w:r>
          </w:p>
        </w:tc>
        <w:tc>
          <w:tcPr>
            <w:tcW w:w="3381" w:type="dxa"/>
            <w:tcBorders/>
            <w:vAlign w:val="center"/>
          </w:tcPr>
          <w:p>
            <w:pPr>
              <w:pStyle w:val="TableContents"/>
              <w:widowControl w:val="false"/>
              <w:suppressLineNumbers/>
              <w:spacing w:before="0" w:after="200"/>
              <w:rPr/>
            </w:pPr>
            <w:r>
              <w:rPr/>
              <w:t>How reliably do indicators represent the underlying state?</w:t>
            </w:r>
          </w:p>
        </w:tc>
        <w:tc>
          <w:tcPr>
            <w:tcW w:w="3303" w:type="dxa"/>
            <w:tcBorders/>
            <w:vAlign w:val="center"/>
          </w:tcPr>
          <w:p>
            <w:pPr>
              <w:pStyle w:val="TableContents"/>
              <w:widowControl w:val="false"/>
              <w:suppressLineNumbers/>
              <w:spacing w:before="0" w:after="200"/>
              <w:rPr/>
            </w:pPr>
            <w:r>
              <w:rPr/>
              <w:t>Validation, multiple indicators, and qualitative review</w:t>
            </w:r>
          </w:p>
        </w:tc>
      </w:tr>
      <w:tr>
        <w:trPr/>
        <w:tc>
          <w:tcPr>
            <w:tcW w:w="1956" w:type="dxa"/>
            <w:tcBorders/>
            <w:vAlign w:val="center"/>
          </w:tcPr>
          <w:p>
            <w:pPr>
              <w:pStyle w:val="TableContents"/>
              <w:widowControl w:val="false"/>
              <w:suppressLineNumbers/>
              <w:spacing w:before="0" w:after="200"/>
              <w:rPr/>
            </w:pPr>
            <w:r>
              <w:rPr>
                <w:rStyle w:val="Strong"/>
              </w:rPr>
              <w:t>Causal</w:t>
            </w:r>
          </w:p>
        </w:tc>
        <w:tc>
          <w:tcPr>
            <w:tcW w:w="3381" w:type="dxa"/>
            <w:tcBorders/>
            <w:vAlign w:val="center"/>
          </w:tcPr>
          <w:p>
            <w:pPr>
              <w:pStyle w:val="TableContents"/>
              <w:widowControl w:val="false"/>
              <w:suppressLineNumbers/>
              <w:spacing w:before="0" w:after="200"/>
              <w:rPr/>
            </w:pPr>
            <w:r>
              <w:rPr/>
              <w:t>Are the assumed mechanisms and causal directions correct?</w:t>
            </w:r>
          </w:p>
        </w:tc>
        <w:tc>
          <w:tcPr>
            <w:tcW w:w="3303" w:type="dxa"/>
            <w:tcBorders/>
            <w:vAlign w:val="center"/>
          </w:tcPr>
          <w:p>
            <w:pPr>
              <w:pStyle w:val="TableContents"/>
              <w:widowControl w:val="false"/>
              <w:suppressLineNumbers/>
              <w:spacing w:before="0" w:after="200"/>
              <w:rPr/>
            </w:pPr>
            <w:r>
              <w:rPr/>
              <w:t>Competing models and causal sensitivity</w:t>
            </w:r>
          </w:p>
        </w:tc>
      </w:tr>
      <w:tr>
        <w:trPr/>
        <w:tc>
          <w:tcPr>
            <w:tcW w:w="1956" w:type="dxa"/>
            <w:tcBorders/>
            <w:vAlign w:val="center"/>
          </w:tcPr>
          <w:p>
            <w:pPr>
              <w:pStyle w:val="TableContents"/>
              <w:widowControl w:val="false"/>
              <w:suppressLineNumbers/>
              <w:spacing w:before="0" w:after="200"/>
              <w:rPr/>
            </w:pPr>
            <w:r>
              <w:rPr>
                <w:rStyle w:val="Strong"/>
              </w:rPr>
              <w:t>Structural-model</w:t>
            </w:r>
          </w:p>
        </w:tc>
        <w:tc>
          <w:tcPr>
            <w:tcW w:w="3381" w:type="dxa"/>
            <w:tcBorders/>
            <w:vAlign w:val="center"/>
          </w:tcPr>
          <w:p>
            <w:pPr>
              <w:pStyle w:val="TableContents"/>
              <w:widowControl w:val="false"/>
              <w:suppressLineNumbers/>
              <w:spacing w:before="0" w:after="200"/>
              <w:rPr/>
            </w:pPr>
            <w:r>
              <w:rPr/>
              <w:t>Is the model form adequate for the system?</w:t>
            </w:r>
          </w:p>
        </w:tc>
        <w:tc>
          <w:tcPr>
            <w:tcW w:w="3303" w:type="dxa"/>
            <w:tcBorders/>
            <w:vAlign w:val="center"/>
          </w:tcPr>
          <w:p>
            <w:pPr>
              <w:pStyle w:val="TableContents"/>
              <w:widowControl w:val="false"/>
              <w:suppressLineNumbers/>
              <w:spacing w:before="0" w:after="200"/>
              <w:rPr/>
            </w:pPr>
            <w:r>
              <w:rPr/>
              <w:t>Model pluralism, stress testing, and residual-error disclosure</w:t>
            </w:r>
          </w:p>
        </w:tc>
      </w:tr>
      <w:tr>
        <w:trPr/>
        <w:tc>
          <w:tcPr>
            <w:tcW w:w="1956" w:type="dxa"/>
            <w:tcBorders/>
            <w:vAlign w:val="center"/>
          </w:tcPr>
          <w:p>
            <w:pPr>
              <w:pStyle w:val="TableContents"/>
              <w:widowControl w:val="false"/>
              <w:suppressLineNumbers/>
              <w:spacing w:before="0" w:after="200"/>
              <w:rPr/>
            </w:pPr>
            <w:r>
              <w:rPr>
                <w:rStyle w:val="Strong"/>
              </w:rPr>
              <w:t>Boundary</w:t>
            </w:r>
          </w:p>
        </w:tc>
        <w:tc>
          <w:tcPr>
            <w:tcW w:w="3381" w:type="dxa"/>
            <w:tcBorders/>
            <w:vAlign w:val="center"/>
          </w:tcPr>
          <w:p>
            <w:pPr>
              <w:pStyle w:val="TableContents"/>
              <w:widowControl w:val="false"/>
              <w:suppressLineNumbers/>
              <w:spacing w:before="0" w:after="200"/>
              <w:rPr/>
            </w:pPr>
            <w:r>
              <w:rPr/>
              <w:t>Which relevant entities, effects, or scales may have been excluded?</w:t>
            </w:r>
          </w:p>
        </w:tc>
        <w:tc>
          <w:tcPr>
            <w:tcW w:w="3303" w:type="dxa"/>
            <w:tcBorders/>
            <w:vAlign w:val="center"/>
          </w:tcPr>
          <w:p>
            <w:pPr>
              <w:pStyle w:val="TableContents"/>
              <w:widowControl w:val="false"/>
              <w:suppressLineNumbers/>
              <w:spacing w:before="0" w:after="200"/>
              <w:rPr/>
            </w:pPr>
            <w:r>
              <w:rPr/>
              <w:t>Boundary challenges and alternative scopes</w:t>
            </w:r>
          </w:p>
        </w:tc>
      </w:tr>
      <w:tr>
        <w:trPr/>
        <w:tc>
          <w:tcPr>
            <w:tcW w:w="1956" w:type="dxa"/>
            <w:tcBorders/>
            <w:vAlign w:val="center"/>
          </w:tcPr>
          <w:p>
            <w:pPr>
              <w:pStyle w:val="TableContents"/>
              <w:widowControl w:val="false"/>
              <w:suppressLineNumbers/>
              <w:spacing w:before="0" w:after="200"/>
              <w:rPr/>
            </w:pPr>
            <w:r>
              <w:rPr>
                <w:rStyle w:val="Strong"/>
              </w:rPr>
              <w:t>Scenario</w:t>
            </w:r>
          </w:p>
        </w:tc>
        <w:tc>
          <w:tcPr>
            <w:tcW w:w="3381" w:type="dxa"/>
            <w:tcBorders/>
            <w:vAlign w:val="center"/>
          </w:tcPr>
          <w:p>
            <w:pPr>
              <w:pStyle w:val="TableContents"/>
              <w:widowControl w:val="false"/>
              <w:suppressLineNumbers/>
              <w:spacing w:before="0" w:after="200"/>
              <w:rPr/>
            </w:pPr>
            <w:r>
              <w:rPr/>
              <w:t>Which materially different futures remain plausible?</w:t>
            </w:r>
          </w:p>
        </w:tc>
        <w:tc>
          <w:tcPr>
            <w:tcW w:w="3303" w:type="dxa"/>
            <w:tcBorders/>
            <w:vAlign w:val="center"/>
          </w:tcPr>
          <w:p>
            <w:pPr>
              <w:pStyle w:val="TableContents"/>
              <w:widowControl w:val="false"/>
              <w:suppressLineNumbers/>
              <w:spacing w:before="0" w:after="200"/>
              <w:rPr/>
            </w:pPr>
            <w:r>
              <w:rPr/>
              <w:t>Scenario comparison and robust decision methods</w:t>
            </w:r>
          </w:p>
        </w:tc>
      </w:tr>
      <w:tr>
        <w:trPr/>
        <w:tc>
          <w:tcPr>
            <w:tcW w:w="1956" w:type="dxa"/>
            <w:tcBorders/>
            <w:vAlign w:val="center"/>
          </w:tcPr>
          <w:p>
            <w:pPr>
              <w:pStyle w:val="TableContents"/>
              <w:widowControl w:val="false"/>
              <w:suppressLineNumbers/>
              <w:spacing w:before="0" w:after="200"/>
              <w:rPr/>
            </w:pPr>
            <w:r>
              <w:rPr>
                <w:rStyle w:val="Strong"/>
              </w:rPr>
              <w:t>Implementation</w:t>
            </w:r>
          </w:p>
        </w:tc>
        <w:tc>
          <w:tcPr>
            <w:tcW w:w="3381" w:type="dxa"/>
            <w:tcBorders/>
            <w:vAlign w:val="center"/>
          </w:tcPr>
          <w:p>
            <w:pPr>
              <w:pStyle w:val="TableContents"/>
              <w:widowControl w:val="false"/>
              <w:suppressLineNumbers/>
              <w:spacing w:before="0" w:after="200"/>
              <w:rPr/>
            </w:pPr>
            <w:r>
              <w:rPr/>
              <w:t>Will the intervention operate as designed?</w:t>
            </w:r>
          </w:p>
        </w:tc>
        <w:tc>
          <w:tcPr>
            <w:tcW w:w="3303" w:type="dxa"/>
            <w:tcBorders/>
            <w:vAlign w:val="center"/>
          </w:tcPr>
          <w:p>
            <w:pPr>
              <w:pStyle w:val="TableContents"/>
              <w:widowControl w:val="false"/>
              <w:suppressLineNumbers/>
              <w:spacing w:before="0" w:after="200"/>
              <w:rPr/>
            </w:pPr>
            <w:r>
              <w:rPr/>
              <w:t>Pilots, capability assessment, monitoring, and contingencies</w:t>
            </w:r>
          </w:p>
        </w:tc>
      </w:tr>
      <w:tr>
        <w:trPr/>
        <w:tc>
          <w:tcPr>
            <w:tcW w:w="1956" w:type="dxa"/>
            <w:tcBorders/>
            <w:vAlign w:val="center"/>
          </w:tcPr>
          <w:p>
            <w:pPr>
              <w:pStyle w:val="TableContents"/>
              <w:widowControl w:val="false"/>
              <w:suppressLineNumbers/>
              <w:spacing w:before="0" w:after="200"/>
              <w:rPr/>
            </w:pPr>
            <w:r>
              <w:rPr>
                <w:rStyle w:val="Strong"/>
              </w:rPr>
              <w:t>Strategic</w:t>
            </w:r>
          </w:p>
        </w:tc>
        <w:tc>
          <w:tcPr>
            <w:tcW w:w="3381" w:type="dxa"/>
            <w:tcBorders/>
            <w:vAlign w:val="center"/>
          </w:tcPr>
          <w:p>
            <w:pPr>
              <w:pStyle w:val="TableContents"/>
              <w:widowControl w:val="false"/>
              <w:suppressLineNumbers/>
              <w:spacing w:before="0" w:after="200"/>
              <w:rPr/>
            </w:pPr>
            <w:r>
              <w:rPr/>
              <w:t>Will actors manipulate, evade, or adapt to the intervention?</w:t>
            </w:r>
          </w:p>
        </w:tc>
        <w:tc>
          <w:tcPr>
            <w:tcW w:w="3303" w:type="dxa"/>
            <w:tcBorders/>
            <w:vAlign w:val="center"/>
          </w:tcPr>
          <w:p>
            <w:pPr>
              <w:pStyle w:val="TableContents"/>
              <w:widowControl w:val="false"/>
              <w:suppressLineNumbers/>
              <w:spacing w:before="0" w:after="200"/>
              <w:rPr/>
            </w:pPr>
            <w:r>
              <w:rPr/>
              <w:t>Adversarial testing and incentive analysis</w:t>
            </w:r>
          </w:p>
        </w:tc>
      </w:tr>
      <w:tr>
        <w:trPr/>
        <w:tc>
          <w:tcPr>
            <w:tcW w:w="1956" w:type="dxa"/>
            <w:tcBorders/>
            <w:vAlign w:val="center"/>
          </w:tcPr>
          <w:p>
            <w:pPr>
              <w:pStyle w:val="TableContents"/>
              <w:widowControl w:val="false"/>
              <w:suppressLineNumbers/>
              <w:spacing w:before="0" w:after="200"/>
              <w:rPr/>
            </w:pPr>
            <w:r>
              <w:rPr>
                <w:rStyle w:val="Strong"/>
              </w:rPr>
              <w:t>Normative</w:t>
            </w:r>
          </w:p>
        </w:tc>
        <w:tc>
          <w:tcPr>
            <w:tcW w:w="3381" w:type="dxa"/>
            <w:tcBorders/>
            <w:vAlign w:val="center"/>
          </w:tcPr>
          <w:p>
            <w:pPr>
              <w:pStyle w:val="TableContents"/>
              <w:widowControl w:val="false"/>
              <w:suppressLineNumbers/>
              <w:spacing w:before="0" w:after="200"/>
              <w:rPr/>
            </w:pPr>
            <w:r>
              <w:rPr/>
              <w:t>Which values, rights, thresholds, or ethical profiles should govern?</w:t>
            </w:r>
          </w:p>
        </w:tc>
        <w:tc>
          <w:tcPr>
            <w:tcW w:w="3303" w:type="dxa"/>
            <w:tcBorders/>
            <w:vAlign w:val="center"/>
          </w:tcPr>
          <w:p>
            <w:pPr>
              <w:pStyle w:val="TableContents"/>
              <w:widowControl w:val="false"/>
              <w:suppressLineNumbers/>
              <w:spacing w:before="0" w:after="200"/>
              <w:rPr/>
            </w:pPr>
            <w:r>
              <w:rPr/>
              <w:t>Separate moral findings, deliberation, and plural robustness</w:t>
            </w:r>
          </w:p>
        </w:tc>
      </w:tr>
      <w:tr>
        <w:trPr/>
        <w:tc>
          <w:tcPr>
            <w:tcW w:w="1956" w:type="dxa"/>
            <w:tcBorders/>
            <w:vAlign w:val="center"/>
          </w:tcPr>
          <w:p>
            <w:pPr>
              <w:pStyle w:val="TableContents"/>
              <w:widowControl w:val="false"/>
              <w:suppressLineNumbers/>
              <w:spacing w:before="0" w:after="200"/>
              <w:rPr/>
            </w:pPr>
            <w:r>
              <w:rPr>
                <w:rStyle w:val="Strong"/>
              </w:rPr>
              <w:t>Deep uncertainty</w:t>
            </w:r>
          </w:p>
        </w:tc>
        <w:tc>
          <w:tcPr>
            <w:tcW w:w="3381" w:type="dxa"/>
            <w:tcBorders/>
            <w:vAlign w:val="center"/>
          </w:tcPr>
          <w:p>
            <w:pPr>
              <w:pStyle w:val="TableContents"/>
              <w:widowControl w:val="false"/>
              <w:suppressLineNumbers/>
              <w:spacing w:before="0" w:after="200"/>
              <w:rPr/>
            </w:pPr>
            <w:r>
              <w:rPr/>
              <w:t>Are important outcomes or mechanisms not yet identifiable?</w:t>
            </w:r>
          </w:p>
        </w:tc>
        <w:tc>
          <w:tcPr>
            <w:tcW w:w="3303" w:type="dxa"/>
            <w:tcBorders/>
            <w:vAlign w:val="center"/>
          </w:tcPr>
          <w:p>
            <w:pPr>
              <w:pStyle w:val="TableContents"/>
              <w:widowControl w:val="false"/>
              <w:suppressLineNumbers/>
              <w:spacing w:before="0" w:after="200"/>
              <w:rPr/>
            </w:pPr>
            <w:r>
              <w:rPr/>
              <w:t>Reversibility, monitoring, option preservation, and restraint</w:t>
            </w:r>
          </w:p>
        </w:tc>
      </w:tr>
    </w:tbl>
    <w:p>
      <w:pPr>
        <w:pStyle w:val="Heading4"/>
        <w:ind w:hanging="0" w:left="0"/>
        <w:rPr>
          <w:rFonts w:ascii="Aptos" w:hAnsi="Aptos"/>
          <w:color w:val="auto"/>
          <w:sz w:val="21"/>
          <w:szCs w:val="22"/>
        </w:rPr>
      </w:pPr>
      <w:r>
        <w:rPr/>
        <w:t>Reversible-experiment requirements</w:t>
      </w:r>
    </w:p>
    <w:p>
      <w:pPr>
        <w:pStyle w:val="BodyText"/>
        <w:spacing w:before="0" w:after="200"/>
        <w:rPr/>
      </w:pPr>
      <w:r>
        <w:rPr/>
        <w:t>An experimental intervention should ordinarily require:</w:t>
      </w:r>
    </w:p>
    <w:p>
      <w:pPr>
        <w:pStyle w:val="BodyText"/>
        <w:numPr>
          <w:ilvl w:val="0"/>
          <w:numId w:val="163"/>
        </w:numPr>
        <w:tabs>
          <w:tab w:val="clear" w:pos="720"/>
          <w:tab w:val="left" w:pos="0" w:leader="none"/>
        </w:tabs>
        <w:spacing w:before="0" w:after="0"/>
        <w:ind w:hanging="283" w:left="709"/>
        <w:rPr/>
      </w:pPr>
      <w:r>
        <w:rPr/>
        <w:t xml:space="preserve">Limited scale and duration; </w:t>
      </w:r>
    </w:p>
    <w:p>
      <w:pPr>
        <w:pStyle w:val="BodyText"/>
        <w:numPr>
          <w:ilvl w:val="0"/>
          <w:numId w:val="163"/>
        </w:numPr>
        <w:tabs>
          <w:tab w:val="clear" w:pos="720"/>
          <w:tab w:val="left" w:pos="0" w:leader="none"/>
        </w:tabs>
        <w:spacing w:before="0" w:after="0"/>
        <w:ind w:hanging="283" w:left="709"/>
        <w:rPr/>
      </w:pPr>
      <w:r>
        <w:rPr/>
        <w:t xml:space="preserve">A defensible learning objective; </w:t>
      </w:r>
    </w:p>
    <w:p>
      <w:pPr>
        <w:pStyle w:val="BodyText"/>
        <w:numPr>
          <w:ilvl w:val="0"/>
          <w:numId w:val="163"/>
        </w:numPr>
        <w:tabs>
          <w:tab w:val="clear" w:pos="720"/>
          <w:tab w:val="left" w:pos="0" w:leader="none"/>
        </w:tabs>
        <w:spacing w:before="0" w:after="0"/>
        <w:ind w:hanging="283" w:left="709"/>
        <w:rPr/>
      </w:pPr>
      <w:r>
        <w:rPr/>
        <w:t xml:space="preserve">Informed participation where applicable; </w:t>
      </w:r>
    </w:p>
    <w:p>
      <w:pPr>
        <w:pStyle w:val="BodyText"/>
        <w:numPr>
          <w:ilvl w:val="0"/>
          <w:numId w:val="163"/>
        </w:numPr>
        <w:tabs>
          <w:tab w:val="clear" w:pos="720"/>
          <w:tab w:val="left" w:pos="0" w:leader="none"/>
        </w:tabs>
        <w:spacing w:before="0" w:after="0"/>
        <w:ind w:hanging="283" w:left="709"/>
        <w:rPr/>
      </w:pPr>
      <w:r>
        <w:rPr/>
        <w:t xml:space="preserve">Protection of vulnerable entities and protected minimums; </w:t>
      </w:r>
    </w:p>
    <w:p>
      <w:pPr>
        <w:pStyle w:val="BodyText"/>
        <w:numPr>
          <w:ilvl w:val="0"/>
          <w:numId w:val="163"/>
        </w:numPr>
        <w:tabs>
          <w:tab w:val="clear" w:pos="720"/>
          <w:tab w:val="left" w:pos="0" w:leader="none"/>
        </w:tabs>
        <w:spacing w:before="0" w:after="0"/>
        <w:ind w:hanging="283" w:left="709"/>
        <w:rPr/>
      </w:pPr>
      <w:r>
        <w:rPr/>
        <w:t xml:space="preserve">Containment of plausible failures; </w:t>
      </w:r>
    </w:p>
    <w:p>
      <w:pPr>
        <w:pStyle w:val="BodyText"/>
        <w:numPr>
          <w:ilvl w:val="0"/>
          <w:numId w:val="163"/>
        </w:numPr>
        <w:tabs>
          <w:tab w:val="clear" w:pos="720"/>
          <w:tab w:val="left" w:pos="0" w:leader="none"/>
        </w:tabs>
        <w:spacing w:before="0" w:after="0"/>
        <w:ind w:hanging="283" w:left="709"/>
        <w:rPr/>
      </w:pPr>
      <w:r>
        <w:rPr/>
        <w:t xml:space="preserve">A credible baseline or comparison method; </w:t>
      </w:r>
    </w:p>
    <w:p>
      <w:pPr>
        <w:pStyle w:val="BodyText"/>
        <w:numPr>
          <w:ilvl w:val="0"/>
          <w:numId w:val="163"/>
        </w:numPr>
        <w:tabs>
          <w:tab w:val="clear" w:pos="720"/>
          <w:tab w:val="left" w:pos="0" w:leader="none"/>
        </w:tabs>
        <w:spacing w:before="0" w:after="0"/>
        <w:ind w:hanging="283" w:left="709"/>
        <w:rPr/>
      </w:pPr>
      <w:r>
        <w:rPr/>
        <w:t xml:space="preserve">Predefined monitoring indicators; </w:t>
      </w:r>
    </w:p>
    <w:p>
      <w:pPr>
        <w:pStyle w:val="BodyText"/>
        <w:numPr>
          <w:ilvl w:val="0"/>
          <w:numId w:val="163"/>
        </w:numPr>
        <w:tabs>
          <w:tab w:val="clear" w:pos="720"/>
          <w:tab w:val="left" w:pos="0" w:leader="none"/>
        </w:tabs>
        <w:spacing w:before="0" w:after="0"/>
        <w:ind w:hanging="283" w:left="709"/>
        <w:rPr/>
      </w:pPr>
      <w:r>
        <w:rPr/>
        <w:t xml:space="preserve">Independent access to adverse evidence; </w:t>
      </w:r>
    </w:p>
    <w:p>
      <w:pPr>
        <w:pStyle w:val="BodyText"/>
        <w:numPr>
          <w:ilvl w:val="0"/>
          <w:numId w:val="163"/>
        </w:numPr>
        <w:tabs>
          <w:tab w:val="clear" w:pos="720"/>
          <w:tab w:val="left" w:pos="0" w:leader="none"/>
        </w:tabs>
        <w:spacing w:before="0" w:after="0"/>
        <w:ind w:hanging="283" w:left="709"/>
        <w:rPr/>
      </w:pPr>
      <w:r>
        <w:rPr/>
        <w:t xml:space="preserve">Enforceable stopping and rollback mechanisms; </w:t>
      </w:r>
    </w:p>
    <w:p>
      <w:pPr>
        <w:pStyle w:val="BodyText"/>
        <w:numPr>
          <w:ilvl w:val="0"/>
          <w:numId w:val="163"/>
        </w:numPr>
        <w:tabs>
          <w:tab w:val="clear" w:pos="720"/>
          <w:tab w:val="left" w:pos="0" w:leader="none"/>
        </w:tabs>
        <w:spacing w:before="0" w:after="0"/>
        <w:ind w:hanging="283" w:left="709"/>
        <w:rPr/>
      </w:pPr>
      <w:r>
        <w:rPr/>
        <w:t xml:space="preserve">Funding for mitigation and repair; </w:t>
      </w:r>
    </w:p>
    <w:p>
      <w:pPr>
        <w:pStyle w:val="BodyText"/>
        <w:numPr>
          <w:ilvl w:val="0"/>
          <w:numId w:val="163"/>
        </w:numPr>
        <w:tabs>
          <w:tab w:val="clear" w:pos="720"/>
          <w:tab w:val="left" w:pos="0" w:leader="none"/>
        </w:tabs>
        <w:spacing w:before="0" w:after="0"/>
        <w:ind w:hanging="283" w:left="709"/>
        <w:rPr/>
      </w:pPr>
      <w:r>
        <w:rPr/>
        <w:t xml:space="preserve">Protection against institutional lock-in; </w:t>
      </w:r>
    </w:p>
    <w:p>
      <w:pPr>
        <w:pStyle w:val="BodyText"/>
        <w:numPr>
          <w:ilvl w:val="0"/>
          <w:numId w:val="163"/>
        </w:numPr>
        <w:tabs>
          <w:tab w:val="clear" w:pos="720"/>
          <w:tab w:val="left" w:pos="0" w:leader="none"/>
        </w:tabs>
        <w:spacing w:before="0" w:after="0"/>
        <w:ind w:hanging="283" w:left="709"/>
        <w:rPr/>
      </w:pPr>
      <w:r>
        <w:rPr/>
        <w:t xml:space="preserve">Review before expansion; and </w:t>
      </w:r>
    </w:p>
    <w:p>
      <w:pPr>
        <w:pStyle w:val="BodyText"/>
        <w:numPr>
          <w:ilvl w:val="0"/>
          <w:numId w:val="163"/>
        </w:numPr>
        <w:tabs>
          <w:tab w:val="clear" w:pos="720"/>
          <w:tab w:val="left" w:pos="0" w:leader="none"/>
        </w:tabs>
        <w:ind w:hanging="283" w:left="709"/>
        <w:rPr/>
      </w:pPr>
      <w:r>
        <w:rPr/>
        <w:t xml:space="preserve">Prohibition when the experiment itself risks catastrophic or irreversible harm. </w:t>
      </w:r>
    </w:p>
    <w:p>
      <w:pPr>
        <w:pStyle w:val="BodyText"/>
        <w:spacing w:before="0" w:after="200"/>
        <w:rPr/>
      </w:pPr>
      <w:r>
        <w:rPr/>
        <w:t>An intervention should not be called reversible merely because it can be formally discontinued. Its accumulated ecological, biological, relational, informational, institutional, and capability effects must also be reasonably reparable.</w:t>
      </w:r>
    </w:p>
    <w:p>
      <w:pPr>
        <w:pStyle w:val="Heading4"/>
        <w:ind w:hanging="0" w:left="0"/>
        <w:rPr>
          <w:rFonts w:ascii="Aptos" w:hAnsi="Aptos"/>
          <w:color w:val="auto"/>
          <w:sz w:val="21"/>
          <w:szCs w:val="22"/>
        </w:rPr>
      </w:pPr>
      <w:r>
        <w:rPr/>
        <w:t>Escalation framework</w:t>
      </w:r>
    </w:p>
    <w:tbl>
      <w:tblPr>
        <w:tblW w:w="8640" w:type="dxa"/>
        <w:jc w:val="left"/>
        <w:tblInd w:w="28" w:type="dxa"/>
        <w:tblLayout w:type="fixed"/>
        <w:tblCellMar>
          <w:top w:w="28" w:type="dxa"/>
          <w:left w:w="28" w:type="dxa"/>
          <w:bottom w:w="28" w:type="dxa"/>
          <w:right w:w="28" w:type="dxa"/>
        </w:tblCellMar>
      </w:tblPr>
      <w:tblGrid>
        <w:gridCol w:w="2088"/>
        <w:gridCol w:w="3604"/>
        <w:gridCol w:w="2948"/>
      </w:tblGrid>
      <w:tr>
        <w:trPr>
          <w:tblHeader w:val="true"/>
        </w:trPr>
        <w:tc>
          <w:tcPr>
            <w:tcW w:w="2088" w:type="dxa"/>
            <w:tcBorders/>
            <w:vAlign w:val="center"/>
          </w:tcPr>
          <w:p>
            <w:pPr>
              <w:pStyle w:val="TableHeading"/>
              <w:suppressLineNumbers/>
              <w:spacing w:before="0" w:after="200"/>
              <w:jc w:val="center"/>
              <w:rPr/>
            </w:pPr>
            <w:r>
              <w:rPr/>
              <w:t>Level</w:t>
            </w:r>
          </w:p>
        </w:tc>
        <w:tc>
          <w:tcPr>
            <w:tcW w:w="3604" w:type="dxa"/>
            <w:tcBorders/>
            <w:vAlign w:val="center"/>
          </w:tcPr>
          <w:p>
            <w:pPr>
              <w:pStyle w:val="TableHeading"/>
              <w:suppressLineNumbers/>
              <w:spacing w:before="0" w:after="200"/>
              <w:jc w:val="center"/>
              <w:rPr/>
            </w:pPr>
            <w:r>
              <w:rPr/>
              <w:t>Illustrative condition</w:t>
            </w:r>
          </w:p>
        </w:tc>
        <w:tc>
          <w:tcPr>
            <w:tcW w:w="2948" w:type="dxa"/>
            <w:tcBorders/>
            <w:vAlign w:val="center"/>
          </w:tcPr>
          <w:p>
            <w:pPr>
              <w:pStyle w:val="TableHeading"/>
              <w:suppressLineNumbers/>
              <w:spacing w:before="0" w:after="200"/>
              <w:jc w:val="center"/>
              <w:rPr/>
            </w:pPr>
            <w:r>
              <w:rPr/>
              <w:t>Required response</w:t>
            </w:r>
          </w:p>
        </w:tc>
      </w:tr>
      <w:tr>
        <w:trPr/>
        <w:tc>
          <w:tcPr>
            <w:tcW w:w="2088" w:type="dxa"/>
            <w:tcBorders/>
            <w:vAlign w:val="center"/>
          </w:tcPr>
          <w:p>
            <w:pPr>
              <w:pStyle w:val="TableContents"/>
              <w:widowControl w:val="false"/>
              <w:suppressLineNumbers/>
              <w:spacing w:before="0" w:after="200"/>
              <w:rPr/>
            </w:pPr>
            <w:r>
              <w:rPr>
                <w:rStyle w:val="Strong"/>
              </w:rPr>
              <w:t>Level 0 — Routine</w:t>
            </w:r>
          </w:p>
        </w:tc>
        <w:tc>
          <w:tcPr>
            <w:tcW w:w="3604" w:type="dxa"/>
            <w:tcBorders/>
            <w:vAlign w:val="center"/>
          </w:tcPr>
          <w:p>
            <w:pPr>
              <w:pStyle w:val="TableContents"/>
              <w:widowControl w:val="false"/>
              <w:suppressLineNumbers/>
              <w:spacing w:before="0" w:after="200"/>
              <w:rPr/>
            </w:pPr>
            <w:r>
              <w:rPr/>
              <w:t>Low severity, high reversibility, stable models</w:t>
            </w:r>
          </w:p>
        </w:tc>
        <w:tc>
          <w:tcPr>
            <w:tcW w:w="2948" w:type="dxa"/>
            <w:tcBorders/>
            <w:vAlign w:val="center"/>
          </w:tcPr>
          <w:p>
            <w:pPr>
              <w:pStyle w:val="TableContents"/>
              <w:widowControl w:val="false"/>
              <w:suppressLineNumbers/>
              <w:spacing w:before="0" w:after="200"/>
              <w:rPr/>
            </w:pPr>
            <w:r>
              <w:rPr/>
              <w:t>Normal assessment and monitoring</w:t>
            </w:r>
          </w:p>
        </w:tc>
      </w:tr>
      <w:tr>
        <w:trPr/>
        <w:tc>
          <w:tcPr>
            <w:tcW w:w="2088" w:type="dxa"/>
            <w:tcBorders/>
            <w:vAlign w:val="center"/>
          </w:tcPr>
          <w:p>
            <w:pPr>
              <w:pStyle w:val="TableContents"/>
              <w:widowControl w:val="false"/>
              <w:suppressLineNumbers/>
              <w:spacing w:before="0" w:after="200"/>
              <w:rPr/>
            </w:pPr>
            <w:r>
              <w:rPr>
                <w:rStyle w:val="Strong"/>
              </w:rPr>
              <w:t>Level 1 — Enhanced scrutiny</w:t>
            </w:r>
          </w:p>
        </w:tc>
        <w:tc>
          <w:tcPr>
            <w:tcW w:w="3604" w:type="dxa"/>
            <w:tcBorders/>
            <w:vAlign w:val="center"/>
          </w:tcPr>
          <w:p>
            <w:pPr>
              <w:pStyle w:val="TableContents"/>
              <w:widowControl w:val="false"/>
              <w:suppressLineNumbers/>
              <w:spacing w:before="0" w:after="200"/>
              <w:rPr/>
            </w:pPr>
            <w:r>
              <w:rPr/>
              <w:t>Material uncertainty or vulnerable affected entities</w:t>
            </w:r>
          </w:p>
        </w:tc>
        <w:tc>
          <w:tcPr>
            <w:tcW w:w="2948" w:type="dxa"/>
            <w:tcBorders/>
            <w:vAlign w:val="center"/>
          </w:tcPr>
          <w:p>
            <w:pPr>
              <w:pStyle w:val="TableContents"/>
              <w:widowControl w:val="false"/>
              <w:suppressLineNumbers/>
              <w:spacing w:before="0" w:after="200"/>
              <w:rPr/>
            </w:pPr>
            <w:r>
              <w:rPr/>
              <w:t>Sensitivity analysis and additional review</w:t>
            </w:r>
          </w:p>
        </w:tc>
      </w:tr>
      <w:tr>
        <w:trPr/>
        <w:tc>
          <w:tcPr>
            <w:tcW w:w="2088" w:type="dxa"/>
            <w:tcBorders/>
            <w:vAlign w:val="center"/>
          </w:tcPr>
          <w:p>
            <w:pPr>
              <w:pStyle w:val="TableContents"/>
              <w:widowControl w:val="false"/>
              <w:suppressLineNumbers/>
              <w:spacing w:before="0" w:after="200"/>
              <w:rPr/>
            </w:pPr>
            <w:r>
              <w:rPr>
                <w:rStyle w:val="Strong"/>
              </w:rPr>
              <w:t>Level 2 — Controlled deployment</w:t>
            </w:r>
          </w:p>
        </w:tc>
        <w:tc>
          <w:tcPr>
            <w:tcW w:w="3604" w:type="dxa"/>
            <w:tcBorders/>
            <w:vAlign w:val="center"/>
          </w:tcPr>
          <w:p>
            <w:pPr>
              <w:pStyle w:val="TableContents"/>
              <w:widowControl w:val="false"/>
              <w:suppressLineNumbers/>
              <w:spacing w:before="0" w:after="200"/>
              <w:rPr/>
            </w:pPr>
            <w:r>
              <w:rPr/>
              <w:t>Significant harm possible but containable</w:t>
            </w:r>
          </w:p>
        </w:tc>
        <w:tc>
          <w:tcPr>
            <w:tcW w:w="2948" w:type="dxa"/>
            <w:tcBorders/>
            <w:vAlign w:val="center"/>
          </w:tcPr>
          <w:p>
            <w:pPr>
              <w:pStyle w:val="TableContents"/>
              <w:widowControl w:val="false"/>
              <w:suppressLineNumbers/>
              <w:spacing w:before="0" w:after="200"/>
              <w:rPr/>
            </w:pPr>
            <w:r>
              <w:rPr/>
              <w:t>Limited pilot, independent monitoring, and rollback capability</w:t>
            </w:r>
          </w:p>
        </w:tc>
      </w:tr>
      <w:tr>
        <w:trPr/>
        <w:tc>
          <w:tcPr>
            <w:tcW w:w="2088" w:type="dxa"/>
            <w:tcBorders/>
            <w:vAlign w:val="center"/>
          </w:tcPr>
          <w:p>
            <w:pPr>
              <w:pStyle w:val="TableContents"/>
              <w:widowControl w:val="false"/>
              <w:suppressLineNumbers/>
              <w:spacing w:before="0" w:after="200"/>
              <w:rPr/>
            </w:pPr>
            <w:r>
              <w:rPr>
                <w:rStyle w:val="Strong"/>
              </w:rPr>
              <w:t>Level 3 — Pause or redesign</w:t>
            </w:r>
          </w:p>
        </w:tc>
        <w:tc>
          <w:tcPr>
            <w:tcW w:w="3604" w:type="dxa"/>
            <w:tcBorders/>
            <w:vAlign w:val="center"/>
          </w:tcPr>
          <w:p>
            <w:pPr>
              <w:pStyle w:val="TableContents"/>
              <w:widowControl w:val="false"/>
              <w:suppressLineNumbers/>
              <w:spacing w:before="0" w:after="200"/>
              <w:rPr/>
            </w:pPr>
            <w:r>
              <w:rPr/>
              <w:t>Models diverge, thresholds approach, or control degrades</w:t>
            </w:r>
          </w:p>
        </w:tc>
        <w:tc>
          <w:tcPr>
            <w:tcW w:w="2948" w:type="dxa"/>
            <w:tcBorders/>
            <w:vAlign w:val="center"/>
          </w:tcPr>
          <w:p>
            <w:pPr>
              <w:pStyle w:val="TableContents"/>
              <w:widowControl w:val="false"/>
              <w:suppressLineNumbers/>
              <w:spacing w:before="0" w:after="200"/>
              <w:rPr/>
            </w:pPr>
            <w:r>
              <w:rPr/>
              <w:t>Suspend expansion and reassess alternatives</w:t>
            </w:r>
          </w:p>
        </w:tc>
      </w:tr>
      <w:tr>
        <w:trPr/>
        <w:tc>
          <w:tcPr>
            <w:tcW w:w="2088" w:type="dxa"/>
            <w:tcBorders/>
            <w:vAlign w:val="center"/>
          </w:tcPr>
          <w:p>
            <w:pPr>
              <w:pStyle w:val="TableContents"/>
              <w:widowControl w:val="false"/>
              <w:suppressLineNumbers/>
              <w:spacing w:before="0" w:after="200"/>
              <w:rPr/>
            </w:pPr>
            <w:r>
              <w:rPr>
                <w:rStyle w:val="Strong"/>
              </w:rPr>
              <w:t>Level 4 — Stop or prohibit</w:t>
            </w:r>
          </w:p>
        </w:tc>
        <w:tc>
          <w:tcPr>
            <w:tcW w:w="3604" w:type="dxa"/>
            <w:tcBorders/>
            <w:vAlign w:val="center"/>
          </w:tcPr>
          <w:p>
            <w:pPr>
              <w:pStyle w:val="TableContents"/>
              <w:widowControl w:val="false"/>
              <w:suppressLineNumbers/>
              <w:spacing w:before="0" w:after="200"/>
              <w:rPr/>
            </w:pPr>
            <w:r>
              <w:rPr/>
              <w:t>Catastrophic, nonconsensual, or irreversible harm becomes plausible without adequate control</w:t>
            </w:r>
          </w:p>
        </w:tc>
        <w:tc>
          <w:tcPr>
            <w:tcW w:w="2948" w:type="dxa"/>
            <w:tcBorders/>
            <w:vAlign w:val="center"/>
          </w:tcPr>
          <w:p>
            <w:pPr>
              <w:pStyle w:val="TableContents"/>
              <w:widowControl w:val="false"/>
              <w:suppressLineNumbers/>
              <w:spacing w:before="0" w:after="200"/>
              <w:rPr/>
            </w:pPr>
            <w:r>
              <w:rPr/>
              <w:t>Terminate, contain, notify, repair, and independently investigate</w:t>
            </w:r>
          </w:p>
        </w:tc>
      </w:tr>
    </w:tbl>
    <w:p>
      <w:pPr>
        <w:pStyle w:val="Heading4"/>
        <w:ind w:hanging="0" w:left="0"/>
        <w:rPr>
          <w:rFonts w:ascii="Aptos" w:hAnsi="Aptos"/>
          <w:color w:val="auto"/>
          <w:sz w:val="21"/>
          <w:szCs w:val="22"/>
        </w:rPr>
      </w:pPr>
      <w:r>
        <w:rPr/>
        <w:t>Required stopping-rule fields</w:t>
      </w:r>
    </w:p>
    <w:p>
      <w:pPr>
        <w:pStyle w:val="BodyText"/>
        <w:spacing w:before="0" w:after="200"/>
        <w:rPr/>
      </w:pPr>
      <w:r>
        <w:rPr/>
        <w:t>Every stopping rule should specify:</w:t>
      </w:r>
    </w:p>
    <w:p>
      <w:pPr>
        <w:pStyle w:val="BodyText"/>
        <w:numPr>
          <w:ilvl w:val="0"/>
          <w:numId w:val="164"/>
        </w:numPr>
        <w:tabs>
          <w:tab w:val="clear" w:pos="720"/>
          <w:tab w:val="left" w:pos="0" w:leader="none"/>
        </w:tabs>
        <w:spacing w:before="0" w:after="0"/>
        <w:ind w:hanging="283" w:left="709"/>
        <w:rPr/>
      </w:pPr>
      <w:r>
        <w:rPr/>
        <w:t xml:space="preserve">Monitored condition; </w:t>
      </w:r>
    </w:p>
    <w:p>
      <w:pPr>
        <w:pStyle w:val="BodyText"/>
        <w:numPr>
          <w:ilvl w:val="0"/>
          <w:numId w:val="164"/>
        </w:numPr>
        <w:tabs>
          <w:tab w:val="clear" w:pos="720"/>
          <w:tab w:val="left" w:pos="0" w:leader="none"/>
        </w:tabs>
        <w:spacing w:before="0" w:after="0"/>
        <w:ind w:hanging="283" w:left="709"/>
        <w:rPr/>
      </w:pPr>
      <w:r>
        <w:rPr/>
        <w:t xml:space="preserve">Indicator and threshold; </w:t>
      </w:r>
    </w:p>
    <w:p>
      <w:pPr>
        <w:pStyle w:val="BodyText"/>
        <w:numPr>
          <w:ilvl w:val="0"/>
          <w:numId w:val="164"/>
        </w:numPr>
        <w:tabs>
          <w:tab w:val="clear" w:pos="720"/>
          <w:tab w:val="left" w:pos="0" w:leader="none"/>
        </w:tabs>
        <w:spacing w:before="0" w:after="0"/>
        <w:ind w:hanging="283" w:left="709"/>
        <w:rPr/>
      </w:pPr>
      <w:r>
        <w:rPr/>
        <w:t xml:space="preserve">Frequency and data source; </w:t>
      </w:r>
    </w:p>
    <w:p>
      <w:pPr>
        <w:pStyle w:val="BodyText"/>
        <w:numPr>
          <w:ilvl w:val="0"/>
          <w:numId w:val="164"/>
        </w:numPr>
        <w:tabs>
          <w:tab w:val="clear" w:pos="720"/>
          <w:tab w:val="left" w:pos="0" w:leader="none"/>
        </w:tabs>
        <w:spacing w:before="0" w:after="0"/>
        <w:ind w:hanging="283" w:left="709"/>
        <w:rPr/>
      </w:pPr>
      <w:r>
        <w:rPr/>
        <w:t xml:space="preserve">Treatment of missing or unreliable data; </w:t>
      </w:r>
    </w:p>
    <w:p>
      <w:pPr>
        <w:pStyle w:val="BodyText"/>
        <w:numPr>
          <w:ilvl w:val="0"/>
          <w:numId w:val="164"/>
        </w:numPr>
        <w:tabs>
          <w:tab w:val="clear" w:pos="720"/>
          <w:tab w:val="left" w:pos="0" w:leader="none"/>
        </w:tabs>
        <w:spacing w:before="0" w:after="0"/>
        <w:ind w:hanging="283" w:left="709"/>
        <w:rPr/>
      </w:pPr>
      <w:r>
        <w:rPr/>
        <w:t xml:space="preserve">Responsible monitoring party; </w:t>
      </w:r>
    </w:p>
    <w:p>
      <w:pPr>
        <w:pStyle w:val="BodyText"/>
        <w:numPr>
          <w:ilvl w:val="0"/>
          <w:numId w:val="164"/>
        </w:numPr>
        <w:tabs>
          <w:tab w:val="clear" w:pos="720"/>
          <w:tab w:val="left" w:pos="0" w:leader="none"/>
        </w:tabs>
        <w:spacing w:before="0" w:after="0"/>
        <w:ind w:hanging="283" w:left="709"/>
        <w:rPr/>
      </w:pPr>
      <w:r>
        <w:rPr/>
        <w:t xml:space="preserve">Authority to stop; </w:t>
      </w:r>
    </w:p>
    <w:p>
      <w:pPr>
        <w:pStyle w:val="BodyText"/>
        <w:numPr>
          <w:ilvl w:val="0"/>
          <w:numId w:val="164"/>
        </w:numPr>
        <w:tabs>
          <w:tab w:val="clear" w:pos="720"/>
          <w:tab w:val="left" w:pos="0" w:leader="none"/>
        </w:tabs>
        <w:spacing w:before="0" w:after="0"/>
        <w:ind w:hanging="283" w:left="709"/>
        <w:rPr/>
      </w:pPr>
      <w:r>
        <w:rPr/>
        <w:t xml:space="preserve">Automatic versus discretionary activation; </w:t>
      </w:r>
    </w:p>
    <w:p>
      <w:pPr>
        <w:pStyle w:val="BodyText"/>
        <w:numPr>
          <w:ilvl w:val="0"/>
          <w:numId w:val="164"/>
        </w:numPr>
        <w:tabs>
          <w:tab w:val="clear" w:pos="720"/>
          <w:tab w:val="left" w:pos="0" w:leader="none"/>
        </w:tabs>
        <w:spacing w:before="0" w:after="0"/>
        <w:ind w:hanging="283" w:left="709"/>
        <w:rPr/>
      </w:pPr>
      <w:r>
        <w:rPr/>
        <w:t xml:space="preserve">Immediate containment action; </w:t>
      </w:r>
    </w:p>
    <w:p>
      <w:pPr>
        <w:pStyle w:val="BodyText"/>
        <w:numPr>
          <w:ilvl w:val="0"/>
          <w:numId w:val="164"/>
        </w:numPr>
        <w:tabs>
          <w:tab w:val="clear" w:pos="720"/>
          <w:tab w:val="left" w:pos="0" w:leader="none"/>
        </w:tabs>
        <w:spacing w:before="0" w:after="0"/>
        <w:ind w:hanging="283" w:left="709"/>
        <w:rPr/>
      </w:pPr>
      <w:r>
        <w:rPr/>
        <w:t xml:space="preserve">Rollback and repair procedure; </w:t>
      </w:r>
    </w:p>
    <w:p>
      <w:pPr>
        <w:pStyle w:val="BodyText"/>
        <w:numPr>
          <w:ilvl w:val="0"/>
          <w:numId w:val="164"/>
        </w:numPr>
        <w:tabs>
          <w:tab w:val="clear" w:pos="720"/>
          <w:tab w:val="left" w:pos="0" w:leader="none"/>
        </w:tabs>
        <w:spacing w:before="0" w:after="0"/>
        <w:ind w:hanging="283" w:left="709"/>
        <w:rPr/>
      </w:pPr>
      <w:r>
        <w:rPr/>
        <w:t xml:space="preserve">Notification requirements; </w:t>
      </w:r>
    </w:p>
    <w:p>
      <w:pPr>
        <w:pStyle w:val="BodyText"/>
        <w:numPr>
          <w:ilvl w:val="0"/>
          <w:numId w:val="164"/>
        </w:numPr>
        <w:tabs>
          <w:tab w:val="clear" w:pos="720"/>
          <w:tab w:val="left" w:pos="0" w:leader="none"/>
        </w:tabs>
        <w:spacing w:before="0" w:after="0"/>
        <w:ind w:hanging="283" w:left="709"/>
        <w:rPr/>
      </w:pPr>
      <w:r>
        <w:rPr/>
        <w:t xml:space="preserve">Conditions for any restart; and </w:t>
      </w:r>
    </w:p>
    <w:p>
      <w:pPr>
        <w:pStyle w:val="BodyText"/>
        <w:numPr>
          <w:ilvl w:val="0"/>
          <w:numId w:val="164"/>
        </w:numPr>
        <w:tabs>
          <w:tab w:val="clear" w:pos="720"/>
          <w:tab w:val="left" w:pos="0" w:leader="none"/>
        </w:tabs>
        <w:ind w:hanging="283" w:left="709"/>
        <w:rPr/>
      </w:pPr>
      <w:r>
        <w:rPr/>
        <w:t xml:space="preserve">Permissible override authority and documentation. </w:t>
      </w:r>
    </w:p>
    <w:p>
      <w:pPr>
        <w:pStyle w:val="BodyText"/>
        <w:spacing w:before="0" w:after="200"/>
        <w:rPr/>
      </w:pPr>
      <w:r>
        <w:rPr/>
        <w:t>Failure of required monitoring should ordinarily trigger suspension rather than be interpreted as evidence that no harm is occurring.</w:t>
      </w:r>
    </w:p>
    <w:p>
      <w:pPr>
        <w:pStyle w:val="BodyText"/>
        <w:spacing w:before="0" w:after="200"/>
        <w:rPr/>
      </w:pPr>
      <w:r>
        <w:rPr/>
        <w:t>The section’s central conclusion should be:</w:t>
      </w:r>
    </w:p>
    <w:p>
      <w:pPr>
        <w:pStyle w:val="BlockQuotation"/>
        <w:spacing w:before="0" w:after="200"/>
        <w:rPr/>
      </w:pPr>
      <w:r>
        <w:rPr/>
        <w:t>Uncertainty should not be treated merely as a probability discount applied to predicted consequences. It can arise from ignorance, moral disagreement, emergence, strategic behavior, changing causal structures, and the assessment’s own influence on the system. Where potential harm is severe or irreversible, responsible action requires robustness, staged learning, monitoring, escalation authority, and enforceable stopping rules—not unsupported confidence in expected-value calculations.</w:t>
      </w:r>
    </w:p>
    <w:p>
      <w:pPr>
        <w:pStyle w:val="Heading3"/>
        <w:ind w:hanging="0" w:left="0"/>
        <w:rPr/>
      </w:pPr>
      <w:r>
        <w:rPr/>
        <w:t>Legitimacy, responsibility, governance, and repair</w:t>
      </w:r>
    </w:p>
    <w:p>
      <w:pPr>
        <w:pStyle w:val="Normal"/>
        <w:widowControl/>
        <w:bidi w:val="0"/>
        <w:spacing w:lineRule="auto" w:line="276"/>
        <w:jc w:val="left"/>
        <w:rPr/>
      </w:pPr>
      <w:r>
        <w:rPr/>
        <w:t>This section should define who may make, implement, review, challenge, revise, and remedy decisions produced through the framework. It should also prevent distributed systems and artificial agents from creating gaps in authority or accountability.</w:t>
      </w:r>
    </w:p>
    <w:p>
      <w:pPr>
        <w:pStyle w:val="Heading4"/>
        <w:ind w:hanging="0" w:left="0"/>
        <w:rPr/>
      </w:pPr>
      <w:r>
        <w:rPr/>
        <w:t>Limitation Statement</w:t>
      </w:r>
    </w:p>
    <w:p>
      <w:pPr>
        <w:pStyle w:val="Normal"/>
        <w:widowControl/>
        <w:bidi w:val="0"/>
        <w:spacing w:lineRule="auto" w:line="276"/>
        <w:jc w:val="left"/>
        <w:rPr/>
      </w:pPr>
      <w:r>
        <w:rPr/>
        <w:t>Explain that the framework can describe authority, consent, responsibility, and repair but does not yet establish the procedures or normative tests that make them operational.</w:t>
      </w:r>
    </w:p>
    <w:p>
      <w:pPr>
        <w:pStyle w:val="Heading4"/>
        <w:ind w:hanging="0" w:left="0"/>
        <w:rPr/>
      </w:pPr>
      <w:r>
        <w:rPr/>
        <w:t>Relationship Among Legitimacy, Responsibility, Governance, and Repair</w:t>
      </w:r>
    </w:p>
    <w:p>
      <w:pPr>
        <w:pStyle w:val="Normal"/>
        <w:widowControl/>
        <w:bidi w:val="0"/>
        <w:spacing w:lineRule="auto" w:line="276"/>
        <w:jc w:val="left"/>
        <w:rPr/>
      </w:pPr>
      <w:r>
        <w:rPr/>
        <w:t>Distinguish authorization to decide, accountability for effects, oversight of the decision process, and obligations arising after harm.</w:t>
      </w:r>
    </w:p>
    <w:p>
      <w:pPr>
        <w:pStyle w:val="Heading4"/>
        <w:ind w:hanging="0" w:left="0"/>
        <w:rPr/>
      </w:pPr>
      <w:r>
        <w:rPr/>
        <w:t>Legitimacy Versus Legality and Effectiveness</w:t>
      </w:r>
    </w:p>
    <w:p>
      <w:pPr>
        <w:pStyle w:val="Normal"/>
        <w:widowControl/>
        <w:bidi w:val="0"/>
        <w:spacing w:lineRule="auto" w:line="276"/>
        <w:jc w:val="left"/>
        <w:rPr/>
      </w:pPr>
      <w:r>
        <w:rPr/>
        <w:t>Explain that legal compliance, institutional approval, technical competence, or successful implementation does not independently establish moral legitimacy.</w:t>
      </w:r>
    </w:p>
    <w:p>
      <w:pPr>
        <w:pStyle w:val="Heading4"/>
        <w:ind w:hanging="0" w:left="0"/>
        <w:rPr/>
      </w:pPr>
      <w:r>
        <w:rPr/>
        <w:t>Dimensions of Legitimacy</w:t>
      </w:r>
    </w:p>
    <w:p>
      <w:pPr>
        <w:pStyle w:val="Normal"/>
        <w:widowControl/>
        <w:bidi w:val="0"/>
        <w:spacing w:lineRule="auto" w:line="276"/>
        <w:jc w:val="left"/>
        <w:rPr/>
      </w:pPr>
      <w:r>
        <w:rPr/>
        <w:t>Evaluate source of authority, public justification, representation, participation, consent, procedural fairness, transparency, consistency, accountability, and capacity for correction.</w:t>
      </w:r>
    </w:p>
    <w:p>
      <w:pPr>
        <w:pStyle w:val="Heading4"/>
        <w:ind w:hanging="0" w:left="0"/>
        <w:rPr/>
      </w:pPr>
      <w:r>
        <w:rPr/>
        <w:t>Sources of Authority</w:t>
      </w:r>
    </w:p>
    <w:p>
      <w:pPr>
        <w:pStyle w:val="Normal"/>
        <w:widowControl/>
        <w:bidi w:val="0"/>
        <w:spacing w:lineRule="auto" w:line="276"/>
        <w:jc w:val="left"/>
        <w:rPr/>
      </w:pPr>
      <w:r>
        <w:rPr/>
        <w:t>Distinguish legal, democratic, delegated, contractual, fiduciary, professional, customary, relational, emergency, ownership-based, and expertise-based authority.</w:t>
      </w:r>
    </w:p>
    <w:p>
      <w:pPr>
        <w:pStyle w:val="Heading4"/>
        <w:ind w:hanging="0" w:left="0"/>
        <w:rPr/>
      </w:pPr>
      <w:r>
        <w:rPr/>
        <w:t>Authority Validation Test</w:t>
      </w:r>
    </w:p>
    <w:p>
      <w:pPr>
        <w:pStyle w:val="Normal"/>
        <w:widowControl/>
        <w:bidi w:val="0"/>
        <w:spacing w:lineRule="auto" w:line="276"/>
        <w:jc w:val="left"/>
        <w:rPr/>
      </w:pPr>
      <w:r>
        <w:rPr/>
        <w:t>Require verification of the authority’s source, subject-matter scope, affected parties, purpose, limits, duration, procedural conditions, conflicts, and reviewability.</w:t>
      </w:r>
    </w:p>
    <w:p>
      <w:pPr>
        <w:pStyle w:val="Heading4"/>
        <w:ind w:hanging="0" w:left="0"/>
        <w:rPr/>
      </w:pPr>
      <w:r>
        <w:rPr/>
        <w:t>Limits on Expert and Computational Authority</w:t>
      </w:r>
    </w:p>
    <w:p>
      <w:pPr>
        <w:pStyle w:val="Normal"/>
        <w:widowControl/>
        <w:bidi w:val="0"/>
        <w:spacing w:lineRule="auto" w:line="276"/>
        <w:jc w:val="left"/>
        <w:rPr/>
      </w:pPr>
      <w:r>
        <w:rPr/>
        <w:t>Prevent expertise, predictive accuracy, proprietary ownership, or model complexity from being treated as authority to determine values, impose burdens, or eliminate appeal.</w:t>
      </w:r>
    </w:p>
    <w:p>
      <w:pPr>
        <w:pStyle w:val="Heading4"/>
        <w:ind w:hanging="0" w:left="0"/>
        <w:rPr/>
      </w:pPr>
      <w:r>
        <w:rPr/>
        <w:t>Public Justification and Reason-Giving</w:t>
      </w:r>
    </w:p>
    <w:p>
      <w:pPr>
        <w:pStyle w:val="Normal"/>
        <w:widowControl/>
        <w:bidi w:val="0"/>
        <w:spacing w:lineRule="auto" w:line="276"/>
        <w:jc w:val="left"/>
        <w:rPr/>
      </w:pPr>
      <w:r>
        <w:rPr/>
        <w:t>Require materially affected parties to receive understandable reasons for the decision, the normative profiles applied, rejected alternatives, uncertainties, and available challenges.</w:t>
      </w:r>
    </w:p>
    <w:p>
      <w:pPr>
        <w:pStyle w:val="Heading4"/>
        <w:ind w:hanging="0" w:left="0"/>
        <w:rPr/>
      </w:pPr>
      <w:r>
        <w:rPr/>
        <w:t>Participation and Deliberative Legitimacy</w:t>
      </w:r>
    </w:p>
    <w:p>
      <w:pPr>
        <w:pStyle w:val="Normal"/>
        <w:widowControl/>
        <w:bidi w:val="0"/>
        <w:spacing w:lineRule="auto" w:line="276"/>
        <w:jc w:val="left"/>
        <w:rPr/>
      </w:pPr>
      <w:r>
        <w:rPr/>
        <w:t>Define when affected-party participation is advisory, consultative, co-decisional, or controlling. Ensure participation occurs early enough to influence framing and alternatives.</w:t>
      </w:r>
    </w:p>
    <w:p>
      <w:pPr>
        <w:pStyle w:val="Heading4"/>
        <w:ind w:hanging="0" w:left="0"/>
        <w:rPr/>
      </w:pPr>
      <w:r>
        <w:rPr/>
        <w:t>Consent Standard</w:t>
      </w:r>
    </w:p>
    <w:p>
      <w:pPr>
        <w:pStyle w:val="Normal"/>
        <w:widowControl/>
        <w:bidi w:val="0"/>
        <w:spacing w:lineRule="auto" w:line="276"/>
        <w:jc w:val="left"/>
        <w:rPr/>
      </w:pPr>
      <w:r>
        <w:rPr/>
        <w:t>Define valid consent as informed, voluntary, specific, competent or appropriately supported, comprehensible, current, and revocable where possible.</w:t>
      </w:r>
    </w:p>
    <w:p>
      <w:pPr>
        <w:pStyle w:val="Heading4"/>
        <w:ind w:hanging="0" w:left="0"/>
        <w:rPr/>
      </w:pPr>
      <w:r>
        <w:rPr/>
        <w:t>Meaningful Alternatives and Power Imbalance</w:t>
      </w:r>
    </w:p>
    <w:p>
      <w:pPr>
        <w:pStyle w:val="Normal"/>
        <w:widowControl/>
        <w:bidi w:val="0"/>
        <w:spacing w:lineRule="auto" w:line="276"/>
        <w:jc w:val="left"/>
        <w:rPr/>
      </w:pPr>
      <w:r>
        <w:rPr/>
        <w:t>Examine dependency, coercion, retaliation, manipulation, default effects, information asymmetry, and unacceptable exit costs that can make formal consent ethically inadequate.</w:t>
      </w:r>
    </w:p>
    <w:p>
      <w:pPr>
        <w:pStyle w:val="Heading4"/>
        <w:ind w:hanging="0" w:left="0"/>
        <w:rPr/>
      </w:pPr>
      <w:r>
        <w:rPr/>
        <w:t>Scope and Limits of Consent</w:t>
      </w:r>
    </w:p>
    <w:p>
      <w:pPr>
        <w:pStyle w:val="Normal"/>
        <w:widowControl/>
        <w:bidi w:val="0"/>
        <w:spacing w:lineRule="auto" w:line="276"/>
        <w:jc w:val="left"/>
        <w:rPr/>
      </w:pPr>
      <w:r>
        <w:rPr/>
        <w:t>Clarify which risks or rights may not be waived, when consent from one entity cannot authorize harm to another, and when public or ecological effects require additional justification.</w:t>
      </w:r>
    </w:p>
    <w:p>
      <w:pPr>
        <w:pStyle w:val="Heading4"/>
        <w:ind w:hanging="0" w:left="0"/>
        <w:rPr/>
      </w:pPr>
      <w:r>
        <w:rPr/>
        <w:t>Collective and Community Consent</w:t>
      </w:r>
    </w:p>
    <w:p>
      <w:pPr>
        <w:pStyle w:val="Normal"/>
        <w:widowControl/>
        <w:bidi w:val="0"/>
        <w:spacing w:lineRule="auto" w:line="276"/>
        <w:jc w:val="left"/>
        <w:rPr/>
      </w:pPr>
      <w:r>
        <w:rPr/>
        <w:t>Address decisions affecting families, communities, cultures, Indigenous peoples, workplaces, and populations without assuming that leaders or majorities speak for every member.</w:t>
      </w:r>
    </w:p>
    <w:p>
      <w:pPr>
        <w:pStyle w:val="Heading4"/>
        <w:ind w:hanging="0" w:left="0"/>
        <w:rPr/>
      </w:pPr>
      <w:r>
        <w:rPr/>
        <w:t>Representation of Nonparticipants</w:t>
      </w:r>
    </w:p>
    <w:p>
      <w:pPr>
        <w:pStyle w:val="Normal"/>
        <w:widowControl/>
        <w:bidi w:val="0"/>
        <w:spacing w:lineRule="auto" w:line="276"/>
        <w:jc w:val="left"/>
        <w:rPr/>
      </w:pPr>
      <w:r>
        <w:rPr/>
        <w:t>Define representation for children, persons with limited decision capacity, future generations, nonhuman entities, ecosystems, absent stakeholders, and affected persons unable to participate safely.</w:t>
      </w:r>
    </w:p>
    <w:p>
      <w:pPr>
        <w:pStyle w:val="Heading4"/>
        <w:ind w:hanging="0" w:left="0"/>
        <w:rPr/>
      </w:pPr>
      <w:r>
        <w:rPr/>
        <w:t>Duties of Representatives and Guardians</w:t>
      </w:r>
    </w:p>
    <w:p>
      <w:pPr>
        <w:pStyle w:val="Normal"/>
        <w:widowControl/>
        <w:bidi w:val="0"/>
        <w:spacing w:lineRule="auto" w:line="276"/>
        <w:jc w:val="left"/>
        <w:rPr/>
      </w:pPr>
      <w:r>
        <w:rPr/>
        <w:t>Require independence, competence, fidelity, disclosure of conflicts, consultation where possible, explanation, recordkeeping, and replacement or challenge procedures.</w:t>
      </w:r>
    </w:p>
    <w:p>
      <w:pPr>
        <w:pStyle w:val="Heading4"/>
        <w:ind w:hanging="0" w:left="0"/>
        <w:rPr/>
      </w:pPr>
      <w:r>
        <w:rPr/>
        <w:t>Procedural Fairness and Due Process</w:t>
      </w:r>
    </w:p>
    <w:p>
      <w:pPr>
        <w:pStyle w:val="Normal"/>
        <w:widowControl/>
        <w:bidi w:val="0"/>
        <w:spacing w:lineRule="auto" w:line="276"/>
        <w:jc w:val="left"/>
        <w:rPr/>
      </w:pPr>
      <w:r>
        <w:rPr/>
        <w:t>Require notice, access to relevant evidence, meaningful opportunity to respond, consistent standards, representation, reasoned decisions, and protection from retaliation.</w:t>
      </w:r>
    </w:p>
    <w:p>
      <w:pPr>
        <w:pStyle w:val="Heading4"/>
        <w:ind w:hanging="0" w:left="0"/>
        <w:rPr/>
      </w:pPr>
      <w:r>
        <w:rPr/>
        <w:t>Responsibility Taxonomy</w:t>
      </w:r>
    </w:p>
    <w:p>
      <w:pPr>
        <w:pStyle w:val="Normal"/>
        <w:widowControl/>
        <w:bidi w:val="0"/>
        <w:spacing w:lineRule="auto" w:line="276"/>
        <w:jc w:val="left"/>
        <w:rPr/>
      </w:pPr>
      <w:r>
        <w:rPr/>
        <w:t>Distinguish causal, moral, role-based, supervisory, institutional, collective, legal, remedial, and forward-looking responsibility.</w:t>
      </w:r>
    </w:p>
    <w:p>
      <w:pPr>
        <w:pStyle w:val="Heading4"/>
        <w:ind w:hanging="0" w:left="0"/>
        <w:rPr/>
      </w:pPr>
      <w:r>
        <w:rPr/>
        <w:t>Responsibility-Assignment Factors</w:t>
      </w:r>
    </w:p>
    <w:p>
      <w:pPr>
        <w:pStyle w:val="Normal"/>
        <w:widowControl/>
        <w:bidi w:val="0"/>
        <w:spacing w:lineRule="auto" w:line="276"/>
        <w:jc w:val="left"/>
        <w:rPr/>
      </w:pPr>
      <w:r>
        <w:rPr/>
        <w:t>Evaluate causal contribution, control, authority, knowledge, foreseeability, intention, capability, alternatives, benefit received, duty to act, omission, and capacity to prevent or repair harm.</w:t>
      </w:r>
    </w:p>
    <w:p>
      <w:pPr>
        <w:pStyle w:val="Heading4"/>
        <w:ind w:hanging="0" w:left="0"/>
        <w:rPr/>
      </w:pPr>
      <w:r>
        <w:rPr/>
        <w:t>Distributed and Cumulative Responsibility</w:t>
      </w:r>
    </w:p>
    <w:p>
      <w:pPr>
        <w:pStyle w:val="Normal"/>
        <w:widowControl/>
        <w:bidi w:val="0"/>
        <w:spacing w:lineRule="auto" w:line="276"/>
        <w:jc w:val="left"/>
        <w:rPr/>
      </w:pPr>
      <w:r>
        <w:rPr/>
        <w:t>Assign responsibility when no actor independently controls the outcome but several actors jointly create, maintain, finance, normalize, or benefit from the harmful system.</w:t>
      </w:r>
    </w:p>
    <w:p>
      <w:pPr>
        <w:pStyle w:val="Heading4"/>
        <w:ind w:hanging="0" w:left="0"/>
        <w:rPr/>
      </w:pPr>
      <w:r>
        <w:rPr/>
        <w:t>Individual and Institutional Responsibility</w:t>
      </w:r>
    </w:p>
    <w:p>
      <w:pPr>
        <w:pStyle w:val="Normal"/>
        <w:widowControl/>
        <w:bidi w:val="0"/>
        <w:spacing w:lineRule="auto" w:line="276"/>
        <w:jc w:val="left"/>
        <w:rPr/>
      </w:pPr>
      <w:r>
        <w:rPr/>
        <w:t>Prevent institutions from absorbing all personal accountability and prevent focus on individuals from concealing governance, incentive, or structural failures.</w:t>
      </w:r>
    </w:p>
    <w:p>
      <w:pPr>
        <w:pStyle w:val="Heading4"/>
        <w:ind w:hanging="0" w:left="0"/>
        <w:rPr/>
      </w:pPr>
      <w:r>
        <w:rPr/>
        <w:t>Supervisory and Delegated Responsibility</w:t>
      </w:r>
    </w:p>
    <w:p>
      <w:pPr>
        <w:pStyle w:val="Normal"/>
        <w:widowControl/>
        <w:bidi w:val="0"/>
        <w:spacing w:lineRule="auto" w:line="276"/>
        <w:jc w:val="left"/>
        <w:rPr/>
      </w:pPr>
      <w:r>
        <w:rPr/>
        <w:t>Address responsibility for selection, training, delegation, monitoring, resource provision, escalation, and failure to correct known deficiencies.</w:t>
      </w:r>
    </w:p>
    <w:p>
      <w:pPr>
        <w:pStyle w:val="Heading4"/>
        <w:ind w:hanging="0" w:left="0"/>
        <w:rPr/>
      </w:pPr>
      <w:r>
        <w:rPr/>
        <w:t>Responsibility for Omissions</w:t>
      </w:r>
    </w:p>
    <w:p>
      <w:pPr>
        <w:pStyle w:val="Normal"/>
        <w:widowControl/>
        <w:bidi w:val="0"/>
        <w:spacing w:lineRule="auto" w:line="276"/>
        <w:jc w:val="left"/>
        <w:rPr/>
      </w:pPr>
      <w:r>
        <w:rPr/>
        <w:t>Include failures to warn, monitor, regulate, maintain, intervene, investigate, provide resources, enforce standards, or repair foreseeable harm.</w:t>
      </w:r>
    </w:p>
    <w:p>
      <w:pPr>
        <w:pStyle w:val="Heading4"/>
        <w:ind w:hanging="0" w:left="0"/>
        <w:rPr/>
      </w:pPr>
      <w:r>
        <w:rPr/>
        <w:t>Artificial-System Responsibility</w:t>
      </w:r>
    </w:p>
    <w:p>
      <w:pPr>
        <w:pStyle w:val="Normal"/>
        <w:widowControl/>
        <w:bidi w:val="0"/>
        <w:spacing w:lineRule="auto" w:line="276"/>
        <w:jc w:val="left"/>
        <w:rPr/>
      </w:pPr>
      <w:r>
        <w:rPr/>
        <w:t>Determine when an artificial system may be treated as a causal actor or Moral Agent while preventing designers, deployers, operators, owners, and regulators from using automation as an accountability shield.</w:t>
      </w:r>
    </w:p>
    <w:p>
      <w:pPr>
        <w:pStyle w:val="Heading4"/>
        <w:ind w:hanging="0" w:left="0"/>
        <w:rPr/>
      </w:pPr>
      <w:r>
        <w:rPr/>
        <w:t>Responsibility Without Blame</w:t>
      </w:r>
    </w:p>
    <w:p>
      <w:pPr>
        <w:pStyle w:val="Normal"/>
        <w:widowControl/>
        <w:bidi w:val="0"/>
        <w:spacing w:lineRule="auto" w:line="276"/>
        <w:jc w:val="left"/>
        <w:rPr/>
      </w:pPr>
      <w:r>
        <w:rPr/>
        <w:t>Recognize role-based and remedial obligations when an actor is not culpable but has authority, capability, benefit, or a special relationship supporting responsibility to respond.</w:t>
      </w:r>
    </w:p>
    <w:p>
      <w:pPr>
        <w:pStyle w:val="Heading4"/>
        <w:ind w:hanging="0" w:left="0"/>
        <w:rPr/>
      </w:pPr>
      <w:r>
        <w:rPr/>
        <w:t>Responsibility Matrix and Allocation</w:t>
      </w:r>
    </w:p>
    <w:p>
      <w:pPr>
        <w:pStyle w:val="Normal"/>
        <w:widowControl/>
        <w:bidi w:val="0"/>
        <w:spacing w:lineRule="auto" w:line="276"/>
        <w:jc w:val="left"/>
        <w:rPr/>
      </w:pPr>
      <w:r>
        <w:rPr/>
        <w:t>Require explicit allocation of responsibility by actor, role, type, degree, evidence, uncertainty, required action, and review point.</w:t>
      </w:r>
    </w:p>
    <w:p>
      <w:pPr>
        <w:pStyle w:val="Heading4"/>
        <w:ind w:hanging="0" w:left="0"/>
        <w:rPr/>
      </w:pPr>
      <w:r>
        <w:rPr/>
        <w:t>Governance Levels</w:t>
      </w:r>
    </w:p>
    <w:p>
      <w:pPr>
        <w:pStyle w:val="Normal"/>
        <w:widowControl/>
        <w:bidi w:val="0"/>
        <w:spacing w:lineRule="auto" w:line="276"/>
        <w:jc w:val="left"/>
        <w:rPr/>
      </w:pPr>
      <w:r>
        <w:rPr/>
        <w:t>Distinguish governance of the ethical framework, individual assessments, implementations, institutional deployment, data and models, and ongoing monitoring.</w:t>
      </w:r>
    </w:p>
    <w:p>
      <w:pPr>
        <w:pStyle w:val="Heading4"/>
        <w:ind w:hanging="0" w:left="0"/>
        <w:rPr/>
      </w:pPr>
      <w:r>
        <w:rPr/>
        <w:t>Governance Charter</w:t>
      </w:r>
    </w:p>
    <w:p>
      <w:pPr>
        <w:pStyle w:val="Normal"/>
        <w:widowControl/>
        <w:bidi w:val="0"/>
        <w:spacing w:lineRule="auto" w:line="276"/>
        <w:jc w:val="left"/>
        <w:rPr/>
      </w:pPr>
      <w:r>
        <w:rPr/>
        <w:t>Establish purpose, scope, normative kernel, decision rights, roles, appointment procedures, independence, participation, review, amendment, enforcement, and dissolution or succession.</w:t>
      </w:r>
    </w:p>
    <w:p>
      <w:pPr>
        <w:pStyle w:val="Heading4"/>
        <w:ind w:hanging="0" w:left="0"/>
        <w:rPr/>
      </w:pPr>
      <w:r>
        <w:rPr/>
        <w:t>Decision Rights and Separation of Functions</w:t>
      </w:r>
    </w:p>
    <w:p>
      <w:pPr>
        <w:pStyle w:val="Normal"/>
        <w:widowControl/>
        <w:bidi w:val="0"/>
        <w:spacing w:lineRule="auto" w:line="276"/>
        <w:jc w:val="left"/>
        <w:rPr/>
      </w:pPr>
      <w:r>
        <w:rPr/>
        <w:t>Separate commissioning, modeling, evidence collection, ethical evaluation, approval, implementation, monitoring, appeal, and repair where concentration would create conflicts.</w:t>
      </w:r>
    </w:p>
    <w:p>
      <w:pPr>
        <w:pStyle w:val="Heading4"/>
        <w:ind w:hanging="0" w:left="0"/>
        <w:rPr/>
      </w:pPr>
      <w:r>
        <w:rPr/>
        <w:t>Conflict-of-Interest Controls</w:t>
      </w:r>
    </w:p>
    <w:p>
      <w:pPr>
        <w:pStyle w:val="Normal"/>
        <w:widowControl/>
        <w:bidi w:val="0"/>
        <w:spacing w:lineRule="auto" w:line="276"/>
        <w:jc w:val="left"/>
        <w:rPr/>
      </w:pPr>
      <w:r>
        <w:rPr/>
        <w:t>Address financial, institutional, political, professional, relational, intellectual, and proprietary interests through disclosure, recusal, balanced review, and independent oversight.</w:t>
      </w:r>
    </w:p>
    <w:p>
      <w:pPr>
        <w:pStyle w:val="Heading4"/>
        <w:ind w:hanging="0" w:left="0"/>
        <w:rPr/>
      </w:pPr>
      <w:r>
        <w:rPr/>
        <w:t>Transparency, Confidentiality, and Privacy</w:t>
      </w:r>
    </w:p>
    <w:p>
      <w:pPr>
        <w:pStyle w:val="Normal"/>
        <w:widowControl/>
        <w:bidi w:val="0"/>
        <w:spacing w:lineRule="auto" w:line="276"/>
        <w:jc w:val="left"/>
        <w:rPr/>
      </w:pPr>
      <w:r>
        <w:rPr/>
        <w:t>Balance public reason-giving and auditability with protection of sensitive testimony, personal data, security information, cultural knowledge, and vulnerable participants.</w:t>
      </w:r>
    </w:p>
    <w:p>
      <w:pPr>
        <w:pStyle w:val="Heading4"/>
        <w:ind w:hanging="0" w:left="0"/>
        <w:rPr/>
      </w:pPr>
      <w:r>
        <w:rPr/>
        <w:t>Auditability and Record Preservation</w:t>
      </w:r>
    </w:p>
    <w:p>
      <w:pPr>
        <w:pStyle w:val="Normal"/>
        <w:widowControl/>
        <w:bidi w:val="0"/>
        <w:spacing w:lineRule="auto" w:line="276"/>
        <w:jc w:val="left"/>
        <w:rPr/>
      </w:pPr>
      <w:r>
        <w:rPr/>
        <w:t>Preserve assumptions, evidence, model versions, boundary decisions, ethical profiles, dissent, approvals, overrides, monitoring results, appeals, and corrective actions.</w:t>
      </w:r>
    </w:p>
    <w:p>
      <w:pPr>
        <w:pStyle w:val="Heading4"/>
        <w:ind w:hanging="0" w:left="0"/>
        <w:rPr/>
      </w:pPr>
      <w:r>
        <w:rPr/>
        <w:t>Appeal and Challenge Process</w:t>
      </w:r>
    </w:p>
    <w:p>
      <w:pPr>
        <w:pStyle w:val="Normal"/>
        <w:widowControl/>
        <w:bidi w:val="0"/>
        <w:spacing w:lineRule="auto" w:line="276"/>
        <w:jc w:val="left"/>
        <w:rPr/>
      </w:pPr>
      <w:r>
        <w:rPr/>
        <w:t>Define standing to appeal, permissible grounds, filing procedures, access to evidence, independent review, interim protection, standards of review, outcomes, and further escalation.</w:t>
      </w:r>
    </w:p>
    <w:p>
      <w:pPr>
        <w:pStyle w:val="Heading4"/>
        <w:ind w:hanging="0" w:left="0"/>
        <w:rPr/>
      </w:pPr>
      <w:r>
        <w:rPr/>
        <w:t>Emergency Authority</w:t>
      </w:r>
    </w:p>
    <w:p>
      <w:pPr>
        <w:pStyle w:val="Normal"/>
        <w:widowControl/>
        <w:bidi w:val="0"/>
        <w:spacing w:lineRule="auto" w:line="276"/>
        <w:jc w:val="left"/>
        <w:rPr/>
      </w:pPr>
      <w:r>
        <w:rPr/>
        <w:t>Specify triggering conditions, limited scope, duration, necessity, proportionality, documentation, independent review, renewal restrictions, and post-emergency remedy.</w:t>
      </w:r>
    </w:p>
    <w:p>
      <w:pPr>
        <w:pStyle w:val="Heading4"/>
        <w:ind w:hanging="0" w:left="0"/>
        <w:rPr/>
      </w:pPr>
      <w:r>
        <w:rPr/>
        <w:t>Enforcement and Consequences for Noncompliance</w:t>
      </w:r>
    </w:p>
    <w:p>
      <w:pPr>
        <w:pStyle w:val="Normal"/>
        <w:widowControl/>
        <w:bidi w:val="0"/>
        <w:spacing w:lineRule="auto" w:line="276"/>
        <w:jc w:val="left"/>
        <w:rPr/>
      </w:pPr>
      <w:r>
        <w:rPr/>
        <w:t>Define consequences for unauthorized use, concealed conflicts, evidence suppression, ignored stopping rules, failure to monitor, and refusal to perform required repair.</w:t>
      </w:r>
    </w:p>
    <w:p>
      <w:pPr>
        <w:pStyle w:val="Heading4"/>
        <w:ind w:hanging="0" w:left="0"/>
        <w:rPr/>
      </w:pPr>
      <w:r>
        <w:rPr/>
        <w:t>Framework Revision and Change Authority</w:t>
      </w:r>
    </w:p>
    <w:p>
      <w:pPr>
        <w:pStyle w:val="Normal"/>
        <w:widowControl/>
        <w:bidi w:val="0"/>
        <w:spacing w:lineRule="auto" w:line="276"/>
        <w:jc w:val="left"/>
        <w:rPr/>
      </w:pPr>
      <w:r>
        <w:rPr/>
        <w:t>Determine who may change the Foundational Axiom, definitions, ontology, ethical profiles, thresholds, decision rules, and implementation requirements.</w:t>
      </w:r>
    </w:p>
    <w:p>
      <w:pPr>
        <w:pStyle w:val="Heading4"/>
        <w:ind w:hanging="0" w:left="0"/>
        <w:rPr/>
      </w:pPr>
      <w:r>
        <w:rPr/>
        <w:t>Version History and Decision Reproducibility</w:t>
      </w:r>
    </w:p>
    <w:p>
      <w:pPr>
        <w:pStyle w:val="Normal"/>
        <w:widowControl/>
        <w:bidi w:val="0"/>
        <w:spacing w:lineRule="auto" w:line="276"/>
        <w:jc w:val="left"/>
        <w:rPr/>
      </w:pPr>
      <w:r>
        <w:rPr/>
        <w:t>Require every assessment to identify the framework, model, evidence, and normative-profile versions used so that later reviewers can reproduce or reinterpret the judgment.</w:t>
      </w:r>
    </w:p>
    <w:p>
      <w:pPr>
        <w:pStyle w:val="Heading4"/>
        <w:ind w:hanging="0" w:left="0"/>
        <w:rPr/>
      </w:pPr>
      <w:r>
        <w:rPr/>
        <w:t>Change Classification and Revalidation</w:t>
      </w:r>
    </w:p>
    <w:p>
      <w:pPr>
        <w:pStyle w:val="Normal"/>
        <w:widowControl/>
        <w:bidi w:val="0"/>
        <w:spacing w:lineRule="auto" w:line="276"/>
        <w:jc w:val="left"/>
        <w:rPr/>
      </w:pPr>
      <w:r>
        <w:rPr/>
        <w:t>Distinguish editorial, technical, evidentiary, methodological, architectural, and foundational changes. Major changes should trigger impact assessment, revalidation, and possibly designation as a new framework variant.</w:t>
      </w:r>
    </w:p>
    <w:p>
      <w:pPr>
        <w:pStyle w:val="Heading4"/>
        <w:ind w:hanging="0" w:left="0"/>
        <w:rPr/>
      </w:pPr>
      <w:r>
        <w:rPr/>
        <w:t>Repair and Restitution Principles</w:t>
      </w:r>
    </w:p>
    <w:p>
      <w:pPr>
        <w:pStyle w:val="Normal"/>
        <w:widowControl/>
        <w:bidi w:val="0"/>
        <w:spacing w:lineRule="auto" w:line="276"/>
        <w:jc w:val="left"/>
        <w:rPr/>
      </w:pPr>
      <w:r>
        <w:rPr/>
        <w:t>Define repair as affected-entity-centered, proportional, timely, participatory, culturally appropriate, nonretaliatory, and attentive to non-substitutable loss.</w:t>
      </w:r>
    </w:p>
    <w:p>
      <w:pPr>
        <w:pStyle w:val="Heading4"/>
        <w:ind w:hanging="0" w:left="0"/>
        <w:rPr/>
      </w:pPr>
      <w:r>
        <w:rPr/>
        <w:t>Cessation and Harm Containment</w:t>
      </w:r>
    </w:p>
    <w:p>
      <w:pPr>
        <w:pStyle w:val="Normal"/>
        <w:widowControl/>
        <w:bidi w:val="0"/>
        <w:spacing w:lineRule="auto" w:line="276"/>
        <w:jc w:val="left"/>
        <w:rPr/>
      </w:pPr>
      <w:r>
        <w:rPr/>
        <w:t>Require harmful conduct to stop or be contained before compensation is treated as an adequate response.</w:t>
      </w:r>
    </w:p>
    <w:p>
      <w:pPr>
        <w:pStyle w:val="Heading4"/>
        <w:ind w:hanging="0" w:left="0"/>
        <w:rPr/>
      </w:pPr>
      <w:r>
        <w:rPr/>
        <w:t>Acknowledgment, Explanation, and Apology</w:t>
      </w:r>
    </w:p>
    <w:p>
      <w:pPr>
        <w:pStyle w:val="Normal"/>
        <w:widowControl/>
        <w:bidi w:val="0"/>
        <w:spacing w:lineRule="auto" w:line="276"/>
        <w:jc w:val="left"/>
        <w:rPr/>
      </w:pPr>
      <w:r>
        <w:rPr/>
        <w:t>Address duties to recognize harm, disclose causes, accept responsibility, correct records, and communicate honestly with affected entities.</w:t>
      </w:r>
    </w:p>
    <w:p>
      <w:pPr>
        <w:pStyle w:val="Heading4"/>
        <w:ind w:hanging="0" w:left="0"/>
        <w:rPr/>
      </w:pPr>
      <w:r>
        <w:rPr/>
        <w:t>Restitution, Restoration, and Rehabilitation</w:t>
      </w:r>
    </w:p>
    <w:p>
      <w:pPr>
        <w:pStyle w:val="Normal"/>
        <w:widowControl/>
        <w:bidi w:val="0"/>
        <w:spacing w:lineRule="auto" w:line="276"/>
        <w:jc w:val="left"/>
        <w:rPr/>
      </w:pPr>
      <w:r>
        <w:rPr/>
        <w:t>Prioritize restoration of rights, property, health, capabilities, relationships, ecological functions, institutional standing, and agency where reasonably possible.</w:t>
      </w:r>
    </w:p>
    <w:p>
      <w:pPr>
        <w:pStyle w:val="Heading4"/>
        <w:ind w:hanging="0" w:left="0"/>
        <w:rPr/>
      </w:pPr>
      <w:r>
        <w:rPr/>
        <w:t>Compensation</w:t>
      </w:r>
    </w:p>
    <w:p>
      <w:pPr>
        <w:pStyle w:val="Normal"/>
        <w:widowControl/>
        <w:bidi w:val="0"/>
        <w:spacing w:lineRule="auto" w:line="276"/>
        <w:jc w:val="left"/>
        <w:rPr/>
      </w:pPr>
      <w:r>
        <w:rPr/>
        <w:t>Define compensation for losses that cannot be restored while preventing financial payment from being treated as equivalent to consent, ecological replacement, dignity, or absence of wrongdoing.</w:t>
      </w:r>
    </w:p>
    <w:p>
      <w:pPr>
        <w:pStyle w:val="Heading4"/>
        <w:ind w:hanging="0" w:left="0"/>
        <w:rPr/>
      </w:pPr>
      <w:r>
        <w:rPr/>
        <w:t>Systemic and Institutional Repair</w:t>
      </w:r>
    </w:p>
    <w:p>
      <w:pPr>
        <w:pStyle w:val="Normal"/>
        <w:widowControl/>
        <w:bidi w:val="0"/>
        <w:spacing w:lineRule="auto" w:line="276"/>
        <w:jc w:val="left"/>
        <w:rPr/>
      </w:pPr>
      <w:r>
        <w:rPr/>
        <w:t>Modify rules, incentives, authority, information flows, infrastructure, staffing, and culture that produced or reproduced the harm.</w:t>
      </w:r>
    </w:p>
    <w:p>
      <w:pPr>
        <w:pStyle w:val="Heading4"/>
        <w:ind w:hanging="0" w:left="0"/>
        <w:rPr/>
      </w:pPr>
      <w:r>
        <w:rPr/>
        <w:t>Historical and Cumulative Repair</w:t>
      </w:r>
    </w:p>
    <w:p>
      <w:pPr>
        <w:pStyle w:val="Normal"/>
        <w:widowControl/>
        <w:bidi w:val="0"/>
        <w:spacing w:lineRule="auto" w:line="276"/>
        <w:jc w:val="left"/>
        <w:rPr/>
      </w:pPr>
      <w:r>
        <w:rPr/>
        <w:t>Address continuing effects of past dispossession, discrimination, ecological degradation, institutional exclusion, and accumulated capability loss.</w:t>
      </w:r>
    </w:p>
    <w:p>
      <w:pPr>
        <w:pStyle w:val="Heading4"/>
        <w:ind w:hanging="0" w:left="0"/>
        <w:rPr/>
      </w:pPr>
      <w:r>
        <w:rPr/>
        <w:t>Guarantees of Non-Repetition</w:t>
      </w:r>
    </w:p>
    <w:p>
      <w:pPr>
        <w:pStyle w:val="Normal"/>
        <w:widowControl/>
        <w:bidi w:val="0"/>
        <w:spacing w:lineRule="auto" w:line="276"/>
        <w:jc w:val="left"/>
        <w:rPr/>
      </w:pPr>
      <w:r>
        <w:rPr/>
        <w:t>Require monitoring, training, redesign, independent oversight, policy change, enforcement, and reassessment intended to prevent recurrence.</w:t>
      </w:r>
    </w:p>
    <w:p>
      <w:pPr>
        <w:pStyle w:val="Heading4"/>
        <w:ind w:hanging="0" w:left="0"/>
        <w:rPr/>
      </w:pPr>
      <w:r>
        <w:rPr/>
        <w:t>Long-Term Stewardship and Successor Responsibility</w:t>
      </w:r>
    </w:p>
    <w:p>
      <w:pPr>
        <w:pStyle w:val="Normal"/>
        <w:widowControl/>
        <w:bidi w:val="0"/>
        <w:spacing w:lineRule="auto" w:line="276"/>
        <w:jc w:val="left"/>
        <w:rPr/>
      </w:pPr>
      <w:r>
        <w:rPr/>
        <w:t>Preserve repair and monitoring obligations beyond project completion, leadership turnover, organizational restructuring, insolvency, or dissolution.</w:t>
      </w:r>
    </w:p>
    <w:p>
      <w:pPr>
        <w:pStyle w:val="Heading4"/>
        <w:ind w:hanging="0" w:left="0"/>
        <w:rPr/>
      </w:pPr>
      <w:r>
        <w:rPr/>
        <w:t>Repair Funding and Financial Security</w:t>
      </w:r>
    </w:p>
    <w:p>
      <w:pPr>
        <w:pStyle w:val="Normal"/>
        <w:widowControl/>
        <w:bidi w:val="0"/>
        <w:spacing w:lineRule="auto" w:line="276"/>
        <w:jc w:val="left"/>
        <w:rPr/>
      </w:pPr>
      <w:r>
        <w:rPr/>
        <w:t>Consider escrow, bonds, insurance, pooled funds, successor liability, or other mechanisms ensuring that foreseeable repair obligations remain funded.</w:t>
      </w:r>
    </w:p>
    <w:p>
      <w:pPr>
        <w:pStyle w:val="Heading4"/>
        <w:ind w:hanging="0" w:left="0"/>
        <w:rPr/>
      </w:pPr>
      <w:r>
        <w:rPr/>
        <w:t>Affected-Party Participation in Remedy Design</w:t>
      </w:r>
    </w:p>
    <w:p>
      <w:pPr>
        <w:pStyle w:val="Normal"/>
        <w:widowControl/>
        <w:bidi w:val="0"/>
        <w:spacing w:lineRule="auto" w:line="276"/>
        <w:jc w:val="left"/>
        <w:rPr/>
      </w:pPr>
      <w:r>
        <w:rPr/>
        <w:t>Allow harmed entities or representatives to influence priorities, form, timing, delivery, verification, and completion of repair.</w:t>
      </w:r>
    </w:p>
    <w:p>
      <w:pPr>
        <w:pStyle w:val="Heading4"/>
        <w:ind w:hanging="0" w:left="0"/>
        <w:rPr/>
      </w:pPr>
      <w:r>
        <w:rPr/>
        <w:t>Remedy Monitoring and Effectiveness</w:t>
      </w:r>
    </w:p>
    <w:p>
      <w:pPr>
        <w:pStyle w:val="Normal"/>
        <w:widowControl/>
        <w:bidi w:val="0"/>
        <w:spacing w:lineRule="auto" w:line="276"/>
        <w:jc w:val="left"/>
        <w:rPr/>
      </w:pPr>
      <w:r>
        <w:rPr/>
        <w:t>Evaluate whether the remedy actually restores flourishing, capabilities, trust, ecological functions, or institutional conditions rather than merely satisfying formal requirements.</w:t>
      </w:r>
    </w:p>
    <w:p>
      <w:pPr>
        <w:pStyle w:val="Heading4"/>
        <w:ind w:hanging="0" w:left="0"/>
        <w:rPr/>
      </w:pPr>
      <w:r>
        <w:rPr/>
        <w:t>Failure Modes and Exposure</w:t>
      </w:r>
    </w:p>
    <w:p>
      <w:pPr>
        <w:pStyle w:val="Normal"/>
        <w:widowControl/>
        <w:bidi w:val="0"/>
        <w:spacing w:lineRule="auto" w:line="276"/>
        <w:jc w:val="left"/>
        <w:rPr/>
      </w:pPr>
      <w:r>
        <w:rPr/>
        <w:t>Analyze legitimacy laundering, consent theater, token participation, diffuse accountability, automation shields, scapegoating, appeal capture, secret revision, apology without reform, compensation as permission to harm, and unfunded repair.</w:t>
      </w:r>
    </w:p>
    <w:p>
      <w:pPr>
        <w:pStyle w:val="Heading4"/>
        <w:ind w:hanging="0" w:left="0"/>
        <w:rPr/>
      </w:pPr>
      <w:r>
        <w:rPr/>
        <w:t>Interim Safeguards and Mitigations</w:t>
      </w:r>
    </w:p>
    <w:p>
      <w:pPr>
        <w:pStyle w:val="Normal"/>
        <w:widowControl/>
        <w:bidi w:val="0"/>
        <w:spacing w:lineRule="auto" w:line="276"/>
        <w:jc w:val="left"/>
        <w:rPr/>
      </w:pPr>
      <w:r>
        <w:rPr/>
        <w:t>Require authority verification, responsibility matrices, independent appeals, conflict disclosures, version locking, remedy plans, financial assurance, and continuing oversight for high-risk actions.</w:t>
      </w:r>
    </w:p>
    <w:p>
      <w:pPr>
        <w:pStyle w:val="Heading4"/>
        <w:ind w:hanging="0" w:left="0"/>
        <w:rPr/>
      </w:pPr>
      <w:r>
        <w:rPr/>
        <w:t>Research Deliverables and Acceptance Criteria</w:t>
      </w:r>
    </w:p>
    <w:p>
      <w:pPr>
        <w:pStyle w:val="Normal"/>
        <w:widowControl/>
        <w:bidi w:val="0"/>
        <w:spacing w:lineRule="auto" w:line="276"/>
        <w:jc w:val="left"/>
        <w:rPr/>
      </w:pPr>
      <w:r>
        <w:rPr/>
        <w:t>Require a governance charter, authority and consent tests, representation standard, responsibility model, conflict-of-interest policy, appeal protocol, versioning standard, repair taxonomy, and restitution procedure.</w:t>
      </w:r>
    </w:p>
    <w:p>
      <w:pPr>
        <w:pStyle w:val="Heading4"/>
        <w:ind w:hanging="0" w:left="0"/>
        <w:rPr/>
      </w:pPr>
      <w:r>
        <w:rPr/>
        <w:t>Residual Risk</w:t>
      </w:r>
    </w:p>
    <w:p>
      <w:pPr>
        <w:pStyle w:val="Normal"/>
        <w:widowControl/>
        <w:bidi w:val="0"/>
        <w:spacing w:lineRule="auto" w:line="276"/>
        <w:jc w:val="left"/>
        <w:rPr/>
      </w:pPr>
      <w:r>
        <w:rPr/>
        <w:t>Acknowledge that formal governance cannot eliminate power imbalances, institutional capture, contested authority, strategic consent, responsibility disputes, or losses that cannot be repaired.</w:t>
      </w:r>
    </w:p>
    <w:p>
      <w:pPr>
        <w:pStyle w:val="Heading4"/>
        <w:ind w:hanging="0" w:left="0"/>
        <w:rPr>
          <w:rFonts w:ascii="Aptos" w:hAnsi="Aptos"/>
          <w:color w:val="auto"/>
          <w:sz w:val="21"/>
          <w:szCs w:val="22"/>
        </w:rPr>
      </w:pPr>
      <w:r>
        <w:rPr/>
        <w:t>Authority validation test</w:t>
      </w:r>
    </w:p>
    <w:p>
      <w:pPr>
        <w:pStyle w:val="BodyText"/>
        <w:spacing w:before="0" w:after="200"/>
        <w:rPr/>
      </w:pPr>
      <w:r>
        <w:rPr/>
        <w:t>An authority claim should identify:</w:t>
      </w:r>
    </w:p>
    <w:p>
      <w:pPr>
        <w:pStyle w:val="BodyText"/>
        <w:numPr>
          <w:ilvl w:val="0"/>
          <w:numId w:val="165"/>
        </w:numPr>
        <w:tabs>
          <w:tab w:val="clear" w:pos="720"/>
          <w:tab w:val="left" w:pos="0" w:leader="none"/>
        </w:tabs>
        <w:spacing w:before="0" w:after="0"/>
        <w:ind w:hanging="283" w:left="709"/>
        <w:rPr/>
      </w:pPr>
      <w:r>
        <w:rPr>
          <w:rStyle w:val="Strong"/>
        </w:rPr>
        <w:t>Source:</w:t>
      </w:r>
      <w:r>
        <w:rPr/>
        <w:t xml:space="preserve"> Where the authority originated; </w:t>
      </w:r>
    </w:p>
    <w:p>
      <w:pPr>
        <w:pStyle w:val="BodyText"/>
        <w:numPr>
          <w:ilvl w:val="0"/>
          <w:numId w:val="165"/>
        </w:numPr>
        <w:tabs>
          <w:tab w:val="clear" w:pos="720"/>
          <w:tab w:val="left" w:pos="0" w:leader="none"/>
        </w:tabs>
        <w:spacing w:before="0" w:after="0"/>
        <w:ind w:hanging="283" w:left="709"/>
        <w:rPr/>
      </w:pPr>
      <w:r>
        <w:rPr>
          <w:rStyle w:val="Strong"/>
        </w:rPr>
        <w:t>Holder:</w:t>
      </w:r>
      <w:r>
        <w:rPr/>
        <w:t xml:space="preserve"> Which person or institution possesses it; </w:t>
      </w:r>
    </w:p>
    <w:p>
      <w:pPr>
        <w:pStyle w:val="BodyText"/>
        <w:numPr>
          <w:ilvl w:val="0"/>
          <w:numId w:val="165"/>
        </w:numPr>
        <w:tabs>
          <w:tab w:val="clear" w:pos="720"/>
          <w:tab w:val="left" w:pos="0" w:leader="none"/>
        </w:tabs>
        <w:spacing w:before="0" w:after="0"/>
        <w:ind w:hanging="283" w:left="709"/>
        <w:rPr/>
      </w:pPr>
      <w:r>
        <w:rPr>
          <w:rStyle w:val="Strong"/>
        </w:rPr>
        <w:t>Subject matter:</w:t>
      </w:r>
      <w:r>
        <w:rPr/>
        <w:t xml:space="preserve"> What decisions it covers; </w:t>
      </w:r>
    </w:p>
    <w:p>
      <w:pPr>
        <w:pStyle w:val="BodyText"/>
        <w:numPr>
          <w:ilvl w:val="0"/>
          <w:numId w:val="165"/>
        </w:numPr>
        <w:tabs>
          <w:tab w:val="clear" w:pos="720"/>
          <w:tab w:val="left" w:pos="0" w:leader="none"/>
        </w:tabs>
        <w:spacing w:before="0" w:after="0"/>
        <w:ind w:hanging="283" w:left="709"/>
        <w:rPr/>
      </w:pPr>
      <w:r>
        <w:rPr>
          <w:rStyle w:val="Strong"/>
        </w:rPr>
        <w:t>Affected parties:</w:t>
      </w:r>
      <w:r>
        <w:rPr/>
        <w:t xml:space="preserve"> Over whom or what it may be exercised; </w:t>
      </w:r>
    </w:p>
    <w:p>
      <w:pPr>
        <w:pStyle w:val="BodyText"/>
        <w:numPr>
          <w:ilvl w:val="0"/>
          <w:numId w:val="165"/>
        </w:numPr>
        <w:tabs>
          <w:tab w:val="clear" w:pos="720"/>
          <w:tab w:val="left" w:pos="0" w:leader="none"/>
        </w:tabs>
        <w:spacing w:before="0" w:after="0"/>
        <w:ind w:hanging="283" w:left="709"/>
        <w:rPr/>
      </w:pPr>
      <w:r>
        <w:rPr>
          <w:rStyle w:val="Strong"/>
        </w:rPr>
        <w:t>Purpose:</w:t>
      </w:r>
      <w:r>
        <w:rPr/>
        <w:t xml:space="preserve"> The objective for which it was granted; </w:t>
      </w:r>
    </w:p>
    <w:p>
      <w:pPr>
        <w:pStyle w:val="BodyText"/>
        <w:numPr>
          <w:ilvl w:val="0"/>
          <w:numId w:val="165"/>
        </w:numPr>
        <w:tabs>
          <w:tab w:val="clear" w:pos="720"/>
          <w:tab w:val="left" w:pos="0" w:leader="none"/>
        </w:tabs>
        <w:spacing w:before="0" w:after="0"/>
        <w:ind w:hanging="283" w:left="709"/>
        <w:rPr/>
      </w:pPr>
      <w:r>
        <w:rPr>
          <w:rStyle w:val="Strong"/>
        </w:rPr>
        <w:t>Procedural conditions:</w:t>
      </w:r>
      <w:r>
        <w:rPr/>
        <w:t xml:space="preserve"> Consultation, consent, evidence, or approval requirements; </w:t>
      </w:r>
    </w:p>
    <w:p>
      <w:pPr>
        <w:pStyle w:val="BodyText"/>
        <w:numPr>
          <w:ilvl w:val="0"/>
          <w:numId w:val="165"/>
        </w:numPr>
        <w:tabs>
          <w:tab w:val="clear" w:pos="720"/>
          <w:tab w:val="left" w:pos="0" w:leader="none"/>
        </w:tabs>
        <w:spacing w:before="0" w:after="0"/>
        <w:ind w:hanging="283" w:left="709"/>
        <w:rPr/>
      </w:pPr>
      <w:r>
        <w:rPr>
          <w:rStyle w:val="Strong"/>
        </w:rPr>
        <w:t>Limits:</w:t>
      </w:r>
      <w:r>
        <w:rPr/>
        <w:t xml:space="preserve"> Rights, thresholds, prohibitions, geography, and jurisdiction; </w:t>
      </w:r>
    </w:p>
    <w:p>
      <w:pPr>
        <w:pStyle w:val="BodyText"/>
        <w:numPr>
          <w:ilvl w:val="0"/>
          <w:numId w:val="165"/>
        </w:numPr>
        <w:tabs>
          <w:tab w:val="clear" w:pos="720"/>
          <w:tab w:val="left" w:pos="0" w:leader="none"/>
        </w:tabs>
        <w:spacing w:before="0" w:after="0"/>
        <w:ind w:hanging="283" w:left="709"/>
        <w:rPr/>
      </w:pPr>
      <w:r>
        <w:rPr>
          <w:rStyle w:val="Strong"/>
        </w:rPr>
        <w:t>Duration:</w:t>
      </w:r>
      <w:r>
        <w:rPr/>
        <w:t xml:space="preserve"> When it begins, expires, or requires renewal; </w:t>
      </w:r>
    </w:p>
    <w:p>
      <w:pPr>
        <w:pStyle w:val="BodyText"/>
        <w:numPr>
          <w:ilvl w:val="0"/>
          <w:numId w:val="165"/>
        </w:numPr>
        <w:tabs>
          <w:tab w:val="clear" w:pos="720"/>
          <w:tab w:val="left" w:pos="0" w:leader="none"/>
        </w:tabs>
        <w:spacing w:before="0" w:after="0"/>
        <w:ind w:hanging="283" w:left="709"/>
        <w:rPr/>
      </w:pPr>
      <w:r>
        <w:rPr>
          <w:rStyle w:val="Strong"/>
        </w:rPr>
        <w:t>Conflicts:</w:t>
      </w:r>
      <w:r>
        <w:rPr/>
        <w:t xml:space="preserve"> Interests that could compromise its exercise; </w:t>
      </w:r>
    </w:p>
    <w:p>
      <w:pPr>
        <w:pStyle w:val="BodyText"/>
        <w:numPr>
          <w:ilvl w:val="0"/>
          <w:numId w:val="165"/>
        </w:numPr>
        <w:tabs>
          <w:tab w:val="clear" w:pos="720"/>
          <w:tab w:val="left" w:pos="0" w:leader="none"/>
        </w:tabs>
        <w:spacing w:before="0" w:after="0"/>
        <w:ind w:hanging="283" w:left="709"/>
        <w:rPr/>
      </w:pPr>
      <w:r>
        <w:rPr>
          <w:rStyle w:val="Strong"/>
        </w:rPr>
        <w:t>Reviewability:</w:t>
      </w:r>
      <w:r>
        <w:rPr/>
        <w:t xml:space="preserve"> Who can challenge, suspend, or revoke it; and </w:t>
      </w:r>
    </w:p>
    <w:p>
      <w:pPr>
        <w:pStyle w:val="BodyText"/>
        <w:numPr>
          <w:ilvl w:val="0"/>
          <w:numId w:val="165"/>
        </w:numPr>
        <w:tabs>
          <w:tab w:val="clear" w:pos="720"/>
          <w:tab w:val="left" w:pos="0" w:leader="none"/>
        </w:tabs>
        <w:ind w:hanging="283" w:left="709"/>
        <w:rPr/>
      </w:pPr>
      <w:r>
        <w:rPr>
          <w:rStyle w:val="Strong"/>
        </w:rPr>
        <w:t>Remedial responsibility:</w:t>
      </w:r>
      <w:r>
        <w:rPr/>
        <w:t xml:space="preserve"> What obligations follow from misuse or failure. </w:t>
      </w:r>
    </w:p>
    <w:p>
      <w:pPr>
        <w:pStyle w:val="Heading4"/>
        <w:ind w:hanging="0" w:left="0"/>
        <w:rPr>
          <w:rFonts w:ascii="Aptos" w:hAnsi="Aptos"/>
          <w:color w:val="auto"/>
          <w:sz w:val="21"/>
          <w:szCs w:val="22"/>
        </w:rPr>
      </w:pPr>
      <w:r>
        <w:rPr/>
        <w:t>Responsibility-assignment model</w:t>
      </w:r>
    </w:p>
    <w:tbl>
      <w:tblPr>
        <w:tblW w:w="8640" w:type="dxa"/>
        <w:jc w:val="left"/>
        <w:tblInd w:w="28" w:type="dxa"/>
        <w:tblLayout w:type="fixed"/>
        <w:tblCellMar>
          <w:top w:w="28" w:type="dxa"/>
          <w:left w:w="28" w:type="dxa"/>
          <w:bottom w:w="28" w:type="dxa"/>
          <w:right w:w="28" w:type="dxa"/>
        </w:tblCellMar>
      </w:tblPr>
      <w:tblGrid>
        <w:gridCol w:w="2110"/>
        <w:gridCol w:w="6530"/>
      </w:tblGrid>
      <w:tr>
        <w:trPr>
          <w:tblHeader w:val="true"/>
        </w:trPr>
        <w:tc>
          <w:tcPr>
            <w:tcW w:w="2110" w:type="dxa"/>
            <w:tcBorders/>
            <w:vAlign w:val="center"/>
          </w:tcPr>
          <w:p>
            <w:pPr>
              <w:pStyle w:val="TableHeading"/>
              <w:suppressLineNumbers/>
              <w:spacing w:before="0" w:after="200"/>
              <w:jc w:val="center"/>
              <w:rPr/>
            </w:pPr>
            <w:r>
              <w:rPr/>
              <w:t>Responsibility type</w:t>
            </w:r>
          </w:p>
        </w:tc>
        <w:tc>
          <w:tcPr>
            <w:tcW w:w="6530" w:type="dxa"/>
            <w:tcBorders/>
            <w:vAlign w:val="center"/>
          </w:tcPr>
          <w:p>
            <w:pPr>
              <w:pStyle w:val="TableHeading"/>
              <w:suppressLineNumbers/>
              <w:spacing w:before="0" w:after="200"/>
              <w:jc w:val="center"/>
              <w:rPr/>
            </w:pPr>
            <w:r>
              <w:rPr/>
              <w:t>Central question</w:t>
            </w:r>
          </w:p>
        </w:tc>
      </w:tr>
      <w:tr>
        <w:trPr/>
        <w:tc>
          <w:tcPr>
            <w:tcW w:w="2110" w:type="dxa"/>
            <w:tcBorders/>
            <w:vAlign w:val="center"/>
          </w:tcPr>
          <w:p>
            <w:pPr>
              <w:pStyle w:val="TableContents"/>
              <w:widowControl w:val="false"/>
              <w:suppressLineNumbers/>
              <w:spacing w:before="0" w:after="200"/>
              <w:rPr/>
            </w:pPr>
            <w:r>
              <w:rPr>
                <w:rStyle w:val="Strong"/>
              </w:rPr>
              <w:t>Causal</w:t>
            </w:r>
          </w:p>
        </w:tc>
        <w:tc>
          <w:tcPr>
            <w:tcW w:w="6530" w:type="dxa"/>
            <w:tcBorders/>
            <w:vAlign w:val="center"/>
          </w:tcPr>
          <w:p>
            <w:pPr>
              <w:pStyle w:val="TableContents"/>
              <w:widowControl w:val="false"/>
              <w:suppressLineNumbers/>
              <w:spacing w:before="0" w:after="200"/>
              <w:rPr/>
            </w:pPr>
            <w:r>
              <w:rPr/>
              <w:t>Who materially contributed to the outcome?</w:t>
            </w:r>
          </w:p>
        </w:tc>
      </w:tr>
      <w:tr>
        <w:trPr/>
        <w:tc>
          <w:tcPr>
            <w:tcW w:w="2110" w:type="dxa"/>
            <w:tcBorders/>
            <w:vAlign w:val="center"/>
          </w:tcPr>
          <w:p>
            <w:pPr>
              <w:pStyle w:val="TableContents"/>
              <w:widowControl w:val="false"/>
              <w:suppressLineNumbers/>
              <w:spacing w:before="0" w:after="200"/>
              <w:rPr/>
            </w:pPr>
            <w:r>
              <w:rPr>
                <w:rStyle w:val="Strong"/>
              </w:rPr>
              <w:t>Moral or culpability</w:t>
            </w:r>
          </w:p>
        </w:tc>
        <w:tc>
          <w:tcPr>
            <w:tcW w:w="6530" w:type="dxa"/>
            <w:tcBorders/>
            <w:vAlign w:val="center"/>
          </w:tcPr>
          <w:p>
            <w:pPr>
              <w:pStyle w:val="TableContents"/>
              <w:widowControl w:val="false"/>
              <w:suppressLineNumbers/>
              <w:spacing w:before="0" w:after="200"/>
              <w:rPr/>
            </w:pPr>
            <w:r>
              <w:rPr/>
              <w:t>Who acted wrongfully with sufficient knowledge and control?</w:t>
            </w:r>
          </w:p>
        </w:tc>
      </w:tr>
      <w:tr>
        <w:trPr/>
        <w:tc>
          <w:tcPr>
            <w:tcW w:w="2110" w:type="dxa"/>
            <w:tcBorders/>
            <w:vAlign w:val="center"/>
          </w:tcPr>
          <w:p>
            <w:pPr>
              <w:pStyle w:val="TableContents"/>
              <w:widowControl w:val="false"/>
              <w:suppressLineNumbers/>
              <w:spacing w:before="0" w:after="200"/>
              <w:rPr/>
            </w:pPr>
            <w:r>
              <w:rPr>
                <w:rStyle w:val="Strong"/>
              </w:rPr>
              <w:t>Role-based</w:t>
            </w:r>
          </w:p>
        </w:tc>
        <w:tc>
          <w:tcPr>
            <w:tcW w:w="6530" w:type="dxa"/>
            <w:tcBorders/>
            <w:vAlign w:val="center"/>
          </w:tcPr>
          <w:p>
            <w:pPr>
              <w:pStyle w:val="TableContents"/>
              <w:widowControl w:val="false"/>
              <w:suppressLineNumbers/>
              <w:spacing w:before="0" w:after="200"/>
              <w:rPr/>
            </w:pPr>
            <w:r>
              <w:rPr/>
              <w:t>Who possessed a duty because of office, profession, relationship, or undertaking?</w:t>
            </w:r>
          </w:p>
        </w:tc>
      </w:tr>
      <w:tr>
        <w:trPr/>
        <w:tc>
          <w:tcPr>
            <w:tcW w:w="2110" w:type="dxa"/>
            <w:tcBorders/>
            <w:vAlign w:val="center"/>
          </w:tcPr>
          <w:p>
            <w:pPr>
              <w:pStyle w:val="TableContents"/>
              <w:widowControl w:val="false"/>
              <w:suppressLineNumbers/>
              <w:spacing w:before="0" w:after="200"/>
              <w:rPr/>
            </w:pPr>
            <w:r>
              <w:rPr>
                <w:rStyle w:val="Strong"/>
              </w:rPr>
              <w:t>Supervisory</w:t>
            </w:r>
          </w:p>
        </w:tc>
        <w:tc>
          <w:tcPr>
            <w:tcW w:w="6530" w:type="dxa"/>
            <w:tcBorders/>
            <w:vAlign w:val="center"/>
          </w:tcPr>
          <w:p>
            <w:pPr>
              <w:pStyle w:val="TableContents"/>
              <w:widowControl w:val="false"/>
              <w:suppressLineNumbers/>
              <w:spacing w:before="0" w:after="200"/>
              <w:rPr/>
            </w:pPr>
            <w:r>
              <w:rPr/>
              <w:t>Who selected, directed, resourced, monitored, or failed to correct other actors?</w:t>
            </w:r>
          </w:p>
        </w:tc>
      </w:tr>
      <w:tr>
        <w:trPr/>
        <w:tc>
          <w:tcPr>
            <w:tcW w:w="2110" w:type="dxa"/>
            <w:tcBorders/>
            <w:vAlign w:val="center"/>
          </w:tcPr>
          <w:p>
            <w:pPr>
              <w:pStyle w:val="TableContents"/>
              <w:widowControl w:val="false"/>
              <w:suppressLineNumbers/>
              <w:spacing w:before="0" w:after="200"/>
              <w:rPr/>
            </w:pPr>
            <w:r>
              <w:rPr>
                <w:rStyle w:val="Strong"/>
              </w:rPr>
              <w:t>Institutional</w:t>
            </w:r>
          </w:p>
        </w:tc>
        <w:tc>
          <w:tcPr>
            <w:tcW w:w="6530" w:type="dxa"/>
            <w:tcBorders/>
            <w:vAlign w:val="center"/>
          </w:tcPr>
          <w:p>
            <w:pPr>
              <w:pStyle w:val="TableContents"/>
              <w:widowControl w:val="false"/>
              <w:suppressLineNumbers/>
              <w:spacing w:before="0" w:after="200"/>
              <w:rPr/>
            </w:pPr>
            <w:r>
              <w:rPr/>
              <w:t>Which organization’s policies, culture, incentives, or structures produced the harm?</w:t>
            </w:r>
          </w:p>
        </w:tc>
      </w:tr>
      <w:tr>
        <w:trPr/>
        <w:tc>
          <w:tcPr>
            <w:tcW w:w="2110" w:type="dxa"/>
            <w:tcBorders/>
            <w:vAlign w:val="center"/>
          </w:tcPr>
          <w:p>
            <w:pPr>
              <w:pStyle w:val="TableContents"/>
              <w:widowControl w:val="false"/>
              <w:suppressLineNumbers/>
              <w:spacing w:before="0" w:after="200"/>
              <w:rPr/>
            </w:pPr>
            <w:r>
              <w:rPr>
                <w:rStyle w:val="Strong"/>
              </w:rPr>
              <w:t>Collective</w:t>
            </w:r>
          </w:p>
        </w:tc>
        <w:tc>
          <w:tcPr>
            <w:tcW w:w="6530" w:type="dxa"/>
            <w:tcBorders/>
            <w:vAlign w:val="center"/>
          </w:tcPr>
          <w:p>
            <w:pPr>
              <w:pStyle w:val="TableContents"/>
              <w:widowControl w:val="false"/>
              <w:suppressLineNumbers/>
              <w:spacing w:before="0" w:after="200"/>
              <w:rPr/>
            </w:pPr>
            <w:r>
              <w:rPr/>
              <w:t>Which actors jointly created an outcome no individual controlled?</w:t>
            </w:r>
          </w:p>
        </w:tc>
      </w:tr>
      <w:tr>
        <w:trPr/>
        <w:tc>
          <w:tcPr>
            <w:tcW w:w="2110" w:type="dxa"/>
            <w:tcBorders/>
            <w:vAlign w:val="center"/>
          </w:tcPr>
          <w:p>
            <w:pPr>
              <w:pStyle w:val="TableContents"/>
              <w:widowControl w:val="false"/>
              <w:suppressLineNumbers/>
              <w:spacing w:before="0" w:after="200"/>
              <w:rPr/>
            </w:pPr>
            <w:r>
              <w:rPr>
                <w:rStyle w:val="Strong"/>
              </w:rPr>
              <w:t>Remedial</w:t>
            </w:r>
          </w:p>
        </w:tc>
        <w:tc>
          <w:tcPr>
            <w:tcW w:w="6530" w:type="dxa"/>
            <w:tcBorders/>
            <w:vAlign w:val="center"/>
          </w:tcPr>
          <w:p>
            <w:pPr>
              <w:pStyle w:val="TableContents"/>
              <w:widowControl w:val="false"/>
              <w:suppressLineNumbers/>
              <w:spacing w:before="0" w:after="200"/>
              <w:rPr/>
            </w:pPr>
            <w:r>
              <w:rPr/>
              <w:t>Who should repair the harm because of contribution, benefit, authority, capacity, or relationship?</w:t>
            </w:r>
          </w:p>
        </w:tc>
      </w:tr>
      <w:tr>
        <w:trPr/>
        <w:tc>
          <w:tcPr>
            <w:tcW w:w="2110" w:type="dxa"/>
            <w:tcBorders/>
            <w:vAlign w:val="center"/>
          </w:tcPr>
          <w:p>
            <w:pPr>
              <w:pStyle w:val="TableContents"/>
              <w:widowControl w:val="false"/>
              <w:suppressLineNumbers/>
              <w:spacing w:before="0" w:after="200"/>
              <w:rPr/>
            </w:pPr>
            <w:r>
              <w:rPr>
                <w:rStyle w:val="Strong"/>
              </w:rPr>
              <w:t>Forward-looking</w:t>
            </w:r>
          </w:p>
        </w:tc>
        <w:tc>
          <w:tcPr>
            <w:tcW w:w="6530" w:type="dxa"/>
            <w:tcBorders/>
            <w:vAlign w:val="center"/>
          </w:tcPr>
          <w:p>
            <w:pPr>
              <w:pStyle w:val="TableContents"/>
              <w:widowControl w:val="false"/>
              <w:suppressLineNumbers/>
              <w:spacing w:before="0" w:after="200"/>
              <w:rPr/>
            </w:pPr>
            <w:r>
              <w:rPr/>
              <w:t>Who must prevent recurrence or manage continuing risk?</w:t>
            </w:r>
          </w:p>
        </w:tc>
      </w:tr>
    </w:tbl>
    <w:p>
      <w:pPr>
        <w:pStyle w:val="BodyText"/>
        <w:spacing w:before="0" w:after="200"/>
        <w:rPr/>
      </w:pPr>
      <w:r>
        <w:rPr/>
        <w:t>Responsibility should be allocated rather than merely described as “shared.” Each responsible party should receive defined obligations, deadlines, review points, and consequences for nonperformance.</w:t>
      </w:r>
    </w:p>
    <w:p>
      <w:pPr>
        <w:pStyle w:val="Heading4"/>
        <w:ind w:hanging="0" w:left="0"/>
        <w:rPr>
          <w:rFonts w:ascii="Aptos" w:hAnsi="Aptos"/>
          <w:color w:val="auto"/>
          <w:sz w:val="21"/>
          <w:szCs w:val="22"/>
        </w:rPr>
      </w:pPr>
      <w:r>
        <w:rPr/>
        <w:t>Governance-charter requirements</w:t>
      </w:r>
    </w:p>
    <w:p>
      <w:pPr>
        <w:pStyle w:val="BodyText"/>
        <w:spacing w:before="0" w:after="200"/>
        <w:rPr/>
      </w:pPr>
      <w:r>
        <w:rPr/>
        <w:t>The charter should specify:</w:t>
      </w:r>
    </w:p>
    <w:p>
      <w:pPr>
        <w:pStyle w:val="BodyText"/>
        <w:numPr>
          <w:ilvl w:val="0"/>
          <w:numId w:val="166"/>
        </w:numPr>
        <w:tabs>
          <w:tab w:val="clear" w:pos="720"/>
          <w:tab w:val="left" w:pos="0" w:leader="none"/>
        </w:tabs>
        <w:spacing w:before="0" w:after="0"/>
        <w:ind w:hanging="283" w:left="709"/>
        <w:rPr/>
      </w:pPr>
      <w:r>
        <w:rPr/>
        <w:t xml:space="preserve">Framework purpose and normative commitments; </w:t>
      </w:r>
    </w:p>
    <w:p>
      <w:pPr>
        <w:pStyle w:val="BodyText"/>
        <w:numPr>
          <w:ilvl w:val="0"/>
          <w:numId w:val="166"/>
        </w:numPr>
        <w:tabs>
          <w:tab w:val="clear" w:pos="720"/>
          <w:tab w:val="left" w:pos="0" w:leader="none"/>
        </w:tabs>
        <w:spacing w:before="0" w:after="0"/>
        <w:ind w:hanging="283" w:left="709"/>
        <w:rPr/>
      </w:pPr>
      <w:r>
        <w:rPr/>
        <w:t xml:space="preserve">Governance scope and jurisdiction; </w:t>
      </w:r>
    </w:p>
    <w:p>
      <w:pPr>
        <w:pStyle w:val="BodyText"/>
        <w:numPr>
          <w:ilvl w:val="0"/>
          <w:numId w:val="166"/>
        </w:numPr>
        <w:tabs>
          <w:tab w:val="clear" w:pos="720"/>
          <w:tab w:val="left" w:pos="0" w:leader="none"/>
        </w:tabs>
        <w:spacing w:before="0" w:after="0"/>
        <w:ind w:hanging="283" w:left="709"/>
        <w:rPr/>
      </w:pPr>
      <w:r>
        <w:rPr/>
        <w:t xml:space="preserve">Governing bodies and appointment procedures; </w:t>
      </w:r>
    </w:p>
    <w:p>
      <w:pPr>
        <w:pStyle w:val="BodyText"/>
        <w:numPr>
          <w:ilvl w:val="0"/>
          <w:numId w:val="166"/>
        </w:numPr>
        <w:tabs>
          <w:tab w:val="clear" w:pos="720"/>
          <w:tab w:val="left" w:pos="0" w:leader="none"/>
        </w:tabs>
        <w:spacing w:before="0" w:after="0"/>
        <w:ind w:hanging="283" w:left="709"/>
        <w:rPr/>
      </w:pPr>
      <w:r>
        <w:rPr/>
        <w:t xml:space="preserve">Rights of affected parties and representatives; </w:t>
      </w:r>
    </w:p>
    <w:p>
      <w:pPr>
        <w:pStyle w:val="BodyText"/>
        <w:numPr>
          <w:ilvl w:val="0"/>
          <w:numId w:val="166"/>
        </w:numPr>
        <w:tabs>
          <w:tab w:val="clear" w:pos="720"/>
          <w:tab w:val="left" w:pos="0" w:leader="none"/>
        </w:tabs>
        <w:spacing w:before="0" w:after="0"/>
        <w:ind w:hanging="283" w:left="709"/>
        <w:rPr/>
      </w:pPr>
      <w:r>
        <w:rPr/>
        <w:t xml:space="preserve">Decision authorities and voting or approval rules; </w:t>
      </w:r>
    </w:p>
    <w:p>
      <w:pPr>
        <w:pStyle w:val="BodyText"/>
        <w:numPr>
          <w:ilvl w:val="0"/>
          <w:numId w:val="166"/>
        </w:numPr>
        <w:tabs>
          <w:tab w:val="clear" w:pos="720"/>
          <w:tab w:val="left" w:pos="0" w:leader="none"/>
        </w:tabs>
        <w:spacing w:before="0" w:after="0"/>
        <w:ind w:hanging="283" w:left="709"/>
        <w:rPr/>
      </w:pPr>
      <w:r>
        <w:rPr/>
        <w:t xml:space="preserve">Independence and conflict-of-interest controls; </w:t>
      </w:r>
    </w:p>
    <w:p>
      <w:pPr>
        <w:pStyle w:val="BodyText"/>
        <w:numPr>
          <w:ilvl w:val="0"/>
          <w:numId w:val="166"/>
        </w:numPr>
        <w:tabs>
          <w:tab w:val="clear" w:pos="720"/>
          <w:tab w:val="left" w:pos="0" w:leader="none"/>
        </w:tabs>
        <w:spacing w:before="0" w:after="0"/>
        <w:ind w:hanging="283" w:left="709"/>
        <w:rPr/>
      </w:pPr>
      <w:r>
        <w:rPr/>
        <w:t xml:space="preserve">Evidence and transparency requirements; </w:t>
      </w:r>
    </w:p>
    <w:p>
      <w:pPr>
        <w:pStyle w:val="BodyText"/>
        <w:numPr>
          <w:ilvl w:val="0"/>
          <w:numId w:val="166"/>
        </w:numPr>
        <w:tabs>
          <w:tab w:val="clear" w:pos="720"/>
          <w:tab w:val="left" w:pos="0" w:leader="none"/>
        </w:tabs>
        <w:spacing w:before="0" w:after="0"/>
        <w:ind w:hanging="283" w:left="709"/>
        <w:rPr/>
      </w:pPr>
      <w:r>
        <w:rPr/>
        <w:t xml:space="preserve">Consent and participation standards; </w:t>
      </w:r>
    </w:p>
    <w:p>
      <w:pPr>
        <w:pStyle w:val="BodyText"/>
        <w:numPr>
          <w:ilvl w:val="0"/>
          <w:numId w:val="166"/>
        </w:numPr>
        <w:tabs>
          <w:tab w:val="clear" w:pos="720"/>
          <w:tab w:val="left" w:pos="0" w:leader="none"/>
        </w:tabs>
        <w:spacing w:before="0" w:after="0"/>
        <w:ind w:hanging="283" w:left="709"/>
        <w:rPr/>
      </w:pPr>
      <w:r>
        <w:rPr/>
        <w:t xml:space="preserve">Appeal and emergency procedures; </w:t>
      </w:r>
    </w:p>
    <w:p>
      <w:pPr>
        <w:pStyle w:val="BodyText"/>
        <w:numPr>
          <w:ilvl w:val="0"/>
          <w:numId w:val="166"/>
        </w:numPr>
        <w:tabs>
          <w:tab w:val="clear" w:pos="720"/>
          <w:tab w:val="left" w:pos="0" w:leader="none"/>
        </w:tabs>
        <w:spacing w:before="0" w:after="0"/>
        <w:ind w:hanging="283" w:left="709"/>
        <w:rPr/>
      </w:pPr>
      <w:r>
        <w:rPr/>
        <w:t xml:space="preserve">Model and framework change control; </w:t>
      </w:r>
    </w:p>
    <w:p>
      <w:pPr>
        <w:pStyle w:val="BodyText"/>
        <w:numPr>
          <w:ilvl w:val="0"/>
          <w:numId w:val="166"/>
        </w:numPr>
        <w:tabs>
          <w:tab w:val="clear" w:pos="720"/>
          <w:tab w:val="left" w:pos="0" w:leader="none"/>
        </w:tabs>
        <w:spacing w:before="0" w:after="0"/>
        <w:ind w:hanging="283" w:left="709"/>
        <w:rPr/>
      </w:pPr>
      <w:r>
        <w:rPr/>
        <w:t xml:space="preserve">Monitoring and audit authority; </w:t>
      </w:r>
    </w:p>
    <w:p>
      <w:pPr>
        <w:pStyle w:val="BodyText"/>
        <w:numPr>
          <w:ilvl w:val="0"/>
          <w:numId w:val="166"/>
        </w:numPr>
        <w:tabs>
          <w:tab w:val="clear" w:pos="720"/>
          <w:tab w:val="left" w:pos="0" w:leader="none"/>
        </w:tabs>
        <w:spacing w:before="0" w:after="0"/>
        <w:ind w:hanging="283" w:left="709"/>
        <w:rPr/>
      </w:pPr>
      <w:r>
        <w:rPr/>
        <w:t xml:space="preserve">Enforcement mechanisms; </w:t>
      </w:r>
    </w:p>
    <w:p>
      <w:pPr>
        <w:pStyle w:val="BodyText"/>
        <w:numPr>
          <w:ilvl w:val="0"/>
          <w:numId w:val="166"/>
        </w:numPr>
        <w:tabs>
          <w:tab w:val="clear" w:pos="720"/>
          <w:tab w:val="left" w:pos="0" w:leader="none"/>
        </w:tabs>
        <w:spacing w:before="0" w:after="0"/>
        <w:ind w:hanging="283" w:left="709"/>
        <w:rPr/>
      </w:pPr>
      <w:r>
        <w:rPr/>
        <w:t xml:space="preserve">Repair and funding responsibilities; </w:t>
      </w:r>
    </w:p>
    <w:p>
      <w:pPr>
        <w:pStyle w:val="BodyText"/>
        <w:numPr>
          <w:ilvl w:val="0"/>
          <w:numId w:val="166"/>
        </w:numPr>
        <w:tabs>
          <w:tab w:val="clear" w:pos="720"/>
          <w:tab w:val="left" w:pos="0" w:leader="none"/>
        </w:tabs>
        <w:spacing w:before="0" w:after="0"/>
        <w:ind w:hanging="283" w:left="709"/>
        <w:rPr/>
      </w:pPr>
      <w:r>
        <w:rPr/>
        <w:t xml:space="preserve">Version history and public change log; </w:t>
      </w:r>
    </w:p>
    <w:p>
      <w:pPr>
        <w:pStyle w:val="BodyText"/>
        <w:numPr>
          <w:ilvl w:val="0"/>
          <w:numId w:val="166"/>
        </w:numPr>
        <w:tabs>
          <w:tab w:val="clear" w:pos="720"/>
          <w:tab w:val="left" w:pos="0" w:leader="none"/>
        </w:tabs>
        <w:spacing w:before="0" w:after="0"/>
        <w:ind w:hanging="283" w:left="709"/>
        <w:rPr/>
      </w:pPr>
      <w:r>
        <w:rPr/>
        <w:t xml:space="preserve">Succession, dissolution, and archival obligations; and </w:t>
      </w:r>
    </w:p>
    <w:p>
      <w:pPr>
        <w:pStyle w:val="BodyText"/>
        <w:numPr>
          <w:ilvl w:val="0"/>
          <w:numId w:val="166"/>
        </w:numPr>
        <w:tabs>
          <w:tab w:val="clear" w:pos="720"/>
          <w:tab w:val="left" w:pos="0" w:leader="none"/>
        </w:tabs>
        <w:ind w:hanging="283" w:left="709"/>
        <w:rPr/>
      </w:pPr>
      <w:r>
        <w:rPr/>
        <w:t xml:space="preserve">Periodic independent review. </w:t>
      </w:r>
    </w:p>
    <w:p>
      <w:pPr>
        <w:pStyle w:val="Heading4"/>
        <w:ind w:hanging="0" w:left="0"/>
        <w:rPr>
          <w:rFonts w:ascii="Aptos" w:hAnsi="Aptos"/>
          <w:color w:val="auto"/>
          <w:sz w:val="21"/>
          <w:szCs w:val="22"/>
        </w:rPr>
      </w:pPr>
      <w:r>
        <w:rPr/>
        <w:t>Repair and restitution protocol</w:t>
      </w:r>
    </w:p>
    <w:p>
      <w:pPr>
        <w:pStyle w:val="BodyText"/>
        <w:numPr>
          <w:ilvl w:val="0"/>
          <w:numId w:val="167"/>
        </w:numPr>
        <w:tabs>
          <w:tab w:val="clear" w:pos="720"/>
          <w:tab w:val="left" w:pos="0" w:leader="none"/>
        </w:tabs>
        <w:spacing w:before="0" w:after="0"/>
        <w:ind w:hanging="283" w:left="709"/>
        <w:rPr/>
      </w:pPr>
      <w:r>
        <w:rPr/>
        <w:t xml:space="preserve">Identify the harmed entities and continuing risks. </w:t>
      </w:r>
    </w:p>
    <w:p>
      <w:pPr>
        <w:pStyle w:val="BodyText"/>
        <w:numPr>
          <w:ilvl w:val="0"/>
          <w:numId w:val="167"/>
        </w:numPr>
        <w:tabs>
          <w:tab w:val="clear" w:pos="720"/>
          <w:tab w:val="left" w:pos="0" w:leader="none"/>
        </w:tabs>
        <w:spacing w:before="0" w:after="0"/>
        <w:ind w:hanging="283" w:left="709"/>
        <w:rPr/>
      </w:pPr>
      <w:r>
        <w:rPr/>
        <w:t xml:space="preserve">Stop or contain the harmful action. </w:t>
      </w:r>
    </w:p>
    <w:p>
      <w:pPr>
        <w:pStyle w:val="BodyText"/>
        <w:numPr>
          <w:ilvl w:val="0"/>
          <w:numId w:val="167"/>
        </w:numPr>
        <w:tabs>
          <w:tab w:val="clear" w:pos="720"/>
          <w:tab w:val="left" w:pos="0" w:leader="none"/>
        </w:tabs>
        <w:spacing w:before="0" w:after="0"/>
        <w:ind w:hanging="283" w:left="709"/>
        <w:rPr/>
      </w:pPr>
      <w:r>
        <w:rPr/>
        <w:t xml:space="preserve">Preserve evidence and notify affected parties. </w:t>
      </w:r>
    </w:p>
    <w:p>
      <w:pPr>
        <w:pStyle w:val="BodyText"/>
        <w:numPr>
          <w:ilvl w:val="0"/>
          <w:numId w:val="167"/>
        </w:numPr>
        <w:tabs>
          <w:tab w:val="clear" w:pos="720"/>
          <w:tab w:val="left" w:pos="0" w:leader="none"/>
        </w:tabs>
        <w:spacing w:before="0" w:after="0"/>
        <w:ind w:hanging="283" w:left="709"/>
        <w:rPr/>
      </w:pPr>
      <w:r>
        <w:rPr/>
        <w:t xml:space="preserve">Determine causal, moral, institutional, and remedial responsibility. </w:t>
      </w:r>
    </w:p>
    <w:p>
      <w:pPr>
        <w:pStyle w:val="BodyText"/>
        <w:numPr>
          <w:ilvl w:val="0"/>
          <w:numId w:val="167"/>
        </w:numPr>
        <w:tabs>
          <w:tab w:val="clear" w:pos="720"/>
          <w:tab w:val="left" w:pos="0" w:leader="none"/>
        </w:tabs>
        <w:spacing w:before="0" w:after="0"/>
        <w:ind w:hanging="283" w:left="709"/>
        <w:rPr/>
      </w:pPr>
      <w:r>
        <w:rPr/>
        <w:t xml:space="preserve">Ask affected entities or representatives what meaningful repair requires. </w:t>
      </w:r>
    </w:p>
    <w:p>
      <w:pPr>
        <w:pStyle w:val="BodyText"/>
        <w:numPr>
          <w:ilvl w:val="0"/>
          <w:numId w:val="167"/>
        </w:numPr>
        <w:tabs>
          <w:tab w:val="clear" w:pos="720"/>
          <w:tab w:val="left" w:pos="0" w:leader="none"/>
        </w:tabs>
        <w:spacing w:before="0" w:after="0"/>
        <w:ind w:hanging="283" w:left="709"/>
        <w:rPr/>
      </w:pPr>
      <w:r>
        <w:rPr/>
        <w:t xml:space="preserve">Restore the prior condition where possible. </w:t>
      </w:r>
    </w:p>
    <w:p>
      <w:pPr>
        <w:pStyle w:val="BodyText"/>
        <w:numPr>
          <w:ilvl w:val="0"/>
          <w:numId w:val="167"/>
        </w:numPr>
        <w:tabs>
          <w:tab w:val="clear" w:pos="720"/>
          <w:tab w:val="left" w:pos="0" w:leader="none"/>
        </w:tabs>
        <w:spacing w:before="0" w:after="0"/>
        <w:ind w:hanging="283" w:left="709"/>
        <w:rPr/>
      </w:pPr>
      <w:r>
        <w:rPr/>
        <w:t xml:space="preserve">Rehabilitate lost capabilities, relationships, ecological functions, or institutional standing. </w:t>
      </w:r>
    </w:p>
    <w:p>
      <w:pPr>
        <w:pStyle w:val="BodyText"/>
        <w:numPr>
          <w:ilvl w:val="0"/>
          <w:numId w:val="167"/>
        </w:numPr>
        <w:tabs>
          <w:tab w:val="clear" w:pos="720"/>
          <w:tab w:val="left" w:pos="0" w:leader="none"/>
        </w:tabs>
        <w:spacing w:before="0" w:after="0"/>
        <w:ind w:hanging="283" w:left="709"/>
        <w:rPr/>
      </w:pPr>
      <w:r>
        <w:rPr/>
        <w:t xml:space="preserve">Compensate losses that cannot be restored. </w:t>
      </w:r>
    </w:p>
    <w:p>
      <w:pPr>
        <w:pStyle w:val="BodyText"/>
        <w:numPr>
          <w:ilvl w:val="0"/>
          <w:numId w:val="167"/>
        </w:numPr>
        <w:tabs>
          <w:tab w:val="clear" w:pos="720"/>
          <w:tab w:val="left" w:pos="0" w:leader="none"/>
        </w:tabs>
        <w:spacing w:before="0" w:after="0"/>
        <w:ind w:hanging="283" w:left="709"/>
        <w:rPr/>
      </w:pPr>
      <w:r>
        <w:rPr/>
        <w:t xml:space="preserve">Address structural and historical causes. </w:t>
      </w:r>
    </w:p>
    <w:p>
      <w:pPr>
        <w:pStyle w:val="BodyText"/>
        <w:numPr>
          <w:ilvl w:val="0"/>
          <w:numId w:val="167"/>
        </w:numPr>
        <w:tabs>
          <w:tab w:val="clear" w:pos="720"/>
          <w:tab w:val="left" w:pos="0" w:leader="none"/>
        </w:tabs>
        <w:spacing w:before="0" w:after="0"/>
        <w:ind w:hanging="283" w:left="709"/>
        <w:rPr/>
      </w:pPr>
      <w:r>
        <w:rPr/>
        <w:t xml:space="preserve">Fund long-term monitoring and stewardship. </w:t>
      </w:r>
    </w:p>
    <w:p>
      <w:pPr>
        <w:pStyle w:val="BodyText"/>
        <w:numPr>
          <w:ilvl w:val="0"/>
          <w:numId w:val="167"/>
        </w:numPr>
        <w:tabs>
          <w:tab w:val="clear" w:pos="720"/>
          <w:tab w:val="left" w:pos="0" w:leader="none"/>
        </w:tabs>
        <w:spacing w:before="0" w:after="0"/>
        <w:ind w:hanging="283" w:left="709"/>
        <w:rPr/>
      </w:pPr>
      <w:r>
        <w:rPr/>
        <w:t xml:space="preserve">Establish guarantees of non-repetition. </w:t>
      </w:r>
    </w:p>
    <w:p>
      <w:pPr>
        <w:pStyle w:val="BodyText"/>
        <w:numPr>
          <w:ilvl w:val="0"/>
          <w:numId w:val="167"/>
        </w:numPr>
        <w:tabs>
          <w:tab w:val="clear" w:pos="720"/>
          <w:tab w:val="left" w:pos="0" w:leader="none"/>
        </w:tabs>
        <w:spacing w:before="0" w:after="0"/>
        <w:ind w:hanging="283" w:left="709"/>
        <w:rPr/>
      </w:pPr>
      <w:r>
        <w:rPr/>
        <w:t xml:space="preserve">Verify outcomes independently. </w:t>
      </w:r>
    </w:p>
    <w:p>
      <w:pPr>
        <w:pStyle w:val="BodyText"/>
        <w:numPr>
          <w:ilvl w:val="0"/>
          <w:numId w:val="167"/>
        </w:numPr>
        <w:tabs>
          <w:tab w:val="clear" w:pos="720"/>
          <w:tab w:val="left" w:pos="0" w:leader="none"/>
        </w:tabs>
        <w:ind w:hanging="283" w:left="709"/>
        <w:rPr/>
      </w:pPr>
      <w:r>
        <w:rPr/>
        <w:t xml:space="preserve">Keep obligations open when delayed effects remain plausible. </w:t>
      </w:r>
    </w:p>
    <w:p>
      <w:pPr>
        <w:pStyle w:val="BodyText"/>
        <w:spacing w:before="0" w:after="200"/>
        <w:rPr/>
      </w:pPr>
      <w:r>
        <w:rPr/>
        <w:t>The section’s central conclusion should be:</w:t>
      </w:r>
    </w:p>
    <w:p>
      <w:pPr>
        <w:pStyle w:val="BlockQuotation"/>
        <w:spacing w:before="0" w:after="200"/>
        <w:rPr/>
      </w:pPr>
      <w:r>
        <w:rPr/>
        <w:t>Legitimacy, responsibility, governance, and repair are distinct but connected. Authority does not establish moral correctness; consent does not authorize every harm; causal contribution does not by itself determine blame; and absence of blame does not eliminate duties of repair. Every implementation must identify who may decide, who can challenge, who remains responsible, and how harmed entities will be restored or compensated.</w:t>
      </w:r>
    </w:p>
    <w:p>
      <w:pPr>
        <w:pStyle w:val="Heading3"/>
        <w:ind w:hanging="0" w:left="0"/>
        <w:rPr/>
      </w:pPr>
      <w:r>
        <w:rPr/>
        <w:t>Future entities, population change, and transformation</w:t>
      </w:r>
    </w:p>
    <w:p>
      <w:pPr>
        <w:pStyle w:val="Normal"/>
        <w:widowControl/>
        <w:bidi w:val="0"/>
        <w:spacing w:lineRule="auto" w:line="276"/>
        <w:jc w:val="left"/>
        <w:rPr/>
      </w:pPr>
      <w:r>
        <w:rPr/>
        <w:t>This section should establish a dedicated intergenerational and population-ethics profile. Future State Space represents possibilities, but it does not determine which future entities should exist, how alternative populations should be compared, or what present generations may irreversibly decide for their successors.</w:t>
      </w:r>
    </w:p>
    <w:p>
      <w:pPr>
        <w:pStyle w:val="Heading4"/>
        <w:ind w:hanging="0" w:left="0"/>
        <w:rPr/>
      </w:pPr>
      <w:r>
        <w:rPr/>
        <w:t>Limitation Statement</w:t>
      </w:r>
    </w:p>
    <w:p>
      <w:pPr>
        <w:pStyle w:val="Normal"/>
        <w:widowControl/>
        <w:bidi w:val="0"/>
        <w:spacing w:lineRule="auto" w:line="276"/>
        <w:jc w:val="left"/>
        <w:rPr/>
      </w:pPr>
      <w:r>
        <w:rPr/>
        <w:t>Explain that Future State Space does not resolve nonidentity, alternative population sizes, intergenerational justice, extinction, enhancement, value lock-in, or the moral status of possible future entities.</w:t>
      </w:r>
    </w:p>
    <w:p>
      <w:pPr>
        <w:pStyle w:val="Heading4"/>
        <w:ind w:hanging="0" w:left="0"/>
        <w:rPr/>
      </w:pPr>
      <w:r>
        <w:rPr/>
        <w:t>Scope of Future-Entity Assessment</w:t>
      </w:r>
    </w:p>
    <w:p>
      <w:pPr>
        <w:pStyle w:val="Normal"/>
        <w:widowControl/>
        <w:bidi w:val="0"/>
        <w:spacing w:lineRule="auto" w:line="276"/>
        <w:jc w:val="left"/>
        <w:rPr/>
      </w:pPr>
      <w:r>
        <w:rPr/>
        <w:t>Include future humans, future nonhuman organisms, ecological communities, institutions, cultures, artificial systems, posthuman entities, and future stages of presently existing entities.</w:t>
      </w:r>
    </w:p>
    <w:p>
      <w:pPr>
        <w:pStyle w:val="Heading4"/>
        <w:ind w:hanging="0" w:left="0"/>
        <w:rPr/>
      </w:pPr>
      <w:r>
        <w:rPr/>
        <w:t>Expected Versus Merely Possible Entities</w:t>
      </w:r>
    </w:p>
    <w:p>
      <w:pPr>
        <w:pStyle w:val="Normal"/>
        <w:widowControl/>
        <w:bidi w:val="0"/>
        <w:spacing w:lineRule="auto" w:line="276"/>
        <w:jc w:val="left"/>
        <w:rPr/>
      </w:pPr>
      <w:r>
        <w:rPr/>
        <w:t>Define when a future entity is sufficiently probable or morally relevant to enter an assessment without allowing every logically possible entity to create an unlimited claim.</w:t>
      </w:r>
    </w:p>
    <w:p>
      <w:pPr>
        <w:pStyle w:val="Heading4"/>
        <w:ind w:hanging="0" w:left="0"/>
        <w:rPr/>
      </w:pPr>
      <w:r>
        <w:rPr/>
        <w:t>Moral Standing of Future Entities</w:t>
      </w:r>
    </w:p>
    <w:p>
      <w:pPr>
        <w:pStyle w:val="Normal"/>
        <w:widowControl/>
        <w:bidi w:val="0"/>
        <w:spacing w:lineRule="auto" w:line="276"/>
        <w:jc w:val="left"/>
        <w:rPr/>
      </w:pPr>
      <w:r>
        <w:rPr/>
        <w:t>Determine whether future standing derives from expected existence, vulnerability to present action, future interests, rights, capabilities, ecological continuity, or another basis.</w:t>
      </w:r>
    </w:p>
    <w:p>
      <w:pPr>
        <w:pStyle w:val="Heading4"/>
        <w:ind w:hanging="0" w:left="0"/>
        <w:rPr/>
      </w:pPr>
      <w:r>
        <w:rPr/>
        <w:t>Interests and Capabilities</w:t>
      </w:r>
    </w:p>
    <w:p>
      <w:pPr>
        <w:pStyle w:val="Normal"/>
        <w:widowControl/>
        <w:bidi w:val="0"/>
        <w:spacing w:lineRule="auto" w:line="276"/>
        <w:jc w:val="left"/>
        <w:rPr/>
      </w:pPr>
      <w:r>
        <w:rPr/>
        <w:t>Represent interests in life, health, agency, ecological conditions, knowledge, culture, institutions, resources, security, and an adequately open range of future choices.</w:t>
      </w:r>
    </w:p>
    <w:p>
      <w:pPr>
        <w:pStyle w:val="Heading4"/>
        <w:ind w:hanging="0" w:left="0"/>
        <w:rPr/>
      </w:pPr>
      <w:r>
        <w:rPr/>
        <w:t>The Nonidentity Problem</w:t>
      </w:r>
    </w:p>
    <w:p>
      <w:pPr>
        <w:pStyle w:val="Normal"/>
        <w:widowControl/>
        <w:bidi w:val="0"/>
        <w:spacing w:lineRule="auto" w:line="276"/>
        <w:jc w:val="left"/>
        <w:rPr/>
      </w:pPr>
      <w:r>
        <w:rPr/>
        <w:t>Address actions that change which entities will exist, making it difficult to claim that a particular future person was made worse off compared with an alternative in which that person would not exist.</w:t>
      </w:r>
    </w:p>
    <w:p>
      <w:pPr>
        <w:pStyle w:val="Heading4"/>
        <w:ind w:hanging="0" w:left="0"/>
        <w:rPr/>
      </w:pPr>
      <w:r>
        <w:rPr/>
        <w:t>Person-Affecting and Impersonal Evaluation</w:t>
      </w:r>
    </w:p>
    <w:p>
      <w:pPr>
        <w:pStyle w:val="Normal"/>
        <w:widowControl/>
        <w:bidi w:val="0"/>
        <w:spacing w:lineRule="auto" w:line="276"/>
        <w:jc w:val="left"/>
        <w:rPr/>
      </w:pPr>
      <w:r>
        <w:rPr/>
        <w:t>Distinguish reasons based on effects on particular entities from reasons based on the overall quality, justice, diversity, or ecological integrity of a future world.</w:t>
      </w:r>
    </w:p>
    <w:p>
      <w:pPr>
        <w:pStyle w:val="Heading4"/>
        <w:ind w:hanging="0" w:left="0"/>
        <w:rPr/>
      </w:pPr>
      <w:r>
        <w:rPr/>
        <w:t>Alternative Population Comparisons</w:t>
      </w:r>
    </w:p>
    <w:p>
      <w:pPr>
        <w:pStyle w:val="Normal"/>
        <w:widowControl/>
        <w:bidi w:val="0"/>
        <w:spacing w:lineRule="auto" w:line="276"/>
        <w:jc w:val="left"/>
        <w:rPr/>
      </w:pPr>
      <w:r>
        <w:rPr/>
        <w:t>Define how the framework compares futures containing different numbers, identities, characteristics, locations, species, or types of entities.</w:t>
      </w:r>
    </w:p>
    <w:p>
      <w:pPr>
        <w:pStyle w:val="Heading4"/>
        <w:ind w:hanging="0" w:left="0"/>
        <w:rPr/>
      </w:pPr>
      <w:r>
        <w:rPr/>
        <w:t>Population-Axiology Profiles</w:t>
      </w:r>
    </w:p>
    <w:p>
      <w:pPr>
        <w:pStyle w:val="Normal"/>
        <w:widowControl/>
        <w:bidi w:val="0"/>
        <w:spacing w:lineRule="auto" w:line="276"/>
        <w:jc w:val="left"/>
        <w:rPr/>
      </w:pPr>
      <w:r>
        <w:rPr/>
        <w:t>Compare total, average, sufficientarian, prioritarian, critical-level, person-affecting, and plural-value approaches without silently selecting one through the flourishing metric.</w:t>
      </w:r>
    </w:p>
    <w:p>
      <w:pPr>
        <w:pStyle w:val="Heading4"/>
        <w:ind w:hanging="0" w:left="0"/>
        <w:rPr/>
      </w:pPr>
      <w:r>
        <w:rPr/>
        <w:t>Population Quantity, Quality, and Distribution</w:t>
      </w:r>
    </w:p>
    <w:p>
      <w:pPr>
        <w:pStyle w:val="Normal"/>
        <w:widowControl/>
        <w:bidi w:val="0"/>
        <w:spacing w:lineRule="auto" w:line="276"/>
        <w:jc w:val="left"/>
        <w:rPr/>
      </w:pPr>
      <w:r>
        <w:rPr/>
        <w:t>Preserve distinctions among population size, average flourishing, minimum conditions, inequality, concentration of harm, ecological carrying capacity, and distribution across groups or generations.</w:t>
      </w:r>
    </w:p>
    <w:p>
      <w:pPr>
        <w:pStyle w:val="Heading4"/>
        <w:ind w:hanging="0" w:left="0"/>
        <w:rPr/>
      </w:pPr>
      <w:r>
        <w:rPr/>
        <w:t>Creation Benefits and Creation Harms</w:t>
      </w:r>
    </w:p>
    <w:p>
      <w:pPr>
        <w:pStyle w:val="Normal"/>
        <w:widowControl/>
        <w:bidi w:val="0"/>
        <w:spacing w:lineRule="auto" w:line="276"/>
        <w:jc w:val="left"/>
        <w:rPr/>
      </w:pPr>
      <w:r>
        <w:rPr/>
        <w:t>Address asymmetries between creating an entity with a flourishing life, creating an entity exposed to severe harm, preventing an entity from existing, and failing to create an additional beneficial life.</w:t>
      </w:r>
    </w:p>
    <w:p>
      <w:pPr>
        <w:pStyle w:val="Heading4"/>
        <w:ind w:hanging="0" w:left="0"/>
        <w:rPr/>
      </w:pPr>
      <w:r>
        <w:rPr/>
        <w:t>Population Thresholds and Lives Worth Living</w:t>
      </w:r>
    </w:p>
    <w:p>
      <w:pPr>
        <w:pStyle w:val="Normal"/>
        <w:widowControl/>
        <w:bidi w:val="0"/>
        <w:spacing w:lineRule="auto" w:line="276"/>
        <w:jc w:val="left"/>
        <w:rPr/>
      </w:pPr>
      <w:r>
        <w:rPr/>
        <w:t>Specify whether minimum flourishing thresholds apply to creating future entities and how uncertainty about those thresholds is handled.</w:t>
      </w:r>
    </w:p>
    <w:p>
      <w:pPr>
        <w:pStyle w:val="Heading4"/>
        <w:ind w:hanging="0" w:left="0"/>
        <w:rPr/>
      </w:pPr>
      <w:r>
        <w:rPr/>
        <w:t>Demographic Policy and Reproductive Autonomy</w:t>
      </w:r>
    </w:p>
    <w:p>
      <w:pPr>
        <w:pStyle w:val="Normal"/>
        <w:widowControl/>
        <w:bidi w:val="0"/>
        <w:spacing w:lineRule="auto" w:line="276"/>
        <w:jc w:val="left"/>
        <w:rPr/>
      </w:pPr>
      <w:r>
        <w:rPr/>
        <w:t>Prevent population ethics from authorizing coercive reproduction, sterilization, discriminatory family policy, eugenics, forced migration, or restrictions disproportionately imposed on marginalized groups.</w:t>
      </w:r>
    </w:p>
    <w:p>
      <w:pPr>
        <w:pStyle w:val="Heading4"/>
        <w:ind w:hanging="0" w:left="0"/>
        <w:rPr/>
      </w:pPr>
      <w:r>
        <w:rPr/>
        <w:t>Consumption, Distribution, and Population Pressure</w:t>
      </w:r>
    </w:p>
    <w:p>
      <w:pPr>
        <w:pStyle w:val="Normal"/>
        <w:widowControl/>
        <w:bidi w:val="0"/>
        <w:spacing w:lineRule="auto" w:line="276"/>
        <w:jc w:val="left"/>
        <w:rPr/>
      </w:pPr>
      <w:r>
        <w:rPr/>
        <w:t>Require demographic analysis to consider unequal consumption, waste, technology, ownership, infrastructure, historical responsibility, and ecological distribution rather than population totals alone.</w:t>
      </w:r>
    </w:p>
    <w:p>
      <w:pPr>
        <w:pStyle w:val="Heading4"/>
        <w:ind w:hanging="0" w:left="0"/>
        <w:rPr/>
      </w:pPr>
      <w:r>
        <w:rPr/>
        <w:t>Migration and Population Composition</w:t>
      </w:r>
    </w:p>
    <w:p>
      <w:pPr>
        <w:pStyle w:val="Normal"/>
        <w:widowControl/>
        <w:bidi w:val="0"/>
        <w:spacing w:lineRule="auto" w:line="276"/>
        <w:jc w:val="left"/>
        <w:rPr/>
      </w:pPr>
      <w:r>
        <w:rPr/>
        <w:t>Address movement, demographic change, cultural continuity, political membership, ecological pressure, and distribution without treating existing population composition as intrinsically fixed.</w:t>
      </w:r>
    </w:p>
    <w:p>
      <w:pPr>
        <w:pStyle w:val="Heading4"/>
        <w:ind w:hanging="0" w:left="0"/>
        <w:rPr/>
      </w:pPr>
      <w:r>
        <w:rPr/>
        <w:t>Intergenerational Justice</w:t>
      </w:r>
    </w:p>
    <w:p>
      <w:pPr>
        <w:pStyle w:val="Normal"/>
        <w:widowControl/>
        <w:bidi w:val="0"/>
        <w:spacing w:lineRule="auto" w:line="276"/>
        <w:jc w:val="left"/>
        <w:rPr/>
      </w:pPr>
      <w:r>
        <w:rPr/>
        <w:t>Define present duties concerning ecological inheritance, public institutions, infrastructure, knowledge, debt, technological risk, cultural resources, and access to Future State Space.</w:t>
      </w:r>
    </w:p>
    <w:p>
      <w:pPr>
        <w:pStyle w:val="Heading4"/>
        <w:ind w:hanging="0" w:left="0"/>
        <w:rPr/>
      </w:pPr>
      <w:r>
        <w:rPr/>
        <w:t>Intergenerational Distribution</w:t>
      </w:r>
    </w:p>
    <w:p>
      <w:pPr>
        <w:pStyle w:val="Normal"/>
        <w:widowControl/>
        <w:bidi w:val="0"/>
        <w:spacing w:lineRule="auto" w:line="276"/>
        <w:jc w:val="left"/>
        <w:rPr/>
      </w:pPr>
      <w:r>
        <w:rPr/>
        <w:t>Examine whether present benefits impose delayed costs, whether future benefits require disproportionate present sacrifice, and how burdens are distributed among generations.</w:t>
      </w:r>
    </w:p>
    <w:p>
      <w:pPr>
        <w:pStyle w:val="Heading4"/>
        <w:ind w:hanging="0" w:left="0"/>
        <w:rPr/>
      </w:pPr>
      <w:r>
        <w:rPr/>
        <w:t>Present Persons Versus Future Entities</w:t>
      </w:r>
    </w:p>
    <w:p>
      <w:pPr>
        <w:pStyle w:val="Normal"/>
        <w:widowControl/>
        <w:bidi w:val="0"/>
        <w:spacing w:lineRule="auto" w:line="276"/>
        <w:jc w:val="left"/>
        <w:rPr/>
      </w:pPr>
      <w:r>
        <w:rPr/>
        <w:t>Prevent speculative benefits to large future populations from automatically overriding the rights, capabilities, dignity, or minimum flourishing of existing persons.</w:t>
      </w:r>
    </w:p>
    <w:p>
      <w:pPr>
        <w:pStyle w:val="Heading4"/>
        <w:ind w:hanging="0" w:left="0"/>
        <w:rPr/>
      </w:pPr>
      <w:r>
        <w:rPr/>
        <w:t>Temporal Discounting</w:t>
      </w:r>
    </w:p>
    <w:p>
      <w:pPr>
        <w:pStyle w:val="Normal"/>
        <w:widowControl/>
        <w:bidi w:val="0"/>
        <w:spacing w:lineRule="auto" w:line="276"/>
        <w:jc w:val="left"/>
        <w:rPr/>
      </w:pPr>
      <w:r>
        <w:rPr/>
        <w:t>Distinguish discounting for opportunity cost or declining predictive confidence from discounting the moral importance of an entity merely because it exists later.</w:t>
      </w:r>
    </w:p>
    <w:p>
      <w:pPr>
        <w:pStyle w:val="Heading4"/>
        <w:ind w:hanging="0" w:left="0"/>
        <w:rPr/>
      </w:pPr>
      <w:r>
        <w:rPr/>
        <w:t>Uncertainty About Future Parties</w:t>
      </w:r>
    </w:p>
    <w:p>
      <w:pPr>
        <w:pStyle w:val="Normal"/>
        <w:widowControl/>
        <w:bidi w:val="0"/>
        <w:spacing w:lineRule="auto" w:line="276"/>
        <w:jc w:val="left"/>
        <w:rPr/>
      </w:pPr>
      <w:r>
        <w:rPr/>
        <w:t>Report uncertainty concerning whether future entities will exist, their identities, preferences, capabilities, environments, moral status, and exposure to present decisions.</w:t>
      </w:r>
    </w:p>
    <w:p>
      <w:pPr>
        <w:pStyle w:val="Heading4"/>
        <w:ind w:hanging="0" w:left="0"/>
        <w:rPr/>
      </w:pPr>
      <w:r>
        <w:rPr/>
        <w:t>Catastrophic and Existential Risk</w:t>
      </w:r>
    </w:p>
    <w:p>
      <w:pPr>
        <w:pStyle w:val="Normal"/>
        <w:widowControl/>
        <w:bidi w:val="0"/>
        <w:spacing w:lineRule="auto" w:line="276"/>
        <w:jc w:val="left"/>
        <w:rPr/>
      </w:pPr>
      <w:r>
        <w:rPr/>
        <w:t>Evaluate extinction, permanent civilizational collapse, irreversible ecological transformation, value lock-in, and destruction of future moral agency without reducing all decisions to expected population totals.</w:t>
      </w:r>
    </w:p>
    <w:p>
      <w:pPr>
        <w:pStyle w:val="Heading4"/>
        <w:ind w:hanging="0" w:left="0"/>
        <w:rPr/>
      </w:pPr>
      <w:r>
        <w:rPr/>
        <w:t>Future State Space and Option Value</w:t>
      </w:r>
    </w:p>
    <w:p>
      <w:pPr>
        <w:pStyle w:val="Normal"/>
        <w:widowControl/>
        <w:bidi w:val="0"/>
        <w:spacing w:lineRule="auto" w:line="276"/>
        <w:jc w:val="left"/>
        <w:rPr/>
      </w:pPr>
      <w:r>
        <w:rPr/>
        <w:t>Define the moral value of preserving meaningful future alternatives, adaptability, diversity, recovery, exit, and revision rather than maximizing the raw number of possible states.</w:t>
      </w:r>
    </w:p>
    <w:p>
      <w:pPr>
        <w:pStyle w:val="Heading4"/>
        <w:ind w:hanging="0" w:left="0"/>
        <w:rPr/>
      </w:pPr>
      <w:r>
        <w:rPr/>
        <w:t>The Right to an Open Future</w:t>
      </w:r>
    </w:p>
    <w:p>
      <w:pPr>
        <w:pStyle w:val="Normal"/>
        <w:widowControl/>
        <w:bidi w:val="0"/>
        <w:spacing w:lineRule="auto" w:line="276"/>
        <w:jc w:val="left"/>
        <w:rPr/>
      </w:pPr>
      <w:r>
        <w:rPr/>
        <w:t>Determine which choices should remain available to future persons or communities and when present actors may legitimately narrow those choices.</w:t>
      </w:r>
    </w:p>
    <w:p>
      <w:pPr>
        <w:pStyle w:val="Heading4"/>
        <w:ind w:hanging="0" w:left="0"/>
        <w:rPr/>
      </w:pPr>
      <w:r>
        <w:rPr/>
        <w:t>Value Lock-In</w:t>
      </w:r>
    </w:p>
    <w:p>
      <w:pPr>
        <w:pStyle w:val="Normal"/>
        <w:widowControl/>
        <w:bidi w:val="0"/>
        <w:spacing w:lineRule="auto" w:line="276"/>
        <w:jc w:val="left"/>
        <w:rPr/>
      </w:pPr>
      <w:r>
        <w:rPr/>
        <w:t>Address technologies, institutions, constitutions, artificial systems, cultural policies, and infrastructures that make particular values or power arrangements extremely difficult for future entities to revise.</w:t>
      </w:r>
    </w:p>
    <w:p>
      <w:pPr>
        <w:pStyle w:val="Heading4"/>
        <w:ind w:hanging="0" w:left="0"/>
        <w:rPr/>
      </w:pPr>
      <w:r>
        <w:rPr/>
        <w:t>Beneficial Commitment Versus Illegitimate Lock-In</w:t>
      </w:r>
    </w:p>
    <w:p>
      <w:pPr>
        <w:pStyle w:val="Normal"/>
        <w:widowControl/>
        <w:bidi w:val="0"/>
        <w:spacing w:lineRule="auto" w:line="276"/>
        <w:jc w:val="left"/>
        <w:rPr/>
      </w:pPr>
      <w:r>
        <w:rPr/>
        <w:t>Distinguish justified durable protections—such as prohibitions on slavery—from entrenchment of contested values, institutions, technologies, or authorities.</w:t>
      </w:r>
    </w:p>
    <w:p>
      <w:pPr>
        <w:pStyle w:val="Heading4"/>
        <w:ind w:hanging="0" w:left="0"/>
        <w:rPr/>
      </w:pPr>
      <w:r>
        <w:rPr/>
        <w:t>Representation of Future Parties</w:t>
      </w:r>
    </w:p>
    <w:p>
      <w:pPr>
        <w:pStyle w:val="Normal"/>
        <w:widowControl/>
        <w:bidi w:val="0"/>
        <w:spacing w:lineRule="auto" w:line="276"/>
        <w:jc w:val="left"/>
        <w:rPr/>
      </w:pPr>
      <w:r>
        <w:rPr/>
        <w:t>Establish representation through trustees, future-generations commissioners, youth representatives, scenario advocates, ecological guardians, and other accountable mechanisms.</w:t>
      </w:r>
    </w:p>
    <w:p>
      <w:pPr>
        <w:pStyle w:val="Heading4"/>
        <w:ind w:hanging="0" w:left="0"/>
        <w:rPr/>
      </w:pPr>
      <w:r>
        <w:rPr/>
        <w:t>Duties and Conflicts of Future Representatives</w:t>
      </w:r>
    </w:p>
    <w:p>
      <w:pPr>
        <w:pStyle w:val="Normal"/>
        <w:widowControl/>
        <w:bidi w:val="0"/>
        <w:spacing w:lineRule="auto" w:line="276"/>
        <w:jc w:val="left"/>
        <w:rPr/>
      </w:pPr>
      <w:r>
        <w:rPr/>
        <w:t>Require competence, independence, plural perspectives, disclosure of assumptions, avoidance of present institutional capture, and procedures for resolving conflicting representations of future interests.</w:t>
      </w:r>
    </w:p>
    <w:p>
      <w:pPr>
        <w:pStyle w:val="Heading4"/>
        <w:ind w:hanging="0" w:left="0"/>
        <w:rPr/>
      </w:pPr>
      <w:r>
        <w:rPr/>
        <w:t>Legitimacy of Decisions for Future Entities</w:t>
      </w:r>
    </w:p>
    <w:p>
      <w:pPr>
        <w:pStyle w:val="Normal"/>
        <w:widowControl/>
        <w:bidi w:val="0"/>
        <w:spacing w:lineRule="auto" w:line="276"/>
        <w:jc w:val="left"/>
        <w:rPr/>
      </w:pPr>
      <w:r>
        <w:rPr/>
        <w:t>Require public justification, present affected-party participation, representation of future interests, independent review, and heightened scrutiny for decisions future parties cannot reverse.</w:t>
      </w:r>
    </w:p>
    <w:p>
      <w:pPr>
        <w:pStyle w:val="Heading4"/>
        <w:ind w:hanging="0" w:left="0"/>
        <w:rPr/>
      </w:pPr>
      <w:r>
        <w:rPr/>
        <w:t>Transformation Taxonomy</w:t>
      </w:r>
    </w:p>
    <w:p>
      <w:pPr>
        <w:pStyle w:val="Normal"/>
        <w:widowControl/>
        <w:bidi w:val="0"/>
        <w:spacing w:lineRule="auto" w:line="276"/>
        <w:jc w:val="left"/>
        <w:rPr/>
      </w:pPr>
      <w:r>
        <w:rPr/>
        <w:t>Distinguish therapeutic, restorative, preventive, enhancement, reproductive, germline, cybernetic, artificial, ecological, cultural, institutional, and species-level transformation.</w:t>
      </w:r>
    </w:p>
    <w:p>
      <w:pPr>
        <w:pStyle w:val="Heading4"/>
        <w:ind w:hanging="0" w:left="0"/>
        <w:rPr/>
      </w:pPr>
      <w:r>
        <w:rPr/>
        <w:t>Therapy, Restoration, and Enhancement</w:t>
      </w:r>
    </w:p>
    <w:p>
      <w:pPr>
        <w:pStyle w:val="Normal"/>
        <w:widowControl/>
        <w:bidi w:val="0"/>
        <w:spacing w:lineRule="auto" w:line="276"/>
        <w:jc w:val="left"/>
        <w:rPr/>
      </w:pPr>
      <w:r>
        <w:rPr/>
        <w:t>Clarify when an intervention restores a capability, prevents harm, expands ordinary functioning, or creates a substantially different form of agency or identity.</w:t>
      </w:r>
    </w:p>
    <w:p>
      <w:pPr>
        <w:pStyle w:val="Heading4"/>
        <w:ind w:hanging="0" w:left="0"/>
        <w:rPr/>
      </w:pPr>
      <w:r>
        <w:rPr/>
        <w:t>Personal Identity and Continuity</w:t>
      </w:r>
    </w:p>
    <w:p>
      <w:pPr>
        <w:pStyle w:val="Normal"/>
        <w:widowControl/>
        <w:bidi w:val="0"/>
        <w:spacing w:lineRule="auto" w:line="276"/>
        <w:jc w:val="left"/>
        <w:rPr/>
      </w:pPr>
      <w:r>
        <w:rPr/>
        <w:t>Address whether radical cognitive, biological, digital, or institutional transformation preserves the original entity, creates a successor, or terminates one identity while producing another.</w:t>
      </w:r>
    </w:p>
    <w:p>
      <w:pPr>
        <w:pStyle w:val="Heading4"/>
        <w:ind w:hanging="0" w:left="0"/>
        <w:rPr/>
      </w:pPr>
      <w:r>
        <w:rPr/>
        <w:t>Heritable and Germline Transformation</w:t>
      </w:r>
    </w:p>
    <w:p>
      <w:pPr>
        <w:pStyle w:val="Normal"/>
        <w:widowControl/>
        <w:bidi w:val="0"/>
        <w:spacing w:lineRule="auto" w:line="276"/>
        <w:jc w:val="left"/>
        <w:rPr/>
      </w:pPr>
      <w:r>
        <w:rPr/>
        <w:t>Apply heightened scrutiny to changes affecting descendants who cannot consent and whose identities, capabilities, dependencies, and social treatment may be altered permanently.</w:t>
      </w:r>
    </w:p>
    <w:p>
      <w:pPr>
        <w:pStyle w:val="Heading4"/>
        <w:ind w:hanging="0" w:left="0"/>
        <w:rPr/>
      </w:pPr>
      <w:r>
        <w:rPr/>
        <w:t>Posthuman and Transhuman Entities</w:t>
      </w:r>
    </w:p>
    <w:p>
      <w:pPr>
        <w:pStyle w:val="Normal"/>
        <w:widowControl/>
        <w:bidi w:val="0"/>
        <w:spacing w:lineRule="auto" w:line="276"/>
        <w:jc w:val="left"/>
        <w:rPr/>
      </w:pPr>
      <w:r>
        <w:rPr/>
        <w:t>Determine how standing, dignity, equality, rights, responsibility, and flourishing apply when transformed humans possess substantially different capacities or forms of embodiment.</w:t>
      </w:r>
    </w:p>
    <w:p>
      <w:pPr>
        <w:pStyle w:val="Heading4"/>
        <w:ind w:hanging="0" w:left="0"/>
        <w:rPr/>
      </w:pPr>
      <w:r>
        <w:rPr/>
        <w:t>Artificial Future Entities</w:t>
      </w:r>
    </w:p>
    <w:p>
      <w:pPr>
        <w:pStyle w:val="Normal"/>
        <w:widowControl/>
        <w:bidi w:val="0"/>
        <w:spacing w:lineRule="auto" w:line="276"/>
        <w:jc w:val="left"/>
        <w:rPr/>
      </w:pPr>
      <w:r>
        <w:rPr/>
        <w:t>Address whether present agents have duties concerning the creation, noncreation, welfare, control, replication, termination, or resource demands of possible artificial moral patients or agents.</w:t>
      </w:r>
    </w:p>
    <w:p>
      <w:pPr>
        <w:pStyle w:val="Heading4"/>
        <w:ind w:hanging="0" w:left="0"/>
        <w:rPr/>
      </w:pPr>
      <w:r>
        <w:rPr/>
        <w:t>Ecological and Evolutionary Transformation</w:t>
      </w:r>
    </w:p>
    <w:p>
      <w:pPr>
        <w:pStyle w:val="Normal"/>
        <w:widowControl/>
        <w:bidi w:val="0"/>
        <w:spacing w:lineRule="auto" w:line="276"/>
        <w:jc w:val="left"/>
        <w:rPr/>
      </w:pPr>
      <w:r>
        <w:rPr/>
        <w:t>Evaluate assisted migration, genetic intervention, de-extinction, synthetic organisms, geoengineering, habitat redesign, and changes to evolutionary pathways.</w:t>
      </w:r>
    </w:p>
    <w:p>
      <w:pPr>
        <w:pStyle w:val="Heading4"/>
        <w:ind w:hanging="0" w:left="0"/>
        <w:rPr/>
      </w:pPr>
      <w:r>
        <w:rPr/>
        <w:t>Transformation, Inequality, and Access</w:t>
      </w:r>
    </w:p>
    <w:p>
      <w:pPr>
        <w:pStyle w:val="Normal"/>
        <w:widowControl/>
        <w:bidi w:val="0"/>
        <w:spacing w:lineRule="auto" w:line="276"/>
        <w:jc w:val="left"/>
        <w:rPr/>
      </w:pPr>
      <w:r>
        <w:rPr/>
        <w:t>Examine whether enhancement or adaptation creates permanent classes, inherited capability inequality, domination, dependency, exclusion, or unequal exposure to experimental risk.</w:t>
      </w:r>
    </w:p>
    <w:p>
      <w:pPr>
        <w:pStyle w:val="Heading4"/>
        <w:ind w:hanging="0" w:left="0"/>
        <w:rPr/>
      </w:pPr>
      <w:r>
        <w:rPr/>
        <w:t>Consent and Transformation</w:t>
      </w:r>
    </w:p>
    <w:p>
      <w:pPr>
        <w:pStyle w:val="Normal"/>
        <w:widowControl/>
        <w:bidi w:val="0"/>
        <w:spacing w:lineRule="auto" w:line="276"/>
        <w:jc w:val="left"/>
        <w:rPr/>
      </w:pPr>
      <w:r>
        <w:rPr/>
        <w:t>Distinguish consent by presently affected persons from purported consent on behalf of descendants, communities, species, ecosystems, or future artificial entities.</w:t>
      </w:r>
    </w:p>
    <w:p>
      <w:pPr>
        <w:pStyle w:val="Heading4"/>
        <w:ind w:hanging="0" w:left="0"/>
        <w:rPr/>
      </w:pPr>
      <w:r>
        <w:rPr/>
        <w:t>Cultural Diversity and Transformation</w:t>
      </w:r>
    </w:p>
    <w:p>
      <w:pPr>
        <w:pStyle w:val="Normal"/>
        <w:widowControl/>
        <w:bidi w:val="0"/>
        <w:spacing w:lineRule="auto" w:line="276"/>
        <w:jc w:val="left"/>
        <w:rPr/>
      </w:pPr>
      <w:r>
        <w:rPr/>
        <w:t>Protect cultural continuity and self-determination while avoiding assumptions that cultures must remain static or that authorities may prevent voluntary change.</w:t>
      </w:r>
    </w:p>
    <w:p>
      <w:pPr>
        <w:pStyle w:val="Heading4"/>
        <w:ind w:hanging="0" w:left="0"/>
        <w:rPr/>
      </w:pPr>
      <w:r>
        <w:rPr/>
        <w:t>Constraints on Irreversible Transformation</w:t>
      </w:r>
    </w:p>
    <w:p>
      <w:pPr>
        <w:pStyle w:val="Normal"/>
        <w:widowControl/>
        <w:bidi w:val="0"/>
        <w:spacing w:lineRule="auto" w:line="276"/>
        <w:jc w:val="left"/>
        <w:rPr/>
      </w:pPr>
      <w:r>
        <w:rPr/>
        <w:t>Require legitimate authority, strong necessity or benefit, protected minimums, proportionality, distributional fairness, alternatives analysis, future representation, and a heightened burden of proof.</w:t>
      </w:r>
    </w:p>
    <w:p>
      <w:pPr>
        <w:pStyle w:val="Heading4"/>
        <w:ind w:hanging="0" w:left="0"/>
        <w:rPr/>
      </w:pPr>
      <w:r>
        <w:rPr/>
        <w:t>Reversible and Staged Transformation</w:t>
      </w:r>
    </w:p>
    <w:p>
      <w:pPr>
        <w:pStyle w:val="Normal"/>
        <w:widowControl/>
        <w:bidi w:val="0"/>
        <w:spacing w:lineRule="auto" w:line="276"/>
        <w:jc w:val="left"/>
        <w:rPr/>
      </w:pPr>
      <w:r>
        <w:rPr/>
        <w:t>Prefer limited, monitored, plural, and reversible experimentation where possible. Preserve exit, rollback, independent evaluation, and diversity of unmodified alternatives.</w:t>
      </w:r>
    </w:p>
    <w:p>
      <w:pPr>
        <w:pStyle w:val="Heading4"/>
        <w:ind w:hanging="0" w:left="0"/>
        <w:rPr/>
      </w:pPr>
      <w:r>
        <w:rPr/>
        <w:t>Counterfactual Populations and Baselines</w:t>
      </w:r>
    </w:p>
    <w:p>
      <w:pPr>
        <w:pStyle w:val="Normal"/>
        <w:widowControl/>
        <w:bidi w:val="0"/>
        <w:spacing w:lineRule="auto" w:line="276"/>
        <w:jc w:val="left"/>
        <w:rPr/>
      </w:pPr>
      <w:r>
        <w:rPr/>
        <w:t>Require explicit comparison of which entities exist under each alternative, their expected conditions, identity dependence, and the assumptions used to compare existence with nonexistence.</w:t>
      </w:r>
    </w:p>
    <w:p>
      <w:pPr>
        <w:pStyle w:val="Heading4"/>
        <w:ind w:hanging="0" w:left="0"/>
        <w:rPr/>
      </w:pPr>
      <w:r>
        <w:rPr/>
        <w:t>Intergenerational Assessment Output</w:t>
      </w:r>
    </w:p>
    <w:p>
      <w:pPr>
        <w:pStyle w:val="Normal"/>
        <w:widowControl/>
        <w:bidi w:val="0"/>
        <w:spacing w:lineRule="auto" w:line="276"/>
        <w:jc w:val="left"/>
        <w:rPr/>
      </w:pPr>
      <w:r>
        <w:rPr/>
        <w:t>Separately report effects on existing entities, expected future entities, merely possible entities, population distribution, ecological inheritance, identity, option value, and lock-in.</w:t>
      </w:r>
    </w:p>
    <w:p>
      <w:pPr>
        <w:pStyle w:val="Heading4"/>
        <w:ind w:hanging="0" w:left="0"/>
        <w:rPr/>
      </w:pPr>
      <w:r>
        <w:rPr/>
        <w:t>Governance and Successor Obligations</w:t>
      </w:r>
    </w:p>
    <w:p>
      <w:pPr>
        <w:pStyle w:val="Normal"/>
        <w:widowControl/>
        <w:bidi w:val="0"/>
        <w:spacing w:lineRule="auto" w:line="276"/>
        <w:jc w:val="left"/>
        <w:rPr/>
      </w:pPr>
      <w:r>
        <w:rPr/>
        <w:t>Establish institutions, funding, monitoring, records, and successor responsibility capable of persisting beyond the lives or organizational tenure of present decision-makers.</w:t>
      </w:r>
    </w:p>
    <w:p>
      <w:pPr>
        <w:pStyle w:val="Heading4"/>
        <w:ind w:hanging="0" w:left="0"/>
        <w:rPr/>
      </w:pPr>
      <w:r>
        <w:rPr/>
        <w:t>Failure Modes and Exposure</w:t>
      </w:r>
    </w:p>
    <w:p>
      <w:pPr>
        <w:pStyle w:val="Normal"/>
        <w:widowControl/>
        <w:bidi w:val="0"/>
        <w:spacing w:lineRule="auto" w:line="276"/>
        <w:jc w:val="left"/>
        <w:rPr/>
      </w:pPr>
      <w:r>
        <w:rPr/>
        <w:t>Analyze presentism, speculative futurism, population maximization, eugenics, demographic coercion, temporal discrimination, techno-optimism, identity essentialism, value lock-in, inherited inequality, and sacrifice of present persons for hypothetical futures.</w:t>
      </w:r>
    </w:p>
    <w:p>
      <w:pPr>
        <w:pStyle w:val="Heading4"/>
        <w:ind w:hanging="0" w:left="0"/>
        <w:rPr/>
      </w:pPr>
      <w:r>
        <w:rPr/>
        <w:t>Interim Safeguards and Mitigations</w:t>
      </w:r>
    </w:p>
    <w:p>
      <w:pPr>
        <w:pStyle w:val="Normal"/>
        <w:widowControl/>
        <w:bidi w:val="0"/>
        <w:spacing w:lineRule="auto" w:line="276"/>
        <w:jc w:val="left"/>
        <w:rPr/>
      </w:pPr>
      <w:r>
        <w:rPr/>
        <w:t>Require separate present- and future-party findings, protected present minimums, future representation, population-profile disclosure, anti-coercion rules, value-lock-in analysis, and heightened review of irreversible transformations.</w:t>
      </w:r>
    </w:p>
    <w:p>
      <w:pPr>
        <w:pStyle w:val="Heading4"/>
        <w:ind w:hanging="0" w:left="0"/>
        <w:rPr/>
      </w:pPr>
      <w:r>
        <w:rPr/>
        <w:t>Research Deliverables and Acceptance Criteria</w:t>
      </w:r>
    </w:p>
    <w:p>
      <w:pPr>
        <w:pStyle w:val="Normal"/>
        <w:widowControl/>
        <w:bidi w:val="0"/>
        <w:spacing w:lineRule="auto" w:line="276"/>
        <w:jc w:val="left"/>
        <w:rPr/>
      </w:pPr>
      <w:r>
        <w:rPr/>
        <w:t>Require an intergenerational profile, population-scenario schema, nonidentity protocol, future-representation charter, transformation taxonomy, identity-continuity test, and irreversible-transformation standard.</w:t>
      </w:r>
    </w:p>
    <w:p>
      <w:pPr>
        <w:pStyle w:val="Heading4"/>
        <w:ind w:hanging="0" w:left="0"/>
        <w:rPr/>
      </w:pPr>
      <w:r>
        <w:rPr/>
        <w:t>Residual Risk</w:t>
      </w:r>
    </w:p>
    <w:p>
      <w:pPr>
        <w:pStyle w:val="Normal"/>
        <w:widowControl/>
        <w:bidi w:val="0"/>
        <w:spacing w:lineRule="auto" w:line="276"/>
        <w:jc w:val="left"/>
        <w:rPr/>
      </w:pPr>
      <w:r>
        <w:rPr/>
        <w:t>Acknowledge unresolved disagreement about possible persons, population value, identity, enhancement, extinction, posthuman standing, ecological transformation, and obligations to remote futures.</w:t>
      </w:r>
    </w:p>
    <w:p>
      <w:pPr>
        <w:pStyle w:val="Heading4"/>
        <w:ind w:hanging="0" w:left="0"/>
        <w:rPr/>
      </w:pPr>
      <w:r>
        <w:rPr/>
        <w:t>Affected-Party Participation in Remedy Design</w:t>
      </w:r>
    </w:p>
    <w:p>
      <w:pPr>
        <w:pStyle w:val="Normal"/>
        <w:widowControl/>
        <w:bidi w:val="0"/>
        <w:spacing w:lineRule="auto" w:line="276"/>
        <w:jc w:val="left"/>
        <w:rPr/>
      </w:pPr>
      <w:r>
        <w:rPr/>
        <w:t>Allow harmed entities or representatives to influence priorities, form, timing, delivery, verification, and completion of repair.</w:t>
      </w:r>
    </w:p>
    <w:p>
      <w:pPr>
        <w:pStyle w:val="Heading4"/>
        <w:ind w:hanging="0" w:left="0"/>
        <w:rPr>
          <w:rFonts w:ascii="Aptos" w:hAnsi="Aptos"/>
          <w:color w:val="auto"/>
          <w:sz w:val="21"/>
          <w:szCs w:val="22"/>
        </w:rPr>
      </w:pPr>
      <w:r>
        <w:rPr/>
        <w:t>Intergenerational and population-ethics profile</w:t>
      </w:r>
    </w:p>
    <w:p>
      <w:pPr>
        <w:pStyle w:val="BodyText"/>
        <w:spacing w:before="0" w:after="200"/>
        <w:rPr/>
      </w:pPr>
      <w:r>
        <w:rPr/>
        <w:t>Each assessment should specify:</w:t>
      </w:r>
    </w:p>
    <w:tbl>
      <w:tblPr>
        <w:tblW w:w="8640" w:type="dxa"/>
        <w:jc w:val="left"/>
        <w:tblInd w:w="28" w:type="dxa"/>
        <w:tblLayout w:type="fixed"/>
        <w:tblCellMar>
          <w:top w:w="28" w:type="dxa"/>
          <w:left w:w="28" w:type="dxa"/>
          <w:bottom w:w="28" w:type="dxa"/>
          <w:right w:w="28" w:type="dxa"/>
        </w:tblCellMar>
      </w:tblPr>
      <w:tblGrid>
        <w:gridCol w:w="2116"/>
        <w:gridCol w:w="6524"/>
      </w:tblGrid>
      <w:tr>
        <w:trPr>
          <w:tblHeader w:val="true"/>
        </w:trPr>
        <w:tc>
          <w:tcPr>
            <w:tcW w:w="2116" w:type="dxa"/>
            <w:tcBorders/>
            <w:vAlign w:val="center"/>
          </w:tcPr>
          <w:p>
            <w:pPr>
              <w:pStyle w:val="TableHeading"/>
              <w:suppressLineNumbers/>
              <w:spacing w:before="0" w:after="200"/>
              <w:jc w:val="center"/>
              <w:rPr/>
            </w:pPr>
            <w:r>
              <w:rPr/>
              <w:t>Element</w:t>
            </w:r>
          </w:p>
        </w:tc>
        <w:tc>
          <w:tcPr>
            <w:tcW w:w="6524" w:type="dxa"/>
            <w:tcBorders/>
            <w:vAlign w:val="center"/>
          </w:tcPr>
          <w:p>
            <w:pPr>
              <w:pStyle w:val="TableHeading"/>
              <w:suppressLineNumbers/>
              <w:spacing w:before="0" w:after="200"/>
              <w:jc w:val="center"/>
              <w:rPr/>
            </w:pPr>
            <w:r>
              <w:rPr/>
              <w:t>Required information</w:t>
            </w:r>
          </w:p>
        </w:tc>
      </w:tr>
      <w:tr>
        <w:trPr/>
        <w:tc>
          <w:tcPr>
            <w:tcW w:w="2116" w:type="dxa"/>
            <w:tcBorders/>
            <w:vAlign w:val="center"/>
          </w:tcPr>
          <w:p>
            <w:pPr>
              <w:pStyle w:val="TableContents"/>
              <w:widowControl w:val="false"/>
              <w:suppressLineNumbers/>
              <w:spacing w:before="0" w:after="200"/>
              <w:rPr/>
            </w:pPr>
            <w:r>
              <w:rPr>
                <w:rStyle w:val="Strong"/>
              </w:rPr>
              <w:t>Future-subject classes</w:t>
            </w:r>
          </w:p>
        </w:tc>
        <w:tc>
          <w:tcPr>
            <w:tcW w:w="6524" w:type="dxa"/>
            <w:tcBorders/>
            <w:vAlign w:val="center"/>
          </w:tcPr>
          <w:p>
            <w:pPr>
              <w:pStyle w:val="TableContents"/>
              <w:widowControl w:val="false"/>
              <w:suppressLineNumbers/>
              <w:spacing w:before="0" w:after="200"/>
              <w:rPr/>
            </w:pPr>
            <w:r>
              <w:rPr/>
              <w:t>Existing entities with future interests, expected future entities, identity-contingent entities, and merely possible entities</w:t>
            </w:r>
          </w:p>
        </w:tc>
      </w:tr>
      <w:tr>
        <w:trPr/>
        <w:tc>
          <w:tcPr>
            <w:tcW w:w="2116" w:type="dxa"/>
            <w:tcBorders/>
            <w:vAlign w:val="center"/>
          </w:tcPr>
          <w:p>
            <w:pPr>
              <w:pStyle w:val="TableContents"/>
              <w:widowControl w:val="false"/>
              <w:suppressLineNumbers/>
              <w:spacing w:before="0" w:after="200"/>
              <w:rPr/>
            </w:pPr>
            <w:r>
              <w:rPr>
                <w:rStyle w:val="Strong"/>
              </w:rPr>
              <w:t>Population scenarios</w:t>
            </w:r>
          </w:p>
        </w:tc>
        <w:tc>
          <w:tcPr>
            <w:tcW w:w="6524" w:type="dxa"/>
            <w:tcBorders/>
            <w:vAlign w:val="center"/>
          </w:tcPr>
          <w:p>
            <w:pPr>
              <w:pStyle w:val="TableContents"/>
              <w:widowControl w:val="false"/>
              <w:suppressLineNumbers/>
              <w:spacing w:before="0" w:after="200"/>
              <w:rPr/>
            </w:pPr>
            <w:r>
              <w:rPr/>
              <w:t>Number, composition, distribution, location, entity types, and expected flourishing under each alternative</w:t>
            </w:r>
          </w:p>
        </w:tc>
      </w:tr>
      <w:tr>
        <w:trPr/>
        <w:tc>
          <w:tcPr>
            <w:tcW w:w="2116" w:type="dxa"/>
            <w:tcBorders/>
            <w:vAlign w:val="center"/>
          </w:tcPr>
          <w:p>
            <w:pPr>
              <w:pStyle w:val="TableContents"/>
              <w:widowControl w:val="false"/>
              <w:suppressLineNumbers/>
              <w:spacing w:before="0" w:after="200"/>
              <w:rPr/>
            </w:pPr>
            <w:r>
              <w:rPr>
                <w:rStyle w:val="Strong"/>
              </w:rPr>
              <w:t>Identity effects</w:t>
            </w:r>
          </w:p>
        </w:tc>
        <w:tc>
          <w:tcPr>
            <w:tcW w:w="6524" w:type="dxa"/>
            <w:tcBorders/>
            <w:vAlign w:val="center"/>
          </w:tcPr>
          <w:p>
            <w:pPr>
              <w:pStyle w:val="TableContents"/>
              <w:widowControl w:val="false"/>
              <w:suppressLineNumbers/>
              <w:spacing w:before="0" w:after="200"/>
              <w:rPr/>
            </w:pPr>
            <w:r>
              <w:rPr/>
              <w:t>Whether the action changes who will exist or transforms existing identities</w:t>
            </w:r>
          </w:p>
        </w:tc>
      </w:tr>
      <w:tr>
        <w:trPr/>
        <w:tc>
          <w:tcPr>
            <w:tcW w:w="2116" w:type="dxa"/>
            <w:tcBorders/>
            <w:vAlign w:val="center"/>
          </w:tcPr>
          <w:p>
            <w:pPr>
              <w:pStyle w:val="TableContents"/>
              <w:widowControl w:val="false"/>
              <w:suppressLineNumbers/>
              <w:spacing w:before="0" w:after="200"/>
              <w:rPr/>
            </w:pPr>
            <w:r>
              <w:rPr>
                <w:rStyle w:val="Strong"/>
              </w:rPr>
              <w:t>Normative approach</w:t>
            </w:r>
          </w:p>
        </w:tc>
        <w:tc>
          <w:tcPr>
            <w:tcW w:w="6524" w:type="dxa"/>
            <w:tcBorders/>
            <w:vAlign w:val="center"/>
          </w:tcPr>
          <w:p>
            <w:pPr>
              <w:pStyle w:val="TableContents"/>
              <w:widowControl w:val="false"/>
              <w:suppressLineNumbers/>
              <w:spacing w:before="0" w:after="200"/>
              <w:rPr/>
            </w:pPr>
            <w:r>
              <w:rPr/>
              <w:t>Person-affecting, total, average, sufficientarian, prioritarian, plural, or another profile</w:t>
            </w:r>
          </w:p>
        </w:tc>
      </w:tr>
      <w:tr>
        <w:trPr/>
        <w:tc>
          <w:tcPr>
            <w:tcW w:w="2116" w:type="dxa"/>
            <w:tcBorders/>
            <w:vAlign w:val="center"/>
          </w:tcPr>
          <w:p>
            <w:pPr>
              <w:pStyle w:val="TableContents"/>
              <w:widowControl w:val="false"/>
              <w:suppressLineNumbers/>
              <w:spacing w:before="0" w:after="200"/>
              <w:rPr/>
            </w:pPr>
            <w:r>
              <w:rPr>
                <w:rStyle w:val="Strong"/>
              </w:rPr>
              <w:t>Protected minimums</w:t>
            </w:r>
          </w:p>
        </w:tc>
        <w:tc>
          <w:tcPr>
            <w:tcW w:w="6524" w:type="dxa"/>
            <w:tcBorders/>
            <w:vAlign w:val="center"/>
          </w:tcPr>
          <w:p>
            <w:pPr>
              <w:pStyle w:val="TableContents"/>
              <w:widowControl w:val="false"/>
              <w:suppressLineNumbers/>
              <w:spacing w:before="0" w:after="200"/>
              <w:rPr/>
            </w:pPr>
            <w:r>
              <w:rPr/>
              <w:t>Rights, capabilities, ecological conditions, and thresholds that cannot ordinarily be traded away</w:t>
            </w:r>
          </w:p>
        </w:tc>
      </w:tr>
      <w:tr>
        <w:trPr/>
        <w:tc>
          <w:tcPr>
            <w:tcW w:w="2116" w:type="dxa"/>
            <w:tcBorders/>
            <w:vAlign w:val="center"/>
          </w:tcPr>
          <w:p>
            <w:pPr>
              <w:pStyle w:val="TableContents"/>
              <w:widowControl w:val="false"/>
              <w:suppressLineNumbers/>
              <w:spacing w:before="0" w:after="200"/>
              <w:rPr/>
            </w:pPr>
            <w:r>
              <w:rPr>
                <w:rStyle w:val="Strong"/>
              </w:rPr>
              <w:t>Distribution</w:t>
            </w:r>
          </w:p>
        </w:tc>
        <w:tc>
          <w:tcPr>
            <w:tcW w:w="6524" w:type="dxa"/>
            <w:tcBorders/>
            <w:vAlign w:val="center"/>
          </w:tcPr>
          <w:p>
            <w:pPr>
              <w:pStyle w:val="TableContents"/>
              <w:widowControl w:val="false"/>
              <w:suppressLineNumbers/>
              <w:spacing w:before="0" w:after="200"/>
              <w:rPr/>
            </w:pPr>
            <w:r>
              <w:rPr/>
              <w:t>Effects across generations, groups, species, regions, and capability levels</w:t>
            </w:r>
          </w:p>
        </w:tc>
      </w:tr>
      <w:tr>
        <w:trPr/>
        <w:tc>
          <w:tcPr>
            <w:tcW w:w="2116" w:type="dxa"/>
            <w:tcBorders/>
            <w:vAlign w:val="center"/>
          </w:tcPr>
          <w:p>
            <w:pPr>
              <w:pStyle w:val="TableContents"/>
              <w:widowControl w:val="false"/>
              <w:suppressLineNumbers/>
              <w:spacing w:before="0" w:after="200"/>
              <w:rPr/>
            </w:pPr>
            <w:r>
              <w:rPr>
                <w:rStyle w:val="Strong"/>
              </w:rPr>
              <w:t>Temporal treatment</w:t>
            </w:r>
          </w:p>
        </w:tc>
        <w:tc>
          <w:tcPr>
            <w:tcW w:w="6524" w:type="dxa"/>
            <w:tcBorders/>
            <w:vAlign w:val="center"/>
          </w:tcPr>
          <w:p>
            <w:pPr>
              <w:pStyle w:val="TableContents"/>
              <w:widowControl w:val="false"/>
              <w:suppressLineNumbers/>
              <w:spacing w:before="0" w:after="200"/>
              <w:rPr/>
            </w:pPr>
            <w:r>
              <w:rPr/>
              <w:t>Horizons, discounting rationale, predictive confidence, and delayed effects</w:t>
            </w:r>
          </w:p>
        </w:tc>
      </w:tr>
      <w:tr>
        <w:trPr/>
        <w:tc>
          <w:tcPr>
            <w:tcW w:w="2116" w:type="dxa"/>
            <w:tcBorders/>
            <w:vAlign w:val="center"/>
          </w:tcPr>
          <w:p>
            <w:pPr>
              <w:pStyle w:val="TableContents"/>
              <w:widowControl w:val="false"/>
              <w:suppressLineNumbers/>
              <w:spacing w:before="0" w:after="200"/>
              <w:rPr/>
            </w:pPr>
            <w:r>
              <w:rPr>
                <w:rStyle w:val="Strong"/>
              </w:rPr>
              <w:t>Future State Space</w:t>
            </w:r>
          </w:p>
        </w:tc>
        <w:tc>
          <w:tcPr>
            <w:tcW w:w="6524" w:type="dxa"/>
            <w:tcBorders/>
            <w:vAlign w:val="center"/>
          </w:tcPr>
          <w:p>
            <w:pPr>
              <w:pStyle w:val="TableContents"/>
              <w:widowControl w:val="false"/>
              <w:suppressLineNumbers/>
              <w:spacing w:before="0" w:after="200"/>
              <w:rPr/>
            </w:pPr>
            <w:r>
              <w:rPr/>
              <w:t>Options preserved, foreclosed, concentrated, or locked in</w:t>
            </w:r>
          </w:p>
        </w:tc>
      </w:tr>
      <w:tr>
        <w:trPr/>
        <w:tc>
          <w:tcPr>
            <w:tcW w:w="2116" w:type="dxa"/>
            <w:tcBorders/>
            <w:vAlign w:val="center"/>
          </w:tcPr>
          <w:p>
            <w:pPr>
              <w:pStyle w:val="TableContents"/>
              <w:widowControl w:val="false"/>
              <w:suppressLineNumbers/>
              <w:spacing w:before="0" w:after="200"/>
              <w:rPr/>
            </w:pPr>
            <w:r>
              <w:rPr>
                <w:rStyle w:val="Strong"/>
              </w:rPr>
              <w:t>Representation</w:t>
            </w:r>
          </w:p>
        </w:tc>
        <w:tc>
          <w:tcPr>
            <w:tcW w:w="6524" w:type="dxa"/>
            <w:tcBorders/>
            <w:vAlign w:val="center"/>
          </w:tcPr>
          <w:p>
            <w:pPr>
              <w:pStyle w:val="TableContents"/>
              <w:widowControl w:val="false"/>
              <w:suppressLineNumbers/>
              <w:spacing w:before="0" w:after="200"/>
              <w:rPr/>
            </w:pPr>
            <w:r>
              <w:rPr/>
              <w:t>Who represents future parties and under what authority</w:t>
            </w:r>
          </w:p>
        </w:tc>
      </w:tr>
      <w:tr>
        <w:trPr/>
        <w:tc>
          <w:tcPr>
            <w:tcW w:w="2116" w:type="dxa"/>
            <w:tcBorders/>
            <w:vAlign w:val="center"/>
          </w:tcPr>
          <w:p>
            <w:pPr>
              <w:pStyle w:val="TableContents"/>
              <w:widowControl w:val="false"/>
              <w:suppressLineNumbers/>
              <w:spacing w:before="0" w:after="200"/>
              <w:rPr/>
            </w:pPr>
            <w:r>
              <w:rPr>
                <w:rStyle w:val="Strong"/>
              </w:rPr>
              <w:t>Transformation</w:t>
            </w:r>
          </w:p>
        </w:tc>
        <w:tc>
          <w:tcPr>
            <w:tcW w:w="6524" w:type="dxa"/>
            <w:tcBorders/>
            <w:vAlign w:val="center"/>
          </w:tcPr>
          <w:p>
            <w:pPr>
              <w:pStyle w:val="TableContents"/>
              <w:widowControl w:val="false"/>
              <w:suppressLineNumbers/>
              <w:spacing w:before="0" w:after="200"/>
              <w:rPr/>
            </w:pPr>
            <w:r>
              <w:rPr/>
              <w:t>Type, scope, consent, inheritance, reversibility, and identity implications</w:t>
            </w:r>
          </w:p>
        </w:tc>
      </w:tr>
      <w:tr>
        <w:trPr/>
        <w:tc>
          <w:tcPr>
            <w:tcW w:w="2116" w:type="dxa"/>
            <w:tcBorders/>
            <w:vAlign w:val="center"/>
          </w:tcPr>
          <w:p>
            <w:pPr>
              <w:pStyle w:val="TableContents"/>
              <w:widowControl w:val="false"/>
              <w:suppressLineNumbers/>
              <w:spacing w:before="0" w:after="200"/>
              <w:rPr/>
            </w:pPr>
            <w:r>
              <w:rPr>
                <w:rStyle w:val="Strong"/>
              </w:rPr>
              <w:t>Uncertainty</w:t>
            </w:r>
          </w:p>
        </w:tc>
        <w:tc>
          <w:tcPr>
            <w:tcW w:w="6524" w:type="dxa"/>
            <w:tcBorders/>
            <w:vAlign w:val="center"/>
          </w:tcPr>
          <w:p>
            <w:pPr>
              <w:pStyle w:val="TableContents"/>
              <w:widowControl w:val="false"/>
              <w:suppressLineNumbers/>
              <w:spacing w:before="0" w:after="200"/>
              <w:rPr/>
            </w:pPr>
            <w:r>
              <w:rPr/>
              <w:t>Existence, identity, causal, model, normative, and standing uncertainty</w:t>
            </w:r>
          </w:p>
        </w:tc>
      </w:tr>
      <w:tr>
        <w:trPr/>
        <w:tc>
          <w:tcPr>
            <w:tcW w:w="2116" w:type="dxa"/>
            <w:tcBorders/>
            <w:vAlign w:val="center"/>
          </w:tcPr>
          <w:p>
            <w:pPr>
              <w:pStyle w:val="TableContents"/>
              <w:widowControl w:val="false"/>
              <w:suppressLineNumbers/>
              <w:spacing w:before="0" w:after="200"/>
              <w:rPr/>
            </w:pPr>
            <w:r>
              <w:rPr>
                <w:rStyle w:val="Strong"/>
              </w:rPr>
              <w:t>Decision effect</w:t>
            </w:r>
          </w:p>
        </w:tc>
        <w:tc>
          <w:tcPr>
            <w:tcW w:w="6524" w:type="dxa"/>
            <w:tcBorders/>
            <w:vAlign w:val="center"/>
          </w:tcPr>
          <w:p>
            <w:pPr>
              <w:pStyle w:val="TableContents"/>
              <w:widowControl w:val="false"/>
              <w:suppressLineNumbers/>
              <w:spacing w:before="0" w:after="200"/>
              <w:rPr/>
            </w:pPr>
            <w:r>
              <w:rPr/>
              <w:t>How future-party findings affect permissibility, priority, monitoring, or remedy</w:t>
            </w:r>
          </w:p>
        </w:tc>
      </w:tr>
    </w:tbl>
    <w:p>
      <w:pPr>
        <w:pStyle w:val="Heading4"/>
        <w:ind w:hanging="0" w:left="0"/>
        <w:rPr>
          <w:rFonts w:ascii="Aptos" w:hAnsi="Aptos"/>
          <w:color w:val="auto"/>
          <w:sz w:val="21"/>
          <w:szCs w:val="22"/>
        </w:rPr>
      </w:pPr>
      <w:r>
        <w:rPr/>
        <w:t>Irreversible-transformation test</w:t>
      </w:r>
    </w:p>
    <w:p>
      <w:pPr>
        <w:pStyle w:val="BodyText"/>
        <w:spacing w:before="0" w:after="200"/>
        <w:rPr/>
      </w:pPr>
      <w:r>
        <w:rPr/>
        <w:t>Before authorizing an irreversible transformation, the framework should require:</w:t>
      </w:r>
    </w:p>
    <w:p>
      <w:pPr>
        <w:pStyle w:val="BodyText"/>
        <w:numPr>
          <w:ilvl w:val="0"/>
          <w:numId w:val="168"/>
        </w:numPr>
        <w:tabs>
          <w:tab w:val="clear" w:pos="720"/>
          <w:tab w:val="left" w:pos="0" w:leader="none"/>
        </w:tabs>
        <w:spacing w:before="0" w:after="0"/>
        <w:ind w:hanging="283" w:left="709"/>
        <w:rPr/>
      </w:pPr>
      <w:r>
        <w:rPr/>
        <w:t xml:space="preserve">A clearly defined transformation and affected population; </w:t>
      </w:r>
    </w:p>
    <w:p>
      <w:pPr>
        <w:pStyle w:val="BodyText"/>
        <w:numPr>
          <w:ilvl w:val="0"/>
          <w:numId w:val="168"/>
        </w:numPr>
        <w:tabs>
          <w:tab w:val="clear" w:pos="720"/>
          <w:tab w:val="left" w:pos="0" w:leader="none"/>
        </w:tabs>
        <w:spacing w:before="0" w:after="0"/>
        <w:ind w:hanging="283" w:left="709"/>
        <w:rPr/>
      </w:pPr>
      <w:r>
        <w:rPr/>
        <w:t xml:space="preserve">A legitimate and reviewable decision authority; </w:t>
      </w:r>
    </w:p>
    <w:p>
      <w:pPr>
        <w:pStyle w:val="BodyText"/>
        <w:numPr>
          <w:ilvl w:val="0"/>
          <w:numId w:val="168"/>
        </w:numPr>
        <w:tabs>
          <w:tab w:val="clear" w:pos="720"/>
          <w:tab w:val="left" w:pos="0" w:leader="none"/>
        </w:tabs>
        <w:spacing w:before="0" w:after="0"/>
        <w:ind w:hanging="283" w:left="709"/>
        <w:rPr/>
      </w:pPr>
      <w:r>
        <w:rPr/>
        <w:t xml:space="preserve">Separate findings for present and future parties; </w:t>
      </w:r>
    </w:p>
    <w:p>
      <w:pPr>
        <w:pStyle w:val="BodyText"/>
        <w:numPr>
          <w:ilvl w:val="0"/>
          <w:numId w:val="168"/>
        </w:numPr>
        <w:tabs>
          <w:tab w:val="clear" w:pos="720"/>
          <w:tab w:val="left" w:pos="0" w:leader="none"/>
        </w:tabs>
        <w:spacing w:before="0" w:after="0"/>
        <w:ind w:hanging="283" w:left="709"/>
        <w:rPr/>
      </w:pPr>
      <w:r>
        <w:rPr/>
        <w:t xml:space="preserve">Representation of parties unable to consent; </w:t>
      </w:r>
    </w:p>
    <w:p>
      <w:pPr>
        <w:pStyle w:val="BodyText"/>
        <w:numPr>
          <w:ilvl w:val="0"/>
          <w:numId w:val="168"/>
        </w:numPr>
        <w:tabs>
          <w:tab w:val="clear" w:pos="720"/>
          <w:tab w:val="left" w:pos="0" w:leader="none"/>
        </w:tabs>
        <w:spacing w:before="0" w:after="0"/>
        <w:ind w:hanging="283" w:left="709"/>
        <w:rPr/>
      </w:pPr>
      <w:r>
        <w:rPr/>
        <w:t xml:space="preserve">Identification of protected rights and minimum capabilities; </w:t>
      </w:r>
    </w:p>
    <w:p>
      <w:pPr>
        <w:pStyle w:val="BodyText"/>
        <w:numPr>
          <w:ilvl w:val="0"/>
          <w:numId w:val="168"/>
        </w:numPr>
        <w:tabs>
          <w:tab w:val="clear" w:pos="720"/>
          <w:tab w:val="left" w:pos="0" w:leader="none"/>
        </w:tabs>
        <w:spacing w:before="0" w:after="0"/>
        <w:ind w:hanging="283" w:left="709"/>
        <w:rPr/>
      </w:pPr>
      <w:r>
        <w:rPr/>
        <w:t xml:space="preserve">Evidence of necessity or substantial, defensible benefit; </w:t>
      </w:r>
    </w:p>
    <w:p>
      <w:pPr>
        <w:pStyle w:val="BodyText"/>
        <w:numPr>
          <w:ilvl w:val="0"/>
          <w:numId w:val="168"/>
        </w:numPr>
        <w:tabs>
          <w:tab w:val="clear" w:pos="720"/>
          <w:tab w:val="left" w:pos="0" w:leader="none"/>
        </w:tabs>
        <w:spacing w:before="0" w:after="0"/>
        <w:ind w:hanging="283" w:left="709"/>
        <w:rPr/>
      </w:pPr>
      <w:r>
        <w:rPr/>
        <w:t xml:space="preserve">Comparison with reversible and less identity-altering alternatives; </w:t>
      </w:r>
    </w:p>
    <w:p>
      <w:pPr>
        <w:pStyle w:val="BodyText"/>
        <w:numPr>
          <w:ilvl w:val="0"/>
          <w:numId w:val="168"/>
        </w:numPr>
        <w:tabs>
          <w:tab w:val="clear" w:pos="720"/>
          <w:tab w:val="left" w:pos="0" w:leader="none"/>
        </w:tabs>
        <w:spacing w:before="0" w:after="0"/>
        <w:ind w:hanging="283" w:left="709"/>
        <w:rPr/>
      </w:pPr>
      <w:r>
        <w:rPr/>
        <w:t xml:space="preserve">Distributional and inequality analysis; </w:t>
      </w:r>
    </w:p>
    <w:p>
      <w:pPr>
        <w:pStyle w:val="BodyText"/>
        <w:numPr>
          <w:ilvl w:val="0"/>
          <w:numId w:val="168"/>
        </w:numPr>
        <w:tabs>
          <w:tab w:val="clear" w:pos="720"/>
          <w:tab w:val="left" w:pos="0" w:leader="none"/>
        </w:tabs>
        <w:spacing w:before="0" w:after="0"/>
        <w:ind w:hanging="283" w:left="709"/>
        <w:rPr/>
      </w:pPr>
      <w:r>
        <w:rPr/>
        <w:t xml:space="preserve">Assessment of identity continuity and successor claims; </w:t>
      </w:r>
    </w:p>
    <w:p>
      <w:pPr>
        <w:pStyle w:val="BodyText"/>
        <w:numPr>
          <w:ilvl w:val="0"/>
          <w:numId w:val="168"/>
        </w:numPr>
        <w:tabs>
          <w:tab w:val="clear" w:pos="720"/>
          <w:tab w:val="left" w:pos="0" w:leader="none"/>
        </w:tabs>
        <w:spacing w:before="0" w:after="0"/>
        <w:ind w:hanging="283" w:left="709"/>
        <w:rPr/>
      </w:pPr>
      <w:r>
        <w:rPr/>
        <w:t xml:space="preserve">Value-lock-in and open-future analysis; </w:t>
      </w:r>
    </w:p>
    <w:p>
      <w:pPr>
        <w:pStyle w:val="BodyText"/>
        <w:numPr>
          <w:ilvl w:val="0"/>
          <w:numId w:val="168"/>
        </w:numPr>
        <w:tabs>
          <w:tab w:val="clear" w:pos="720"/>
          <w:tab w:val="left" w:pos="0" w:leader="none"/>
        </w:tabs>
        <w:spacing w:before="0" w:after="0"/>
        <w:ind w:hanging="283" w:left="709"/>
        <w:rPr/>
      </w:pPr>
      <w:r>
        <w:rPr/>
        <w:t xml:space="preserve">Evaluation of ecological and resource consequences; </w:t>
      </w:r>
    </w:p>
    <w:p>
      <w:pPr>
        <w:pStyle w:val="BodyText"/>
        <w:numPr>
          <w:ilvl w:val="0"/>
          <w:numId w:val="168"/>
        </w:numPr>
        <w:tabs>
          <w:tab w:val="clear" w:pos="720"/>
          <w:tab w:val="left" w:pos="0" w:leader="none"/>
        </w:tabs>
        <w:spacing w:before="0" w:after="0"/>
        <w:ind w:hanging="283" w:left="709"/>
        <w:rPr/>
      </w:pPr>
      <w:r>
        <w:rPr/>
        <w:t xml:space="preserve">Competing-model and deep-uncertainty review; </w:t>
      </w:r>
    </w:p>
    <w:p>
      <w:pPr>
        <w:pStyle w:val="BodyText"/>
        <w:numPr>
          <w:ilvl w:val="0"/>
          <w:numId w:val="168"/>
        </w:numPr>
        <w:tabs>
          <w:tab w:val="clear" w:pos="720"/>
          <w:tab w:val="left" w:pos="0" w:leader="none"/>
        </w:tabs>
        <w:spacing w:before="0" w:after="0"/>
        <w:ind w:hanging="283" w:left="709"/>
        <w:rPr/>
      </w:pPr>
      <w:r>
        <w:rPr/>
        <w:t xml:space="preserve">Independent ethical and scientific scrutiny; </w:t>
      </w:r>
    </w:p>
    <w:p>
      <w:pPr>
        <w:pStyle w:val="BodyText"/>
        <w:numPr>
          <w:ilvl w:val="0"/>
          <w:numId w:val="168"/>
        </w:numPr>
        <w:tabs>
          <w:tab w:val="clear" w:pos="720"/>
          <w:tab w:val="left" w:pos="0" w:leader="none"/>
        </w:tabs>
        <w:spacing w:before="0" w:after="0"/>
        <w:ind w:hanging="283" w:left="709"/>
        <w:rPr/>
      </w:pPr>
      <w:r>
        <w:rPr/>
        <w:t xml:space="preserve">Long-term monitoring, funding, and stewardship; </w:t>
      </w:r>
    </w:p>
    <w:p>
      <w:pPr>
        <w:pStyle w:val="BodyText"/>
        <w:numPr>
          <w:ilvl w:val="0"/>
          <w:numId w:val="168"/>
        </w:numPr>
        <w:tabs>
          <w:tab w:val="clear" w:pos="720"/>
          <w:tab w:val="left" w:pos="0" w:leader="none"/>
        </w:tabs>
        <w:spacing w:before="0" w:after="0"/>
        <w:ind w:hanging="283" w:left="709"/>
        <w:rPr/>
      </w:pPr>
      <w:r>
        <w:rPr/>
        <w:t xml:space="preserve">Protection of unmodified or alternative pathways where feasible; and </w:t>
      </w:r>
    </w:p>
    <w:p>
      <w:pPr>
        <w:pStyle w:val="BodyText"/>
        <w:numPr>
          <w:ilvl w:val="0"/>
          <w:numId w:val="168"/>
        </w:numPr>
        <w:tabs>
          <w:tab w:val="clear" w:pos="720"/>
          <w:tab w:val="left" w:pos="0" w:leader="none"/>
        </w:tabs>
        <w:ind w:hanging="283" w:left="709"/>
        <w:rPr/>
      </w:pPr>
      <w:r>
        <w:rPr/>
        <w:t xml:space="preserve">Explicit acknowledgment of effects that cannot be repaired. </w:t>
      </w:r>
    </w:p>
    <w:p>
      <w:pPr>
        <w:pStyle w:val="BodyText"/>
        <w:spacing w:before="0" w:after="200"/>
        <w:rPr/>
      </w:pPr>
      <w:r>
        <w:rPr/>
        <w:t>The section’s central conclusion should be:</w:t>
      </w:r>
    </w:p>
    <w:p>
      <w:pPr>
        <w:pStyle w:val="BlockQuotation"/>
        <w:spacing w:before="0" w:after="200"/>
        <w:rPr/>
      </w:pPr>
      <w:r>
        <w:rPr/>
        <w:t>Future State Space is not itself a population ethic. It identifies possibilities but does not determine who should exist, how many entities should exist, or what present generations may permanently decide for them. Future interests require explicit representation, but speculative aggregate benefits must not automatically override the rights and minimum flourishing of existing entities. Irreversible transformation requires heightened legitimacy, plural review, protection of future agency, and a strong presumption in favor of preserving meaningful opportunities for revision.</w:t>
      </w:r>
    </w:p>
    <w:p>
      <w:pPr>
        <w:pStyle w:val="Heading3"/>
        <w:ind w:hanging="0" w:left="0"/>
        <w:rPr/>
      </w:pPr>
      <w:r>
        <w:rPr/>
        <w:t>Computational tractability and implementation consistency</w:t>
      </w:r>
    </w:p>
    <w:p>
      <w:pPr>
        <w:pStyle w:val="Normal"/>
        <w:widowControl/>
        <w:bidi w:val="0"/>
        <w:spacing w:lineRule="auto" w:line="276"/>
        <w:jc w:val="left"/>
        <w:rPr/>
      </w:pPr>
      <w:r>
        <w:rPr/>
        <w:t>This section should establish that implementation neutrality does not imply ethical interchangeability. Different algorithms, data sources, approximations, computational resources, and privacy techniques may produce materially different classifications, predictions, and moral conclusions.</w:t>
      </w:r>
    </w:p>
    <w:p>
      <w:pPr>
        <w:pStyle w:val="Heading4"/>
        <w:ind w:hanging="0" w:left="0"/>
        <w:rPr/>
      </w:pPr>
      <w:r>
        <w:rPr/>
        <w:t>Limitation Statement</w:t>
      </w:r>
    </w:p>
    <w:p>
      <w:pPr>
        <w:pStyle w:val="Normal"/>
        <w:widowControl/>
        <w:bidi w:val="0"/>
        <w:spacing w:lineRule="auto" w:line="276"/>
        <w:jc w:val="left"/>
        <w:rPr/>
      </w:pPr>
      <w:r>
        <w:rPr/>
        <w:t>Explain that a reference architecture can remain implementation-independent while implementations produce inconsistent results because of data, modeling, approximation, resource, and governance differences.</w:t>
      </w:r>
    </w:p>
    <w:p>
      <w:pPr>
        <w:pStyle w:val="Heading4"/>
        <w:ind w:hanging="0" w:left="0"/>
        <w:rPr/>
      </w:pPr>
      <w:r>
        <w:rPr/>
        <w:t>Computational Tractability Versus Architectural Completeness</w:t>
      </w:r>
    </w:p>
    <w:p>
      <w:pPr>
        <w:pStyle w:val="Normal"/>
        <w:widowControl/>
        <w:bidi w:val="0"/>
        <w:spacing w:lineRule="auto" w:line="276"/>
        <w:jc w:val="left"/>
        <w:rPr/>
      </w:pPr>
      <w:r>
        <w:rPr/>
        <w:t>Distinguish what the architecture requires conceptually from what a particular implementation can represent or calculate within available time and resources.</w:t>
      </w:r>
    </w:p>
    <w:p>
      <w:pPr>
        <w:pStyle w:val="Heading4"/>
        <w:ind w:hanging="0" w:left="0"/>
        <w:rPr/>
      </w:pPr>
      <w:r>
        <w:rPr/>
        <w:t>Resource and Time Constraints</w:t>
      </w:r>
    </w:p>
    <w:p>
      <w:pPr>
        <w:pStyle w:val="Normal"/>
        <w:widowControl/>
        <w:bidi w:val="0"/>
        <w:spacing w:lineRule="auto" w:line="276"/>
        <w:jc w:val="left"/>
        <w:rPr/>
      </w:pPr>
      <w:r>
        <w:rPr/>
        <w:t>Address processing capacity, memory, storage, latency, energy, staffing, evidence-collection cost, and deadlines that constrain assessment depth.</w:t>
      </w:r>
    </w:p>
    <w:p>
      <w:pPr>
        <w:pStyle w:val="Heading4"/>
        <w:ind w:hanging="0" w:left="0"/>
        <w:rPr/>
      </w:pPr>
      <w:r>
        <w:rPr/>
        <w:t>Implementation Neutrality Versus Normative Equivalence</w:t>
      </w:r>
    </w:p>
    <w:p>
      <w:pPr>
        <w:pStyle w:val="Normal"/>
        <w:widowControl/>
        <w:bidi w:val="0"/>
        <w:spacing w:lineRule="auto" w:line="276"/>
        <w:jc w:val="left"/>
        <w:rPr/>
      </w:pPr>
      <w:r>
        <w:rPr/>
        <w:t>Clarify that implementations may use different technologies without silently changing the Foundational Axiom, normative constructs, protected minimums, assessment axes, or decision semantics.</w:t>
      </w:r>
    </w:p>
    <w:p>
      <w:pPr>
        <w:pStyle w:val="Heading4"/>
        <w:ind w:hanging="0" w:left="0"/>
        <w:rPr/>
      </w:pPr>
      <w:r>
        <w:rPr/>
        <w:t>Invariant Normative Kernel</w:t>
      </w:r>
    </w:p>
    <w:p>
      <w:pPr>
        <w:pStyle w:val="Normal"/>
        <w:widowControl/>
        <w:bidi w:val="0"/>
        <w:spacing w:lineRule="auto" w:line="276"/>
        <w:jc w:val="left"/>
        <w:rPr/>
      </w:pPr>
      <w:r>
        <w:rPr/>
        <w:t>Define the concepts, rules, classifications, disclosures, and output distinctions that every conforming implementation must preserve.</w:t>
      </w:r>
    </w:p>
    <w:p>
      <w:pPr>
        <w:pStyle w:val="Heading4"/>
        <w:ind w:hanging="0" w:left="0"/>
        <w:rPr/>
      </w:pPr>
      <w:r>
        <w:rPr/>
        <w:t>Profile-Governed Variation</w:t>
      </w:r>
    </w:p>
    <w:p>
      <w:pPr>
        <w:pStyle w:val="Normal"/>
        <w:widowControl/>
        <w:bidi w:val="0"/>
        <w:spacing w:lineRule="auto" w:line="276"/>
        <w:jc w:val="left"/>
        <w:rPr/>
      </w:pPr>
      <w:r>
        <w:rPr/>
        <w:t>Identify variations permitted only through a declared ethical, entity, domain, risk, or jurisdictional profile, including capability dimensions, ecological indicators, thresholds, and decision policies.</w:t>
      </w:r>
    </w:p>
    <w:p>
      <w:pPr>
        <w:pStyle w:val="Heading4"/>
        <w:ind w:hanging="0" w:left="0"/>
        <w:rPr/>
      </w:pPr>
      <w:r>
        <w:rPr/>
        <w:t>Implementation-Discretionary Variation</w:t>
      </w:r>
    </w:p>
    <w:p>
      <w:pPr>
        <w:pStyle w:val="Normal"/>
        <w:widowControl/>
        <w:bidi w:val="0"/>
        <w:spacing w:lineRule="auto" w:line="276"/>
        <w:jc w:val="left"/>
        <w:rPr/>
      </w:pPr>
      <w:r>
        <w:rPr/>
        <w:t>Identify technology choices that may vary freely when they preserve required semantics, such as programming language, database, interface, deployment architecture, or specific numerical solver.</w:t>
      </w:r>
    </w:p>
    <w:p>
      <w:pPr>
        <w:pStyle w:val="Heading4"/>
        <w:ind w:hanging="0" w:left="0"/>
        <w:rPr/>
      </w:pPr>
      <w:r>
        <w:rPr/>
        <w:t>Nonconforming Variation</w:t>
      </w:r>
    </w:p>
    <w:p>
      <w:pPr>
        <w:pStyle w:val="Normal"/>
        <w:widowControl/>
        <w:bidi w:val="0"/>
        <w:spacing w:lineRule="auto" w:line="276"/>
        <w:jc w:val="left"/>
        <w:rPr/>
      </w:pPr>
      <w:r>
        <w:rPr/>
        <w:t>Define changes that create a materially different ethical framework, including undisclosed changes to standing, value weights, constraints, thresholds, uncertainty treatment, or decision outputs.</w:t>
      </w:r>
    </w:p>
    <w:p>
      <w:pPr>
        <w:pStyle w:val="Heading4"/>
        <w:ind w:hanging="0" w:left="0"/>
        <w:rPr/>
      </w:pPr>
      <w:r>
        <w:rPr/>
        <w:t>Scaling and Decomposition Strategies</w:t>
      </w:r>
    </w:p>
    <w:p>
      <w:pPr>
        <w:pStyle w:val="Normal"/>
        <w:widowControl/>
        <w:bidi w:val="0"/>
        <w:spacing w:lineRule="auto" w:line="276"/>
        <w:jc w:val="left"/>
        <w:rPr/>
      </w:pPr>
      <w:r>
        <w:rPr/>
        <w:t>Evaluate hierarchical modeling, modular analysis, graph partitioning, distributed computation, incremental assessment, scenario reduction, sampling, abstraction, and prioritization by materiality.</w:t>
      </w:r>
    </w:p>
    <w:p>
      <w:pPr>
        <w:pStyle w:val="Heading4"/>
        <w:ind w:hanging="0" w:left="0"/>
        <w:rPr/>
      </w:pPr>
      <w:r>
        <w:rPr/>
        <w:t>Moral Risks of Decomposition</w:t>
      </w:r>
    </w:p>
    <w:p>
      <w:pPr>
        <w:pStyle w:val="Normal"/>
        <w:widowControl/>
        <w:bidi w:val="0"/>
        <w:spacing w:lineRule="auto" w:line="276"/>
        <w:jc w:val="left"/>
        <w:rPr/>
      </w:pPr>
      <w:r>
        <w:rPr/>
        <w:t>Address loss of cross-boundary effects, marginalized entities, feedback loops, correlated harms, relational meaning, and system-level emergence when assessments are divided into smaller components.</w:t>
      </w:r>
    </w:p>
    <w:p>
      <w:pPr>
        <w:pStyle w:val="Heading4"/>
        <w:ind w:hanging="0" w:left="0"/>
        <w:rPr/>
      </w:pPr>
      <w:r>
        <w:rPr/>
        <w:t>Approximation Taxonomy</w:t>
      </w:r>
    </w:p>
    <w:p>
      <w:pPr>
        <w:pStyle w:val="Normal"/>
        <w:widowControl/>
        <w:bidi w:val="0"/>
        <w:spacing w:lineRule="auto" w:line="276"/>
        <w:jc w:val="left"/>
        <w:rPr/>
      </w:pPr>
      <w:r>
        <w:rPr/>
        <w:t>Distinguish numerical, sampling, temporal, spatial, causal, boundary, scenario, aggregation, heuristic, model-reduction, surrogate-model, and qualitative-coding approximations.</w:t>
      </w:r>
    </w:p>
    <w:p>
      <w:pPr>
        <w:pStyle w:val="Heading4"/>
        <w:ind w:hanging="0" w:left="0"/>
        <w:rPr/>
      </w:pPr>
      <w:r>
        <w:rPr/>
        <w:t>Approximation Error Budgets</w:t>
      </w:r>
    </w:p>
    <w:p>
      <w:pPr>
        <w:pStyle w:val="Normal"/>
        <w:widowControl/>
        <w:bidi w:val="0"/>
        <w:spacing w:lineRule="auto" w:line="276"/>
        <w:jc w:val="left"/>
        <w:rPr/>
      </w:pPr>
      <w:r>
        <w:rPr/>
        <w:t>Allocate and track permitted error by source, component, entity class, assessment axis, horizon, and decision significance.</w:t>
      </w:r>
    </w:p>
    <w:p>
      <w:pPr>
        <w:pStyle w:val="Heading4"/>
        <w:ind w:hanging="0" w:left="0"/>
        <w:rPr/>
      </w:pPr>
      <w:r>
        <w:rPr/>
        <w:t>Decision-Significant Error</w:t>
      </w:r>
    </w:p>
    <w:p>
      <w:pPr>
        <w:pStyle w:val="Normal"/>
        <w:widowControl/>
        <w:bidi w:val="0"/>
        <w:spacing w:lineRule="auto" w:line="276"/>
        <w:jc w:val="left"/>
        <w:rPr/>
      </w:pPr>
      <w:r>
        <w:rPr/>
        <w:t>Define approximation as material when it could change standing, threshold crossing, permissibility, ranking, responsibility, confidence, monitoring, or remedy.</w:t>
      </w:r>
    </w:p>
    <w:p>
      <w:pPr>
        <w:pStyle w:val="Heading4"/>
        <w:ind w:hanging="0" w:left="0"/>
        <w:rPr/>
      </w:pPr>
      <w:r>
        <w:rPr/>
        <w:t>Error Propagation and Correlation</w:t>
      </w:r>
    </w:p>
    <w:p>
      <w:pPr>
        <w:pStyle w:val="Normal"/>
        <w:widowControl/>
        <w:bidi w:val="0"/>
        <w:spacing w:lineRule="auto" w:line="276"/>
        <w:jc w:val="left"/>
        <w:rPr/>
      </w:pPr>
      <w:r>
        <w:rPr/>
        <w:t>Track how data, model, numerical, boundary, and qualitative interpretation errors interact rather than assuming that errors are independent.</w:t>
      </w:r>
    </w:p>
    <w:p>
      <w:pPr>
        <w:pStyle w:val="Heading4"/>
        <w:ind w:hanging="0" w:left="0"/>
        <w:rPr/>
      </w:pPr>
      <w:r>
        <w:rPr/>
        <w:t>Directional and Distributional Bias</w:t>
      </w:r>
    </w:p>
    <w:p>
      <w:pPr>
        <w:pStyle w:val="Normal"/>
        <w:widowControl/>
        <w:bidi w:val="0"/>
        <w:spacing w:lineRule="auto" w:line="276"/>
        <w:jc w:val="left"/>
        <w:rPr/>
      </w:pPr>
      <w:r>
        <w:rPr/>
        <w:t>Identify approximations that systematically underrepresent remote, low-frequency, low-data, vulnerable, nonhuman, or computationally expensive effects.</w:t>
      </w:r>
    </w:p>
    <w:p>
      <w:pPr>
        <w:pStyle w:val="Heading4"/>
        <w:ind w:hanging="0" w:left="0"/>
        <w:rPr/>
      </w:pPr>
      <w:r>
        <w:rPr/>
        <w:t>Threshold-Proximity Rules</w:t>
      </w:r>
    </w:p>
    <w:p>
      <w:pPr>
        <w:pStyle w:val="Normal"/>
        <w:widowControl/>
        <w:bidi w:val="0"/>
        <w:spacing w:lineRule="auto" w:line="276"/>
        <w:jc w:val="left"/>
        <w:rPr/>
      </w:pPr>
      <w:r>
        <w:rPr/>
        <w:t>Require greater precision and escalation when an estimated value is close to a protected minimum, materiality threshold, tipping point, or prohibition boundary.</w:t>
      </w:r>
    </w:p>
    <w:p>
      <w:pPr>
        <w:pStyle w:val="Heading4"/>
        <w:ind w:hanging="0" w:left="0"/>
        <w:rPr/>
      </w:pPr>
      <w:r>
        <w:rPr/>
        <w:t>Minimum Evidence Requirements</w:t>
      </w:r>
    </w:p>
    <w:p>
      <w:pPr>
        <w:pStyle w:val="Normal"/>
        <w:widowControl/>
        <w:bidi w:val="0"/>
        <w:spacing w:lineRule="auto" w:line="276"/>
        <w:jc w:val="left"/>
        <w:rPr/>
      </w:pPr>
      <w:r>
        <w:rPr/>
        <w:t>Define the evidence necessary before an implementation may issue exploratory, advisory, operational, high-stakes, or irreversible-action conclusions.</w:t>
      </w:r>
    </w:p>
    <w:p>
      <w:pPr>
        <w:pStyle w:val="Heading4"/>
        <w:ind w:hanging="0" w:left="0"/>
        <w:rPr/>
      </w:pPr>
      <w:r>
        <w:rPr/>
        <w:t>Insufficient-Evidence Outputs</w:t>
      </w:r>
    </w:p>
    <w:p>
      <w:pPr>
        <w:pStyle w:val="Normal"/>
        <w:widowControl/>
        <w:bidi w:val="0"/>
        <w:spacing w:lineRule="auto" w:line="276"/>
        <w:jc w:val="left"/>
        <w:rPr/>
      </w:pPr>
      <w:r>
        <w:rPr/>
        <w:t>Require conditional, indeterminate, or restricted-use findings when minimum evidence is absent. Missing evidence should not silently be treated as absence of harm.</w:t>
      </w:r>
    </w:p>
    <w:p>
      <w:pPr>
        <w:pStyle w:val="Heading4"/>
        <w:ind w:hanging="0" w:left="0"/>
        <w:rPr/>
      </w:pPr>
      <w:r>
        <w:rPr/>
        <w:t>Evidence Quality and Coverage</w:t>
      </w:r>
    </w:p>
    <w:p>
      <w:pPr>
        <w:pStyle w:val="Normal"/>
        <w:widowControl/>
        <w:bidi w:val="0"/>
        <w:spacing w:lineRule="auto" w:line="276"/>
        <w:jc w:val="left"/>
        <w:rPr/>
      </w:pPr>
      <w:r>
        <w:rPr/>
        <w:t>Evaluate provenance, recency, representativeness, affected-entity coverage, missingness, qualitative evidence, subgroup reliability, causal support, and independence.</w:t>
      </w:r>
    </w:p>
    <w:p>
      <w:pPr>
        <w:pStyle w:val="Heading4"/>
        <w:ind w:hanging="0" w:left="0"/>
        <w:rPr/>
      </w:pPr>
      <w:r>
        <w:rPr/>
        <w:t>Privacy–Accuracy Trade-Offs</w:t>
      </w:r>
    </w:p>
    <w:p>
      <w:pPr>
        <w:pStyle w:val="Normal"/>
        <w:widowControl/>
        <w:bidi w:val="0"/>
        <w:spacing w:lineRule="auto" w:line="276"/>
        <w:jc w:val="left"/>
        <w:rPr/>
      </w:pPr>
      <w:r>
        <w:rPr/>
        <w:t>Assess how data minimization, de-identification, aggregation, access restrictions, noise addition, or privacy-preserving computation affect accuracy and representation.</w:t>
      </w:r>
    </w:p>
    <w:p>
      <w:pPr>
        <w:pStyle w:val="Heading4"/>
        <w:ind w:hanging="0" w:left="0"/>
        <w:rPr/>
      </w:pPr>
      <w:r>
        <w:rPr/>
        <w:t>Minimum Necessary Data</w:t>
      </w:r>
    </w:p>
    <w:p>
      <w:pPr>
        <w:pStyle w:val="Normal"/>
        <w:widowControl/>
        <w:bidi w:val="0"/>
        <w:spacing w:lineRule="auto" w:line="276"/>
        <w:jc w:val="left"/>
        <w:rPr/>
      </w:pPr>
      <w:r>
        <w:rPr/>
        <w:t>Require collection only of data materially necessary to the assessment and prohibit additional surveillance merely because greater data could improve model precision.</w:t>
      </w:r>
    </w:p>
    <w:p>
      <w:pPr>
        <w:pStyle w:val="Heading4"/>
        <w:ind w:hanging="0" w:left="0"/>
        <w:rPr/>
      </w:pPr>
      <w:r>
        <w:rPr/>
        <w:t>Qualitative Evidence and Computational Reduction</w:t>
      </w:r>
    </w:p>
    <w:p>
      <w:pPr>
        <w:pStyle w:val="Normal"/>
        <w:widowControl/>
        <w:bidi w:val="0"/>
        <w:spacing w:lineRule="auto" w:line="276"/>
        <w:jc w:val="left"/>
        <w:rPr/>
      </w:pPr>
      <w:r>
        <w:rPr/>
        <w:t>Prevent narrative, testimony, cultural meaning, and tacit knowledge from being discarded or reduced to unreliable categorical scores merely to simplify computation.</w:t>
      </w:r>
    </w:p>
    <w:p>
      <w:pPr>
        <w:pStyle w:val="Heading4"/>
        <w:ind w:hanging="0" w:left="0"/>
        <w:rPr/>
      </w:pPr>
      <w:r>
        <w:rPr/>
        <w:t>Stochastic and Nondeterministic Implementations</w:t>
      </w:r>
    </w:p>
    <w:p>
      <w:pPr>
        <w:pStyle w:val="Normal"/>
        <w:widowControl/>
        <w:bidi w:val="0"/>
        <w:spacing w:lineRule="auto" w:line="276"/>
        <w:jc w:val="left"/>
        <w:rPr/>
      </w:pPr>
      <w:r>
        <w:rPr/>
        <w:t>Require disclosure and control of random seeds, sampling procedures, model stochasticity, run-to-run variation, and the stability of conclusions across repeated assessments.</w:t>
      </w:r>
    </w:p>
    <w:p>
      <w:pPr>
        <w:pStyle w:val="Heading4"/>
        <w:ind w:hanging="0" w:left="0"/>
        <w:rPr/>
      </w:pPr>
      <w:r>
        <w:rPr/>
        <w:t>Reproducibility and Audit Replay</w:t>
      </w:r>
    </w:p>
    <w:p>
      <w:pPr>
        <w:pStyle w:val="Normal"/>
        <w:widowControl/>
        <w:bidi w:val="0"/>
        <w:spacing w:lineRule="auto" w:line="276"/>
        <w:jc w:val="left"/>
        <w:rPr/>
      </w:pPr>
      <w:r>
        <w:rPr/>
        <w:t>Define the records needed to reproduce an assessment, including data versions, model versions, configurations, profiles, assumptions, software environment, random state, and human interventions.</w:t>
      </w:r>
    </w:p>
    <w:p>
      <w:pPr>
        <w:pStyle w:val="Heading4"/>
        <w:ind w:hanging="0" w:left="0"/>
        <w:rPr/>
      </w:pPr>
      <w:r>
        <w:rPr/>
        <w:t>Reproducibility Under Privacy Constraints</w:t>
      </w:r>
    </w:p>
    <w:p>
      <w:pPr>
        <w:pStyle w:val="Normal"/>
        <w:widowControl/>
        <w:bidi w:val="0"/>
        <w:spacing w:lineRule="auto" w:line="276"/>
        <w:jc w:val="left"/>
        <w:rPr/>
      </w:pPr>
      <w:r>
        <w:rPr/>
        <w:t>Permit controlled audit environments, synthetic test data, secure access, or verified summaries when original sensitive evidence cannot be redistributed.</w:t>
      </w:r>
    </w:p>
    <w:p>
      <w:pPr>
        <w:pStyle w:val="Heading4"/>
        <w:ind w:hanging="0" w:left="0"/>
        <w:rPr/>
      </w:pPr>
      <w:r>
        <w:rPr/>
        <w:t>Cross-Implementation Comparability</w:t>
      </w:r>
    </w:p>
    <w:p>
      <w:pPr>
        <w:pStyle w:val="Normal"/>
        <w:widowControl/>
        <w:bidi w:val="0"/>
        <w:spacing w:lineRule="auto" w:line="276"/>
        <w:jc w:val="left"/>
        <w:rPr/>
      </w:pPr>
      <w:r>
        <w:rPr/>
        <w:t>Establish common input definitions, ethical profiles, benchmark cases, output schemas, and trace records for comparing independent implementations.</w:t>
      </w:r>
    </w:p>
    <w:p>
      <w:pPr>
        <w:pStyle w:val="Heading4"/>
        <w:ind w:hanging="0" w:left="0"/>
        <w:rPr/>
      </w:pPr>
      <w:r>
        <w:rPr/>
        <w:t>Conformance Testing</w:t>
      </w:r>
    </w:p>
    <w:p>
      <w:pPr>
        <w:pStyle w:val="Normal"/>
        <w:widowControl/>
        <w:bidi w:val="0"/>
        <w:spacing w:lineRule="auto" w:line="276"/>
        <w:jc w:val="left"/>
        <w:rPr/>
      </w:pPr>
      <w:r>
        <w:rPr/>
        <w:t>Test normative identity, ontology, evidence processing, assessment procedure, uncertainty treatment, decision outputs, traceability, privacy protections, and governance.</w:t>
      </w:r>
    </w:p>
    <w:p>
      <w:pPr>
        <w:pStyle w:val="Heading4"/>
        <w:ind w:hanging="0" w:left="0"/>
        <w:rPr/>
      </w:pPr>
      <w:r>
        <w:rPr/>
        <w:t>Theory-Discriminating Benchmark Cases</w:t>
      </w:r>
    </w:p>
    <w:p>
      <w:pPr>
        <w:pStyle w:val="Normal"/>
        <w:widowControl/>
        <w:bidi w:val="0"/>
        <w:spacing w:lineRule="auto" w:line="276"/>
        <w:jc w:val="left"/>
        <w:rPr/>
      </w:pPr>
      <w:r>
        <w:rPr/>
        <w:t>Use cases designed to reveal whether an implementation preserves rights, thresholds, intentions, relational obligations, ecological effects, future entities, and moral uncertainty.</w:t>
      </w:r>
    </w:p>
    <w:p>
      <w:pPr>
        <w:pStyle w:val="Heading4"/>
        <w:ind w:hanging="0" w:left="0"/>
        <w:rPr/>
      </w:pPr>
      <w:r>
        <w:rPr/>
        <w:t>Metamorphic and Invariance Testing</w:t>
      </w:r>
    </w:p>
    <w:p>
      <w:pPr>
        <w:pStyle w:val="Normal"/>
        <w:widowControl/>
        <w:bidi w:val="0"/>
        <w:spacing w:lineRule="auto" w:line="276"/>
        <w:jc w:val="left"/>
        <w:rPr/>
      </w:pPr>
      <w:r>
        <w:rPr/>
        <w:t>Verify expected properties when irrelevant details change, affected entities are reordered, equivalent units are used, or morally material factors are added or removed.</w:t>
      </w:r>
    </w:p>
    <w:p>
      <w:pPr>
        <w:pStyle w:val="Heading4"/>
        <w:ind w:hanging="0" w:left="0"/>
        <w:rPr/>
      </w:pPr>
      <w:r>
        <w:rPr/>
        <w:t>Sensitivity and Robustness Testing</w:t>
      </w:r>
    </w:p>
    <w:p>
      <w:pPr>
        <w:pStyle w:val="Normal"/>
        <w:widowControl/>
        <w:bidi w:val="0"/>
        <w:spacing w:lineRule="auto" w:line="276"/>
        <w:jc w:val="left"/>
        <w:rPr/>
      </w:pPr>
      <w:r>
        <w:rPr/>
        <w:t>Determine whether conclusions remain stable across reasonable changes to data, parameters, weights, boundaries, models, horizons, and approximation methods.</w:t>
      </w:r>
    </w:p>
    <w:p>
      <w:pPr>
        <w:pStyle w:val="Heading4"/>
        <w:ind w:hanging="0" w:left="0"/>
        <w:rPr/>
      </w:pPr>
      <w:r>
        <w:rPr/>
        <w:t>Divergent Implementation Results</w:t>
      </w:r>
    </w:p>
    <w:p>
      <w:pPr>
        <w:pStyle w:val="Normal"/>
        <w:widowControl/>
        <w:bidi w:val="0"/>
        <w:spacing w:lineRule="auto" w:line="276"/>
        <w:jc w:val="left"/>
        <w:rPr/>
      </w:pPr>
      <w:r>
        <w:rPr/>
        <w:t>Require diagnostic comparison of inputs, assumptions, profiles, causal models, approximation budgets, and normative rules when conforming implementations disagree.</w:t>
      </w:r>
    </w:p>
    <w:p>
      <w:pPr>
        <w:pStyle w:val="Heading4"/>
        <w:ind w:hanging="0" w:left="0"/>
        <w:rPr/>
      </w:pPr>
      <w:r>
        <w:rPr/>
        <w:t>Material-Variation Rules</w:t>
      </w:r>
    </w:p>
    <w:p>
      <w:pPr>
        <w:pStyle w:val="Normal"/>
        <w:widowControl/>
        <w:bidi w:val="0"/>
        <w:spacing w:lineRule="auto" w:line="276"/>
        <w:jc w:val="left"/>
        <w:rPr/>
      </w:pPr>
      <w:r>
        <w:rPr/>
        <w:t>Define when two implementations are ethically equivalent, conditionally comparable, materially divergent, or implementations of different frameworks.</w:t>
      </w:r>
    </w:p>
    <w:p>
      <w:pPr>
        <w:pStyle w:val="Heading4"/>
        <w:ind w:hanging="0" w:left="0"/>
        <w:rPr/>
      </w:pPr>
      <w:r>
        <w:rPr/>
        <w:t>Real-Time and Time-Constrained Assessment</w:t>
      </w:r>
    </w:p>
    <w:p>
      <w:pPr>
        <w:pStyle w:val="Normal"/>
        <w:widowControl/>
        <w:bidi w:val="0"/>
        <w:spacing w:lineRule="auto" w:line="276"/>
        <w:jc w:val="left"/>
        <w:rPr/>
      </w:pPr>
      <w:r>
        <w:rPr/>
        <w:t>Establish which minimum checks may never be skipped, what may be deferred, and when time pressure requires a conservative default, escalation, or human decision.</w:t>
      </w:r>
    </w:p>
    <w:p>
      <w:pPr>
        <w:pStyle w:val="Heading4"/>
        <w:ind w:hanging="0" w:left="0"/>
        <w:rPr/>
      </w:pPr>
      <w:r>
        <w:rPr/>
        <w:t>Degraded and Fallback Modes</w:t>
      </w:r>
    </w:p>
    <w:p>
      <w:pPr>
        <w:pStyle w:val="Normal"/>
        <w:widowControl/>
        <w:bidi w:val="0"/>
        <w:spacing w:lineRule="auto" w:line="276"/>
        <w:jc w:val="left"/>
        <w:rPr/>
      </w:pPr>
      <w:r>
        <w:rPr/>
        <w:t>Require explicit labeling when data, services, models, or computational resources are unavailable. A reduced-capability result should not appear equivalent to a complete assessment.</w:t>
      </w:r>
    </w:p>
    <w:p>
      <w:pPr>
        <w:pStyle w:val="Heading4"/>
        <w:ind w:hanging="0" w:left="0"/>
        <w:rPr/>
      </w:pPr>
      <w:r>
        <w:rPr/>
        <w:t>Human Review and Override</w:t>
      </w:r>
    </w:p>
    <w:p>
      <w:pPr>
        <w:pStyle w:val="Normal"/>
        <w:widowControl/>
        <w:bidi w:val="0"/>
        <w:spacing w:lineRule="auto" w:line="276"/>
        <w:jc w:val="left"/>
        <w:rPr/>
      </w:pPr>
      <w:r>
        <w:rPr/>
        <w:t>Define when human review is mandatory, what evidence reviewers receive, how overrides are justified, and how repeated overrides trigger model reassessment.</w:t>
      </w:r>
    </w:p>
    <w:p>
      <w:pPr>
        <w:pStyle w:val="Heading4"/>
        <w:ind w:hanging="0" w:left="0"/>
        <w:rPr/>
      </w:pPr>
      <w:r>
        <w:rPr/>
        <w:t>Environmental and Institutional Cost of Computation</w:t>
      </w:r>
    </w:p>
    <w:p>
      <w:pPr>
        <w:pStyle w:val="Normal"/>
        <w:widowControl/>
        <w:bidi w:val="0"/>
        <w:spacing w:lineRule="auto" w:line="276"/>
        <w:jc w:val="left"/>
        <w:rPr/>
      </w:pPr>
      <w:r>
        <w:rPr/>
        <w:t>Include energy, hardware, water, labor, infrastructure, opportunity cost, and concentration of computational authority when material to the ethical assessment.</w:t>
      </w:r>
    </w:p>
    <w:p>
      <w:pPr>
        <w:pStyle w:val="Heading4"/>
        <w:ind w:hanging="0" w:left="0"/>
        <w:rPr/>
      </w:pPr>
      <w:r>
        <w:rPr/>
        <w:t>Implementation Access and Capability Inequality</w:t>
      </w:r>
    </w:p>
    <w:p>
      <w:pPr>
        <w:pStyle w:val="Normal"/>
        <w:widowControl/>
        <w:bidi w:val="0"/>
        <w:spacing w:lineRule="auto" w:line="276"/>
        <w:jc w:val="left"/>
        <w:rPr/>
      </w:pPr>
      <w:r>
        <w:rPr/>
        <w:t>Address the risk that only wealthy institutions can perform high-fidelity assessments, while less powerful communities receive simplified or less protective implementations.</w:t>
      </w:r>
    </w:p>
    <w:p>
      <w:pPr>
        <w:pStyle w:val="Heading4"/>
        <w:ind w:hanging="0" w:left="0"/>
        <w:rPr/>
      </w:pPr>
      <w:r>
        <w:rPr/>
        <w:t>Certification and Continuing Conformance</w:t>
      </w:r>
    </w:p>
    <w:p>
      <w:pPr>
        <w:pStyle w:val="Normal"/>
        <w:widowControl/>
        <w:bidi w:val="0"/>
        <w:spacing w:lineRule="auto" w:line="276"/>
        <w:jc w:val="left"/>
        <w:rPr/>
      </w:pPr>
      <w:r>
        <w:rPr/>
        <w:t>Require initial testing, periodic reassessment, change-triggered recertification, incident reporting, benchmark updates, and withdrawal of obsolete conformance claims.</w:t>
      </w:r>
    </w:p>
    <w:p>
      <w:pPr>
        <w:pStyle w:val="Heading4"/>
        <w:ind w:hanging="0" w:left="0"/>
        <w:rPr/>
      </w:pPr>
      <w:r>
        <w:rPr/>
        <w:t>Versioning and Migration</w:t>
      </w:r>
    </w:p>
    <w:p>
      <w:pPr>
        <w:pStyle w:val="Normal"/>
        <w:widowControl/>
        <w:bidi w:val="0"/>
        <w:spacing w:lineRule="auto" w:line="276"/>
        <w:jc w:val="left"/>
        <w:rPr/>
      </w:pPr>
      <w:r>
        <w:rPr/>
        <w:t>Record changes to architecture versions, ethical profiles, models, data schemas, thresholds, and algorithms and explain how prior assessments should be interpreted after changes.</w:t>
      </w:r>
    </w:p>
    <w:p>
      <w:pPr>
        <w:pStyle w:val="Heading4"/>
        <w:ind w:hanging="0" w:left="0"/>
        <w:rPr/>
      </w:pPr>
      <w:r>
        <w:rPr/>
        <w:t>Failure Modes and Exposure</w:t>
      </w:r>
    </w:p>
    <w:p>
      <w:pPr>
        <w:pStyle w:val="Normal"/>
        <w:widowControl/>
        <w:bidi w:val="0"/>
        <w:spacing w:lineRule="auto" w:line="276"/>
        <w:jc w:val="left"/>
        <w:rPr/>
      </w:pPr>
      <w:r>
        <w:rPr/>
        <w:t>Analyze opaque approximation, false precision, benchmark overfitting, privacy laundering, model monoculture, nonreproducibility, silent degraded operation, low-data exclusion, implementation capture, and unjustified equivalence claims.</w:t>
      </w:r>
    </w:p>
    <w:p>
      <w:pPr>
        <w:pStyle w:val="Heading4"/>
        <w:ind w:hanging="0" w:left="0"/>
        <w:rPr/>
      </w:pPr>
      <w:r>
        <w:rPr/>
        <w:t>Interim Safeguards and Mitigations</w:t>
      </w:r>
    </w:p>
    <w:p>
      <w:pPr>
        <w:pStyle w:val="Normal"/>
        <w:widowControl/>
        <w:bidi w:val="0"/>
        <w:spacing w:lineRule="auto" w:line="276"/>
        <w:jc w:val="left"/>
        <w:rPr/>
      </w:pPr>
      <w:r>
        <w:rPr/>
        <w:t>Require declared conformance profiles, error budgets, minimum evidence gates, sensitivity testing, version locking, independent benchmark testing, privacy review, and escalation of decision-unstable results.</w:t>
      </w:r>
    </w:p>
    <w:p>
      <w:pPr>
        <w:pStyle w:val="Heading4"/>
        <w:ind w:hanging="0" w:left="0"/>
        <w:rPr/>
      </w:pPr>
      <w:r>
        <w:rPr/>
        <w:t>Research Deliverables and Acceptance Criteria</w:t>
      </w:r>
    </w:p>
    <w:p>
      <w:pPr>
        <w:pStyle w:val="Normal"/>
        <w:widowControl/>
        <w:bidi w:val="0"/>
        <w:spacing w:lineRule="auto" w:line="276"/>
        <w:jc w:val="left"/>
        <w:rPr/>
      </w:pPr>
      <w:r>
        <w:rPr/>
        <w:t>Require a conformance specification, test suite, approximation registry, error-budget standard, evidence tiers, reproducibility protocol, divergence procedure, and implementation-variation policy.</w:t>
      </w:r>
    </w:p>
    <w:p>
      <w:pPr>
        <w:pStyle w:val="Heading4"/>
        <w:ind w:hanging="0" w:left="0"/>
        <w:rPr/>
      </w:pPr>
      <w:r>
        <w:rPr/>
        <w:t>Residual Risk</w:t>
      </w:r>
    </w:p>
    <w:p>
      <w:pPr>
        <w:pStyle w:val="Normal"/>
        <w:widowControl/>
        <w:bidi w:val="0"/>
        <w:spacing w:lineRule="auto" w:line="276"/>
        <w:jc w:val="left"/>
        <w:rPr/>
      </w:pPr>
      <w:r>
        <w:rPr/>
        <w:t>Acknowledge that technically conforming implementations may still diverge because of irreducible uncertainty, qualitative judgment, local evidence, stochastic behavior, and unresolved normative interpretation.</w:t>
      </w:r>
    </w:p>
    <w:p>
      <w:pPr>
        <w:pStyle w:val="Heading4"/>
        <w:ind w:hanging="0" w:left="0"/>
        <w:rPr/>
      </w:pPr>
      <w:r>
        <w:rPr/>
        <w:t>Failure Modes and Exposure</w:t>
      </w:r>
    </w:p>
    <w:p>
      <w:pPr>
        <w:pStyle w:val="Normal"/>
        <w:widowControl/>
        <w:bidi w:val="0"/>
        <w:spacing w:lineRule="auto" w:line="276"/>
        <w:jc w:val="left"/>
        <w:rPr/>
      </w:pPr>
      <w:r>
        <w:rPr/>
        <w:t>Analyze presentism, speculative futurism, population maximization, eugenics, demographic coercion, temporal discrimination, techno-optimism, identity essentialism, value lock-in, inherited inequality, and sacrifice of present persons for hypothetical futures.</w:t>
      </w:r>
    </w:p>
    <w:p>
      <w:pPr>
        <w:pStyle w:val="Heading4"/>
        <w:ind w:hanging="0" w:left="0"/>
        <w:rPr/>
      </w:pPr>
      <w:r>
        <w:rPr/>
        <w:t>Interim Safeguards and Mitigations</w:t>
      </w:r>
    </w:p>
    <w:p>
      <w:pPr>
        <w:pStyle w:val="Normal"/>
        <w:widowControl/>
        <w:bidi w:val="0"/>
        <w:spacing w:lineRule="auto" w:line="276"/>
        <w:jc w:val="left"/>
        <w:rPr/>
      </w:pPr>
      <w:r>
        <w:rPr/>
        <w:t>Require separate present- and future-party findings, protected present minimums, future representation, population-profile disclosure, anti-coercion rules, value-lock-in analysis, and heightened review of irreversible transformations.</w:t>
      </w:r>
    </w:p>
    <w:p>
      <w:pPr>
        <w:pStyle w:val="Heading4"/>
        <w:ind w:hanging="0" w:left="0"/>
        <w:rPr/>
      </w:pPr>
      <w:r>
        <w:rPr/>
        <w:t>Research Deliverables and Acceptance Criteria</w:t>
      </w:r>
    </w:p>
    <w:p>
      <w:pPr>
        <w:pStyle w:val="Normal"/>
        <w:widowControl/>
        <w:bidi w:val="0"/>
        <w:spacing w:lineRule="auto" w:line="276"/>
        <w:jc w:val="left"/>
        <w:rPr/>
      </w:pPr>
      <w:r>
        <w:rPr/>
        <w:t>Require an intergenerational profile, population-scenario schema, nonidentity protocol, future-representation charter, transformation taxonomy, identity-continuity test, and irreversible-transformation standard.</w:t>
      </w:r>
    </w:p>
    <w:p>
      <w:pPr>
        <w:pStyle w:val="Heading4"/>
        <w:ind w:hanging="0" w:left="0"/>
        <w:rPr/>
      </w:pPr>
      <w:r>
        <w:rPr/>
        <w:t>Residual Risk</w:t>
      </w:r>
    </w:p>
    <w:p>
      <w:pPr>
        <w:pStyle w:val="Normal"/>
        <w:widowControl/>
        <w:bidi w:val="0"/>
        <w:spacing w:lineRule="auto" w:line="276"/>
        <w:jc w:val="left"/>
        <w:rPr/>
      </w:pPr>
      <w:r>
        <w:rPr/>
        <w:t>Acknowledge unresolved disagreement about possible persons, population value, identity, enhancement, extinction, posthuman standing, ecological transformation, and obligations to remote futures.</w:t>
      </w:r>
    </w:p>
    <w:p>
      <w:pPr>
        <w:pStyle w:val="Heading4"/>
        <w:ind w:hanging="0" w:left="0"/>
        <w:rPr>
          <w:rFonts w:ascii="Aptos" w:hAnsi="Aptos"/>
          <w:color w:val="auto"/>
          <w:sz w:val="21"/>
          <w:szCs w:val="22"/>
        </w:rPr>
      </w:pPr>
      <w:r>
        <w:rPr/>
        <w:t>Conformance layers</w:t>
      </w:r>
    </w:p>
    <w:tbl>
      <w:tblPr>
        <w:tblW w:w="8640" w:type="dxa"/>
        <w:jc w:val="left"/>
        <w:tblInd w:w="28" w:type="dxa"/>
        <w:tblLayout w:type="fixed"/>
        <w:tblCellMar>
          <w:top w:w="28" w:type="dxa"/>
          <w:left w:w="28" w:type="dxa"/>
          <w:bottom w:w="28" w:type="dxa"/>
          <w:right w:w="28" w:type="dxa"/>
        </w:tblCellMar>
      </w:tblPr>
      <w:tblGrid>
        <w:gridCol w:w="2094"/>
        <w:gridCol w:w="6546"/>
      </w:tblGrid>
      <w:tr>
        <w:trPr>
          <w:tblHeader w:val="true"/>
        </w:trPr>
        <w:tc>
          <w:tcPr>
            <w:tcW w:w="2094" w:type="dxa"/>
            <w:tcBorders/>
            <w:vAlign w:val="center"/>
          </w:tcPr>
          <w:p>
            <w:pPr>
              <w:pStyle w:val="TableHeading"/>
              <w:suppressLineNumbers/>
              <w:spacing w:before="0" w:after="200"/>
              <w:jc w:val="center"/>
              <w:rPr/>
            </w:pPr>
            <w:r>
              <w:rPr/>
              <w:t>Conformance layer</w:t>
            </w:r>
          </w:p>
        </w:tc>
        <w:tc>
          <w:tcPr>
            <w:tcW w:w="6546" w:type="dxa"/>
            <w:tcBorders/>
            <w:vAlign w:val="center"/>
          </w:tcPr>
          <w:p>
            <w:pPr>
              <w:pStyle w:val="TableHeading"/>
              <w:suppressLineNumbers/>
              <w:spacing w:before="0" w:after="200"/>
              <w:jc w:val="center"/>
              <w:rPr/>
            </w:pPr>
            <w:r>
              <w:rPr/>
              <w:t>Required consistency</w:t>
            </w:r>
          </w:p>
        </w:tc>
      </w:tr>
      <w:tr>
        <w:trPr/>
        <w:tc>
          <w:tcPr>
            <w:tcW w:w="2094" w:type="dxa"/>
            <w:tcBorders/>
            <w:vAlign w:val="center"/>
          </w:tcPr>
          <w:p>
            <w:pPr>
              <w:pStyle w:val="TableContents"/>
              <w:widowControl w:val="false"/>
              <w:suppressLineNumbers/>
              <w:spacing w:before="0" w:after="200"/>
              <w:rPr/>
            </w:pPr>
            <w:r>
              <w:rPr>
                <w:rStyle w:val="Strong"/>
              </w:rPr>
              <w:t>Normative identity</w:t>
            </w:r>
          </w:p>
        </w:tc>
        <w:tc>
          <w:tcPr>
            <w:tcW w:w="6546" w:type="dxa"/>
            <w:tcBorders/>
            <w:vAlign w:val="center"/>
          </w:tcPr>
          <w:p>
            <w:pPr>
              <w:pStyle w:val="TableContents"/>
              <w:widowControl w:val="false"/>
              <w:suppressLineNumbers/>
              <w:spacing w:before="0" w:after="200"/>
              <w:rPr/>
            </w:pPr>
            <w:r>
              <w:rPr/>
              <w:t>Foundational Axiom, normative kernel, ethical-profile status, and protected constraints</w:t>
            </w:r>
          </w:p>
        </w:tc>
      </w:tr>
      <w:tr>
        <w:trPr/>
        <w:tc>
          <w:tcPr>
            <w:tcW w:w="2094" w:type="dxa"/>
            <w:tcBorders/>
            <w:vAlign w:val="center"/>
          </w:tcPr>
          <w:p>
            <w:pPr>
              <w:pStyle w:val="TableContents"/>
              <w:widowControl w:val="false"/>
              <w:suppressLineNumbers/>
              <w:spacing w:before="0" w:after="200"/>
              <w:rPr/>
            </w:pPr>
            <w:r>
              <w:rPr>
                <w:rStyle w:val="Strong"/>
              </w:rPr>
              <w:t>Semantic</w:t>
            </w:r>
          </w:p>
        </w:tc>
        <w:tc>
          <w:tcPr>
            <w:tcW w:w="6546" w:type="dxa"/>
            <w:tcBorders/>
            <w:vAlign w:val="center"/>
          </w:tcPr>
          <w:p>
            <w:pPr>
              <w:pStyle w:val="TableContents"/>
              <w:widowControl w:val="false"/>
              <w:suppressLineNumbers/>
              <w:spacing w:before="0" w:after="200"/>
              <w:rPr/>
            </w:pPr>
            <w:r>
              <w:rPr/>
              <w:t>Definitions of entities, relationships, flourishing, standing, actions, effects, and outputs</w:t>
            </w:r>
          </w:p>
        </w:tc>
      </w:tr>
      <w:tr>
        <w:trPr/>
        <w:tc>
          <w:tcPr>
            <w:tcW w:w="2094" w:type="dxa"/>
            <w:tcBorders/>
            <w:vAlign w:val="center"/>
          </w:tcPr>
          <w:p>
            <w:pPr>
              <w:pStyle w:val="TableContents"/>
              <w:widowControl w:val="false"/>
              <w:suppressLineNumbers/>
              <w:spacing w:before="0" w:after="200"/>
              <w:rPr/>
            </w:pPr>
            <w:r>
              <w:rPr>
                <w:rStyle w:val="Strong"/>
              </w:rPr>
              <w:t>Procedural</w:t>
            </w:r>
          </w:p>
        </w:tc>
        <w:tc>
          <w:tcPr>
            <w:tcW w:w="6546" w:type="dxa"/>
            <w:tcBorders/>
            <w:vAlign w:val="center"/>
          </w:tcPr>
          <w:p>
            <w:pPr>
              <w:pStyle w:val="TableContents"/>
              <w:widowControl w:val="false"/>
              <w:suppressLineNumbers/>
              <w:spacing w:before="0" w:after="200"/>
              <w:rPr/>
            </w:pPr>
            <w:r>
              <w:rPr/>
              <w:t>Required assessment stages, alternatives, boundaries, review, and escalation</w:t>
            </w:r>
          </w:p>
        </w:tc>
      </w:tr>
      <w:tr>
        <w:trPr/>
        <w:tc>
          <w:tcPr>
            <w:tcW w:w="2094" w:type="dxa"/>
            <w:tcBorders/>
            <w:vAlign w:val="center"/>
          </w:tcPr>
          <w:p>
            <w:pPr>
              <w:pStyle w:val="TableContents"/>
              <w:widowControl w:val="false"/>
              <w:suppressLineNumbers/>
              <w:spacing w:before="0" w:after="200"/>
              <w:rPr/>
            </w:pPr>
            <w:r>
              <w:rPr>
                <w:rStyle w:val="Strong"/>
              </w:rPr>
              <w:t>Evidence</w:t>
            </w:r>
          </w:p>
        </w:tc>
        <w:tc>
          <w:tcPr>
            <w:tcW w:w="6546" w:type="dxa"/>
            <w:tcBorders/>
            <w:vAlign w:val="center"/>
          </w:tcPr>
          <w:p>
            <w:pPr>
              <w:pStyle w:val="TableContents"/>
              <w:widowControl w:val="false"/>
              <w:suppressLineNumbers/>
              <w:spacing w:before="0" w:after="200"/>
              <w:rPr/>
            </w:pPr>
            <w:r>
              <w:rPr/>
              <w:t>Provenance, minimum quality, qualitative evidence, exclusions, and uncertainty</w:t>
            </w:r>
          </w:p>
        </w:tc>
      </w:tr>
      <w:tr>
        <w:trPr/>
        <w:tc>
          <w:tcPr>
            <w:tcW w:w="2094" w:type="dxa"/>
            <w:tcBorders/>
            <w:vAlign w:val="center"/>
          </w:tcPr>
          <w:p>
            <w:pPr>
              <w:pStyle w:val="TableContents"/>
              <w:widowControl w:val="false"/>
              <w:suppressLineNumbers/>
              <w:spacing w:before="0" w:after="200"/>
              <w:rPr/>
            </w:pPr>
            <w:r>
              <w:rPr>
                <w:rStyle w:val="Strong"/>
              </w:rPr>
              <w:t>Computational</w:t>
            </w:r>
          </w:p>
        </w:tc>
        <w:tc>
          <w:tcPr>
            <w:tcW w:w="6546" w:type="dxa"/>
            <w:tcBorders/>
            <w:vAlign w:val="center"/>
          </w:tcPr>
          <w:p>
            <w:pPr>
              <w:pStyle w:val="TableContents"/>
              <w:widowControl w:val="false"/>
              <w:suppressLineNumbers/>
              <w:spacing w:before="0" w:after="200"/>
              <w:rPr/>
            </w:pPr>
            <w:r>
              <w:rPr/>
              <w:t>Approximation disclosure, error propagation, stochastic controls, and threshold handling</w:t>
            </w:r>
          </w:p>
        </w:tc>
      </w:tr>
      <w:tr>
        <w:trPr/>
        <w:tc>
          <w:tcPr>
            <w:tcW w:w="2094" w:type="dxa"/>
            <w:tcBorders/>
            <w:vAlign w:val="center"/>
          </w:tcPr>
          <w:p>
            <w:pPr>
              <w:pStyle w:val="TableContents"/>
              <w:widowControl w:val="false"/>
              <w:suppressLineNumbers/>
              <w:spacing w:before="0" w:after="200"/>
              <w:rPr/>
            </w:pPr>
            <w:r>
              <w:rPr>
                <w:rStyle w:val="Strong"/>
              </w:rPr>
              <w:t>Output</w:t>
            </w:r>
          </w:p>
        </w:tc>
        <w:tc>
          <w:tcPr>
            <w:tcW w:w="6546" w:type="dxa"/>
            <w:tcBorders/>
            <w:vAlign w:val="center"/>
          </w:tcPr>
          <w:p>
            <w:pPr>
              <w:pStyle w:val="TableContents"/>
              <w:widowControl w:val="false"/>
              <w:suppressLineNumbers/>
              <w:spacing w:before="0" w:after="200"/>
              <w:rPr/>
            </w:pPr>
            <w:r>
              <w:rPr/>
              <w:t>Required assessment axes, conclusion vocabulary, confidence, dissent, and remedies</w:t>
            </w:r>
          </w:p>
        </w:tc>
      </w:tr>
      <w:tr>
        <w:trPr/>
        <w:tc>
          <w:tcPr>
            <w:tcW w:w="2094" w:type="dxa"/>
            <w:tcBorders/>
            <w:vAlign w:val="center"/>
          </w:tcPr>
          <w:p>
            <w:pPr>
              <w:pStyle w:val="TableContents"/>
              <w:widowControl w:val="false"/>
              <w:suppressLineNumbers/>
              <w:spacing w:before="0" w:after="200"/>
              <w:rPr/>
            </w:pPr>
            <w:r>
              <w:rPr>
                <w:rStyle w:val="Strong"/>
              </w:rPr>
              <w:t>Traceability</w:t>
            </w:r>
          </w:p>
        </w:tc>
        <w:tc>
          <w:tcPr>
            <w:tcW w:w="6546" w:type="dxa"/>
            <w:tcBorders/>
            <w:vAlign w:val="center"/>
          </w:tcPr>
          <w:p>
            <w:pPr>
              <w:pStyle w:val="TableContents"/>
              <w:widowControl w:val="false"/>
              <w:suppressLineNumbers/>
              <w:spacing w:before="0" w:after="200"/>
              <w:rPr/>
            </w:pPr>
            <w:r>
              <w:rPr/>
              <w:t>Ability to connect each conclusion to evidence, assumptions, models, and normative rules</w:t>
            </w:r>
          </w:p>
        </w:tc>
      </w:tr>
      <w:tr>
        <w:trPr/>
        <w:tc>
          <w:tcPr>
            <w:tcW w:w="2094" w:type="dxa"/>
            <w:tcBorders/>
            <w:vAlign w:val="center"/>
          </w:tcPr>
          <w:p>
            <w:pPr>
              <w:pStyle w:val="TableContents"/>
              <w:widowControl w:val="false"/>
              <w:suppressLineNumbers/>
              <w:spacing w:before="0" w:after="200"/>
              <w:rPr/>
            </w:pPr>
            <w:r>
              <w:rPr>
                <w:rStyle w:val="Strong"/>
              </w:rPr>
              <w:t>Privacy and security</w:t>
            </w:r>
          </w:p>
        </w:tc>
        <w:tc>
          <w:tcPr>
            <w:tcW w:w="6546" w:type="dxa"/>
            <w:tcBorders/>
            <w:vAlign w:val="center"/>
          </w:tcPr>
          <w:p>
            <w:pPr>
              <w:pStyle w:val="TableContents"/>
              <w:widowControl w:val="false"/>
              <w:suppressLineNumbers/>
              <w:spacing w:before="0" w:after="200"/>
              <w:rPr/>
            </w:pPr>
            <w:r>
              <w:rPr/>
              <w:t>Minimum protections for sensitive evidence and affected entities</w:t>
            </w:r>
          </w:p>
        </w:tc>
      </w:tr>
      <w:tr>
        <w:trPr/>
        <w:tc>
          <w:tcPr>
            <w:tcW w:w="2094" w:type="dxa"/>
            <w:tcBorders/>
            <w:vAlign w:val="center"/>
          </w:tcPr>
          <w:p>
            <w:pPr>
              <w:pStyle w:val="TableContents"/>
              <w:widowControl w:val="false"/>
              <w:suppressLineNumbers/>
              <w:spacing w:before="0" w:after="200"/>
              <w:rPr/>
            </w:pPr>
            <w:r>
              <w:rPr>
                <w:rStyle w:val="Strong"/>
              </w:rPr>
              <w:t>Robustness</w:t>
            </w:r>
          </w:p>
        </w:tc>
        <w:tc>
          <w:tcPr>
            <w:tcW w:w="6546" w:type="dxa"/>
            <w:tcBorders/>
            <w:vAlign w:val="center"/>
          </w:tcPr>
          <w:p>
            <w:pPr>
              <w:pStyle w:val="TableContents"/>
              <w:widowControl w:val="false"/>
              <w:suppressLineNumbers/>
              <w:spacing w:before="0" w:after="200"/>
              <w:rPr/>
            </w:pPr>
            <w:r>
              <w:rPr/>
              <w:t>Sensitivity, adversarial, boundary, competing-model, and repeated-run testing</w:t>
            </w:r>
          </w:p>
        </w:tc>
      </w:tr>
      <w:tr>
        <w:trPr/>
        <w:tc>
          <w:tcPr>
            <w:tcW w:w="2094" w:type="dxa"/>
            <w:tcBorders/>
            <w:vAlign w:val="center"/>
          </w:tcPr>
          <w:p>
            <w:pPr>
              <w:pStyle w:val="TableContents"/>
              <w:widowControl w:val="false"/>
              <w:suppressLineNumbers/>
              <w:spacing w:before="0" w:after="200"/>
              <w:rPr/>
            </w:pPr>
            <w:r>
              <w:rPr>
                <w:rStyle w:val="Strong"/>
              </w:rPr>
              <w:t>Governance</w:t>
            </w:r>
          </w:p>
        </w:tc>
        <w:tc>
          <w:tcPr>
            <w:tcW w:w="6546" w:type="dxa"/>
            <w:tcBorders/>
            <w:vAlign w:val="center"/>
          </w:tcPr>
          <w:p>
            <w:pPr>
              <w:pStyle w:val="TableContents"/>
              <w:widowControl w:val="false"/>
              <w:suppressLineNumbers/>
              <w:spacing w:before="0" w:after="200"/>
              <w:rPr/>
            </w:pPr>
            <w:r>
              <w:rPr/>
              <w:t>Versioning, review, appeal, incident response, and continuing conformance</w:t>
            </w:r>
          </w:p>
        </w:tc>
      </w:tr>
    </w:tbl>
    <w:p>
      <w:pPr>
        <w:pStyle w:val="BodyText"/>
        <w:spacing w:before="0" w:after="200"/>
        <w:rPr/>
      </w:pPr>
      <w:r>
        <w:rPr/>
        <w:t>A conformance suite should test expected structural and ethical properties rather than assuming one predetermined answer exists for every moral case.</w:t>
      </w:r>
    </w:p>
    <w:p>
      <w:pPr>
        <w:pStyle w:val="Heading4"/>
        <w:ind w:hanging="0" w:left="0"/>
        <w:rPr>
          <w:rFonts w:ascii="Aptos" w:hAnsi="Aptos"/>
          <w:color w:val="auto"/>
          <w:sz w:val="21"/>
          <w:szCs w:val="22"/>
        </w:rPr>
      </w:pPr>
      <w:r>
        <w:rPr/>
        <w:t>Permissible implementation variation</w:t>
      </w:r>
    </w:p>
    <w:tbl>
      <w:tblPr>
        <w:tblW w:w="8640" w:type="dxa"/>
        <w:jc w:val="left"/>
        <w:tblInd w:w="28" w:type="dxa"/>
        <w:tblLayout w:type="fixed"/>
        <w:tblCellMar>
          <w:top w:w="28" w:type="dxa"/>
          <w:left w:w="28" w:type="dxa"/>
          <w:bottom w:w="28" w:type="dxa"/>
          <w:right w:w="28" w:type="dxa"/>
        </w:tblCellMar>
      </w:tblPr>
      <w:tblGrid>
        <w:gridCol w:w="3348"/>
        <w:gridCol w:w="2700"/>
        <w:gridCol w:w="2592"/>
      </w:tblGrid>
      <w:tr>
        <w:trPr>
          <w:tblHeader w:val="true"/>
        </w:trPr>
        <w:tc>
          <w:tcPr>
            <w:tcW w:w="3348" w:type="dxa"/>
            <w:tcBorders/>
            <w:vAlign w:val="center"/>
          </w:tcPr>
          <w:p>
            <w:pPr>
              <w:pStyle w:val="TableHeading"/>
              <w:suppressLineNumbers/>
              <w:spacing w:before="0" w:after="200"/>
              <w:jc w:val="center"/>
              <w:rPr/>
            </w:pPr>
            <w:r>
              <w:rPr/>
              <w:t>Variation class</w:t>
            </w:r>
          </w:p>
        </w:tc>
        <w:tc>
          <w:tcPr>
            <w:tcW w:w="2700" w:type="dxa"/>
            <w:tcBorders/>
            <w:vAlign w:val="center"/>
          </w:tcPr>
          <w:p>
            <w:pPr>
              <w:pStyle w:val="TableHeading"/>
              <w:suppressLineNumbers/>
              <w:spacing w:before="0" w:after="200"/>
              <w:jc w:val="center"/>
              <w:rPr/>
            </w:pPr>
            <w:r>
              <w:rPr/>
              <w:t>Examples</w:t>
            </w:r>
          </w:p>
        </w:tc>
        <w:tc>
          <w:tcPr>
            <w:tcW w:w="2592" w:type="dxa"/>
            <w:tcBorders/>
            <w:vAlign w:val="center"/>
          </w:tcPr>
          <w:p>
            <w:pPr>
              <w:pStyle w:val="TableHeading"/>
              <w:suppressLineNumbers/>
              <w:spacing w:before="0" w:after="200"/>
              <w:jc w:val="center"/>
              <w:rPr/>
            </w:pPr>
            <w:r>
              <w:rPr/>
              <w:t>Treatment</w:t>
            </w:r>
          </w:p>
        </w:tc>
      </w:tr>
      <w:tr>
        <w:trPr/>
        <w:tc>
          <w:tcPr>
            <w:tcW w:w="3348" w:type="dxa"/>
            <w:tcBorders/>
            <w:vAlign w:val="center"/>
          </w:tcPr>
          <w:p>
            <w:pPr>
              <w:pStyle w:val="TableContents"/>
              <w:widowControl w:val="false"/>
              <w:suppressLineNumbers/>
              <w:spacing w:before="0" w:after="200"/>
              <w:rPr/>
            </w:pPr>
            <w:r>
              <w:rPr>
                <w:rStyle w:val="Strong"/>
              </w:rPr>
              <w:t>Invariant</w:t>
            </w:r>
          </w:p>
        </w:tc>
        <w:tc>
          <w:tcPr>
            <w:tcW w:w="2700" w:type="dxa"/>
            <w:tcBorders/>
            <w:vAlign w:val="center"/>
          </w:tcPr>
          <w:p>
            <w:pPr>
              <w:pStyle w:val="TableContents"/>
              <w:widowControl w:val="false"/>
              <w:suppressLineNumbers/>
              <w:spacing w:before="0" w:after="200"/>
              <w:rPr/>
            </w:pPr>
            <w:r>
              <w:rPr/>
              <w:t>Foundational commitments, required assessment axes, provenance, uncertainty disclosure, protected minimums</w:t>
            </w:r>
          </w:p>
        </w:tc>
        <w:tc>
          <w:tcPr>
            <w:tcW w:w="2592" w:type="dxa"/>
            <w:tcBorders/>
            <w:vAlign w:val="center"/>
          </w:tcPr>
          <w:p>
            <w:pPr>
              <w:pStyle w:val="TableContents"/>
              <w:widowControl w:val="false"/>
              <w:suppressLineNumbers/>
              <w:spacing w:before="0" w:after="200"/>
              <w:rPr/>
            </w:pPr>
            <w:r>
              <w:rPr/>
              <w:t>May not vary within the same framework version</w:t>
            </w:r>
          </w:p>
        </w:tc>
      </w:tr>
      <w:tr>
        <w:trPr/>
        <w:tc>
          <w:tcPr>
            <w:tcW w:w="3348" w:type="dxa"/>
            <w:tcBorders/>
            <w:vAlign w:val="center"/>
          </w:tcPr>
          <w:p>
            <w:pPr>
              <w:pStyle w:val="TableContents"/>
              <w:widowControl w:val="false"/>
              <w:suppressLineNumbers/>
              <w:spacing w:before="0" w:after="200"/>
              <w:rPr/>
            </w:pPr>
            <w:r>
              <w:rPr>
                <w:rStyle w:val="Strong"/>
              </w:rPr>
              <w:t>Profile-governed</w:t>
            </w:r>
          </w:p>
        </w:tc>
        <w:tc>
          <w:tcPr>
            <w:tcW w:w="2700" w:type="dxa"/>
            <w:tcBorders/>
            <w:vAlign w:val="center"/>
          </w:tcPr>
          <w:p>
            <w:pPr>
              <w:pStyle w:val="TableContents"/>
              <w:widowControl w:val="false"/>
              <w:suppressLineNumbers/>
              <w:spacing w:before="0" w:after="200"/>
              <w:rPr/>
            </w:pPr>
            <w:r>
              <w:rPr/>
              <w:t>Capability lists, ecological indicators, thresholds, jurisdictional rules, domain evidence</w:t>
            </w:r>
          </w:p>
        </w:tc>
        <w:tc>
          <w:tcPr>
            <w:tcW w:w="2592" w:type="dxa"/>
            <w:tcBorders/>
            <w:vAlign w:val="center"/>
          </w:tcPr>
          <w:p>
            <w:pPr>
              <w:pStyle w:val="TableContents"/>
              <w:widowControl w:val="false"/>
              <w:suppressLineNumbers/>
              <w:spacing w:before="0" w:after="200"/>
              <w:rPr/>
            </w:pPr>
            <w:r>
              <w:rPr/>
              <w:t>May vary only through a declared and governed profile</w:t>
            </w:r>
          </w:p>
        </w:tc>
      </w:tr>
      <w:tr>
        <w:trPr/>
        <w:tc>
          <w:tcPr>
            <w:tcW w:w="3348" w:type="dxa"/>
            <w:tcBorders/>
            <w:vAlign w:val="center"/>
          </w:tcPr>
          <w:p>
            <w:pPr>
              <w:pStyle w:val="TableContents"/>
              <w:widowControl w:val="false"/>
              <w:suppressLineNumbers/>
              <w:spacing w:before="0" w:after="200"/>
              <w:rPr/>
            </w:pPr>
            <w:r>
              <w:rPr>
                <w:rStyle w:val="Strong"/>
              </w:rPr>
              <w:t>Implementation-discretionary</w:t>
            </w:r>
          </w:p>
        </w:tc>
        <w:tc>
          <w:tcPr>
            <w:tcW w:w="2700" w:type="dxa"/>
            <w:tcBorders/>
            <w:vAlign w:val="center"/>
          </w:tcPr>
          <w:p>
            <w:pPr>
              <w:pStyle w:val="TableContents"/>
              <w:widowControl w:val="false"/>
              <w:suppressLineNumbers/>
              <w:spacing w:before="0" w:after="200"/>
              <w:rPr/>
            </w:pPr>
            <w:r>
              <w:rPr/>
              <w:t>Programming language, storage engine, user interface, numerical solver</w:t>
            </w:r>
          </w:p>
        </w:tc>
        <w:tc>
          <w:tcPr>
            <w:tcW w:w="2592" w:type="dxa"/>
            <w:tcBorders/>
            <w:vAlign w:val="center"/>
          </w:tcPr>
          <w:p>
            <w:pPr>
              <w:pStyle w:val="TableContents"/>
              <w:widowControl w:val="false"/>
              <w:suppressLineNumbers/>
              <w:spacing w:before="0" w:after="200"/>
              <w:rPr/>
            </w:pPr>
            <w:r>
              <w:rPr/>
              <w:t>May vary if required semantics and outputs are preserved</w:t>
            </w:r>
          </w:p>
        </w:tc>
      </w:tr>
      <w:tr>
        <w:trPr/>
        <w:tc>
          <w:tcPr>
            <w:tcW w:w="3348" w:type="dxa"/>
            <w:tcBorders/>
            <w:vAlign w:val="center"/>
          </w:tcPr>
          <w:p>
            <w:pPr>
              <w:pStyle w:val="TableContents"/>
              <w:widowControl w:val="false"/>
              <w:suppressLineNumbers/>
              <w:spacing w:before="0" w:after="200"/>
              <w:rPr/>
            </w:pPr>
            <w:r>
              <w:rPr>
                <w:rStyle w:val="Strong"/>
              </w:rPr>
              <w:t>Material divergence</w:t>
            </w:r>
          </w:p>
        </w:tc>
        <w:tc>
          <w:tcPr>
            <w:tcW w:w="2700" w:type="dxa"/>
            <w:tcBorders/>
            <w:vAlign w:val="center"/>
          </w:tcPr>
          <w:p>
            <w:pPr>
              <w:pStyle w:val="TableContents"/>
              <w:widowControl w:val="false"/>
              <w:suppressLineNumbers/>
              <w:spacing w:before="0" w:after="200"/>
              <w:rPr/>
            </w:pPr>
            <w:r>
              <w:rPr/>
              <w:t>Different standing criteria, hidden weights, omitted axes, altered prohibitions, incompatible output meanings</w:t>
            </w:r>
          </w:p>
        </w:tc>
        <w:tc>
          <w:tcPr>
            <w:tcW w:w="2592" w:type="dxa"/>
            <w:tcBorders/>
            <w:vAlign w:val="center"/>
          </w:tcPr>
          <w:p>
            <w:pPr>
              <w:pStyle w:val="TableContents"/>
              <w:widowControl w:val="false"/>
              <w:suppressLineNumbers/>
              <w:spacing w:before="0" w:after="200"/>
              <w:rPr/>
            </w:pPr>
            <w:r>
              <w:rPr/>
              <w:t>Must be disclosed as a different framework variant or nonconforming implementation</w:t>
            </w:r>
          </w:p>
        </w:tc>
      </w:tr>
    </w:tbl>
    <w:p>
      <w:pPr>
        <w:pStyle w:val="BodyText"/>
        <w:spacing w:before="0" w:after="200"/>
        <w:rPr/>
      </w:pPr>
      <w:r>
        <w:rPr/>
        <w:t>Two implementations should not be considered ethically equivalent merely because both follow the same architectural diagram.</w:t>
      </w:r>
    </w:p>
    <w:p>
      <w:pPr>
        <w:pStyle w:val="Heading4"/>
        <w:ind w:hanging="0" w:left="0"/>
        <w:rPr>
          <w:rFonts w:ascii="Aptos" w:hAnsi="Aptos"/>
          <w:color w:val="auto"/>
          <w:sz w:val="21"/>
          <w:szCs w:val="22"/>
        </w:rPr>
      </w:pPr>
      <w:bookmarkStart w:id="3" w:name="__RefHeading___Toc23509_3508477456"/>
      <w:bookmarkEnd w:id="3"/>
      <w:r>
        <w:rPr/>
        <w:t>Approximation error-budget record</w:t>
      </w:r>
    </w:p>
    <w:p>
      <w:pPr>
        <w:pStyle w:val="BodyText"/>
        <w:spacing w:before="0" w:after="200"/>
        <w:rPr/>
      </w:pPr>
      <w:r>
        <w:rPr/>
        <w:t>Every material approximation should identify:</w:t>
      </w:r>
    </w:p>
    <w:p>
      <w:pPr>
        <w:pStyle w:val="BodyText"/>
        <w:numPr>
          <w:ilvl w:val="0"/>
          <w:numId w:val="169"/>
        </w:numPr>
        <w:tabs>
          <w:tab w:val="clear" w:pos="720"/>
          <w:tab w:val="left" w:pos="0" w:leader="none"/>
        </w:tabs>
        <w:spacing w:before="0" w:after="0"/>
        <w:ind w:hanging="283" w:left="709"/>
        <w:rPr/>
      </w:pPr>
      <w:r>
        <w:rPr/>
        <w:t xml:space="preserve">Approximation type and purpose; </w:t>
      </w:r>
    </w:p>
    <w:p>
      <w:pPr>
        <w:pStyle w:val="BodyText"/>
        <w:numPr>
          <w:ilvl w:val="0"/>
          <w:numId w:val="169"/>
        </w:numPr>
        <w:tabs>
          <w:tab w:val="clear" w:pos="720"/>
          <w:tab w:val="left" w:pos="0" w:leader="none"/>
        </w:tabs>
        <w:spacing w:before="0" w:after="0"/>
        <w:ind w:hanging="283" w:left="709"/>
        <w:rPr/>
      </w:pPr>
      <w:r>
        <w:rPr/>
        <w:t xml:space="preserve">Component or dataset affected; </w:t>
      </w:r>
    </w:p>
    <w:p>
      <w:pPr>
        <w:pStyle w:val="BodyText"/>
        <w:numPr>
          <w:ilvl w:val="0"/>
          <w:numId w:val="169"/>
        </w:numPr>
        <w:tabs>
          <w:tab w:val="clear" w:pos="720"/>
          <w:tab w:val="left" w:pos="0" w:leader="none"/>
        </w:tabs>
        <w:spacing w:before="0" w:after="0"/>
        <w:ind w:hanging="283" w:left="709"/>
        <w:rPr/>
      </w:pPr>
      <w:r>
        <w:rPr/>
        <w:t xml:space="preserve">Entities and assessment axes exposed; </w:t>
      </w:r>
    </w:p>
    <w:p>
      <w:pPr>
        <w:pStyle w:val="BodyText"/>
        <w:numPr>
          <w:ilvl w:val="0"/>
          <w:numId w:val="169"/>
        </w:numPr>
        <w:tabs>
          <w:tab w:val="clear" w:pos="720"/>
          <w:tab w:val="left" w:pos="0" w:leader="none"/>
        </w:tabs>
        <w:spacing w:before="0" w:after="0"/>
        <w:ind w:hanging="283" w:left="709"/>
        <w:rPr/>
      </w:pPr>
      <w:r>
        <w:rPr/>
        <w:t xml:space="preserve">Expected magnitude and direction of error; </w:t>
      </w:r>
    </w:p>
    <w:p>
      <w:pPr>
        <w:pStyle w:val="BodyText"/>
        <w:numPr>
          <w:ilvl w:val="0"/>
          <w:numId w:val="169"/>
        </w:numPr>
        <w:tabs>
          <w:tab w:val="clear" w:pos="720"/>
          <w:tab w:val="left" w:pos="0" w:leader="none"/>
        </w:tabs>
        <w:spacing w:before="0" w:after="0"/>
        <w:ind w:hanging="283" w:left="709"/>
        <w:rPr/>
      </w:pPr>
      <w:r>
        <w:rPr/>
        <w:t xml:space="preserve">Correlation with other errors; </w:t>
      </w:r>
    </w:p>
    <w:p>
      <w:pPr>
        <w:pStyle w:val="BodyText"/>
        <w:numPr>
          <w:ilvl w:val="0"/>
          <w:numId w:val="169"/>
        </w:numPr>
        <w:tabs>
          <w:tab w:val="clear" w:pos="720"/>
          <w:tab w:val="left" w:pos="0" w:leader="none"/>
        </w:tabs>
        <w:spacing w:before="0" w:after="0"/>
        <w:ind w:hanging="283" w:left="709"/>
        <w:rPr/>
      </w:pPr>
      <w:r>
        <w:rPr/>
        <w:t xml:space="preserve">Effect across time horizons; </w:t>
      </w:r>
    </w:p>
    <w:p>
      <w:pPr>
        <w:pStyle w:val="BodyText"/>
        <w:numPr>
          <w:ilvl w:val="0"/>
          <w:numId w:val="169"/>
        </w:numPr>
        <w:tabs>
          <w:tab w:val="clear" w:pos="720"/>
          <w:tab w:val="left" w:pos="0" w:leader="none"/>
        </w:tabs>
        <w:spacing w:before="0" w:after="0"/>
        <w:ind w:hanging="283" w:left="709"/>
        <w:rPr/>
      </w:pPr>
      <w:r>
        <w:rPr/>
        <w:t xml:space="preserve">Proximity to thresholds or tipping points; </w:t>
      </w:r>
    </w:p>
    <w:p>
      <w:pPr>
        <w:pStyle w:val="BodyText"/>
        <w:numPr>
          <w:ilvl w:val="0"/>
          <w:numId w:val="169"/>
        </w:numPr>
        <w:tabs>
          <w:tab w:val="clear" w:pos="720"/>
          <w:tab w:val="left" w:pos="0" w:leader="none"/>
        </w:tabs>
        <w:spacing w:before="0" w:after="0"/>
        <w:ind w:hanging="283" w:left="709"/>
        <w:rPr/>
      </w:pPr>
      <w:r>
        <w:rPr/>
        <w:t xml:space="preserve">Probability of changing the decision classification; </w:t>
      </w:r>
    </w:p>
    <w:p>
      <w:pPr>
        <w:pStyle w:val="BodyText"/>
        <w:numPr>
          <w:ilvl w:val="0"/>
          <w:numId w:val="169"/>
        </w:numPr>
        <w:tabs>
          <w:tab w:val="clear" w:pos="720"/>
          <w:tab w:val="left" w:pos="0" w:leader="none"/>
        </w:tabs>
        <w:spacing w:before="0" w:after="0"/>
        <w:ind w:hanging="283" w:left="709"/>
        <w:rPr/>
      </w:pPr>
      <w:r>
        <w:rPr/>
        <w:t xml:space="preserve">Validation or comparison method; </w:t>
      </w:r>
    </w:p>
    <w:p>
      <w:pPr>
        <w:pStyle w:val="BodyText"/>
        <w:numPr>
          <w:ilvl w:val="0"/>
          <w:numId w:val="169"/>
        </w:numPr>
        <w:tabs>
          <w:tab w:val="clear" w:pos="720"/>
          <w:tab w:val="left" w:pos="0" w:leader="none"/>
        </w:tabs>
        <w:spacing w:before="0" w:after="0"/>
        <w:ind w:hanging="283" w:left="709"/>
        <w:rPr/>
      </w:pPr>
      <w:r>
        <w:rPr/>
        <w:t xml:space="preserve">Mitigation and monitoring; </w:t>
      </w:r>
    </w:p>
    <w:p>
      <w:pPr>
        <w:pStyle w:val="BodyText"/>
        <w:numPr>
          <w:ilvl w:val="0"/>
          <w:numId w:val="169"/>
        </w:numPr>
        <w:tabs>
          <w:tab w:val="clear" w:pos="720"/>
          <w:tab w:val="left" w:pos="0" w:leader="none"/>
        </w:tabs>
        <w:spacing w:before="0" w:after="0"/>
        <w:ind w:hanging="283" w:left="709"/>
        <w:rPr/>
      </w:pPr>
      <w:r>
        <w:rPr/>
        <w:t xml:space="preserve">Responsible owner; and </w:t>
      </w:r>
    </w:p>
    <w:p>
      <w:pPr>
        <w:pStyle w:val="BodyText"/>
        <w:numPr>
          <w:ilvl w:val="0"/>
          <w:numId w:val="169"/>
        </w:numPr>
        <w:tabs>
          <w:tab w:val="clear" w:pos="720"/>
          <w:tab w:val="left" w:pos="0" w:leader="none"/>
        </w:tabs>
        <w:ind w:hanging="283" w:left="709"/>
        <w:rPr/>
      </w:pPr>
      <w:r>
        <w:rPr/>
        <w:t xml:space="preserve">Maximum permitted use. </w:t>
      </w:r>
    </w:p>
    <w:p>
      <w:pPr>
        <w:pStyle w:val="BodyText"/>
        <w:spacing w:before="0" w:after="200"/>
        <w:rPr/>
      </w:pPr>
      <w:r>
        <w:rPr/>
        <w:t>If the approximation could plausibly change a decision from permissible to impermissible—or reverse a protected-minimum finding—the implementation should improve the analysis, escalate review, or report the conclusion as unstable.</w:t>
      </w:r>
    </w:p>
    <w:p>
      <w:pPr>
        <w:pStyle w:val="Heading4"/>
        <w:ind w:hanging="0" w:left="0"/>
        <w:rPr>
          <w:rFonts w:ascii="Aptos" w:hAnsi="Aptos"/>
          <w:color w:val="auto"/>
          <w:sz w:val="21"/>
          <w:szCs w:val="22"/>
        </w:rPr>
      </w:pPr>
      <w:r>
        <w:rPr/>
        <w:t>Minimum evidence tiers</w:t>
      </w:r>
    </w:p>
    <w:tbl>
      <w:tblPr>
        <w:tblW w:w="8640" w:type="dxa"/>
        <w:jc w:val="left"/>
        <w:tblInd w:w="28" w:type="dxa"/>
        <w:tblLayout w:type="fixed"/>
        <w:tblCellMar>
          <w:top w:w="28" w:type="dxa"/>
          <w:left w:w="28" w:type="dxa"/>
          <w:bottom w:w="28" w:type="dxa"/>
          <w:right w:w="28" w:type="dxa"/>
        </w:tblCellMar>
      </w:tblPr>
      <w:tblGrid>
        <w:gridCol w:w="1893"/>
        <w:gridCol w:w="2913"/>
        <w:gridCol w:w="3834"/>
      </w:tblGrid>
      <w:tr>
        <w:trPr>
          <w:tblHeader w:val="true"/>
        </w:trPr>
        <w:tc>
          <w:tcPr>
            <w:tcW w:w="1893" w:type="dxa"/>
            <w:tcBorders/>
            <w:vAlign w:val="center"/>
          </w:tcPr>
          <w:p>
            <w:pPr>
              <w:pStyle w:val="TableHeading"/>
              <w:suppressLineNumbers/>
              <w:spacing w:before="0" w:after="200"/>
              <w:jc w:val="center"/>
              <w:rPr/>
            </w:pPr>
            <w:r>
              <w:rPr/>
              <w:t>Tier</w:t>
            </w:r>
          </w:p>
        </w:tc>
        <w:tc>
          <w:tcPr>
            <w:tcW w:w="2913" w:type="dxa"/>
            <w:tcBorders/>
            <w:vAlign w:val="center"/>
          </w:tcPr>
          <w:p>
            <w:pPr>
              <w:pStyle w:val="TableHeading"/>
              <w:suppressLineNumbers/>
              <w:spacing w:before="0" w:after="200"/>
              <w:jc w:val="center"/>
              <w:rPr/>
            </w:pPr>
            <w:r>
              <w:rPr/>
              <w:t>Intended use</w:t>
            </w:r>
          </w:p>
        </w:tc>
        <w:tc>
          <w:tcPr>
            <w:tcW w:w="3834" w:type="dxa"/>
            <w:tcBorders/>
            <w:vAlign w:val="center"/>
          </w:tcPr>
          <w:p>
            <w:pPr>
              <w:pStyle w:val="TableHeading"/>
              <w:suppressLineNumbers/>
              <w:spacing w:before="0" w:after="200"/>
              <w:jc w:val="center"/>
              <w:rPr/>
            </w:pPr>
            <w:r>
              <w:rPr/>
              <w:t>Minimum conclusion</w:t>
            </w:r>
          </w:p>
        </w:tc>
      </w:tr>
      <w:tr>
        <w:trPr/>
        <w:tc>
          <w:tcPr>
            <w:tcW w:w="1893" w:type="dxa"/>
            <w:tcBorders/>
            <w:vAlign w:val="center"/>
          </w:tcPr>
          <w:p>
            <w:pPr>
              <w:pStyle w:val="TableContents"/>
              <w:widowControl w:val="false"/>
              <w:suppressLineNumbers/>
              <w:spacing w:before="0" w:after="200"/>
              <w:rPr/>
            </w:pPr>
            <w:r>
              <w:rPr>
                <w:rStyle w:val="Strong"/>
              </w:rPr>
              <w:t>Exploratory</w:t>
            </w:r>
          </w:p>
        </w:tc>
        <w:tc>
          <w:tcPr>
            <w:tcW w:w="2913" w:type="dxa"/>
            <w:tcBorders/>
            <w:vAlign w:val="center"/>
          </w:tcPr>
          <w:p>
            <w:pPr>
              <w:pStyle w:val="TableContents"/>
              <w:widowControl w:val="false"/>
              <w:suppressLineNumbers/>
              <w:spacing w:before="0" w:after="200"/>
              <w:rPr/>
            </w:pPr>
            <w:r>
              <w:rPr/>
              <w:t>Hypothesis formation and early analysis</w:t>
            </w:r>
          </w:p>
        </w:tc>
        <w:tc>
          <w:tcPr>
            <w:tcW w:w="3834" w:type="dxa"/>
            <w:tcBorders/>
            <w:vAlign w:val="center"/>
          </w:tcPr>
          <w:p>
            <w:pPr>
              <w:pStyle w:val="TableContents"/>
              <w:widowControl w:val="false"/>
              <w:suppressLineNumbers/>
              <w:spacing w:before="0" w:after="200"/>
              <w:rPr/>
            </w:pPr>
            <w:r>
              <w:rPr/>
              <w:t>No operational moral authorization</w:t>
            </w:r>
          </w:p>
        </w:tc>
      </w:tr>
      <w:tr>
        <w:trPr/>
        <w:tc>
          <w:tcPr>
            <w:tcW w:w="1893" w:type="dxa"/>
            <w:tcBorders/>
            <w:vAlign w:val="center"/>
          </w:tcPr>
          <w:p>
            <w:pPr>
              <w:pStyle w:val="TableContents"/>
              <w:widowControl w:val="false"/>
              <w:suppressLineNumbers/>
              <w:spacing w:before="0" w:after="200"/>
              <w:rPr/>
            </w:pPr>
            <w:r>
              <w:rPr>
                <w:rStyle w:val="Strong"/>
              </w:rPr>
              <w:t>Advisory</w:t>
            </w:r>
          </w:p>
        </w:tc>
        <w:tc>
          <w:tcPr>
            <w:tcW w:w="2913" w:type="dxa"/>
            <w:tcBorders/>
            <w:vAlign w:val="center"/>
          </w:tcPr>
          <w:p>
            <w:pPr>
              <w:pStyle w:val="TableContents"/>
              <w:widowControl w:val="false"/>
              <w:suppressLineNumbers/>
              <w:spacing w:before="0" w:after="200"/>
              <w:rPr/>
            </w:pPr>
            <w:r>
              <w:rPr/>
              <w:t>Low-stakes, reversible decision support</w:t>
            </w:r>
          </w:p>
        </w:tc>
        <w:tc>
          <w:tcPr>
            <w:tcW w:w="3834" w:type="dxa"/>
            <w:tcBorders/>
            <w:vAlign w:val="center"/>
          </w:tcPr>
          <w:p>
            <w:pPr>
              <w:pStyle w:val="TableContents"/>
              <w:widowControl w:val="false"/>
              <w:suppressLineNumbers/>
              <w:spacing w:before="0" w:after="200"/>
              <w:rPr/>
            </w:pPr>
            <w:r>
              <w:rPr/>
              <w:t>Conditional recommendation with disclosed limitations</w:t>
            </w:r>
          </w:p>
        </w:tc>
      </w:tr>
      <w:tr>
        <w:trPr/>
        <w:tc>
          <w:tcPr>
            <w:tcW w:w="1893" w:type="dxa"/>
            <w:tcBorders/>
            <w:vAlign w:val="center"/>
          </w:tcPr>
          <w:p>
            <w:pPr>
              <w:pStyle w:val="TableContents"/>
              <w:widowControl w:val="false"/>
              <w:suppressLineNumbers/>
              <w:spacing w:before="0" w:after="200"/>
              <w:rPr/>
            </w:pPr>
            <w:r>
              <w:rPr>
                <w:rStyle w:val="Strong"/>
              </w:rPr>
              <w:t>Operational</w:t>
            </w:r>
          </w:p>
        </w:tc>
        <w:tc>
          <w:tcPr>
            <w:tcW w:w="2913" w:type="dxa"/>
            <w:tcBorders/>
            <w:vAlign w:val="center"/>
          </w:tcPr>
          <w:p>
            <w:pPr>
              <w:pStyle w:val="TableContents"/>
              <w:widowControl w:val="false"/>
              <w:suppressLineNumbers/>
              <w:spacing w:before="0" w:after="200"/>
              <w:rPr/>
            </w:pPr>
            <w:r>
              <w:rPr/>
              <w:t>Material but monitorable decisions</w:t>
            </w:r>
          </w:p>
        </w:tc>
        <w:tc>
          <w:tcPr>
            <w:tcW w:w="3834" w:type="dxa"/>
            <w:tcBorders/>
            <w:vAlign w:val="center"/>
          </w:tcPr>
          <w:p>
            <w:pPr>
              <w:pStyle w:val="TableContents"/>
              <w:widowControl w:val="false"/>
              <w:suppressLineNumbers/>
              <w:spacing w:before="0" w:after="200"/>
              <w:rPr/>
            </w:pPr>
            <w:r>
              <w:rPr/>
              <w:t>Full provenance, alternatives, affected-entity coverage, and sensitivity testing</w:t>
            </w:r>
          </w:p>
        </w:tc>
      </w:tr>
      <w:tr>
        <w:trPr/>
        <w:tc>
          <w:tcPr>
            <w:tcW w:w="1893" w:type="dxa"/>
            <w:tcBorders/>
            <w:vAlign w:val="center"/>
          </w:tcPr>
          <w:p>
            <w:pPr>
              <w:pStyle w:val="TableContents"/>
              <w:widowControl w:val="false"/>
              <w:suppressLineNumbers/>
              <w:spacing w:before="0" w:after="200"/>
              <w:rPr/>
            </w:pPr>
            <w:r>
              <w:rPr>
                <w:rStyle w:val="Strong"/>
              </w:rPr>
              <w:t>High-stakes</w:t>
            </w:r>
          </w:p>
        </w:tc>
        <w:tc>
          <w:tcPr>
            <w:tcW w:w="2913" w:type="dxa"/>
            <w:tcBorders/>
            <w:vAlign w:val="center"/>
          </w:tcPr>
          <w:p>
            <w:pPr>
              <w:pStyle w:val="TableContents"/>
              <w:widowControl w:val="false"/>
              <w:suppressLineNumbers/>
              <w:spacing w:before="0" w:after="200"/>
              <w:rPr/>
            </w:pPr>
            <w:r>
              <w:rPr/>
              <w:t>Serious rights, capability, ecological, or institutional effects</w:t>
            </w:r>
          </w:p>
        </w:tc>
        <w:tc>
          <w:tcPr>
            <w:tcW w:w="3834" w:type="dxa"/>
            <w:tcBorders/>
            <w:vAlign w:val="center"/>
          </w:tcPr>
          <w:p>
            <w:pPr>
              <w:pStyle w:val="TableContents"/>
              <w:widowControl w:val="false"/>
              <w:suppressLineNumbers/>
              <w:spacing w:before="0" w:after="200"/>
              <w:rPr/>
            </w:pPr>
            <w:r>
              <w:rPr/>
              <w:t>Independent review, competing models, stronger evidence, and enforceable monitoring</w:t>
            </w:r>
          </w:p>
        </w:tc>
      </w:tr>
      <w:tr>
        <w:trPr/>
        <w:tc>
          <w:tcPr>
            <w:tcW w:w="1893" w:type="dxa"/>
            <w:tcBorders/>
            <w:vAlign w:val="center"/>
          </w:tcPr>
          <w:p>
            <w:pPr>
              <w:pStyle w:val="TableContents"/>
              <w:widowControl w:val="false"/>
              <w:suppressLineNumbers/>
              <w:spacing w:before="0" w:after="200"/>
              <w:rPr/>
            </w:pPr>
            <w:r>
              <w:rPr>
                <w:rStyle w:val="Strong"/>
              </w:rPr>
              <w:t>Irreversible or catastrophic</w:t>
            </w:r>
          </w:p>
        </w:tc>
        <w:tc>
          <w:tcPr>
            <w:tcW w:w="2913" w:type="dxa"/>
            <w:tcBorders/>
            <w:vAlign w:val="center"/>
          </w:tcPr>
          <w:p>
            <w:pPr>
              <w:pStyle w:val="TableContents"/>
              <w:widowControl w:val="false"/>
              <w:suppressLineNumbers/>
              <w:spacing w:before="0" w:after="200"/>
              <w:rPr/>
            </w:pPr>
            <w:r>
              <w:rPr/>
              <w:t>Potential permanent or civilization-scale effects</w:t>
            </w:r>
          </w:p>
        </w:tc>
        <w:tc>
          <w:tcPr>
            <w:tcW w:w="3834" w:type="dxa"/>
            <w:tcBorders/>
            <w:vAlign w:val="center"/>
          </w:tcPr>
          <w:p>
            <w:pPr>
              <w:pStyle w:val="TableContents"/>
              <w:widowControl w:val="false"/>
              <w:suppressLineNumbers/>
              <w:spacing w:before="0" w:after="200"/>
              <w:rPr/>
            </w:pPr>
            <w:r>
              <w:rPr/>
              <w:t>Highest evidence burden, adversarial testing, protected constraints, and explicit authority</w:t>
            </w:r>
          </w:p>
        </w:tc>
      </w:tr>
    </w:tbl>
    <w:p>
      <w:pPr>
        <w:pStyle w:val="Heading4"/>
        <w:ind w:hanging="0" w:left="0"/>
        <w:rPr>
          <w:rFonts w:ascii="Aptos" w:hAnsi="Aptos"/>
          <w:color w:val="auto"/>
          <w:sz w:val="21"/>
          <w:szCs w:val="22"/>
        </w:rPr>
      </w:pPr>
      <w:r>
        <w:rPr/>
        <w:t>Reproducibility requirements</w:t>
      </w:r>
    </w:p>
    <w:p>
      <w:pPr>
        <w:pStyle w:val="BodyText"/>
        <w:spacing w:before="0" w:after="200"/>
        <w:rPr/>
      </w:pPr>
      <w:r>
        <w:rPr/>
        <w:t>A reproducible assessment should preserve:</w:t>
      </w:r>
    </w:p>
    <w:p>
      <w:pPr>
        <w:pStyle w:val="BodyText"/>
        <w:numPr>
          <w:ilvl w:val="0"/>
          <w:numId w:val="170"/>
        </w:numPr>
        <w:tabs>
          <w:tab w:val="clear" w:pos="720"/>
          <w:tab w:val="left" w:pos="0" w:leader="none"/>
        </w:tabs>
        <w:spacing w:before="0" w:after="0"/>
        <w:ind w:hanging="283" w:left="709"/>
        <w:rPr/>
      </w:pPr>
      <w:r>
        <w:rPr/>
        <w:t xml:space="preserve">Framework and ethical-profile versions; </w:t>
      </w:r>
    </w:p>
    <w:p>
      <w:pPr>
        <w:pStyle w:val="BodyText"/>
        <w:numPr>
          <w:ilvl w:val="0"/>
          <w:numId w:val="170"/>
        </w:numPr>
        <w:tabs>
          <w:tab w:val="clear" w:pos="720"/>
          <w:tab w:val="left" w:pos="0" w:leader="none"/>
        </w:tabs>
        <w:spacing w:before="0" w:after="0"/>
        <w:ind w:hanging="283" w:left="709"/>
        <w:rPr/>
      </w:pPr>
      <w:r>
        <w:rPr/>
        <w:t xml:space="preserve">Input-data identifiers and collection dates; </w:t>
      </w:r>
    </w:p>
    <w:p>
      <w:pPr>
        <w:pStyle w:val="BodyText"/>
        <w:numPr>
          <w:ilvl w:val="0"/>
          <w:numId w:val="170"/>
        </w:numPr>
        <w:tabs>
          <w:tab w:val="clear" w:pos="720"/>
          <w:tab w:val="left" w:pos="0" w:leader="none"/>
        </w:tabs>
        <w:spacing w:before="0" w:after="0"/>
        <w:ind w:hanging="283" w:left="709"/>
        <w:rPr/>
      </w:pPr>
      <w:r>
        <w:rPr/>
        <w:t xml:space="preserve">Evidence provenance and exclusions; </w:t>
      </w:r>
    </w:p>
    <w:p>
      <w:pPr>
        <w:pStyle w:val="BodyText"/>
        <w:numPr>
          <w:ilvl w:val="0"/>
          <w:numId w:val="170"/>
        </w:numPr>
        <w:tabs>
          <w:tab w:val="clear" w:pos="720"/>
          <w:tab w:val="left" w:pos="0" w:leader="none"/>
        </w:tabs>
        <w:spacing w:before="0" w:after="0"/>
        <w:ind w:hanging="283" w:left="709"/>
        <w:rPr/>
      </w:pPr>
      <w:r>
        <w:rPr/>
        <w:t xml:space="preserve">Boundary and horizon definitions; </w:t>
      </w:r>
    </w:p>
    <w:p>
      <w:pPr>
        <w:pStyle w:val="BodyText"/>
        <w:numPr>
          <w:ilvl w:val="0"/>
          <w:numId w:val="170"/>
        </w:numPr>
        <w:tabs>
          <w:tab w:val="clear" w:pos="720"/>
          <w:tab w:val="left" w:pos="0" w:leader="none"/>
        </w:tabs>
        <w:spacing w:before="0" w:after="0"/>
        <w:ind w:hanging="283" w:left="709"/>
        <w:rPr/>
      </w:pPr>
      <w:r>
        <w:rPr/>
        <w:t xml:space="preserve">Model and algorithm versions; </w:t>
      </w:r>
    </w:p>
    <w:p>
      <w:pPr>
        <w:pStyle w:val="BodyText"/>
        <w:numPr>
          <w:ilvl w:val="0"/>
          <w:numId w:val="170"/>
        </w:numPr>
        <w:tabs>
          <w:tab w:val="clear" w:pos="720"/>
          <w:tab w:val="left" w:pos="0" w:leader="none"/>
        </w:tabs>
        <w:spacing w:before="0" w:after="0"/>
        <w:ind w:hanging="283" w:left="709"/>
        <w:rPr/>
      </w:pPr>
      <w:r>
        <w:rPr/>
        <w:t xml:space="preserve">Parameters, weights, thresholds, and assumptions; </w:t>
      </w:r>
    </w:p>
    <w:p>
      <w:pPr>
        <w:pStyle w:val="BodyText"/>
        <w:numPr>
          <w:ilvl w:val="0"/>
          <w:numId w:val="170"/>
        </w:numPr>
        <w:tabs>
          <w:tab w:val="clear" w:pos="720"/>
          <w:tab w:val="left" w:pos="0" w:leader="none"/>
        </w:tabs>
        <w:spacing w:before="0" w:after="0"/>
        <w:ind w:hanging="283" w:left="709"/>
        <w:rPr/>
      </w:pPr>
      <w:r>
        <w:rPr/>
        <w:t xml:space="preserve">Approximation methods and error budgets; </w:t>
      </w:r>
    </w:p>
    <w:p>
      <w:pPr>
        <w:pStyle w:val="BodyText"/>
        <w:numPr>
          <w:ilvl w:val="0"/>
          <w:numId w:val="170"/>
        </w:numPr>
        <w:tabs>
          <w:tab w:val="clear" w:pos="720"/>
          <w:tab w:val="left" w:pos="0" w:leader="none"/>
        </w:tabs>
        <w:spacing w:before="0" w:after="0"/>
        <w:ind w:hanging="283" w:left="709"/>
        <w:rPr/>
      </w:pPr>
      <w:r>
        <w:rPr/>
        <w:t xml:space="preserve">Random seeds and repeated-run distributions; </w:t>
      </w:r>
    </w:p>
    <w:p>
      <w:pPr>
        <w:pStyle w:val="BodyText"/>
        <w:numPr>
          <w:ilvl w:val="0"/>
          <w:numId w:val="170"/>
        </w:numPr>
        <w:tabs>
          <w:tab w:val="clear" w:pos="720"/>
          <w:tab w:val="left" w:pos="0" w:leader="none"/>
        </w:tabs>
        <w:spacing w:before="0" w:after="0"/>
        <w:ind w:hanging="283" w:left="709"/>
        <w:rPr/>
      </w:pPr>
      <w:r>
        <w:rPr/>
        <w:t xml:space="preserve">Software and computational environment; </w:t>
      </w:r>
    </w:p>
    <w:p>
      <w:pPr>
        <w:pStyle w:val="BodyText"/>
        <w:numPr>
          <w:ilvl w:val="0"/>
          <w:numId w:val="170"/>
        </w:numPr>
        <w:tabs>
          <w:tab w:val="clear" w:pos="720"/>
          <w:tab w:val="left" w:pos="0" w:leader="none"/>
        </w:tabs>
        <w:spacing w:before="0" w:after="0"/>
        <w:ind w:hanging="283" w:left="709"/>
        <w:rPr/>
      </w:pPr>
      <w:r>
        <w:rPr/>
        <w:t xml:space="preserve">Human judgments, overrides, and interpretive decisions; </w:t>
      </w:r>
    </w:p>
    <w:p>
      <w:pPr>
        <w:pStyle w:val="BodyText"/>
        <w:numPr>
          <w:ilvl w:val="0"/>
          <w:numId w:val="170"/>
        </w:numPr>
        <w:tabs>
          <w:tab w:val="clear" w:pos="720"/>
          <w:tab w:val="left" w:pos="0" w:leader="none"/>
        </w:tabs>
        <w:spacing w:before="0" w:after="0"/>
        <w:ind w:hanging="283" w:left="709"/>
        <w:rPr/>
      </w:pPr>
      <w:r>
        <w:rPr/>
        <w:t xml:space="preserve">Intermediate axis-level findings; and </w:t>
      </w:r>
    </w:p>
    <w:p>
      <w:pPr>
        <w:pStyle w:val="BodyText"/>
        <w:numPr>
          <w:ilvl w:val="0"/>
          <w:numId w:val="170"/>
        </w:numPr>
        <w:tabs>
          <w:tab w:val="clear" w:pos="720"/>
          <w:tab w:val="left" w:pos="0" w:leader="none"/>
        </w:tabs>
        <w:ind w:hanging="283" w:left="709"/>
        <w:rPr/>
      </w:pPr>
      <w:r>
        <w:rPr/>
        <w:t xml:space="preserve">Final output and explanation. </w:t>
      </w:r>
    </w:p>
    <w:p>
      <w:pPr>
        <w:pStyle w:val="Heading4"/>
        <w:ind w:hanging="0" w:left="0"/>
        <w:rPr>
          <w:rFonts w:ascii="Aptos" w:hAnsi="Aptos"/>
          <w:color w:val="auto"/>
          <w:sz w:val="21"/>
          <w:szCs w:val="22"/>
        </w:rPr>
      </w:pPr>
      <w:r>
        <w:rPr/>
        <w:t>Rules for implementation divergence</w:t>
      </w:r>
    </w:p>
    <w:p>
      <w:pPr>
        <w:pStyle w:val="BodyText"/>
        <w:spacing w:before="0" w:after="200"/>
        <w:rPr/>
      </w:pPr>
      <w:r>
        <w:rPr/>
        <w:t xml:space="preserve">Implementation variation should be considered </w:t>
      </w:r>
      <w:r>
        <w:rPr>
          <w:rStyle w:val="Strong"/>
        </w:rPr>
        <w:t>material</w:t>
      </w:r>
      <w:r>
        <w:rPr/>
        <w:t xml:space="preserve"> when it changes:</w:t>
      </w:r>
    </w:p>
    <w:p>
      <w:pPr>
        <w:pStyle w:val="BodyText"/>
        <w:numPr>
          <w:ilvl w:val="0"/>
          <w:numId w:val="171"/>
        </w:numPr>
        <w:tabs>
          <w:tab w:val="clear" w:pos="720"/>
          <w:tab w:val="left" w:pos="0" w:leader="none"/>
        </w:tabs>
        <w:spacing w:before="0" w:after="0"/>
        <w:ind w:hanging="283" w:left="709"/>
        <w:rPr/>
      </w:pPr>
      <w:r>
        <w:rPr/>
        <w:t xml:space="preserve">Which entities receive moral consideration; </w:t>
      </w:r>
    </w:p>
    <w:p>
      <w:pPr>
        <w:pStyle w:val="BodyText"/>
        <w:numPr>
          <w:ilvl w:val="0"/>
          <w:numId w:val="171"/>
        </w:numPr>
        <w:tabs>
          <w:tab w:val="clear" w:pos="720"/>
          <w:tab w:val="left" w:pos="0" w:leader="none"/>
        </w:tabs>
        <w:spacing w:before="0" w:after="0"/>
        <w:ind w:hanging="283" w:left="709"/>
        <w:rPr/>
      </w:pPr>
      <w:r>
        <w:rPr/>
        <w:t xml:space="preserve">Whether a protected threshold is crossed; </w:t>
      </w:r>
    </w:p>
    <w:p>
      <w:pPr>
        <w:pStyle w:val="BodyText"/>
        <w:numPr>
          <w:ilvl w:val="0"/>
          <w:numId w:val="171"/>
        </w:numPr>
        <w:tabs>
          <w:tab w:val="clear" w:pos="720"/>
          <w:tab w:val="left" w:pos="0" w:leader="none"/>
        </w:tabs>
        <w:spacing w:before="0" w:after="0"/>
        <w:ind w:hanging="283" w:left="709"/>
        <w:rPr/>
      </w:pPr>
      <w:r>
        <w:rPr/>
        <w:t xml:space="preserve">Whether an action is required, permissible, or prohibited; </w:t>
      </w:r>
    </w:p>
    <w:p>
      <w:pPr>
        <w:pStyle w:val="BodyText"/>
        <w:numPr>
          <w:ilvl w:val="0"/>
          <w:numId w:val="171"/>
        </w:numPr>
        <w:tabs>
          <w:tab w:val="clear" w:pos="720"/>
          <w:tab w:val="left" w:pos="0" w:leader="none"/>
        </w:tabs>
        <w:spacing w:before="0" w:after="0"/>
        <w:ind w:hanging="283" w:left="709"/>
        <w:rPr/>
      </w:pPr>
      <w:r>
        <w:rPr/>
        <w:t xml:space="preserve">Which party is assigned responsibility; </w:t>
      </w:r>
    </w:p>
    <w:p>
      <w:pPr>
        <w:pStyle w:val="BodyText"/>
        <w:numPr>
          <w:ilvl w:val="0"/>
          <w:numId w:val="171"/>
        </w:numPr>
        <w:tabs>
          <w:tab w:val="clear" w:pos="720"/>
          <w:tab w:val="left" w:pos="0" w:leader="none"/>
        </w:tabs>
        <w:spacing w:before="0" w:after="0"/>
        <w:ind w:hanging="283" w:left="709"/>
        <w:rPr/>
      </w:pPr>
      <w:r>
        <w:rPr/>
        <w:t xml:space="preserve">Whether consent or legitimacy is valid; </w:t>
      </w:r>
    </w:p>
    <w:p>
      <w:pPr>
        <w:pStyle w:val="BodyText"/>
        <w:numPr>
          <w:ilvl w:val="0"/>
          <w:numId w:val="171"/>
        </w:numPr>
        <w:tabs>
          <w:tab w:val="clear" w:pos="720"/>
          <w:tab w:val="left" w:pos="0" w:leader="none"/>
        </w:tabs>
        <w:spacing w:before="0" w:after="0"/>
        <w:ind w:hanging="283" w:left="709"/>
        <w:rPr/>
      </w:pPr>
      <w:r>
        <w:rPr/>
        <w:t xml:space="preserve">Whether a transition is beneficial or detrimental; </w:t>
      </w:r>
    </w:p>
    <w:p>
      <w:pPr>
        <w:pStyle w:val="BodyText"/>
        <w:numPr>
          <w:ilvl w:val="0"/>
          <w:numId w:val="171"/>
        </w:numPr>
        <w:tabs>
          <w:tab w:val="clear" w:pos="720"/>
          <w:tab w:val="left" w:pos="0" w:leader="none"/>
        </w:tabs>
        <w:spacing w:before="0" w:after="0"/>
        <w:ind w:hanging="283" w:left="709"/>
        <w:rPr/>
      </w:pPr>
      <w:r>
        <w:rPr/>
        <w:t xml:space="preserve">Whether evidence is sufficient; </w:t>
      </w:r>
    </w:p>
    <w:p>
      <w:pPr>
        <w:pStyle w:val="BodyText"/>
        <w:numPr>
          <w:ilvl w:val="0"/>
          <w:numId w:val="171"/>
        </w:numPr>
        <w:tabs>
          <w:tab w:val="clear" w:pos="720"/>
          <w:tab w:val="left" w:pos="0" w:leader="none"/>
        </w:tabs>
        <w:spacing w:before="0" w:after="0"/>
        <w:ind w:hanging="283" w:left="709"/>
        <w:rPr/>
      </w:pPr>
      <w:r>
        <w:rPr/>
        <w:t xml:space="preserve">Whether escalation or stopping is required; or </w:t>
      </w:r>
    </w:p>
    <w:p>
      <w:pPr>
        <w:pStyle w:val="BodyText"/>
        <w:numPr>
          <w:ilvl w:val="0"/>
          <w:numId w:val="171"/>
        </w:numPr>
        <w:tabs>
          <w:tab w:val="clear" w:pos="720"/>
          <w:tab w:val="left" w:pos="0" w:leader="none"/>
        </w:tabs>
        <w:ind w:hanging="283" w:left="709"/>
        <w:rPr/>
      </w:pPr>
      <w:r>
        <w:rPr/>
        <w:t xml:space="preserve">Which remedies are owed. </w:t>
      </w:r>
    </w:p>
    <w:p>
      <w:pPr>
        <w:pStyle w:val="BodyText"/>
        <w:spacing w:before="0" w:after="200"/>
        <w:rPr/>
      </w:pPr>
      <w:r>
        <w:rPr/>
        <w:t>When materially divergent results occur, the system should not average them. It should identify the source of divergence, classify the conclusion as conditional or unstable, and escalate the normative or architectural question for governance review.</w:t>
      </w:r>
    </w:p>
    <w:p>
      <w:pPr>
        <w:pStyle w:val="BodyText"/>
        <w:spacing w:before="0" w:after="200"/>
        <w:rPr/>
      </w:pPr>
      <w:r>
        <w:rPr/>
        <w:t>The section’s central conclusion should be:</w:t>
      </w:r>
    </w:p>
    <w:p>
      <w:pPr>
        <w:pStyle w:val="BlockQuotation"/>
        <w:spacing w:before="0" w:after="200"/>
        <w:rPr/>
      </w:pPr>
      <w:r>
        <w:rPr/>
        <w:t>Implementation neutrality permits technological diversity, not silent normative variation. A conforming implementation must preserve the framework’s normative kernel, assessment semantics, required axes, evidence standards, and traceability. Approximation is acceptable only when its decision significance is measured and disclosed; if implementation choices can reverse the moral conclusion, the result must be escalated, restricted, or classified as indeterminate.</w:t>
      </w:r>
    </w:p>
    <w:p>
      <w:pPr>
        <w:pStyle w:val="Heading3"/>
        <w:ind w:hanging="0" w:left="0"/>
        <w:rPr/>
      </w:pPr>
      <w:r>
        <w:rPr/>
        <w:t>Validation boundaries and comparative evaluation</w:t>
      </w:r>
    </w:p>
    <w:p>
      <w:pPr>
        <w:pStyle w:val="Normal"/>
        <w:widowControl/>
        <w:bidi w:val="0"/>
        <w:spacing w:lineRule="auto" w:line="276"/>
        <w:jc w:val="left"/>
        <w:rPr/>
      </w:pPr>
      <w:r>
        <w:rPr/>
        <w:t>This section should replace any general claim that the framework has been “validated” with a set of bounded validation claims. The current anticipated counterarguments are valuable internal red-team exercises, but they do not constitute independent philosophical review or empirical validation.</w:t>
      </w:r>
    </w:p>
    <w:p>
      <w:pPr>
        <w:pStyle w:val="Heading4"/>
        <w:ind w:hanging="0" w:left="0"/>
        <w:rPr/>
      </w:pPr>
      <w:r>
        <w:rPr/>
        <w:t>Limitation Statement</w:t>
      </w:r>
    </w:p>
    <w:p>
      <w:pPr>
        <w:pStyle w:val="Normal"/>
        <w:widowControl/>
        <w:bidi w:val="0"/>
        <w:spacing w:lineRule="auto" w:line="276"/>
        <w:jc w:val="left"/>
        <w:rPr/>
      </w:pPr>
      <w:r>
        <w:rPr/>
        <w:t>Explain that conceptual argument, computational verification, empirical calibration, procedural review, and moral justification are different activities and cannot be combined into one general validation claim.</w:t>
      </w:r>
    </w:p>
    <w:p>
      <w:pPr>
        <w:pStyle w:val="Heading4"/>
        <w:ind w:hanging="0" w:left="0"/>
        <w:rPr/>
      </w:pPr>
      <w:r>
        <w:rPr/>
        <w:t>Meaning and Limits of Validation</w:t>
      </w:r>
    </w:p>
    <w:p>
      <w:pPr>
        <w:pStyle w:val="Normal"/>
        <w:widowControl/>
        <w:bidi w:val="0"/>
        <w:spacing w:lineRule="auto" w:line="276"/>
        <w:jc w:val="left"/>
        <w:rPr/>
      </w:pPr>
      <w:r>
        <w:rPr/>
        <w:t>Define what can be tested or supported and what remains a matter of normative argument, interpretation, moral disagreement, and institutional legitimacy.</w:t>
      </w:r>
    </w:p>
    <w:p>
      <w:pPr>
        <w:pStyle w:val="Heading4"/>
        <w:ind w:hanging="0" w:left="0"/>
        <w:rPr/>
      </w:pPr>
      <w:r>
        <w:rPr/>
        <w:t>Verification, Validation, Evaluation, and Review</w:t>
      </w:r>
    </w:p>
    <w:p>
      <w:pPr>
        <w:pStyle w:val="Normal"/>
        <w:widowControl/>
        <w:bidi w:val="0"/>
        <w:spacing w:lineRule="auto" w:line="276"/>
        <w:jc w:val="left"/>
        <w:rPr/>
      </w:pPr>
      <w:r>
        <w:rPr/>
        <w:t>Distinguish whether an implementation follows its specification, whether its models represent their intended subjects, whether it performs adequately, and whether its normative assumptions withstand criticism.</w:t>
      </w:r>
    </w:p>
    <w:p>
      <w:pPr>
        <w:pStyle w:val="Heading4"/>
        <w:ind w:hanging="0" w:left="0"/>
        <w:rPr/>
      </w:pPr>
      <w:r>
        <w:rPr/>
        <w:t>Validation-Claim Taxonomy</w:t>
      </w:r>
    </w:p>
    <w:p>
      <w:pPr>
        <w:pStyle w:val="Normal"/>
        <w:widowControl/>
        <w:bidi w:val="0"/>
        <w:spacing w:lineRule="auto" w:line="276"/>
        <w:jc w:val="left"/>
        <w:rPr/>
      </w:pPr>
      <w:r>
        <w:rPr/>
        <w:t>Require every validation statement to identify the exact dimension, version, domain, evidence, test population, uncertainty, and limitations to which it applies.</w:t>
      </w:r>
    </w:p>
    <w:p>
      <w:pPr>
        <w:pStyle w:val="Heading4"/>
        <w:ind w:hanging="0" w:left="0"/>
        <w:rPr/>
      </w:pPr>
      <w:r>
        <w:rPr/>
        <w:t>Status of the Anticipated Counterarguments</w:t>
      </w:r>
    </w:p>
    <w:p>
      <w:pPr>
        <w:pStyle w:val="Normal"/>
        <w:widowControl/>
        <w:bidi w:val="0"/>
        <w:spacing w:lineRule="auto" w:line="276"/>
        <w:jc w:val="left"/>
        <w:rPr/>
      </w:pPr>
      <w:r>
        <w:rPr/>
        <w:t>Label Section 9.3 as internal philosophical red-teaming or structured self-critique rather than independent validation.</w:t>
      </w:r>
    </w:p>
    <w:p>
      <w:pPr>
        <w:pStyle w:val="Heading4"/>
        <w:ind w:hanging="0" w:left="0"/>
        <w:rPr/>
      </w:pPr>
      <w:r>
        <w:rPr/>
        <w:t>Limitations of Internal Red-Teaming</w:t>
      </w:r>
    </w:p>
    <w:p>
      <w:pPr>
        <w:pStyle w:val="Normal"/>
        <w:widowControl/>
        <w:bidi w:val="0"/>
        <w:spacing w:lineRule="auto" w:line="276"/>
        <w:jc w:val="left"/>
        <w:rPr/>
      </w:pPr>
      <w:r>
        <w:rPr/>
        <w:t>Address shared assumptions, confirmation bias, incomplete representation of traditions, author control over both objection and response, selective cases, and lack of adversarial independence.</w:t>
      </w:r>
    </w:p>
    <w:p>
      <w:pPr>
        <w:pStyle w:val="Heading4"/>
        <w:ind w:hanging="0" w:left="0"/>
        <w:rPr/>
      </w:pPr>
      <w:r>
        <w:rPr/>
        <w:t>Conceptual Coherence</w:t>
      </w:r>
    </w:p>
    <w:p>
      <w:pPr>
        <w:pStyle w:val="Normal"/>
        <w:widowControl/>
        <w:bidi w:val="0"/>
        <w:spacing w:lineRule="auto" w:line="276"/>
        <w:jc w:val="left"/>
        <w:rPr/>
      </w:pPr>
      <w:r>
        <w:rPr/>
        <w:t>Test definitions, distinctions, inferential relationships, circularity, contradictions, category errors, and consistency among the axiom, ontology, methodology, and outputs.</w:t>
      </w:r>
    </w:p>
    <w:p>
      <w:pPr>
        <w:pStyle w:val="Heading4"/>
        <w:ind w:hanging="0" w:left="0"/>
        <w:rPr/>
      </w:pPr>
      <w:r>
        <w:rPr/>
        <w:t>Normative Transparency and Justification</w:t>
      </w:r>
    </w:p>
    <w:p>
      <w:pPr>
        <w:pStyle w:val="Normal"/>
        <w:widowControl/>
        <w:bidi w:val="0"/>
        <w:spacing w:lineRule="auto" w:line="276"/>
        <w:jc w:val="left"/>
        <w:rPr/>
      </w:pPr>
      <w:r>
        <w:rPr/>
        <w:t>Evaluate whether value commitments, standing criteria, thresholds, exceptions, ethical profiles, and sources of authority are explicit and supported by defensible reasons.</w:t>
      </w:r>
    </w:p>
    <w:p>
      <w:pPr>
        <w:pStyle w:val="Heading4"/>
        <w:ind w:hanging="0" w:left="0"/>
        <w:rPr/>
      </w:pPr>
      <w:r>
        <w:rPr/>
        <w:t>Architectural Completeness</w:t>
      </w:r>
    </w:p>
    <w:p>
      <w:pPr>
        <w:pStyle w:val="Normal"/>
        <w:widowControl/>
        <w:bidi w:val="0"/>
        <w:spacing w:lineRule="auto" w:line="276"/>
        <w:jc w:val="left"/>
        <w:rPr/>
      </w:pPr>
      <w:r>
        <w:rPr/>
        <w:t>Determine whether the architecture contains the components necessary to perform the assessment it claims to support without assuming that every normative issue is resolved.</w:t>
      </w:r>
    </w:p>
    <w:p>
      <w:pPr>
        <w:pStyle w:val="Heading4"/>
        <w:ind w:hanging="0" w:left="0"/>
        <w:rPr/>
      </w:pPr>
      <w:r>
        <w:rPr/>
        <w:t>Architectural Conformance</w:t>
      </w:r>
    </w:p>
    <w:p>
      <w:pPr>
        <w:pStyle w:val="Normal"/>
        <w:widowControl/>
        <w:bidi w:val="0"/>
        <w:spacing w:lineRule="auto" w:line="276"/>
        <w:jc w:val="left"/>
        <w:rPr/>
      </w:pPr>
      <w:r>
        <w:rPr/>
        <w:t>Verify that implementations preserve the required ontology, normative kernel, assessment axes, evidence standards, uncertainty disclosures, decision semantics, and governance controls.</w:t>
      </w:r>
    </w:p>
    <w:p>
      <w:pPr>
        <w:pStyle w:val="Heading4"/>
        <w:ind w:hanging="0" w:left="0"/>
        <w:rPr/>
      </w:pPr>
      <w:r>
        <w:rPr/>
        <w:t>Implementation Verification</w:t>
      </w:r>
    </w:p>
    <w:p>
      <w:pPr>
        <w:pStyle w:val="Normal"/>
        <w:widowControl/>
        <w:bidi w:val="0"/>
        <w:spacing w:lineRule="auto" w:line="276"/>
        <w:jc w:val="left"/>
        <w:rPr/>
      </w:pPr>
      <w:r>
        <w:rPr/>
        <w:t>Test whether software, procedures, data pipelines, human review, model configurations, and outputs behave according to the implementation specification.</w:t>
      </w:r>
    </w:p>
    <w:p>
      <w:pPr>
        <w:pStyle w:val="Heading4"/>
        <w:ind w:hanging="0" w:left="0"/>
        <w:rPr/>
      </w:pPr>
      <w:r>
        <w:rPr/>
        <w:t>Semantic Consistency Across Implementations</w:t>
      </w:r>
    </w:p>
    <w:p>
      <w:pPr>
        <w:pStyle w:val="Normal"/>
        <w:widowControl/>
        <w:bidi w:val="0"/>
        <w:spacing w:lineRule="auto" w:line="276"/>
        <w:jc w:val="left"/>
        <w:rPr/>
      </w:pPr>
      <w:r>
        <w:rPr/>
        <w:t>Determine whether independent implementations interpret entities, flourishing, standing, materiality, responsibility, legitimacy, and conclusion categories consistently.</w:t>
      </w:r>
    </w:p>
    <w:p>
      <w:pPr>
        <w:pStyle w:val="Heading4"/>
        <w:ind w:hanging="0" w:left="0"/>
        <w:rPr/>
      </w:pPr>
      <w:r>
        <w:rPr/>
        <w:t>Construct Validity</w:t>
      </w:r>
    </w:p>
    <w:p>
      <w:pPr>
        <w:pStyle w:val="Normal"/>
        <w:widowControl/>
        <w:bidi w:val="0"/>
        <w:spacing w:lineRule="auto" w:line="276"/>
        <w:jc w:val="left"/>
        <w:rPr/>
      </w:pPr>
      <w:r>
        <w:rPr/>
        <w:t>Evaluate whether indicators and profiles genuinely represent Long-Term Flourishing, capabilities, ecological integrity, legitimacy, care, responsibility, and other intended constructs.</w:t>
      </w:r>
    </w:p>
    <w:p>
      <w:pPr>
        <w:pStyle w:val="Heading4"/>
        <w:ind w:hanging="0" w:left="0"/>
        <w:rPr/>
      </w:pPr>
      <w:bookmarkStart w:id="4" w:name="__RefHeading___Toc23535_3508477456"/>
      <w:bookmarkEnd w:id="4"/>
      <w:r>
        <w:rPr/>
        <w:t>Measurement Reliability</w:t>
      </w:r>
    </w:p>
    <w:p>
      <w:pPr>
        <w:pStyle w:val="Normal"/>
        <w:widowControl/>
        <w:bidi w:val="0"/>
        <w:spacing w:lineRule="auto" w:line="276"/>
        <w:jc w:val="left"/>
        <w:rPr/>
      </w:pPr>
      <w:r>
        <w:rPr/>
        <w:t>Test whether measurements and qualitative interpretations remain sufficiently stable across time, assessors, instruments, populations, and equivalent representations.</w:t>
      </w:r>
    </w:p>
    <w:p>
      <w:pPr>
        <w:pStyle w:val="Heading4"/>
        <w:ind w:hanging="0" w:left="0"/>
        <w:rPr/>
      </w:pPr>
      <w:r>
        <w:rPr/>
        <w:t>Causal-Model Validation</w:t>
      </w:r>
    </w:p>
    <w:p>
      <w:pPr>
        <w:pStyle w:val="Normal"/>
        <w:widowControl/>
        <w:bidi w:val="0"/>
        <w:spacing w:lineRule="auto" w:line="276"/>
        <w:jc w:val="left"/>
        <w:rPr/>
      </w:pPr>
      <w:r>
        <w:rPr/>
        <w:t>Compare predicted causal pathways, feedback, structural effects, and alternative models with observed evidence while recognizing that interventions may change the causal structure.</w:t>
      </w:r>
    </w:p>
    <w:p>
      <w:pPr>
        <w:pStyle w:val="Heading4"/>
        <w:ind w:hanging="0" w:left="0"/>
        <w:rPr/>
      </w:pPr>
      <w:r>
        <w:rPr/>
        <w:t>Predictive Calibration</w:t>
      </w:r>
    </w:p>
    <w:p>
      <w:pPr>
        <w:pStyle w:val="Normal"/>
        <w:widowControl/>
        <w:bidi w:val="0"/>
        <w:spacing w:lineRule="auto" w:line="276"/>
        <w:jc w:val="left"/>
        <w:rPr/>
      </w:pPr>
      <w:r>
        <w:rPr/>
        <w:t>Compare stated probabilities and ranges with observed frequencies or outcomes by domain, entity type, subgroup, horizon, severity, and transition category.</w:t>
      </w:r>
    </w:p>
    <w:p>
      <w:pPr>
        <w:pStyle w:val="Heading4"/>
        <w:ind w:hanging="0" w:left="0"/>
        <w:rPr/>
      </w:pPr>
      <w:r>
        <w:rPr/>
        <w:t>Distributional Calibration</w:t>
      </w:r>
    </w:p>
    <w:p>
      <w:pPr>
        <w:pStyle w:val="Normal"/>
        <w:widowControl/>
        <w:bidi w:val="0"/>
        <w:spacing w:lineRule="auto" w:line="276"/>
        <w:jc w:val="left"/>
        <w:rPr/>
      </w:pPr>
      <w:r>
        <w:rPr/>
        <w:t>Determine whether predictions are accurate not only in aggregate but for vulnerable, remote, minority, nonhuman, and otherwise underrepresented entities.</w:t>
      </w:r>
    </w:p>
    <w:p>
      <w:pPr>
        <w:pStyle w:val="Heading4"/>
        <w:ind w:hanging="0" w:left="0"/>
        <w:rPr/>
      </w:pPr>
      <w:r>
        <w:rPr/>
        <w:t>Model Failure Versus Implementation Failure</w:t>
      </w:r>
    </w:p>
    <w:p>
      <w:pPr>
        <w:pStyle w:val="Normal"/>
        <w:widowControl/>
        <w:bidi w:val="0"/>
        <w:spacing w:lineRule="auto" w:line="276"/>
        <w:jc w:val="left"/>
        <w:rPr/>
      </w:pPr>
      <w:r>
        <w:rPr/>
        <w:t>Distinguish failures of causal theory, evidence, execution, compliance, monitoring, governance, and environmental conditions.</w:t>
      </w:r>
    </w:p>
    <w:p>
      <w:pPr>
        <w:pStyle w:val="Heading4"/>
        <w:ind w:hanging="0" w:left="0"/>
        <w:rPr/>
      </w:pPr>
      <w:r>
        <w:rPr/>
        <w:t>Procedural Legitimacy Evaluation</w:t>
      </w:r>
    </w:p>
    <w:p>
      <w:pPr>
        <w:pStyle w:val="Normal"/>
        <w:widowControl/>
        <w:bidi w:val="0"/>
        <w:spacing w:lineRule="auto" w:line="276"/>
        <w:jc w:val="left"/>
        <w:rPr/>
      </w:pPr>
      <w:r>
        <w:rPr/>
        <w:t>Assess authority, participation, consent, representation, transparency, public justification, conflict controls, appeal, and capacity for correction.</w:t>
      </w:r>
    </w:p>
    <w:p>
      <w:pPr>
        <w:pStyle w:val="Heading4"/>
        <w:ind w:hanging="0" w:left="0"/>
        <w:rPr/>
      </w:pPr>
      <w:r>
        <w:rPr/>
        <w:t>Affected-Party Evaluation</w:t>
      </w:r>
    </w:p>
    <w:p>
      <w:pPr>
        <w:pStyle w:val="Normal"/>
        <w:widowControl/>
        <w:bidi w:val="0"/>
        <w:spacing w:lineRule="auto" w:line="276"/>
        <w:jc w:val="left"/>
        <w:rPr/>
      </w:pPr>
      <w:r>
        <w:rPr/>
        <w:t>Include whether affected entities or representatives find the assessment understandable, accurate to their experience, responsive to their objections, and procedurally fair.</w:t>
      </w:r>
    </w:p>
    <w:p>
      <w:pPr>
        <w:pStyle w:val="Heading4"/>
        <w:ind w:hanging="0" w:left="0"/>
        <w:rPr/>
      </w:pPr>
      <w:r>
        <w:rPr/>
        <w:t>Explainability and Traceability Evaluation</w:t>
      </w:r>
    </w:p>
    <w:p>
      <w:pPr>
        <w:pStyle w:val="Normal"/>
        <w:widowControl/>
        <w:bidi w:val="0"/>
        <w:spacing w:lineRule="auto" w:line="276"/>
        <w:jc w:val="left"/>
        <w:rPr/>
      </w:pPr>
      <w:r>
        <w:rPr/>
        <w:t>Test whether qualified reviewers and affected parties can trace conclusions to evidence, assumptions, boundaries, models, normative rules, and human judgments.</w:t>
      </w:r>
    </w:p>
    <w:p>
      <w:pPr>
        <w:pStyle w:val="Heading4"/>
        <w:ind w:hanging="0" w:left="0"/>
        <w:rPr/>
      </w:pPr>
      <w:r>
        <w:rPr/>
        <w:t>Decision Usefulness</w:t>
      </w:r>
    </w:p>
    <w:p>
      <w:pPr>
        <w:pStyle w:val="Normal"/>
        <w:widowControl/>
        <w:bidi w:val="0"/>
        <w:spacing w:lineRule="auto" w:line="276"/>
        <w:jc w:val="left"/>
        <w:rPr/>
      </w:pPr>
      <w:r>
        <w:rPr/>
        <w:t>Evaluate whether the framework identifies overlooked entities, clarifies alternatives, improves mitigation, exposes uncertainty, supports responsible decisions, and produces actionable remedies.</w:t>
      </w:r>
    </w:p>
    <w:p>
      <w:pPr>
        <w:pStyle w:val="Heading4"/>
        <w:ind w:hanging="0" w:left="0"/>
        <w:rPr/>
      </w:pPr>
      <w:r>
        <w:rPr/>
        <w:t>Robustness Evaluation</w:t>
      </w:r>
    </w:p>
    <w:p>
      <w:pPr>
        <w:pStyle w:val="Normal"/>
        <w:widowControl/>
        <w:bidi w:val="0"/>
        <w:spacing w:lineRule="auto" w:line="276"/>
        <w:jc w:val="left"/>
        <w:rPr/>
      </w:pPr>
      <w:r>
        <w:rPr/>
        <w:t>Test stability across reasonable changes in boundaries, horizons, evidence, parameters, weights, thresholds, ethical profiles, causal models, and implementations.</w:t>
      </w:r>
    </w:p>
    <w:p>
      <w:pPr>
        <w:pStyle w:val="Heading4"/>
        <w:ind w:hanging="0" w:left="0"/>
        <w:rPr/>
      </w:pPr>
      <w:r>
        <w:rPr/>
        <w:t>Adversarial and Stress Testing</w:t>
      </w:r>
    </w:p>
    <w:p>
      <w:pPr>
        <w:pStyle w:val="Normal"/>
        <w:widowControl/>
        <w:bidi w:val="0"/>
        <w:spacing w:lineRule="auto" w:line="276"/>
        <w:jc w:val="left"/>
        <w:rPr/>
      </w:pPr>
      <w:r>
        <w:rPr/>
        <w:t>Test strategic manipulation, evidence suppression, boundary gaming, metric optimization, institutional capture, correlated failures, extreme scenarios, and attempts to exploit exception rules.</w:t>
      </w:r>
    </w:p>
    <w:p>
      <w:pPr>
        <w:pStyle w:val="Heading4"/>
        <w:ind w:hanging="0" w:left="0"/>
        <w:rPr/>
      </w:pPr>
      <w:r>
        <w:rPr/>
        <w:t>Comparative Case Performance</w:t>
      </w:r>
    </w:p>
    <w:p>
      <w:pPr>
        <w:pStyle w:val="Normal"/>
        <w:widowControl/>
        <w:bidi w:val="0"/>
        <w:spacing w:lineRule="auto" w:line="276"/>
        <w:jc w:val="left"/>
        <w:rPr/>
      </w:pPr>
      <w:r>
        <w:rPr/>
        <w:t>Compare the proposed framework with operationalized alternatives using the same facts, cases, assumptions, evidence access, and predetermined evaluation criteria.</w:t>
      </w:r>
    </w:p>
    <w:p>
      <w:pPr>
        <w:pStyle w:val="Heading4"/>
        <w:ind w:hanging="0" w:left="0"/>
        <w:rPr/>
      </w:pPr>
      <w:r>
        <w:rPr/>
        <w:t>Selection of Comparator Frameworks</w:t>
      </w:r>
    </w:p>
    <w:p>
      <w:pPr>
        <w:pStyle w:val="Normal"/>
        <w:widowControl/>
        <w:bidi w:val="0"/>
        <w:spacing w:lineRule="auto" w:line="276"/>
        <w:jc w:val="left"/>
        <w:rPr/>
      </w:pPr>
      <w:r>
        <w:rPr/>
        <w:t>Include relevant versions of utilitarian, deontological, rights-based, virtue, care, capability, environmental, contractarian, pragmatic, and systems-oriented approaches without reducing them to caricatures.</w:t>
      </w:r>
    </w:p>
    <w:p>
      <w:pPr>
        <w:pStyle w:val="Heading4"/>
        <w:ind w:hanging="0" w:left="0"/>
        <w:rPr/>
      </w:pPr>
      <w:r>
        <w:rPr/>
        <w:t>Theory-Discriminating Cases</w:t>
      </w:r>
    </w:p>
    <w:p>
      <w:pPr>
        <w:pStyle w:val="Normal"/>
        <w:widowControl/>
        <w:bidi w:val="0"/>
        <w:spacing w:lineRule="auto" w:line="276"/>
        <w:jc w:val="left"/>
        <w:rPr/>
      </w:pPr>
      <w:r>
        <w:rPr/>
        <w:t>Use paired cases that vary outcomes, means, intentions, consent, relationships, standing, distribution, ecological effects, legitimacy, uncertainty, and future consequences.</w:t>
      </w:r>
    </w:p>
    <w:p>
      <w:pPr>
        <w:pStyle w:val="Heading4"/>
        <w:ind w:hanging="0" w:left="0"/>
        <w:rPr/>
      </w:pPr>
      <w:r>
        <w:rPr/>
        <w:t>Canonical, Real-World, and Novel Cases</w:t>
      </w:r>
    </w:p>
    <w:p>
      <w:pPr>
        <w:pStyle w:val="Normal"/>
        <w:widowControl/>
        <w:bidi w:val="0"/>
        <w:spacing w:lineRule="auto" w:line="276"/>
        <w:jc w:val="left"/>
        <w:rPr/>
      </w:pPr>
      <w:r>
        <w:rPr/>
        <w:t>Balance traditional thought experiments with retrospective cases, prospective decisions, cross-cultural cases, emerging technologies, environmental problems, and structurally produced harms.</w:t>
      </w:r>
    </w:p>
    <w:p>
      <w:pPr>
        <w:pStyle w:val="Heading4"/>
        <w:ind w:hanging="0" w:left="0"/>
        <w:rPr/>
      </w:pPr>
      <w:r>
        <w:rPr/>
        <w:t>Benchmark Governance</w:t>
      </w:r>
    </w:p>
    <w:p>
      <w:pPr>
        <w:pStyle w:val="Normal"/>
        <w:widowControl/>
        <w:bidi w:val="0"/>
        <w:spacing w:lineRule="auto" w:line="276"/>
        <w:jc w:val="left"/>
        <w:rPr/>
      </w:pPr>
      <w:r>
        <w:rPr/>
        <w:t>Define who selects, documents, updates, challenges, and retires benchmark cases. Prevent cases from being selected primarily because they favor the framework.</w:t>
      </w:r>
    </w:p>
    <w:p>
      <w:pPr>
        <w:pStyle w:val="Heading4"/>
        <w:ind w:hanging="0" w:left="0"/>
        <w:rPr/>
      </w:pPr>
      <w:r>
        <w:rPr/>
        <w:t>Reference Judgments and Moral Disagreement</w:t>
      </w:r>
    </w:p>
    <w:p>
      <w:pPr>
        <w:pStyle w:val="Normal"/>
        <w:widowControl/>
        <w:bidi w:val="0"/>
        <w:spacing w:lineRule="auto" w:line="276"/>
        <w:jc w:val="left"/>
        <w:rPr/>
      </w:pPr>
      <w:r>
        <w:rPr/>
        <w:t>Avoid treating majority opinion or one expert panel as moral ground truth. Preserve competing judgments, reasons, confidence, and areas of irreducible disagreement.</w:t>
      </w:r>
    </w:p>
    <w:p>
      <w:pPr>
        <w:pStyle w:val="Heading4"/>
        <w:ind w:hanging="0" w:left="0"/>
        <w:rPr/>
      </w:pPr>
      <w:r>
        <w:rPr/>
        <w:t>Comparative Evaluation Criteria</w:t>
      </w:r>
    </w:p>
    <w:p>
      <w:pPr>
        <w:pStyle w:val="Normal"/>
        <w:widowControl/>
        <w:bidi w:val="0"/>
        <w:spacing w:lineRule="auto" w:line="276"/>
        <w:jc w:val="left"/>
        <w:rPr/>
      </w:pPr>
      <w:r>
        <w:rPr/>
        <w:t>Predefine criteria such as coherence, entity coverage, decision consistency, explanatory power, predictive accuracy, distributional visibility, constraint protection, legitimacy, robustness, usability, and computational burden.</w:t>
      </w:r>
    </w:p>
    <w:p>
      <w:pPr>
        <w:pStyle w:val="Heading4"/>
        <w:ind w:hanging="0" w:left="0"/>
        <w:rPr/>
      </w:pPr>
      <w:r>
        <w:rPr/>
        <w:t>Complexity and Information Controls</w:t>
      </w:r>
    </w:p>
    <w:p>
      <w:pPr>
        <w:pStyle w:val="Normal"/>
        <w:widowControl/>
        <w:bidi w:val="0"/>
        <w:spacing w:lineRule="auto" w:line="276"/>
        <w:jc w:val="left"/>
        <w:rPr/>
      </w:pPr>
      <w:r>
        <w:rPr/>
        <w:t>Ensure that superior performance is not claimed merely because the proposed framework receives more information, more time, or a more favorable implementation than comparator systems.</w:t>
      </w:r>
    </w:p>
    <w:p>
      <w:pPr>
        <w:pStyle w:val="Heading4"/>
        <w:ind w:hanging="0" w:left="0"/>
        <w:rPr/>
      </w:pPr>
      <w:r>
        <w:rPr/>
        <w:t>Ablation and Contribution Analysis</w:t>
      </w:r>
    </w:p>
    <w:p>
      <w:pPr>
        <w:pStyle w:val="Normal"/>
        <w:widowControl/>
        <w:bidi w:val="0"/>
        <w:spacing w:lineRule="auto" w:line="276"/>
        <w:jc w:val="left"/>
        <w:rPr/>
      </w:pPr>
      <w:r>
        <w:rPr/>
        <w:t>Remove or vary components such as rights, capability profiles, qualitative evidence, Distributed Policy Effects, alternative models, or repair analysis to determine what each contributes.</w:t>
      </w:r>
    </w:p>
    <w:p>
      <w:pPr>
        <w:pStyle w:val="Heading4"/>
        <w:ind w:hanging="0" w:left="0"/>
        <w:rPr/>
      </w:pPr>
      <w:r>
        <w:rPr/>
        <w:t>Independent Philosophical Review</w:t>
      </w:r>
    </w:p>
    <w:p>
      <w:pPr>
        <w:pStyle w:val="Normal"/>
        <w:widowControl/>
        <w:bidi w:val="0"/>
        <w:spacing w:lineRule="auto" w:line="276"/>
        <w:jc w:val="left"/>
        <w:rPr/>
      </w:pPr>
      <w:r>
        <w:rPr/>
        <w:t>Require external scholars or practitioners who understand the relevant ethical traditions to critique the framework without the framework’s authors controlling the objections.</w:t>
      </w:r>
    </w:p>
    <w:p>
      <w:pPr>
        <w:pStyle w:val="Heading4"/>
        <w:ind w:hanging="0" w:left="0"/>
        <w:rPr/>
      </w:pPr>
      <w:r>
        <w:rPr/>
        <w:t>Cross-Tradition and Internal-Diversity Review</w:t>
      </w:r>
    </w:p>
    <w:p>
      <w:pPr>
        <w:pStyle w:val="Normal"/>
        <w:widowControl/>
        <w:bidi w:val="0"/>
        <w:spacing w:lineRule="auto" w:line="276"/>
        <w:jc w:val="left"/>
        <w:rPr/>
      </w:pPr>
      <w:r>
        <w:rPr/>
        <w:t>Include competing interpretations within traditions—for example, Sen and Nussbaum, different deontologies, animal-centered and ecocentric environmental ethics, or differing social-contract theories.</w:t>
      </w:r>
    </w:p>
    <w:p>
      <w:pPr>
        <w:pStyle w:val="Heading4"/>
        <w:ind w:hanging="0" w:left="0"/>
        <w:rPr/>
      </w:pPr>
      <w:r>
        <w:rPr/>
        <w:t>Interdisciplinary Review</w:t>
      </w:r>
    </w:p>
    <w:p>
      <w:pPr>
        <w:pStyle w:val="Normal"/>
        <w:widowControl/>
        <w:bidi w:val="0"/>
        <w:spacing w:lineRule="auto" w:line="276"/>
        <w:jc w:val="left"/>
        <w:rPr/>
      </w:pPr>
      <w:r>
        <w:rPr/>
        <w:t>Include philosophy, law, social science, systems science, ecology, public policy, domain practice, affected communities, and technical implementation expertise where relevant.</w:t>
      </w:r>
    </w:p>
    <w:p>
      <w:pPr>
        <w:pStyle w:val="Heading4"/>
        <w:ind w:hanging="0" w:left="0"/>
        <w:rPr/>
      </w:pPr>
      <w:r>
        <w:rPr/>
        <w:t>Reviewer Independence and Conflicts of Interest</w:t>
      </w:r>
    </w:p>
    <w:p>
      <w:pPr>
        <w:pStyle w:val="Normal"/>
        <w:widowControl/>
        <w:bidi w:val="0"/>
        <w:spacing w:lineRule="auto" w:line="276"/>
        <w:jc w:val="left"/>
        <w:rPr/>
      </w:pPr>
      <w:r>
        <w:rPr/>
        <w:t>Require selection criteria, disclosure, recusal, funding transparency, protection of dissent, and publication of minority assessments.</w:t>
      </w:r>
    </w:p>
    <w:p>
      <w:pPr>
        <w:pStyle w:val="Heading4"/>
        <w:ind w:hanging="0" w:left="0"/>
        <w:rPr/>
      </w:pPr>
      <w:r>
        <w:rPr/>
        <w:t>Response-to-Review Protocol</w:t>
      </w:r>
    </w:p>
    <w:p>
      <w:pPr>
        <w:pStyle w:val="Normal"/>
        <w:widowControl/>
        <w:bidi w:val="0"/>
        <w:spacing w:lineRule="auto" w:line="276"/>
        <w:jc w:val="left"/>
        <w:rPr/>
      </w:pPr>
      <w:r>
        <w:rPr/>
        <w:t>Classify each objection as answered by the current specification, representable but not operationalized, requiring architectural change, requiring normative change, or remaining irreducibly disputed.</w:t>
      </w:r>
    </w:p>
    <w:p>
      <w:pPr>
        <w:pStyle w:val="Heading4"/>
        <w:ind w:hanging="0" w:left="0"/>
        <w:rPr/>
      </w:pPr>
      <w:r>
        <w:rPr/>
        <w:t>Reproducibility and Independent Replication</w:t>
      </w:r>
    </w:p>
    <w:p>
      <w:pPr>
        <w:pStyle w:val="Normal"/>
        <w:widowControl/>
        <w:bidi w:val="0"/>
        <w:spacing w:lineRule="auto" w:line="276"/>
        <w:jc w:val="left"/>
        <w:rPr/>
      </w:pPr>
      <w:r>
        <w:rPr/>
        <w:t>Require independent teams to reproduce assessments or conformance findings using documented inputs, profiles, models, versions, and procedures.</w:t>
      </w:r>
    </w:p>
    <w:p>
      <w:pPr>
        <w:pStyle w:val="Heading4"/>
        <w:ind w:hanging="0" w:left="0"/>
        <w:rPr/>
      </w:pPr>
      <w:r>
        <w:rPr/>
        <w:t>Prospective and Field Evaluation</w:t>
      </w:r>
    </w:p>
    <w:p>
      <w:pPr>
        <w:pStyle w:val="Normal"/>
        <w:widowControl/>
        <w:bidi w:val="0"/>
        <w:spacing w:lineRule="auto" w:line="276"/>
        <w:jc w:val="left"/>
        <w:rPr/>
      </w:pPr>
      <w:r>
        <w:rPr/>
        <w:t>Evaluate real decision support through controlled, staged, and ethically governed deployment without treating affected populations merely as experimental subjects.</w:t>
      </w:r>
    </w:p>
    <w:p>
      <w:pPr>
        <w:pStyle w:val="Heading4"/>
        <w:ind w:hanging="0" w:left="0"/>
        <w:rPr/>
      </w:pPr>
      <w:r>
        <w:rPr/>
        <w:t>Longitudinal Validation</w:t>
      </w:r>
    </w:p>
    <w:p>
      <w:pPr>
        <w:pStyle w:val="Normal"/>
        <w:widowControl/>
        <w:bidi w:val="0"/>
        <w:spacing w:lineRule="auto" w:line="276"/>
        <w:jc w:val="left"/>
        <w:rPr/>
      </w:pPr>
      <w:r>
        <w:rPr/>
        <w:t>Compare predicted and actual effects across relevant horizons, including delayed harms, institutional adaptation, capability trajectories, ecological change, and remedy effectiveness.</w:t>
      </w:r>
    </w:p>
    <w:p>
      <w:pPr>
        <w:pStyle w:val="Heading4"/>
        <w:ind w:hanging="0" w:left="0"/>
        <w:rPr/>
      </w:pPr>
      <w:r>
        <w:rPr/>
        <w:t>Post-Deployment Monitoring and Incident Learning</w:t>
      </w:r>
    </w:p>
    <w:p>
      <w:pPr>
        <w:pStyle w:val="Normal"/>
        <w:widowControl/>
        <w:bidi w:val="0"/>
        <w:spacing w:lineRule="auto" w:line="276"/>
        <w:jc w:val="left"/>
        <w:rPr/>
      </w:pPr>
      <w:r>
        <w:rPr/>
        <w:t>Require prediction-error review, adverse-event reporting, stakeholder challenge, model updates, framework revision, and publication of known failures.</w:t>
      </w:r>
    </w:p>
    <w:p>
      <w:pPr>
        <w:pStyle w:val="Heading4"/>
        <w:ind w:hanging="0" w:left="0"/>
        <w:rPr/>
      </w:pPr>
      <w:r>
        <w:rPr/>
        <w:t>Falsifiability and Revision Criteria</w:t>
      </w:r>
    </w:p>
    <w:p>
      <w:pPr>
        <w:pStyle w:val="Normal"/>
        <w:widowControl/>
        <w:bidi w:val="0"/>
        <w:spacing w:lineRule="auto" w:line="276"/>
        <w:jc w:val="left"/>
        <w:rPr/>
      </w:pPr>
      <w:r>
        <w:rPr/>
        <w:t>Define what evidence or argument would count against a model, profile, assumption, implementation, or architectural claim and what changes would follow.</w:t>
      </w:r>
    </w:p>
    <w:p>
      <w:pPr>
        <w:pStyle w:val="Heading4"/>
        <w:ind w:hanging="0" w:left="0"/>
        <w:rPr/>
      </w:pPr>
      <w:r>
        <w:rPr/>
        <w:t>Version-Specific Validation</w:t>
      </w:r>
    </w:p>
    <w:p>
      <w:pPr>
        <w:pStyle w:val="Normal"/>
        <w:widowControl/>
        <w:bidi w:val="0"/>
        <w:spacing w:lineRule="auto" w:line="276"/>
        <w:jc w:val="left"/>
        <w:rPr/>
      </w:pPr>
      <w:r>
        <w:rPr/>
        <w:t>Tie every validation claim to a particular framework version, ethical profile, implementation, dataset, domain, and test period.</w:t>
      </w:r>
    </w:p>
    <w:p>
      <w:pPr>
        <w:pStyle w:val="Heading4"/>
        <w:ind w:hanging="0" w:left="0"/>
        <w:rPr/>
      </w:pPr>
      <w:r>
        <w:rPr/>
        <w:t>Validation Maturity and Permitted Claims</w:t>
      </w:r>
    </w:p>
    <w:p>
      <w:pPr>
        <w:pStyle w:val="Normal"/>
        <w:widowControl/>
        <w:bidi w:val="0"/>
        <w:spacing w:lineRule="auto" w:line="276"/>
        <w:jc w:val="left"/>
        <w:rPr/>
      </w:pPr>
      <w:r>
        <w:rPr/>
        <w:t>Establish levels of evidentiary maturity and restrict public or operational claims to those supported by the completed level.</w:t>
      </w:r>
    </w:p>
    <w:p>
      <w:pPr>
        <w:pStyle w:val="Heading4"/>
        <w:ind w:hanging="0" w:left="0"/>
        <w:rPr/>
      </w:pPr>
      <w:r>
        <w:rPr/>
        <w:t>Validation Governance and Registry</w:t>
      </w:r>
    </w:p>
    <w:p>
      <w:pPr>
        <w:pStyle w:val="Normal"/>
        <w:widowControl/>
        <w:bidi w:val="0"/>
        <w:spacing w:lineRule="auto" w:line="276"/>
        <w:jc w:val="left"/>
        <w:rPr/>
      </w:pPr>
      <w:r>
        <w:rPr/>
        <w:t>Maintain test protocols, benchmark versions, results, reviewers, limitations, incidents, unresolved objections, and withdrawn validation claims.</w:t>
      </w:r>
    </w:p>
    <w:p>
      <w:pPr>
        <w:pStyle w:val="Heading4"/>
        <w:ind w:hanging="0" w:left="0"/>
        <w:rPr/>
      </w:pPr>
      <w:r>
        <w:rPr/>
        <w:t>Failure Modes and Exposure</w:t>
      </w:r>
    </w:p>
    <w:p>
      <w:pPr>
        <w:pStyle w:val="Normal"/>
        <w:widowControl/>
        <w:bidi w:val="0"/>
        <w:spacing w:lineRule="auto" w:line="276"/>
        <w:jc w:val="left"/>
        <w:rPr/>
      </w:pPr>
      <w:r>
        <w:rPr/>
        <w:t>Analyze circular validation, benchmark overfitting, selective case reporting, consensus fallacy, moral-truth overclaiming, reviewer capture, metric gaming, hindsight bias, survivorship bias, and validation theater.</w:t>
      </w:r>
    </w:p>
    <w:p>
      <w:pPr>
        <w:pStyle w:val="Heading4"/>
        <w:ind w:hanging="0" w:left="0"/>
        <w:rPr/>
      </w:pPr>
      <w:r>
        <w:rPr/>
        <w:t>Interim Safeguards and Mitigations</w:t>
      </w:r>
    </w:p>
    <w:p>
      <w:pPr>
        <w:pStyle w:val="Normal"/>
        <w:widowControl/>
        <w:bidi w:val="0"/>
        <w:spacing w:lineRule="auto" w:line="276"/>
        <w:jc w:val="left"/>
        <w:rPr/>
      </w:pPr>
      <w:r>
        <w:rPr/>
        <w:t>Require bounded claims, independent review, preregistered tests, publication of adverse findings, comparator parity, version specificity, dissent preservation, and periodic reassessment.</w:t>
      </w:r>
    </w:p>
    <w:p>
      <w:pPr>
        <w:pStyle w:val="Heading4"/>
        <w:ind w:hanging="0" w:left="0"/>
        <w:rPr/>
      </w:pPr>
      <w:r>
        <w:rPr/>
        <w:t>Research Deliverables and Acceptance Criteria</w:t>
      </w:r>
    </w:p>
    <w:p>
      <w:pPr>
        <w:pStyle w:val="Normal"/>
        <w:widowControl/>
        <w:bidi w:val="0"/>
        <w:spacing w:lineRule="auto" w:line="276"/>
        <w:jc w:val="left"/>
        <w:rPr/>
      </w:pPr>
      <w:r>
        <w:rPr/>
        <w:t>Require a validation charter, claim taxonomy, coherence audit, conformance suite, calibration protocol, legitimacy review, benchmark corpus, comparative protocol, external-review process, and validation registry.</w:t>
      </w:r>
    </w:p>
    <w:p>
      <w:pPr>
        <w:pStyle w:val="Heading4"/>
        <w:ind w:hanging="0" w:left="0"/>
        <w:rPr/>
      </w:pPr>
      <w:r>
        <w:rPr/>
        <w:t>Residual Risk</w:t>
      </w:r>
    </w:p>
    <w:p>
      <w:pPr>
        <w:pStyle w:val="Normal"/>
        <w:widowControl/>
        <w:bidi w:val="0"/>
        <w:spacing w:lineRule="auto" w:line="276"/>
        <w:jc w:val="left"/>
        <w:rPr/>
      </w:pPr>
      <w:r>
        <w:rPr/>
        <w:t>Acknowledge that no validation program can prove moral truth, eliminate normative disagreement, guarantee future predictive performance, or prevent all institutional misuse.</w:t>
        <w:br/>
      </w:r>
      <w:r>
        <w:rPr>
          <w:color w:val="auto"/>
          <w:sz w:val="21"/>
          <w:szCs w:val="22"/>
        </w:rPr>
        <w:t>Validation framework</w:t>
      </w:r>
    </w:p>
    <w:tbl>
      <w:tblPr>
        <w:tblW w:w="8640" w:type="dxa"/>
        <w:jc w:val="left"/>
        <w:tblInd w:w="28" w:type="dxa"/>
        <w:tblLayout w:type="fixed"/>
        <w:tblCellMar>
          <w:top w:w="28" w:type="dxa"/>
          <w:left w:w="28" w:type="dxa"/>
          <w:bottom w:w="28" w:type="dxa"/>
          <w:right w:w="28" w:type="dxa"/>
        </w:tblCellMar>
      </w:tblPr>
      <w:tblGrid>
        <w:gridCol w:w="1865"/>
        <w:gridCol w:w="2442"/>
        <w:gridCol w:w="2173"/>
        <w:gridCol w:w="2160"/>
      </w:tblGrid>
      <w:tr>
        <w:trPr>
          <w:tblHeader w:val="true"/>
        </w:trPr>
        <w:tc>
          <w:tcPr>
            <w:tcW w:w="1865" w:type="dxa"/>
            <w:tcBorders/>
            <w:vAlign w:val="center"/>
          </w:tcPr>
          <w:p>
            <w:pPr>
              <w:pStyle w:val="TableHeading"/>
              <w:suppressLineNumbers/>
              <w:spacing w:before="0" w:after="200"/>
              <w:jc w:val="center"/>
              <w:rPr/>
            </w:pPr>
            <w:r>
              <w:rPr/>
              <w:t>Validation dimension</w:t>
            </w:r>
          </w:p>
        </w:tc>
        <w:tc>
          <w:tcPr>
            <w:tcW w:w="2442" w:type="dxa"/>
            <w:tcBorders/>
            <w:vAlign w:val="center"/>
          </w:tcPr>
          <w:p>
            <w:pPr>
              <w:pStyle w:val="TableHeading"/>
              <w:suppressLineNumbers/>
              <w:spacing w:before="0" w:after="200"/>
              <w:jc w:val="center"/>
              <w:rPr/>
            </w:pPr>
            <w:r>
              <w:rPr/>
              <w:t>Central question</w:t>
            </w:r>
          </w:p>
        </w:tc>
        <w:tc>
          <w:tcPr>
            <w:tcW w:w="2173" w:type="dxa"/>
            <w:tcBorders/>
            <w:vAlign w:val="center"/>
          </w:tcPr>
          <w:p>
            <w:pPr>
              <w:pStyle w:val="TableHeading"/>
              <w:suppressLineNumbers/>
              <w:spacing w:before="0" w:after="200"/>
              <w:jc w:val="center"/>
              <w:rPr/>
            </w:pPr>
            <w:r>
              <w:rPr/>
              <w:t>Supporting evidence</w:t>
            </w:r>
          </w:p>
        </w:tc>
        <w:tc>
          <w:tcPr>
            <w:tcW w:w="2160" w:type="dxa"/>
            <w:tcBorders/>
            <w:vAlign w:val="center"/>
          </w:tcPr>
          <w:p>
            <w:pPr>
              <w:pStyle w:val="TableHeading"/>
              <w:suppressLineNumbers/>
              <w:spacing w:before="0" w:after="200"/>
              <w:jc w:val="center"/>
              <w:rPr/>
            </w:pPr>
            <w:r>
              <w:rPr/>
              <w:t>What it cannot establish</w:t>
            </w:r>
          </w:p>
        </w:tc>
      </w:tr>
      <w:tr>
        <w:trPr/>
        <w:tc>
          <w:tcPr>
            <w:tcW w:w="1865" w:type="dxa"/>
            <w:tcBorders/>
            <w:vAlign w:val="center"/>
          </w:tcPr>
          <w:p>
            <w:pPr>
              <w:pStyle w:val="TableContents"/>
              <w:widowControl w:val="false"/>
              <w:suppressLineNumbers/>
              <w:spacing w:before="0" w:after="200"/>
              <w:rPr/>
            </w:pPr>
            <w:r>
              <w:rPr>
                <w:rStyle w:val="Strong"/>
              </w:rPr>
              <w:t>Conceptual coherence</w:t>
            </w:r>
          </w:p>
        </w:tc>
        <w:tc>
          <w:tcPr>
            <w:tcW w:w="2442" w:type="dxa"/>
            <w:tcBorders/>
            <w:vAlign w:val="center"/>
          </w:tcPr>
          <w:p>
            <w:pPr>
              <w:pStyle w:val="TableContents"/>
              <w:widowControl w:val="false"/>
              <w:suppressLineNumbers/>
              <w:spacing w:before="0" w:after="200"/>
              <w:rPr/>
            </w:pPr>
            <w:r>
              <w:rPr/>
              <w:t>Are the concepts and arguments internally consistent?</w:t>
            </w:r>
          </w:p>
        </w:tc>
        <w:tc>
          <w:tcPr>
            <w:tcW w:w="2173" w:type="dxa"/>
            <w:tcBorders/>
            <w:vAlign w:val="center"/>
          </w:tcPr>
          <w:p>
            <w:pPr>
              <w:pStyle w:val="TableContents"/>
              <w:widowControl w:val="false"/>
              <w:suppressLineNumbers/>
              <w:spacing w:before="0" w:after="200"/>
              <w:rPr/>
            </w:pPr>
            <w:r>
              <w:rPr/>
              <w:t>Logical analysis, definition audit, counterexamples</w:t>
            </w:r>
          </w:p>
        </w:tc>
        <w:tc>
          <w:tcPr>
            <w:tcW w:w="2160" w:type="dxa"/>
            <w:tcBorders/>
            <w:vAlign w:val="center"/>
          </w:tcPr>
          <w:p>
            <w:pPr>
              <w:pStyle w:val="TableContents"/>
              <w:widowControl w:val="false"/>
              <w:suppressLineNumbers/>
              <w:spacing w:before="0" w:after="200"/>
              <w:rPr/>
            </w:pPr>
            <w:r>
              <w:rPr/>
              <w:t>That the foundational values are morally true</w:t>
            </w:r>
          </w:p>
        </w:tc>
      </w:tr>
      <w:tr>
        <w:trPr/>
        <w:tc>
          <w:tcPr>
            <w:tcW w:w="1865" w:type="dxa"/>
            <w:tcBorders/>
            <w:vAlign w:val="center"/>
          </w:tcPr>
          <w:p>
            <w:pPr>
              <w:pStyle w:val="TableContents"/>
              <w:widowControl w:val="false"/>
              <w:suppressLineNumbers/>
              <w:spacing w:before="0" w:after="200"/>
              <w:rPr/>
            </w:pPr>
            <w:r>
              <w:rPr>
                <w:rStyle w:val="Strong"/>
              </w:rPr>
              <w:t>Normative transparency</w:t>
            </w:r>
          </w:p>
        </w:tc>
        <w:tc>
          <w:tcPr>
            <w:tcW w:w="2442" w:type="dxa"/>
            <w:tcBorders/>
            <w:vAlign w:val="center"/>
          </w:tcPr>
          <w:p>
            <w:pPr>
              <w:pStyle w:val="TableContents"/>
              <w:widowControl w:val="false"/>
              <w:suppressLineNumbers/>
              <w:spacing w:before="0" w:after="200"/>
              <w:rPr/>
            </w:pPr>
            <w:r>
              <w:rPr/>
              <w:t>Are moral commitments and authority explicit?</w:t>
            </w:r>
          </w:p>
        </w:tc>
        <w:tc>
          <w:tcPr>
            <w:tcW w:w="2173" w:type="dxa"/>
            <w:tcBorders/>
            <w:vAlign w:val="center"/>
          </w:tcPr>
          <w:p>
            <w:pPr>
              <w:pStyle w:val="TableContents"/>
              <w:widowControl w:val="false"/>
              <w:suppressLineNumbers/>
              <w:spacing w:before="0" w:after="200"/>
              <w:rPr/>
            </w:pPr>
            <w:r>
              <w:rPr/>
              <w:t>Normative registry and traceability</w:t>
            </w:r>
          </w:p>
        </w:tc>
        <w:tc>
          <w:tcPr>
            <w:tcW w:w="2160" w:type="dxa"/>
            <w:tcBorders/>
            <w:vAlign w:val="center"/>
          </w:tcPr>
          <w:p>
            <w:pPr>
              <w:pStyle w:val="TableContents"/>
              <w:widowControl w:val="false"/>
              <w:suppressLineNumbers/>
              <w:spacing w:before="0" w:after="200"/>
              <w:rPr/>
            </w:pPr>
            <w:r>
              <w:rPr/>
              <w:t>That the commitments are universally justified</w:t>
            </w:r>
          </w:p>
        </w:tc>
      </w:tr>
      <w:tr>
        <w:trPr/>
        <w:tc>
          <w:tcPr>
            <w:tcW w:w="1865" w:type="dxa"/>
            <w:tcBorders/>
            <w:vAlign w:val="center"/>
          </w:tcPr>
          <w:p>
            <w:pPr>
              <w:pStyle w:val="TableContents"/>
              <w:widowControl w:val="false"/>
              <w:suppressLineNumbers/>
              <w:spacing w:before="0" w:after="200"/>
              <w:rPr/>
            </w:pPr>
            <w:r>
              <w:rPr>
                <w:rStyle w:val="Strong"/>
              </w:rPr>
              <w:t>Architectural conformance</w:t>
            </w:r>
          </w:p>
        </w:tc>
        <w:tc>
          <w:tcPr>
            <w:tcW w:w="2442" w:type="dxa"/>
            <w:tcBorders/>
            <w:vAlign w:val="center"/>
          </w:tcPr>
          <w:p>
            <w:pPr>
              <w:pStyle w:val="TableContents"/>
              <w:widowControl w:val="false"/>
              <w:suppressLineNumbers/>
              <w:spacing w:before="0" w:after="200"/>
              <w:rPr/>
            </w:pPr>
            <w:r>
              <w:rPr/>
              <w:t>Does an implementation preserve the specification?</w:t>
            </w:r>
          </w:p>
        </w:tc>
        <w:tc>
          <w:tcPr>
            <w:tcW w:w="2173" w:type="dxa"/>
            <w:tcBorders/>
            <w:vAlign w:val="center"/>
          </w:tcPr>
          <w:p>
            <w:pPr>
              <w:pStyle w:val="TableContents"/>
              <w:widowControl w:val="false"/>
              <w:suppressLineNumbers/>
              <w:spacing w:before="0" w:after="200"/>
              <w:rPr/>
            </w:pPr>
            <w:r>
              <w:rPr/>
              <w:t>Conformance and interoperability tests</w:t>
            </w:r>
          </w:p>
        </w:tc>
        <w:tc>
          <w:tcPr>
            <w:tcW w:w="2160" w:type="dxa"/>
            <w:tcBorders/>
            <w:vAlign w:val="center"/>
          </w:tcPr>
          <w:p>
            <w:pPr>
              <w:pStyle w:val="TableContents"/>
              <w:widowControl w:val="false"/>
              <w:suppressLineNumbers/>
              <w:spacing w:before="0" w:after="200"/>
              <w:rPr/>
            </w:pPr>
            <w:r>
              <w:rPr/>
              <w:t>That the architecture itself is morally correct</w:t>
            </w:r>
          </w:p>
        </w:tc>
      </w:tr>
      <w:tr>
        <w:trPr/>
        <w:tc>
          <w:tcPr>
            <w:tcW w:w="1865" w:type="dxa"/>
            <w:tcBorders/>
            <w:vAlign w:val="center"/>
          </w:tcPr>
          <w:p>
            <w:pPr>
              <w:pStyle w:val="TableContents"/>
              <w:widowControl w:val="false"/>
              <w:suppressLineNumbers/>
              <w:spacing w:before="0" w:after="200"/>
              <w:rPr/>
            </w:pPr>
            <w:r>
              <w:rPr>
                <w:rStyle w:val="Strong"/>
              </w:rPr>
              <w:t>Construct validity</w:t>
            </w:r>
          </w:p>
        </w:tc>
        <w:tc>
          <w:tcPr>
            <w:tcW w:w="2442" w:type="dxa"/>
            <w:tcBorders/>
            <w:vAlign w:val="center"/>
          </w:tcPr>
          <w:p>
            <w:pPr>
              <w:pStyle w:val="TableContents"/>
              <w:widowControl w:val="false"/>
              <w:suppressLineNumbers/>
              <w:spacing w:before="0" w:after="200"/>
              <w:rPr/>
            </w:pPr>
            <w:r>
              <w:rPr/>
              <w:t>Do measures represent the intended ethical construct?</w:t>
            </w:r>
          </w:p>
        </w:tc>
        <w:tc>
          <w:tcPr>
            <w:tcW w:w="2173" w:type="dxa"/>
            <w:tcBorders/>
            <w:vAlign w:val="center"/>
          </w:tcPr>
          <w:p>
            <w:pPr>
              <w:pStyle w:val="TableContents"/>
              <w:widowControl w:val="false"/>
              <w:suppressLineNumbers/>
              <w:spacing w:before="0" w:after="200"/>
              <w:rPr/>
            </w:pPr>
            <w:r>
              <w:rPr/>
              <w:t>Indicator studies, qualitative review, sensitivity</w:t>
            </w:r>
          </w:p>
        </w:tc>
        <w:tc>
          <w:tcPr>
            <w:tcW w:w="2160" w:type="dxa"/>
            <w:tcBorders/>
            <w:vAlign w:val="center"/>
          </w:tcPr>
          <w:p>
            <w:pPr>
              <w:pStyle w:val="TableContents"/>
              <w:widowControl w:val="false"/>
              <w:suppressLineNumbers/>
              <w:spacing w:before="0" w:after="200"/>
              <w:rPr/>
            </w:pPr>
            <w:r>
              <w:rPr/>
              <w:t>That the construct deserves normative priority</w:t>
            </w:r>
          </w:p>
        </w:tc>
      </w:tr>
      <w:tr>
        <w:trPr/>
        <w:tc>
          <w:tcPr>
            <w:tcW w:w="1865" w:type="dxa"/>
            <w:tcBorders/>
            <w:vAlign w:val="center"/>
          </w:tcPr>
          <w:p>
            <w:pPr>
              <w:pStyle w:val="TableContents"/>
              <w:widowControl w:val="false"/>
              <w:suppressLineNumbers/>
              <w:spacing w:before="0" w:after="200"/>
              <w:rPr/>
            </w:pPr>
            <w:r>
              <w:rPr>
                <w:rStyle w:val="Strong"/>
              </w:rPr>
              <w:t>Predictive calibration</w:t>
            </w:r>
          </w:p>
        </w:tc>
        <w:tc>
          <w:tcPr>
            <w:tcW w:w="2442" w:type="dxa"/>
            <w:tcBorders/>
            <w:vAlign w:val="center"/>
          </w:tcPr>
          <w:p>
            <w:pPr>
              <w:pStyle w:val="TableContents"/>
              <w:widowControl w:val="false"/>
              <w:suppressLineNumbers/>
              <w:spacing w:before="0" w:after="200"/>
              <w:rPr/>
            </w:pPr>
            <w:r>
              <w:rPr/>
              <w:t>Do predicted effects correspond to observed effects?</w:t>
            </w:r>
          </w:p>
        </w:tc>
        <w:tc>
          <w:tcPr>
            <w:tcW w:w="2173" w:type="dxa"/>
            <w:tcBorders/>
            <w:vAlign w:val="center"/>
          </w:tcPr>
          <w:p>
            <w:pPr>
              <w:pStyle w:val="TableContents"/>
              <w:widowControl w:val="false"/>
              <w:suppressLineNumbers/>
              <w:spacing w:before="0" w:after="200"/>
              <w:rPr/>
            </w:pPr>
            <w:r>
              <w:rPr/>
              <w:t>Outcome monitoring and calibration analysis</w:t>
            </w:r>
          </w:p>
        </w:tc>
        <w:tc>
          <w:tcPr>
            <w:tcW w:w="2160" w:type="dxa"/>
            <w:tcBorders/>
            <w:vAlign w:val="center"/>
          </w:tcPr>
          <w:p>
            <w:pPr>
              <w:pStyle w:val="TableContents"/>
              <w:widowControl w:val="false"/>
              <w:suppressLineNumbers/>
              <w:spacing w:before="0" w:after="200"/>
              <w:rPr/>
            </w:pPr>
            <w:r>
              <w:rPr/>
              <w:t>That a well-predicted action is morally permissible</w:t>
            </w:r>
          </w:p>
        </w:tc>
      </w:tr>
      <w:tr>
        <w:trPr/>
        <w:tc>
          <w:tcPr>
            <w:tcW w:w="1865" w:type="dxa"/>
            <w:tcBorders/>
            <w:vAlign w:val="center"/>
          </w:tcPr>
          <w:p>
            <w:pPr>
              <w:pStyle w:val="TableContents"/>
              <w:widowControl w:val="false"/>
              <w:suppressLineNumbers/>
              <w:spacing w:before="0" w:after="200"/>
              <w:rPr/>
            </w:pPr>
            <w:r>
              <w:rPr>
                <w:rStyle w:val="Strong"/>
              </w:rPr>
              <w:t>Procedural legitimacy</w:t>
            </w:r>
          </w:p>
        </w:tc>
        <w:tc>
          <w:tcPr>
            <w:tcW w:w="2442" w:type="dxa"/>
            <w:tcBorders/>
            <w:vAlign w:val="center"/>
          </w:tcPr>
          <w:p>
            <w:pPr>
              <w:pStyle w:val="TableContents"/>
              <w:widowControl w:val="false"/>
              <w:suppressLineNumbers/>
              <w:spacing w:before="0" w:after="200"/>
              <w:rPr/>
            </w:pPr>
            <w:r>
              <w:rPr/>
              <w:t>Was the assessment authorized, participatory, fair, and reviewable?</w:t>
            </w:r>
          </w:p>
        </w:tc>
        <w:tc>
          <w:tcPr>
            <w:tcW w:w="2173" w:type="dxa"/>
            <w:tcBorders/>
            <w:vAlign w:val="center"/>
          </w:tcPr>
          <w:p>
            <w:pPr>
              <w:pStyle w:val="TableContents"/>
              <w:widowControl w:val="false"/>
              <w:suppressLineNumbers/>
              <w:spacing w:before="0" w:after="200"/>
              <w:rPr/>
            </w:pPr>
            <w:r>
              <w:rPr/>
              <w:t>Governance audit and affected-party review</w:t>
            </w:r>
          </w:p>
        </w:tc>
        <w:tc>
          <w:tcPr>
            <w:tcW w:w="2160" w:type="dxa"/>
            <w:tcBorders/>
            <w:vAlign w:val="center"/>
          </w:tcPr>
          <w:p>
            <w:pPr>
              <w:pStyle w:val="TableContents"/>
              <w:widowControl w:val="false"/>
              <w:suppressLineNumbers/>
              <w:spacing w:before="0" w:after="200"/>
              <w:rPr/>
            </w:pPr>
            <w:r>
              <w:rPr/>
              <w:t>That the resulting decision is substantively just</w:t>
            </w:r>
          </w:p>
        </w:tc>
      </w:tr>
      <w:tr>
        <w:trPr/>
        <w:tc>
          <w:tcPr>
            <w:tcW w:w="1865" w:type="dxa"/>
            <w:tcBorders/>
            <w:vAlign w:val="center"/>
          </w:tcPr>
          <w:p>
            <w:pPr>
              <w:pStyle w:val="TableContents"/>
              <w:widowControl w:val="false"/>
              <w:suppressLineNumbers/>
              <w:spacing w:before="0" w:after="200"/>
              <w:rPr/>
            </w:pPr>
            <w:r>
              <w:rPr>
                <w:rStyle w:val="Strong"/>
              </w:rPr>
              <w:t>Robustness</w:t>
            </w:r>
          </w:p>
        </w:tc>
        <w:tc>
          <w:tcPr>
            <w:tcW w:w="2442" w:type="dxa"/>
            <w:tcBorders/>
            <w:vAlign w:val="center"/>
          </w:tcPr>
          <w:p>
            <w:pPr>
              <w:pStyle w:val="TableContents"/>
              <w:widowControl w:val="false"/>
              <w:suppressLineNumbers/>
              <w:spacing w:before="0" w:after="200"/>
              <w:rPr/>
            </w:pPr>
            <w:r>
              <w:rPr/>
              <w:t>Does the conclusion survive plausible variation and challenge?</w:t>
            </w:r>
          </w:p>
        </w:tc>
        <w:tc>
          <w:tcPr>
            <w:tcW w:w="2173" w:type="dxa"/>
            <w:tcBorders/>
            <w:vAlign w:val="center"/>
          </w:tcPr>
          <w:p>
            <w:pPr>
              <w:pStyle w:val="TableContents"/>
              <w:widowControl w:val="false"/>
              <w:suppressLineNumbers/>
              <w:spacing w:before="0" w:after="200"/>
              <w:rPr/>
            </w:pPr>
            <w:r>
              <w:rPr/>
              <w:t>Sensitivity, competing-model, and adversarial tests</w:t>
            </w:r>
          </w:p>
        </w:tc>
        <w:tc>
          <w:tcPr>
            <w:tcW w:w="2160" w:type="dxa"/>
            <w:tcBorders/>
            <w:vAlign w:val="center"/>
          </w:tcPr>
          <w:p>
            <w:pPr>
              <w:pStyle w:val="TableContents"/>
              <w:widowControl w:val="false"/>
              <w:suppressLineNumbers/>
              <w:spacing w:before="0" w:after="200"/>
              <w:rPr/>
            </w:pPr>
            <w:r>
              <w:rPr/>
              <w:t>That no unmodeled failure can occur</w:t>
            </w:r>
          </w:p>
        </w:tc>
      </w:tr>
      <w:tr>
        <w:trPr/>
        <w:tc>
          <w:tcPr>
            <w:tcW w:w="1865" w:type="dxa"/>
            <w:tcBorders/>
            <w:vAlign w:val="center"/>
          </w:tcPr>
          <w:p>
            <w:pPr>
              <w:pStyle w:val="TableContents"/>
              <w:widowControl w:val="false"/>
              <w:suppressLineNumbers/>
              <w:spacing w:before="0" w:after="200"/>
              <w:rPr/>
            </w:pPr>
            <w:r>
              <w:rPr>
                <w:rStyle w:val="Strong"/>
              </w:rPr>
              <w:t>Comparative performance</w:t>
            </w:r>
          </w:p>
        </w:tc>
        <w:tc>
          <w:tcPr>
            <w:tcW w:w="2442" w:type="dxa"/>
            <w:tcBorders/>
            <w:vAlign w:val="center"/>
          </w:tcPr>
          <w:p>
            <w:pPr>
              <w:pStyle w:val="TableContents"/>
              <w:widowControl w:val="false"/>
              <w:suppressLineNumbers/>
              <w:spacing w:before="0" w:after="200"/>
              <w:rPr/>
            </w:pPr>
            <w:r>
              <w:rPr/>
              <w:t>Does the framework improve analysis relative to alternatives?</w:t>
            </w:r>
          </w:p>
        </w:tc>
        <w:tc>
          <w:tcPr>
            <w:tcW w:w="2173" w:type="dxa"/>
            <w:tcBorders/>
            <w:vAlign w:val="center"/>
          </w:tcPr>
          <w:p>
            <w:pPr>
              <w:pStyle w:val="TableContents"/>
              <w:widowControl w:val="false"/>
              <w:suppressLineNumbers/>
              <w:spacing w:before="0" w:after="200"/>
              <w:rPr/>
            </w:pPr>
            <w:r>
              <w:rPr/>
              <w:t>Common cases and predefined criteria</w:t>
            </w:r>
          </w:p>
        </w:tc>
        <w:tc>
          <w:tcPr>
            <w:tcW w:w="2160" w:type="dxa"/>
            <w:tcBorders/>
            <w:vAlign w:val="center"/>
          </w:tcPr>
          <w:p>
            <w:pPr>
              <w:pStyle w:val="TableContents"/>
              <w:widowControl w:val="false"/>
              <w:suppressLineNumbers/>
              <w:spacing w:before="0" w:after="200"/>
              <w:rPr/>
            </w:pPr>
            <w:r>
              <w:rPr/>
              <w:t>That the framework is uniquely or universally superior</w:t>
            </w:r>
          </w:p>
        </w:tc>
      </w:tr>
      <w:tr>
        <w:trPr/>
        <w:tc>
          <w:tcPr>
            <w:tcW w:w="1865" w:type="dxa"/>
            <w:tcBorders/>
            <w:vAlign w:val="center"/>
          </w:tcPr>
          <w:p>
            <w:pPr>
              <w:pStyle w:val="TableContents"/>
              <w:widowControl w:val="false"/>
              <w:suppressLineNumbers/>
              <w:spacing w:before="0" w:after="200"/>
              <w:rPr/>
            </w:pPr>
            <w:r>
              <w:rPr>
                <w:rStyle w:val="Strong"/>
              </w:rPr>
              <w:t>Independent philosophical review</w:t>
            </w:r>
          </w:p>
        </w:tc>
        <w:tc>
          <w:tcPr>
            <w:tcW w:w="2442" w:type="dxa"/>
            <w:tcBorders/>
            <w:vAlign w:val="center"/>
          </w:tcPr>
          <w:p>
            <w:pPr>
              <w:pStyle w:val="TableContents"/>
              <w:widowControl w:val="false"/>
              <w:suppressLineNumbers/>
              <w:spacing w:before="0" w:after="200"/>
              <w:rPr/>
            </w:pPr>
            <w:r>
              <w:rPr/>
              <w:t>Do informed external critics find the arguments defensible?</w:t>
            </w:r>
          </w:p>
        </w:tc>
        <w:tc>
          <w:tcPr>
            <w:tcW w:w="2173" w:type="dxa"/>
            <w:tcBorders/>
            <w:vAlign w:val="center"/>
          </w:tcPr>
          <w:p>
            <w:pPr>
              <w:pStyle w:val="TableContents"/>
              <w:widowControl w:val="false"/>
              <w:suppressLineNumbers/>
              <w:spacing w:before="0" w:after="200"/>
              <w:rPr/>
            </w:pPr>
            <w:r>
              <w:rPr/>
              <w:t>Published reviews, responses, and dissent</w:t>
            </w:r>
          </w:p>
        </w:tc>
        <w:tc>
          <w:tcPr>
            <w:tcW w:w="2160" w:type="dxa"/>
            <w:tcBorders/>
            <w:vAlign w:val="center"/>
          </w:tcPr>
          <w:p>
            <w:pPr>
              <w:pStyle w:val="TableContents"/>
              <w:widowControl w:val="false"/>
              <w:suppressLineNumbers/>
              <w:spacing w:before="0" w:after="200"/>
              <w:rPr/>
            </w:pPr>
            <w:r>
              <w:rPr/>
              <w:t>Philosophical consensus or moral truth</w:t>
            </w:r>
          </w:p>
        </w:tc>
      </w:tr>
      <w:tr>
        <w:trPr/>
        <w:tc>
          <w:tcPr>
            <w:tcW w:w="1865" w:type="dxa"/>
            <w:tcBorders/>
            <w:vAlign w:val="center"/>
          </w:tcPr>
          <w:p>
            <w:pPr>
              <w:pStyle w:val="TableContents"/>
              <w:widowControl w:val="false"/>
              <w:suppressLineNumbers/>
              <w:spacing w:before="0" w:after="200"/>
              <w:rPr/>
            </w:pPr>
            <w:r>
              <w:rPr>
                <w:rStyle w:val="Strong"/>
              </w:rPr>
              <w:t>Longitudinal evaluation</w:t>
            </w:r>
          </w:p>
        </w:tc>
        <w:tc>
          <w:tcPr>
            <w:tcW w:w="2442" w:type="dxa"/>
            <w:tcBorders/>
            <w:vAlign w:val="center"/>
          </w:tcPr>
          <w:p>
            <w:pPr>
              <w:pStyle w:val="TableContents"/>
              <w:widowControl w:val="false"/>
              <w:suppressLineNumbers/>
              <w:spacing w:before="0" w:after="200"/>
              <w:rPr/>
            </w:pPr>
            <w:r>
              <w:rPr/>
              <w:t>Do predictions, safeguards, and remedies remain effective over time?</w:t>
            </w:r>
          </w:p>
        </w:tc>
        <w:tc>
          <w:tcPr>
            <w:tcW w:w="2173" w:type="dxa"/>
            <w:tcBorders/>
            <w:vAlign w:val="center"/>
          </w:tcPr>
          <w:p>
            <w:pPr>
              <w:pStyle w:val="TableContents"/>
              <w:widowControl w:val="false"/>
              <w:suppressLineNumbers/>
              <w:spacing w:before="0" w:after="200"/>
              <w:rPr/>
            </w:pPr>
            <w:r>
              <w:rPr/>
              <w:t>Monitoring, incident review, and reassessment</w:t>
            </w:r>
          </w:p>
        </w:tc>
        <w:tc>
          <w:tcPr>
            <w:tcW w:w="2160" w:type="dxa"/>
            <w:tcBorders/>
            <w:vAlign w:val="center"/>
          </w:tcPr>
          <w:p>
            <w:pPr>
              <w:pStyle w:val="TableContents"/>
              <w:widowControl w:val="false"/>
              <w:suppressLineNumbers/>
              <w:spacing w:before="0" w:after="200"/>
              <w:rPr/>
            </w:pPr>
            <w:r>
              <w:rPr/>
              <w:t>Permanent validity under changing conditions</w:t>
            </w:r>
          </w:p>
        </w:tc>
      </w:tr>
    </w:tbl>
    <w:p>
      <w:pPr>
        <w:pStyle w:val="Heading4"/>
        <w:ind w:hanging="0" w:left="0"/>
        <w:rPr>
          <w:rFonts w:ascii="Aptos" w:hAnsi="Aptos"/>
          <w:color w:val="auto"/>
          <w:sz w:val="21"/>
          <w:szCs w:val="22"/>
        </w:rPr>
      </w:pPr>
      <w:r>
        <w:rPr/>
        <w:t>Validation-claim vocabulary</w:t>
      </w:r>
    </w:p>
    <w:p>
      <w:pPr>
        <w:pStyle w:val="BodyText"/>
        <w:spacing w:before="0" w:after="200"/>
        <w:rPr/>
      </w:pPr>
      <w:r>
        <w:rPr/>
        <w:t>The document should use bounded claims such as:</w:t>
      </w:r>
    </w:p>
    <w:p>
      <w:pPr>
        <w:pStyle w:val="BodyText"/>
        <w:numPr>
          <w:ilvl w:val="0"/>
          <w:numId w:val="172"/>
        </w:numPr>
        <w:tabs>
          <w:tab w:val="clear" w:pos="720"/>
          <w:tab w:val="left" w:pos="0" w:leader="none"/>
        </w:tabs>
        <w:spacing w:before="0" w:after="0"/>
        <w:ind w:hanging="283" w:left="709"/>
        <w:rPr/>
      </w:pPr>
      <w:r>
        <w:rPr>
          <w:rStyle w:val="Strong"/>
        </w:rPr>
        <w:t>Conceptually coherent within the reviewed specification;</w:t>
      </w:r>
      <w:r>
        <w:rPr/>
        <w:t xml:space="preserve"> </w:t>
      </w:r>
    </w:p>
    <w:p>
      <w:pPr>
        <w:pStyle w:val="BodyText"/>
        <w:numPr>
          <w:ilvl w:val="0"/>
          <w:numId w:val="172"/>
        </w:numPr>
        <w:tabs>
          <w:tab w:val="clear" w:pos="720"/>
          <w:tab w:val="left" w:pos="0" w:leader="none"/>
        </w:tabs>
        <w:spacing w:before="0" w:after="0"/>
        <w:ind w:hanging="283" w:left="709"/>
        <w:rPr/>
      </w:pPr>
      <w:r>
        <w:rPr>
          <w:rStyle w:val="Strong"/>
        </w:rPr>
        <w:t>Conforming to architecture version X under profile Y;</w:t>
      </w:r>
      <w:r>
        <w:rPr/>
        <w:t xml:space="preserve"> </w:t>
      </w:r>
    </w:p>
    <w:p>
      <w:pPr>
        <w:pStyle w:val="BodyText"/>
        <w:numPr>
          <w:ilvl w:val="0"/>
          <w:numId w:val="172"/>
        </w:numPr>
        <w:tabs>
          <w:tab w:val="clear" w:pos="720"/>
          <w:tab w:val="left" w:pos="0" w:leader="none"/>
        </w:tabs>
        <w:spacing w:before="0" w:after="0"/>
        <w:ind w:hanging="283" w:left="709"/>
        <w:rPr/>
      </w:pPr>
      <w:r>
        <w:rPr>
          <w:rStyle w:val="Strong"/>
        </w:rPr>
        <w:t>Predictively calibrated for domain and horizon Z;</w:t>
      </w:r>
      <w:r>
        <w:rPr/>
        <w:t xml:space="preserve"> </w:t>
      </w:r>
    </w:p>
    <w:p>
      <w:pPr>
        <w:pStyle w:val="BodyText"/>
        <w:numPr>
          <w:ilvl w:val="0"/>
          <w:numId w:val="172"/>
        </w:numPr>
        <w:tabs>
          <w:tab w:val="clear" w:pos="720"/>
          <w:tab w:val="left" w:pos="0" w:leader="none"/>
        </w:tabs>
        <w:spacing w:before="0" w:after="0"/>
        <w:ind w:hanging="283" w:left="709"/>
        <w:rPr/>
      </w:pPr>
      <w:r>
        <w:rPr>
          <w:rStyle w:val="Strong"/>
        </w:rPr>
        <w:t>Robust across the tested models and sensitivity ranges;</w:t>
      </w:r>
      <w:r>
        <w:rPr/>
        <w:t xml:space="preserve"> </w:t>
      </w:r>
    </w:p>
    <w:p>
      <w:pPr>
        <w:pStyle w:val="BodyText"/>
        <w:numPr>
          <w:ilvl w:val="0"/>
          <w:numId w:val="172"/>
        </w:numPr>
        <w:tabs>
          <w:tab w:val="clear" w:pos="720"/>
          <w:tab w:val="left" w:pos="0" w:leader="none"/>
        </w:tabs>
        <w:spacing w:before="0" w:after="0"/>
        <w:ind w:hanging="283" w:left="709"/>
        <w:rPr/>
      </w:pPr>
      <w:r>
        <w:rPr>
          <w:rStyle w:val="Strong"/>
        </w:rPr>
        <w:t>Procedurally reviewed under the specified governance standard;</w:t>
      </w:r>
      <w:r>
        <w:rPr/>
        <w:t xml:space="preserve"> </w:t>
      </w:r>
    </w:p>
    <w:p>
      <w:pPr>
        <w:pStyle w:val="BodyText"/>
        <w:numPr>
          <w:ilvl w:val="0"/>
          <w:numId w:val="172"/>
        </w:numPr>
        <w:tabs>
          <w:tab w:val="clear" w:pos="720"/>
          <w:tab w:val="left" w:pos="0" w:leader="none"/>
        </w:tabs>
        <w:spacing w:before="0" w:after="0"/>
        <w:ind w:hanging="283" w:left="709"/>
        <w:rPr/>
      </w:pPr>
      <w:r>
        <w:rPr>
          <w:rStyle w:val="Strong"/>
        </w:rPr>
        <w:t>Comparatively supported on the identified benchmark set;</w:t>
      </w:r>
      <w:r>
        <w:rPr/>
        <w:t xml:space="preserve"> </w:t>
      </w:r>
    </w:p>
    <w:p>
      <w:pPr>
        <w:pStyle w:val="BodyText"/>
        <w:numPr>
          <w:ilvl w:val="0"/>
          <w:numId w:val="172"/>
        </w:numPr>
        <w:tabs>
          <w:tab w:val="clear" w:pos="720"/>
          <w:tab w:val="left" w:pos="0" w:leader="none"/>
        </w:tabs>
        <w:spacing w:before="0" w:after="0"/>
        <w:ind w:hanging="283" w:left="709"/>
        <w:rPr/>
      </w:pPr>
      <w:r>
        <w:rPr>
          <w:rStyle w:val="Strong"/>
        </w:rPr>
        <w:t>Independently reviewed by the listed experts;</w:t>
      </w:r>
      <w:r>
        <w:rPr/>
        <w:t xml:space="preserve"> </w:t>
      </w:r>
    </w:p>
    <w:p>
      <w:pPr>
        <w:pStyle w:val="BodyText"/>
        <w:numPr>
          <w:ilvl w:val="0"/>
          <w:numId w:val="172"/>
        </w:numPr>
        <w:tabs>
          <w:tab w:val="clear" w:pos="720"/>
          <w:tab w:val="left" w:pos="0" w:leader="none"/>
        </w:tabs>
        <w:spacing w:before="0" w:after="0"/>
        <w:ind w:hanging="283" w:left="709"/>
        <w:rPr/>
      </w:pPr>
      <w:r>
        <w:rPr>
          <w:rStyle w:val="Strong"/>
        </w:rPr>
        <w:t>Conditionally supported subject to unresolved objections;</w:t>
      </w:r>
      <w:r>
        <w:rPr/>
        <w:t xml:space="preserve"> or </w:t>
      </w:r>
    </w:p>
    <w:p>
      <w:pPr>
        <w:pStyle w:val="BodyText"/>
        <w:numPr>
          <w:ilvl w:val="0"/>
          <w:numId w:val="172"/>
        </w:numPr>
        <w:tabs>
          <w:tab w:val="clear" w:pos="720"/>
          <w:tab w:val="left" w:pos="0" w:leader="none"/>
        </w:tabs>
        <w:ind w:hanging="283" w:left="709"/>
        <w:rPr/>
      </w:pPr>
      <w:r>
        <w:rPr>
          <w:rStyle w:val="Strong"/>
        </w:rPr>
        <w:t>Not validated for the proposed domain or level of risk.</w:t>
      </w:r>
      <w:r>
        <w:rPr/>
        <w:t xml:space="preserve"> </w:t>
      </w:r>
    </w:p>
    <w:p>
      <w:pPr>
        <w:pStyle w:val="BodyText"/>
        <w:spacing w:before="0" w:after="200"/>
        <w:rPr/>
      </w:pPr>
      <w:r>
        <w:rPr/>
        <w:t>It should avoid unqualified statements such as:</w:t>
      </w:r>
    </w:p>
    <w:p>
      <w:pPr>
        <w:pStyle w:val="BodyText"/>
        <w:numPr>
          <w:ilvl w:val="0"/>
          <w:numId w:val="173"/>
        </w:numPr>
        <w:tabs>
          <w:tab w:val="clear" w:pos="720"/>
          <w:tab w:val="left" w:pos="0" w:leader="none"/>
        </w:tabs>
        <w:spacing w:before="0" w:after="0"/>
        <w:ind w:hanging="283" w:left="709"/>
        <w:rPr/>
      </w:pPr>
      <w:r>
        <w:rPr/>
        <w:t>“</w:t>
      </w:r>
      <w:r>
        <w:rPr/>
        <w:t xml:space="preserve">The framework has been validated”; </w:t>
      </w:r>
    </w:p>
    <w:p>
      <w:pPr>
        <w:pStyle w:val="BodyText"/>
        <w:numPr>
          <w:ilvl w:val="0"/>
          <w:numId w:val="173"/>
        </w:numPr>
        <w:tabs>
          <w:tab w:val="clear" w:pos="720"/>
          <w:tab w:val="left" w:pos="0" w:leader="none"/>
        </w:tabs>
        <w:spacing w:before="0" w:after="0"/>
        <w:ind w:hanging="283" w:left="709"/>
        <w:rPr/>
      </w:pPr>
      <w:r>
        <w:rPr/>
        <w:t>“</w:t>
      </w:r>
      <w:r>
        <w:rPr/>
        <w:t xml:space="preserve">The model produces objectively moral decisions”; </w:t>
      </w:r>
    </w:p>
    <w:p>
      <w:pPr>
        <w:pStyle w:val="BodyText"/>
        <w:numPr>
          <w:ilvl w:val="0"/>
          <w:numId w:val="173"/>
        </w:numPr>
        <w:tabs>
          <w:tab w:val="clear" w:pos="720"/>
          <w:tab w:val="left" w:pos="0" w:leader="none"/>
        </w:tabs>
        <w:spacing w:before="0" w:after="0"/>
        <w:ind w:hanging="283" w:left="709"/>
        <w:rPr/>
      </w:pPr>
      <w:r>
        <w:rPr/>
        <w:t>“</w:t>
      </w:r>
      <w:r>
        <w:rPr/>
        <w:t xml:space="preserve">Expert agreement proves correctness”; or </w:t>
      </w:r>
    </w:p>
    <w:p>
      <w:pPr>
        <w:pStyle w:val="BodyText"/>
        <w:numPr>
          <w:ilvl w:val="0"/>
          <w:numId w:val="173"/>
        </w:numPr>
        <w:tabs>
          <w:tab w:val="clear" w:pos="720"/>
          <w:tab w:val="left" w:pos="0" w:leader="none"/>
        </w:tabs>
        <w:ind w:hanging="283" w:left="709"/>
        <w:rPr/>
      </w:pPr>
      <w:r>
        <w:rPr/>
        <w:t>“</w:t>
      </w:r>
      <w:r>
        <w:rPr/>
        <w:t xml:space="preserve">Predictive accuracy establishes moral authority.” </w:t>
      </w:r>
    </w:p>
    <w:p>
      <w:pPr>
        <w:pStyle w:val="Heading4"/>
        <w:ind w:hanging="0" w:left="0"/>
        <w:rPr>
          <w:rFonts w:ascii="Aptos" w:hAnsi="Aptos"/>
          <w:color w:val="auto"/>
          <w:sz w:val="21"/>
          <w:szCs w:val="22"/>
        </w:rPr>
      </w:pPr>
      <w:r>
        <w:rPr/>
        <w:t>Comparative-case protocol</w:t>
      </w:r>
    </w:p>
    <w:p>
      <w:pPr>
        <w:pStyle w:val="BodyText"/>
        <w:numPr>
          <w:ilvl w:val="0"/>
          <w:numId w:val="174"/>
        </w:numPr>
        <w:tabs>
          <w:tab w:val="clear" w:pos="720"/>
          <w:tab w:val="left" w:pos="0" w:leader="none"/>
        </w:tabs>
        <w:spacing w:before="0" w:after="0"/>
        <w:ind w:hanging="283" w:left="709"/>
        <w:rPr/>
      </w:pPr>
      <w:r>
        <w:rPr/>
        <w:t xml:space="preserve">Define comparator theories and operational interpretations in advance. </w:t>
      </w:r>
    </w:p>
    <w:p>
      <w:pPr>
        <w:pStyle w:val="BodyText"/>
        <w:numPr>
          <w:ilvl w:val="0"/>
          <w:numId w:val="174"/>
        </w:numPr>
        <w:tabs>
          <w:tab w:val="clear" w:pos="720"/>
          <w:tab w:val="left" w:pos="0" w:leader="none"/>
        </w:tabs>
        <w:spacing w:before="0" w:after="0"/>
        <w:ind w:hanging="283" w:left="709"/>
        <w:rPr/>
      </w:pPr>
      <w:r>
        <w:rPr/>
        <w:t xml:space="preserve">Obtain review from experts familiar with each comparator. </w:t>
      </w:r>
    </w:p>
    <w:p>
      <w:pPr>
        <w:pStyle w:val="BodyText"/>
        <w:numPr>
          <w:ilvl w:val="0"/>
          <w:numId w:val="174"/>
        </w:numPr>
        <w:tabs>
          <w:tab w:val="clear" w:pos="720"/>
          <w:tab w:val="left" w:pos="0" w:leader="none"/>
        </w:tabs>
        <w:spacing w:before="0" w:after="0"/>
        <w:ind w:hanging="283" w:left="709"/>
        <w:rPr/>
      </w:pPr>
      <w:r>
        <w:rPr/>
        <w:t xml:space="preserve">Select cases before observing comparative results. </w:t>
      </w:r>
    </w:p>
    <w:p>
      <w:pPr>
        <w:pStyle w:val="BodyText"/>
        <w:numPr>
          <w:ilvl w:val="0"/>
          <w:numId w:val="174"/>
        </w:numPr>
        <w:tabs>
          <w:tab w:val="clear" w:pos="720"/>
          <w:tab w:val="left" w:pos="0" w:leader="none"/>
        </w:tabs>
        <w:spacing w:before="0" w:after="0"/>
        <w:ind w:hanging="283" w:left="709"/>
        <w:rPr/>
      </w:pPr>
      <w:r>
        <w:rPr/>
        <w:t xml:space="preserve">Use identical factual records and evidence access. </w:t>
      </w:r>
    </w:p>
    <w:p>
      <w:pPr>
        <w:pStyle w:val="BodyText"/>
        <w:numPr>
          <w:ilvl w:val="0"/>
          <w:numId w:val="174"/>
        </w:numPr>
        <w:tabs>
          <w:tab w:val="clear" w:pos="720"/>
          <w:tab w:val="left" w:pos="0" w:leader="none"/>
        </w:tabs>
        <w:spacing w:before="0" w:after="0"/>
        <w:ind w:hanging="283" w:left="709"/>
        <w:rPr/>
      </w:pPr>
      <w:r>
        <w:rPr/>
        <w:t xml:space="preserve">Disclose boundaries, horizons, and uncertainty. </w:t>
      </w:r>
    </w:p>
    <w:p>
      <w:pPr>
        <w:pStyle w:val="BodyText"/>
        <w:numPr>
          <w:ilvl w:val="0"/>
          <w:numId w:val="174"/>
        </w:numPr>
        <w:tabs>
          <w:tab w:val="clear" w:pos="720"/>
          <w:tab w:val="left" w:pos="0" w:leader="none"/>
        </w:tabs>
        <w:spacing w:before="0" w:after="0"/>
        <w:ind w:hanging="283" w:left="709"/>
        <w:rPr/>
      </w:pPr>
      <w:r>
        <w:rPr/>
        <w:t xml:space="preserve">Predefine evaluation criteria. </w:t>
      </w:r>
    </w:p>
    <w:p>
      <w:pPr>
        <w:pStyle w:val="BodyText"/>
        <w:numPr>
          <w:ilvl w:val="0"/>
          <w:numId w:val="174"/>
        </w:numPr>
        <w:tabs>
          <w:tab w:val="clear" w:pos="720"/>
          <w:tab w:val="left" w:pos="0" w:leader="none"/>
        </w:tabs>
        <w:spacing w:before="0" w:after="0"/>
        <w:ind w:hanging="283" w:left="709"/>
        <w:rPr/>
      </w:pPr>
      <w:r>
        <w:rPr/>
        <w:t xml:space="preserve">Record each framework’s conclusion and reasoning separately. </w:t>
      </w:r>
    </w:p>
    <w:p>
      <w:pPr>
        <w:pStyle w:val="BodyText"/>
        <w:numPr>
          <w:ilvl w:val="0"/>
          <w:numId w:val="174"/>
        </w:numPr>
        <w:tabs>
          <w:tab w:val="clear" w:pos="720"/>
          <w:tab w:val="left" w:pos="0" w:leader="none"/>
        </w:tabs>
        <w:spacing w:before="0" w:after="0"/>
        <w:ind w:hanging="283" w:left="709"/>
        <w:rPr/>
      </w:pPr>
      <w:r>
        <w:rPr/>
        <w:t xml:space="preserve">Preserve plural or dissenting reference judgments. </w:t>
      </w:r>
    </w:p>
    <w:p>
      <w:pPr>
        <w:pStyle w:val="BodyText"/>
        <w:numPr>
          <w:ilvl w:val="0"/>
          <w:numId w:val="174"/>
        </w:numPr>
        <w:tabs>
          <w:tab w:val="clear" w:pos="720"/>
          <w:tab w:val="left" w:pos="0" w:leader="none"/>
        </w:tabs>
        <w:spacing w:before="0" w:after="0"/>
        <w:ind w:hanging="283" w:left="709"/>
        <w:rPr/>
      </w:pPr>
      <w:r>
        <w:rPr/>
        <w:t xml:space="preserve">Test paired cases differing in one morally material feature. </w:t>
      </w:r>
    </w:p>
    <w:p>
      <w:pPr>
        <w:pStyle w:val="BodyText"/>
        <w:numPr>
          <w:ilvl w:val="0"/>
          <w:numId w:val="174"/>
        </w:numPr>
        <w:tabs>
          <w:tab w:val="clear" w:pos="720"/>
          <w:tab w:val="left" w:pos="0" w:leader="none"/>
        </w:tabs>
        <w:spacing w:before="0" w:after="0"/>
        <w:ind w:hanging="283" w:left="709"/>
        <w:rPr/>
      </w:pPr>
      <w:r>
        <w:rPr/>
        <w:t xml:space="preserve">Conduct sensitivity and ablation analysis. </w:t>
      </w:r>
    </w:p>
    <w:p>
      <w:pPr>
        <w:pStyle w:val="BodyText"/>
        <w:numPr>
          <w:ilvl w:val="0"/>
          <w:numId w:val="174"/>
        </w:numPr>
        <w:tabs>
          <w:tab w:val="clear" w:pos="720"/>
          <w:tab w:val="left" w:pos="0" w:leader="none"/>
        </w:tabs>
        <w:spacing w:before="0" w:after="0"/>
        <w:ind w:hanging="283" w:left="709"/>
        <w:rPr/>
      </w:pPr>
      <w:r>
        <w:rPr/>
        <w:t xml:space="preserve">Compare analytical value with resource and complexity costs. </w:t>
      </w:r>
    </w:p>
    <w:p>
      <w:pPr>
        <w:pStyle w:val="BodyText"/>
        <w:numPr>
          <w:ilvl w:val="0"/>
          <w:numId w:val="174"/>
        </w:numPr>
        <w:tabs>
          <w:tab w:val="clear" w:pos="720"/>
          <w:tab w:val="left" w:pos="0" w:leader="none"/>
        </w:tabs>
        <w:ind w:hanging="283" w:left="709"/>
        <w:rPr/>
      </w:pPr>
      <w:r>
        <w:rPr/>
        <w:t xml:space="preserve">Publish favorable, unfavorable, and indeterminate results. </w:t>
      </w:r>
    </w:p>
    <w:p>
      <w:pPr>
        <w:pStyle w:val="Heading4"/>
        <w:ind w:hanging="0" w:left="0"/>
        <w:rPr>
          <w:rFonts w:ascii="Aptos" w:hAnsi="Aptos"/>
          <w:color w:val="auto"/>
          <w:sz w:val="21"/>
          <w:szCs w:val="22"/>
        </w:rPr>
      </w:pPr>
      <w:r>
        <w:rPr/>
        <w:t>Independent philosophical-review protocol</w:t>
      </w:r>
    </w:p>
    <w:p>
      <w:pPr>
        <w:pStyle w:val="BodyText"/>
        <w:spacing w:before="0" w:after="200"/>
        <w:rPr/>
      </w:pPr>
      <w:r>
        <w:rPr/>
        <w:t>Independent review should:</w:t>
      </w:r>
    </w:p>
    <w:p>
      <w:pPr>
        <w:pStyle w:val="BodyText"/>
        <w:numPr>
          <w:ilvl w:val="0"/>
          <w:numId w:val="175"/>
        </w:numPr>
        <w:tabs>
          <w:tab w:val="clear" w:pos="720"/>
          <w:tab w:val="left" w:pos="0" w:leader="none"/>
        </w:tabs>
        <w:spacing w:before="0" w:after="0"/>
        <w:ind w:hanging="283" w:left="709"/>
        <w:rPr/>
      </w:pPr>
      <w:r>
        <w:rPr/>
        <w:t xml:space="preserve">Include critics rather than only sympathetic advisors; </w:t>
      </w:r>
    </w:p>
    <w:p>
      <w:pPr>
        <w:pStyle w:val="BodyText"/>
        <w:numPr>
          <w:ilvl w:val="0"/>
          <w:numId w:val="175"/>
        </w:numPr>
        <w:tabs>
          <w:tab w:val="clear" w:pos="720"/>
          <w:tab w:val="left" w:pos="0" w:leader="none"/>
        </w:tabs>
        <w:spacing w:before="0" w:after="0"/>
        <w:ind w:hanging="283" w:left="709"/>
        <w:rPr/>
      </w:pPr>
      <w:r>
        <w:rPr/>
        <w:t xml:space="preserve">Represent internal diversity within ethical traditions; </w:t>
      </w:r>
    </w:p>
    <w:p>
      <w:pPr>
        <w:pStyle w:val="BodyText"/>
        <w:numPr>
          <w:ilvl w:val="0"/>
          <w:numId w:val="175"/>
        </w:numPr>
        <w:tabs>
          <w:tab w:val="clear" w:pos="720"/>
          <w:tab w:val="left" w:pos="0" w:leader="none"/>
        </w:tabs>
        <w:spacing w:before="0" w:after="0"/>
        <w:ind w:hanging="283" w:left="709"/>
        <w:rPr/>
      </w:pPr>
      <w:r>
        <w:rPr/>
        <w:t xml:space="preserve">Disclose reviewer selection and conflicts; </w:t>
      </w:r>
    </w:p>
    <w:p>
      <w:pPr>
        <w:pStyle w:val="BodyText"/>
        <w:numPr>
          <w:ilvl w:val="0"/>
          <w:numId w:val="175"/>
        </w:numPr>
        <w:tabs>
          <w:tab w:val="clear" w:pos="720"/>
          <w:tab w:val="left" w:pos="0" w:leader="none"/>
        </w:tabs>
        <w:spacing w:before="0" w:after="0"/>
        <w:ind w:hanging="283" w:left="709"/>
        <w:rPr/>
      </w:pPr>
      <w:r>
        <w:rPr/>
        <w:t xml:space="preserve">Provide the same framework version and evidence to each reviewer; </w:t>
      </w:r>
    </w:p>
    <w:p>
      <w:pPr>
        <w:pStyle w:val="BodyText"/>
        <w:numPr>
          <w:ilvl w:val="0"/>
          <w:numId w:val="175"/>
        </w:numPr>
        <w:tabs>
          <w:tab w:val="clear" w:pos="720"/>
          <w:tab w:val="left" w:pos="0" w:leader="none"/>
        </w:tabs>
        <w:spacing w:before="0" w:after="0"/>
        <w:ind w:hanging="283" w:left="709"/>
        <w:rPr/>
      </w:pPr>
      <w:r>
        <w:rPr/>
        <w:t xml:space="preserve">Obtain initial critiques before providing the authors’ responses; </w:t>
      </w:r>
    </w:p>
    <w:p>
      <w:pPr>
        <w:pStyle w:val="BodyText"/>
        <w:numPr>
          <w:ilvl w:val="0"/>
          <w:numId w:val="175"/>
        </w:numPr>
        <w:tabs>
          <w:tab w:val="clear" w:pos="720"/>
          <w:tab w:val="left" w:pos="0" w:leader="none"/>
        </w:tabs>
        <w:spacing w:before="0" w:after="0"/>
        <w:ind w:hanging="283" w:left="709"/>
        <w:rPr/>
      </w:pPr>
      <w:r>
        <w:rPr/>
        <w:t xml:space="preserve">Preserve the reviewers’ original arguments; </w:t>
      </w:r>
    </w:p>
    <w:p>
      <w:pPr>
        <w:pStyle w:val="BodyText"/>
        <w:numPr>
          <w:ilvl w:val="0"/>
          <w:numId w:val="175"/>
        </w:numPr>
        <w:tabs>
          <w:tab w:val="clear" w:pos="720"/>
          <w:tab w:val="left" w:pos="0" w:leader="none"/>
        </w:tabs>
        <w:spacing w:before="0" w:after="0"/>
        <w:ind w:hanging="283" w:left="709"/>
        <w:rPr/>
      </w:pPr>
      <w:r>
        <w:rPr/>
        <w:t xml:space="preserve">Allow written replies and reviewer rejoinders; </w:t>
      </w:r>
    </w:p>
    <w:p>
      <w:pPr>
        <w:pStyle w:val="BodyText"/>
        <w:numPr>
          <w:ilvl w:val="0"/>
          <w:numId w:val="175"/>
        </w:numPr>
        <w:tabs>
          <w:tab w:val="clear" w:pos="720"/>
          <w:tab w:val="left" w:pos="0" w:leader="none"/>
        </w:tabs>
        <w:spacing w:before="0" w:after="0"/>
        <w:ind w:hanging="283" w:left="709"/>
        <w:rPr/>
      </w:pPr>
      <w:r>
        <w:rPr/>
        <w:t xml:space="preserve">Classify rather than suppress unresolved objections; </w:t>
      </w:r>
    </w:p>
    <w:p>
      <w:pPr>
        <w:pStyle w:val="BodyText"/>
        <w:numPr>
          <w:ilvl w:val="0"/>
          <w:numId w:val="175"/>
        </w:numPr>
        <w:tabs>
          <w:tab w:val="clear" w:pos="720"/>
          <w:tab w:val="left" w:pos="0" w:leader="none"/>
        </w:tabs>
        <w:spacing w:before="0" w:after="0"/>
        <w:ind w:hanging="283" w:left="709"/>
        <w:rPr/>
      </w:pPr>
      <w:r>
        <w:rPr/>
        <w:t xml:space="preserve">Publish minority and dissenting assessments; and </w:t>
      </w:r>
    </w:p>
    <w:p>
      <w:pPr>
        <w:pStyle w:val="BodyText"/>
        <w:numPr>
          <w:ilvl w:val="0"/>
          <w:numId w:val="175"/>
        </w:numPr>
        <w:tabs>
          <w:tab w:val="clear" w:pos="720"/>
          <w:tab w:val="left" w:pos="0" w:leader="none"/>
        </w:tabs>
        <w:ind w:hanging="283" w:left="709"/>
        <w:rPr/>
      </w:pPr>
      <w:r>
        <w:rPr/>
        <w:t xml:space="preserve">Trigger architectural or normative change review when appropriate. </w:t>
      </w:r>
    </w:p>
    <w:p>
      <w:pPr>
        <w:pStyle w:val="Heading4"/>
        <w:ind w:hanging="0" w:left="0"/>
        <w:rPr>
          <w:rFonts w:ascii="Aptos" w:hAnsi="Aptos"/>
          <w:color w:val="auto"/>
          <w:sz w:val="21"/>
          <w:szCs w:val="22"/>
        </w:rPr>
      </w:pPr>
      <w:r>
        <w:rPr/>
        <w:t>Validation maturity levels</w:t>
      </w:r>
    </w:p>
    <w:tbl>
      <w:tblPr>
        <w:tblW w:w="8640" w:type="dxa"/>
        <w:jc w:val="left"/>
        <w:tblInd w:w="28" w:type="dxa"/>
        <w:tblLayout w:type="fixed"/>
        <w:tblCellMar>
          <w:top w:w="28" w:type="dxa"/>
          <w:left w:w="28" w:type="dxa"/>
          <w:bottom w:w="28" w:type="dxa"/>
          <w:right w:w="28" w:type="dxa"/>
        </w:tblCellMar>
      </w:tblPr>
      <w:tblGrid>
        <w:gridCol w:w="2419"/>
        <w:gridCol w:w="3355"/>
        <w:gridCol w:w="2866"/>
      </w:tblGrid>
      <w:tr>
        <w:trPr>
          <w:tblHeader w:val="true"/>
        </w:trPr>
        <w:tc>
          <w:tcPr>
            <w:tcW w:w="2419" w:type="dxa"/>
            <w:tcBorders/>
            <w:vAlign w:val="center"/>
          </w:tcPr>
          <w:p>
            <w:pPr>
              <w:pStyle w:val="TableHeading"/>
              <w:suppressLineNumbers/>
              <w:spacing w:before="0" w:after="200"/>
              <w:jc w:val="center"/>
              <w:rPr/>
            </w:pPr>
            <w:r>
              <w:rPr/>
              <w:t>Level</w:t>
            </w:r>
          </w:p>
        </w:tc>
        <w:tc>
          <w:tcPr>
            <w:tcW w:w="3355" w:type="dxa"/>
            <w:tcBorders/>
            <w:vAlign w:val="center"/>
          </w:tcPr>
          <w:p>
            <w:pPr>
              <w:pStyle w:val="TableHeading"/>
              <w:suppressLineNumbers/>
              <w:spacing w:before="0" w:after="200"/>
              <w:jc w:val="center"/>
              <w:rPr/>
            </w:pPr>
            <w:r>
              <w:rPr/>
              <w:t>Status</w:t>
            </w:r>
          </w:p>
        </w:tc>
        <w:tc>
          <w:tcPr>
            <w:tcW w:w="2866" w:type="dxa"/>
            <w:tcBorders/>
            <w:vAlign w:val="center"/>
          </w:tcPr>
          <w:p>
            <w:pPr>
              <w:pStyle w:val="TableHeading"/>
              <w:suppressLineNumbers/>
              <w:spacing w:before="0" w:after="200"/>
              <w:jc w:val="center"/>
              <w:rPr/>
            </w:pPr>
            <w:r>
              <w:rPr/>
              <w:t>Permitted claim</w:t>
            </w:r>
          </w:p>
        </w:tc>
      </w:tr>
      <w:tr>
        <w:trPr/>
        <w:tc>
          <w:tcPr>
            <w:tcW w:w="2419" w:type="dxa"/>
            <w:tcBorders/>
            <w:vAlign w:val="center"/>
          </w:tcPr>
          <w:p>
            <w:pPr>
              <w:pStyle w:val="TableContents"/>
              <w:widowControl w:val="false"/>
              <w:suppressLineNumbers/>
              <w:spacing w:before="0" w:after="200"/>
              <w:rPr/>
            </w:pPr>
            <w:r>
              <w:rPr>
                <w:rStyle w:val="Strong"/>
              </w:rPr>
              <w:t>0 — Proposed</w:t>
            </w:r>
          </w:p>
        </w:tc>
        <w:tc>
          <w:tcPr>
            <w:tcW w:w="3355" w:type="dxa"/>
            <w:tcBorders/>
            <w:vAlign w:val="center"/>
          </w:tcPr>
          <w:p>
            <w:pPr>
              <w:pStyle w:val="TableContents"/>
              <w:widowControl w:val="false"/>
              <w:suppressLineNumbers/>
              <w:spacing w:before="0" w:after="200"/>
              <w:rPr/>
            </w:pPr>
            <w:r>
              <w:rPr/>
              <w:t>Concepts and architecture are under development</w:t>
            </w:r>
          </w:p>
        </w:tc>
        <w:tc>
          <w:tcPr>
            <w:tcW w:w="2866" w:type="dxa"/>
            <w:tcBorders/>
            <w:vAlign w:val="center"/>
          </w:tcPr>
          <w:p>
            <w:pPr>
              <w:pStyle w:val="TableContents"/>
              <w:widowControl w:val="false"/>
              <w:suppressLineNumbers/>
              <w:spacing w:before="0" w:after="200"/>
              <w:rPr/>
            </w:pPr>
            <w:r>
              <w:rPr/>
              <w:t>No validation claim</w:t>
            </w:r>
          </w:p>
        </w:tc>
      </w:tr>
      <w:tr>
        <w:trPr/>
        <w:tc>
          <w:tcPr>
            <w:tcW w:w="2419" w:type="dxa"/>
            <w:tcBorders/>
            <w:vAlign w:val="center"/>
          </w:tcPr>
          <w:p>
            <w:pPr>
              <w:pStyle w:val="TableContents"/>
              <w:widowControl w:val="false"/>
              <w:suppressLineNumbers/>
              <w:spacing w:before="0" w:after="200"/>
              <w:rPr/>
            </w:pPr>
            <w:r>
              <w:rPr>
                <w:rStyle w:val="Strong"/>
              </w:rPr>
              <w:t>1 — Internally reviewed</w:t>
            </w:r>
          </w:p>
        </w:tc>
        <w:tc>
          <w:tcPr>
            <w:tcW w:w="3355" w:type="dxa"/>
            <w:tcBorders/>
            <w:vAlign w:val="center"/>
          </w:tcPr>
          <w:p>
            <w:pPr>
              <w:pStyle w:val="TableContents"/>
              <w:widowControl w:val="false"/>
              <w:suppressLineNumbers/>
              <w:spacing w:before="0" w:after="200"/>
              <w:rPr/>
            </w:pPr>
            <w:r>
              <w:rPr/>
              <w:t>Coherence and self-critique completed</w:t>
            </w:r>
          </w:p>
        </w:tc>
        <w:tc>
          <w:tcPr>
            <w:tcW w:w="2866" w:type="dxa"/>
            <w:tcBorders/>
            <w:vAlign w:val="center"/>
          </w:tcPr>
          <w:p>
            <w:pPr>
              <w:pStyle w:val="TableContents"/>
              <w:widowControl w:val="false"/>
              <w:suppressLineNumbers/>
              <w:spacing w:before="0" w:after="200"/>
              <w:rPr/>
            </w:pPr>
            <w:r>
              <w:rPr/>
              <w:t>Internally examined</w:t>
            </w:r>
          </w:p>
        </w:tc>
      </w:tr>
      <w:tr>
        <w:trPr/>
        <w:tc>
          <w:tcPr>
            <w:tcW w:w="2419" w:type="dxa"/>
            <w:tcBorders/>
            <w:vAlign w:val="center"/>
          </w:tcPr>
          <w:p>
            <w:pPr>
              <w:pStyle w:val="TableContents"/>
              <w:widowControl w:val="false"/>
              <w:suppressLineNumbers/>
              <w:spacing w:before="0" w:after="200"/>
              <w:rPr/>
            </w:pPr>
            <w:r>
              <w:rPr>
                <w:rStyle w:val="Strong"/>
              </w:rPr>
              <w:t>2 — Conformance tested</w:t>
            </w:r>
          </w:p>
        </w:tc>
        <w:tc>
          <w:tcPr>
            <w:tcW w:w="3355" w:type="dxa"/>
            <w:tcBorders/>
            <w:vAlign w:val="center"/>
          </w:tcPr>
          <w:p>
            <w:pPr>
              <w:pStyle w:val="TableContents"/>
              <w:widowControl w:val="false"/>
              <w:suppressLineNumbers/>
              <w:spacing w:before="0" w:after="200"/>
              <w:rPr/>
            </w:pPr>
            <w:r>
              <w:rPr/>
              <w:t>Architecture and implementation tests passed</w:t>
            </w:r>
          </w:p>
        </w:tc>
        <w:tc>
          <w:tcPr>
            <w:tcW w:w="2866" w:type="dxa"/>
            <w:tcBorders/>
            <w:vAlign w:val="center"/>
          </w:tcPr>
          <w:p>
            <w:pPr>
              <w:pStyle w:val="TableContents"/>
              <w:widowControl w:val="false"/>
              <w:suppressLineNumbers/>
              <w:spacing w:before="0" w:after="200"/>
              <w:rPr/>
            </w:pPr>
            <w:r>
              <w:rPr/>
              <w:t>Conforming to a specified version</w:t>
            </w:r>
          </w:p>
        </w:tc>
      </w:tr>
      <w:tr>
        <w:trPr/>
        <w:tc>
          <w:tcPr>
            <w:tcW w:w="2419" w:type="dxa"/>
            <w:tcBorders/>
            <w:vAlign w:val="center"/>
          </w:tcPr>
          <w:p>
            <w:pPr>
              <w:pStyle w:val="TableContents"/>
              <w:widowControl w:val="false"/>
              <w:suppressLineNumbers/>
              <w:spacing w:before="0" w:after="200"/>
              <w:rPr/>
            </w:pPr>
            <w:r>
              <w:rPr>
                <w:rStyle w:val="Strong"/>
              </w:rPr>
              <w:t>3 — Benchmark evaluated</w:t>
            </w:r>
          </w:p>
        </w:tc>
        <w:tc>
          <w:tcPr>
            <w:tcW w:w="3355" w:type="dxa"/>
            <w:tcBorders/>
            <w:vAlign w:val="center"/>
          </w:tcPr>
          <w:p>
            <w:pPr>
              <w:pStyle w:val="TableContents"/>
              <w:widowControl w:val="false"/>
              <w:suppressLineNumbers/>
              <w:spacing w:before="0" w:after="200"/>
              <w:rPr/>
            </w:pPr>
            <w:r>
              <w:rPr/>
              <w:t>Comparative and robustness tests completed</w:t>
            </w:r>
          </w:p>
        </w:tc>
        <w:tc>
          <w:tcPr>
            <w:tcW w:w="2866" w:type="dxa"/>
            <w:tcBorders/>
            <w:vAlign w:val="center"/>
          </w:tcPr>
          <w:p>
            <w:pPr>
              <w:pStyle w:val="TableContents"/>
              <w:widowControl w:val="false"/>
              <w:suppressLineNumbers/>
              <w:spacing w:before="0" w:after="200"/>
              <w:rPr/>
            </w:pPr>
            <w:r>
              <w:rPr/>
              <w:t>Supported on identified benchmark cases</w:t>
            </w:r>
          </w:p>
        </w:tc>
      </w:tr>
      <w:tr>
        <w:trPr/>
        <w:tc>
          <w:tcPr>
            <w:tcW w:w="2419" w:type="dxa"/>
            <w:tcBorders/>
            <w:vAlign w:val="center"/>
          </w:tcPr>
          <w:p>
            <w:pPr>
              <w:pStyle w:val="TableContents"/>
              <w:widowControl w:val="false"/>
              <w:suppressLineNumbers/>
              <w:spacing w:before="0" w:after="200"/>
              <w:rPr/>
            </w:pPr>
            <w:r>
              <w:rPr>
                <w:rStyle w:val="Strong"/>
              </w:rPr>
              <w:t>4 — Independently reviewed</w:t>
            </w:r>
          </w:p>
        </w:tc>
        <w:tc>
          <w:tcPr>
            <w:tcW w:w="3355" w:type="dxa"/>
            <w:tcBorders/>
            <w:vAlign w:val="center"/>
          </w:tcPr>
          <w:p>
            <w:pPr>
              <w:pStyle w:val="TableContents"/>
              <w:widowControl w:val="false"/>
              <w:suppressLineNumbers/>
              <w:spacing w:before="0" w:after="200"/>
              <w:rPr/>
            </w:pPr>
            <w:r>
              <w:rPr/>
              <w:t>External philosophical and interdisciplinary review completed</w:t>
            </w:r>
          </w:p>
        </w:tc>
        <w:tc>
          <w:tcPr>
            <w:tcW w:w="2866" w:type="dxa"/>
            <w:tcBorders/>
            <w:vAlign w:val="center"/>
          </w:tcPr>
          <w:p>
            <w:pPr>
              <w:pStyle w:val="TableContents"/>
              <w:widowControl w:val="false"/>
              <w:suppressLineNumbers/>
              <w:spacing w:before="0" w:after="200"/>
              <w:rPr/>
            </w:pPr>
            <w:r>
              <w:rPr/>
              <w:t>Independently reviewed with disclosed objections</w:t>
            </w:r>
          </w:p>
        </w:tc>
      </w:tr>
      <w:tr>
        <w:trPr/>
        <w:tc>
          <w:tcPr>
            <w:tcW w:w="2419" w:type="dxa"/>
            <w:tcBorders/>
            <w:vAlign w:val="center"/>
          </w:tcPr>
          <w:p>
            <w:pPr>
              <w:pStyle w:val="TableContents"/>
              <w:widowControl w:val="false"/>
              <w:suppressLineNumbers/>
              <w:spacing w:before="0" w:after="200"/>
              <w:rPr/>
            </w:pPr>
            <w:r>
              <w:rPr>
                <w:rStyle w:val="Strong"/>
              </w:rPr>
              <w:t>5 — Prospectively monitored</w:t>
            </w:r>
          </w:p>
        </w:tc>
        <w:tc>
          <w:tcPr>
            <w:tcW w:w="3355" w:type="dxa"/>
            <w:tcBorders/>
            <w:vAlign w:val="center"/>
          </w:tcPr>
          <w:p>
            <w:pPr>
              <w:pStyle w:val="TableContents"/>
              <w:widowControl w:val="false"/>
              <w:suppressLineNumbers/>
              <w:spacing w:before="0" w:after="200"/>
              <w:rPr/>
            </w:pPr>
            <w:r>
              <w:rPr/>
              <w:t>Staged real-world use and calibration completed</w:t>
            </w:r>
          </w:p>
        </w:tc>
        <w:tc>
          <w:tcPr>
            <w:tcW w:w="2866" w:type="dxa"/>
            <w:tcBorders/>
            <w:vAlign w:val="center"/>
          </w:tcPr>
          <w:p>
            <w:pPr>
              <w:pStyle w:val="TableContents"/>
              <w:widowControl w:val="false"/>
              <w:suppressLineNumbers/>
              <w:spacing w:before="0" w:after="200"/>
              <w:rPr/>
            </w:pPr>
            <w:r>
              <w:rPr/>
              <w:t>Empirically evaluated in a defined domain</w:t>
            </w:r>
          </w:p>
        </w:tc>
      </w:tr>
      <w:tr>
        <w:trPr/>
        <w:tc>
          <w:tcPr>
            <w:tcW w:w="2419" w:type="dxa"/>
            <w:tcBorders/>
            <w:vAlign w:val="center"/>
          </w:tcPr>
          <w:p>
            <w:pPr>
              <w:pStyle w:val="TableContents"/>
              <w:widowControl w:val="false"/>
              <w:suppressLineNumbers/>
              <w:spacing w:before="0" w:after="200"/>
              <w:rPr/>
            </w:pPr>
            <w:r>
              <w:rPr>
                <w:rStyle w:val="Strong"/>
              </w:rPr>
              <w:t>6 — Longitudinally reassessed</w:t>
            </w:r>
          </w:p>
        </w:tc>
        <w:tc>
          <w:tcPr>
            <w:tcW w:w="3355" w:type="dxa"/>
            <w:tcBorders/>
            <w:vAlign w:val="center"/>
          </w:tcPr>
          <w:p>
            <w:pPr>
              <w:pStyle w:val="TableContents"/>
              <w:widowControl w:val="false"/>
              <w:suppressLineNumbers/>
              <w:spacing w:before="0" w:after="200"/>
              <w:rPr/>
            </w:pPr>
            <w:r>
              <w:rPr/>
              <w:t>Delayed outcomes, incidents, and revisions examined</w:t>
            </w:r>
          </w:p>
        </w:tc>
        <w:tc>
          <w:tcPr>
            <w:tcW w:w="2866" w:type="dxa"/>
            <w:tcBorders/>
            <w:vAlign w:val="center"/>
          </w:tcPr>
          <w:p>
            <w:pPr>
              <w:pStyle w:val="TableContents"/>
              <w:widowControl w:val="false"/>
              <w:suppressLineNumbers/>
              <w:spacing w:before="0" w:after="200"/>
              <w:rPr/>
            </w:pPr>
            <w:r>
              <w:rPr/>
              <w:t>Longitudinally supported within stated boundaries</w:t>
            </w:r>
          </w:p>
        </w:tc>
      </w:tr>
    </w:tbl>
    <w:p>
      <w:pPr>
        <w:pStyle w:val="BodyText"/>
        <w:spacing w:before="0" w:after="200"/>
        <w:rPr/>
      </w:pPr>
      <w:r>
        <w:rPr/>
        <w:t>The section’s central conclusion should be:</w:t>
      </w:r>
    </w:p>
    <w:p>
      <w:pPr>
        <w:pStyle w:val="BlockQuotation"/>
        <w:bidi w:val="0"/>
        <w:spacing w:before="0" w:after="200"/>
        <w:rPr/>
      </w:pPr>
      <w:r>
        <w:rPr/>
        <w:t>Validation of Objective-Based Systems Ethics must consist of multiple bounded claims. Conceptual coherence, implementation conformance, predictive calibration, procedural legitimacy, robustness, comparative usefulness, and independent philosophical review can each be evaluated. None independently—or collectively—proves moral truth. The framework’s credibility should rest on transparent assumptions, resistance to criticism, empirical discipline, legitimate governance, reproducibility, and willingness to revise when arguments or evidence expose failure.</w:t>
      </w:r>
    </w:p>
    <w:p>
      <w:pPr>
        <w:pStyle w:val="Heading1"/>
        <w:numPr>
          <w:ilvl w:val="0"/>
          <w:numId w:val="179"/>
        </w:numPr>
        <w:bidi w:val="0"/>
        <w:ind w:hanging="0" w:left="0"/>
        <w:rPr/>
      </w:pPr>
      <w:r>
        <w:rPr/>
        <w:t>Foundational Definitions</w:t>
      </w:r>
    </w:p>
    <w:p>
      <w:pPr>
        <w:pStyle w:val="Heading2"/>
        <w:ind w:hanging="0" w:left="0"/>
        <w:rPr/>
      </w:pPr>
      <w:r>
        <w:rPr/>
        <w:t>Pattern</w:t>
      </w:r>
    </w:p>
    <w:p>
      <w:pPr>
        <w:pStyle w:val="Normal"/>
        <w:rPr/>
      </w:pPr>
      <w:r>
        <w:rPr/>
        <w:t>The organizational structure that gives an Object its persistent identity through time despite changes to constituent components.</w:t>
      </w:r>
    </w:p>
    <w:p>
      <w:pPr>
        <w:pStyle w:val="Heading2"/>
        <w:ind w:hanging="0" w:left="0"/>
        <w:rPr/>
      </w:pPr>
      <w:r>
        <w:rPr/>
        <w:t>Persistent Pattern</w:t>
      </w:r>
    </w:p>
    <w:p>
      <w:pPr>
        <w:pStyle w:val="Normal"/>
        <w:rPr/>
      </w:pPr>
      <w:r>
        <w:rPr/>
        <w:t>A Pattern that maintains a recognizable identity across successive World Contexts.</w:t>
      </w:r>
    </w:p>
    <w:p>
      <w:pPr>
        <w:pStyle w:val="Heading2"/>
        <w:ind w:hanging="0" w:left="0"/>
        <w:rPr/>
      </w:pPr>
      <w:r>
        <w:rPr/>
        <w:t>Object</w:t>
      </w:r>
    </w:p>
    <w:p>
      <w:pPr>
        <w:pStyle w:val="Normal"/>
        <w:rPr/>
      </w:pPr>
      <w:r>
        <w:rPr/>
        <w:t>Anything possessing a persistent identity that participates in the moral domain. Objects are the nodes of the ethical graph.</w:t>
      </w:r>
    </w:p>
    <w:p>
      <w:pPr>
        <w:pStyle w:val="Normal"/>
        <w:rPr/>
      </w:pPr>
      <w:r>
        <w:rPr/>
        <w:t>An Object is the sole fundamental ontological element. Actor, Affected Entity, Observer, Responder, and similar terms are contextual roles an Object may occupy within a specific assessment. Flourishing Entity and Moral Agent are not separate node types; they are evaluative classifications or predicates applied to Objects based on their properties, capabilities, and relationships.</w:t>
      </w:r>
    </w:p>
    <w:p>
      <w:pPr>
        <w:pStyle w:val="Heading2"/>
        <w:ind w:hanging="0" w:left="0"/>
        <w:rPr/>
      </w:pPr>
      <w:r>
        <w:rPr/>
        <w:t>Association</w:t>
      </w:r>
    </w:p>
    <w:p>
      <w:pPr>
        <w:pStyle w:val="Normal"/>
        <w:rPr/>
      </w:pPr>
      <w:r>
        <w:rPr/>
        <w:t>A morally relevant relationship between Objects. Associations are edges of the ethical graph and may possess their own state and attributes.</w:t>
      </w:r>
    </w:p>
    <w:p>
      <w:pPr>
        <w:pStyle w:val="Heading2"/>
        <w:ind w:hanging="0" w:left="0"/>
        <w:rPr/>
      </w:pPr>
      <w:r>
        <w:rPr/>
        <w:t>Autopoietic Object</w:t>
      </w:r>
    </w:p>
    <w:p>
      <w:pPr>
        <w:pStyle w:val="Normal"/>
        <w:rPr/>
      </w:pPr>
      <w:r>
        <w:rPr/>
        <w:t>An Object that actively maintains and repairs its own organization through internal processes.</w:t>
      </w:r>
    </w:p>
    <w:p>
      <w:pPr>
        <w:pStyle w:val="Heading2"/>
        <w:ind w:hanging="0" w:left="0"/>
        <w:rPr/>
      </w:pPr>
      <w:r>
        <w:rPr/>
        <w:t>Self-Directed Entity</w:t>
      </w:r>
    </w:p>
    <w:p>
      <w:pPr>
        <w:pStyle w:val="Normal"/>
        <w:rPr/>
      </w:pPr>
      <w:r>
        <w:rPr/>
        <w:t>An Autopoietic Object possessing an internal policy, whether derived from reason, instinct, learning, evolution, or programmed behavior, that guides adaptation and continued existence.</w:t>
      </w:r>
    </w:p>
    <w:p>
      <w:pPr>
        <w:pStyle w:val="Heading2"/>
        <w:ind w:hanging="0" w:left="0"/>
        <w:rPr/>
      </w:pPr>
      <w:r>
        <w:rPr/>
        <w:t>Flourishing Entity</w:t>
      </w:r>
    </w:p>
    <w:p>
      <w:pPr>
        <w:pStyle w:val="Normal"/>
        <w:rPr/>
      </w:pPr>
      <w:r>
        <w:rPr/>
        <w:t>A Self-Directed Entity for which Long-Term Flourishing can be meaningfully increased or diminished by changes to its state or environment.</w:t>
      </w:r>
    </w:p>
    <w:p>
      <w:pPr>
        <w:pStyle w:val="Heading2"/>
        <w:ind w:hanging="0" w:left="0"/>
        <w:rPr/>
      </w:pPr>
      <w:r>
        <w:rPr/>
        <w:t>Moral Agent</w:t>
      </w:r>
    </w:p>
    <w:p>
      <w:pPr>
        <w:pStyle w:val="Normal"/>
        <w:rPr/>
      </w:pPr>
      <w:r>
        <w:rPr/>
        <w:t>A Flourishing Entity capable of selecting among alternative Actions, evaluating those Actions against Objectives, and bearing moral responsibility.</w:t>
      </w:r>
    </w:p>
    <w:p>
      <w:pPr>
        <w:pStyle w:val="Heading2"/>
        <w:ind w:hanging="0" w:left="0"/>
        <w:rPr/>
      </w:pPr>
      <w:r>
        <w:rPr/>
        <w:t>Actor (Contextual Role)</w:t>
      </w:r>
    </w:p>
    <w:p>
      <w:pPr>
        <w:pStyle w:val="Normal"/>
        <w:rPr/>
      </w:pPr>
      <w:r>
        <w:rPr/>
        <w:t>A contextual role assumed by a Moral Agent within a specific assessment when it initiates, controls, directs, or bears responsibility for an Assessed Action.</w:t>
      </w:r>
    </w:p>
    <w:p>
      <w:pPr>
        <w:pStyle w:val="Heading2"/>
        <w:ind w:hanging="0" w:left="0"/>
        <w:rPr/>
      </w:pPr>
      <w:r>
        <w:rPr/>
        <w:t>Expansion</w:t>
      </w:r>
    </w:p>
    <w:p>
      <w:pPr>
        <w:pStyle w:val="Normal"/>
        <w:rPr/>
      </w:pPr>
      <w:r>
        <w:rPr/>
        <w:t>The increase in an entity’s capabilities, influence, resources, or ability to affect its environment. Expansion is value-neutral and is not evidence of moral flourishing by itself.</w:t>
      </w:r>
    </w:p>
    <w:p>
      <w:pPr>
        <w:pStyle w:val="Heading2"/>
        <w:ind w:hanging="0" w:left="0"/>
        <w:rPr/>
      </w:pPr>
      <w:r>
        <w:rPr/>
        <w:t>Persistence</w:t>
      </w:r>
    </w:p>
    <w:p>
      <w:pPr>
        <w:pStyle w:val="Normal"/>
        <w:rPr/>
      </w:pPr>
      <w:r>
        <w:rPr/>
        <w:t>The continued existence and maintenance of an entity’s identity through time. Persistence is necessary for Long-Term Flourishing but not sufficient.</w:t>
      </w:r>
    </w:p>
    <w:p>
      <w:pPr>
        <w:pStyle w:val="Heading2"/>
        <w:ind w:hanging="0" w:left="0"/>
        <w:rPr/>
      </w:pPr>
      <w:r>
        <w:rPr/>
        <w:t>Adaptive Capacity</w:t>
      </w:r>
    </w:p>
    <w:p>
      <w:pPr>
        <w:pStyle w:val="Normal"/>
        <w:rPr/>
      </w:pPr>
      <w:r>
        <w:rPr/>
        <w:t>The ability of a Flourishing Entity to modify its behavior or internal state in response to changing conditions while preserving or enhancing its long-term flourishing.</w:t>
      </w:r>
    </w:p>
    <w:p>
      <w:pPr>
        <w:pStyle w:val="Heading2"/>
        <w:ind w:hanging="0" w:left="0"/>
        <w:rPr/>
      </w:pPr>
      <w:r>
        <w:rPr/>
        <w:t>Long-Term Flourishing</w:t>
      </w:r>
    </w:p>
    <w:p>
      <w:pPr>
        <w:pStyle w:val="Normal"/>
        <w:rPr/>
      </w:pPr>
      <w:r>
        <w:rPr/>
        <w:t>A multidimensional relational state vector describing the sustained capacity of a Flourishing Entity to preserve and expand its beneficial future state space in a manner that is compatible with, and must contribute to, the long-term flourishing of the relevant World Context.</w:t>
      </w:r>
    </w:p>
    <w:p>
      <w:pPr>
        <w:pStyle w:val="Heading2"/>
        <w:ind w:hanging="0" w:left="0"/>
        <w:rPr/>
      </w:pPr>
      <w:r>
        <w:rPr/>
        <w:t>World Context</w:t>
      </w:r>
    </w:p>
    <w:p>
      <w:pPr>
        <w:pStyle w:val="Normal"/>
        <w:rPr/>
      </w:pPr>
      <w:r>
        <w:rPr/>
        <w:t>The complete state of the world at the instant an assessment begins, including relevant Objects, Associations, states, constraints, information, institutions, and future possibilities.</w:t>
      </w:r>
    </w:p>
    <w:p>
      <w:pPr>
        <w:pStyle w:val="Heading2"/>
        <w:ind w:hanging="0" w:left="0"/>
        <w:rPr/>
      </w:pPr>
      <w:r>
        <w:rPr/>
        <w:t>Local Context</w:t>
      </w:r>
    </w:p>
    <w:p>
      <w:pPr>
        <w:pStyle w:val="Normal"/>
        <w:rPr/>
      </w:pPr>
      <w:r>
        <w:rPr/>
        <w:t>The subset of the World Context relevant to a class of moral assessments, such as healthcare, military action, corporate governance, family, or environmental stewardship.</w:t>
      </w:r>
    </w:p>
    <w:p>
      <w:pPr>
        <w:pStyle w:val="Heading2"/>
        <w:ind w:hanging="0" w:left="0"/>
        <w:rPr/>
      </w:pPr>
      <w:r>
        <w:rPr/>
        <w:t>Situational Context</w:t>
      </w:r>
    </w:p>
    <w:p>
      <w:pPr>
        <w:pStyle w:val="Normal"/>
        <w:rPr/>
      </w:pPr>
      <w:r>
        <w:rPr/>
        <w:t>The subset of the Local Context directly relevant to the specific Assessed Action and the evidentiary boundary for evaluating that action.</w:t>
      </w:r>
    </w:p>
    <w:p>
      <w:pPr>
        <w:pStyle w:val="Heading2"/>
        <w:ind w:hanging="0" w:left="0"/>
        <w:rPr/>
      </w:pPr>
      <w:r>
        <w:rPr/>
        <w:t>Decision Context</w:t>
      </w:r>
    </w:p>
    <w:p>
      <w:pPr>
        <w:pStyle w:val="Normal"/>
        <w:rPr/>
      </w:pPr>
      <w:r>
        <w:rPr/>
        <w:t>The information reasonably available to the Actor at the time of decision.</w:t>
      </w:r>
    </w:p>
    <w:p>
      <w:pPr>
        <w:pStyle w:val="Heading2"/>
        <w:ind w:hanging="0" w:left="0"/>
        <w:rPr/>
      </w:pPr>
      <w:r>
        <w:rPr/>
        <w:t>Accessible Context</w:t>
      </w:r>
    </w:p>
    <w:p>
      <w:pPr>
        <w:pStyle w:val="Normal"/>
        <w:rPr/>
      </w:pPr>
      <w:r>
        <w:rPr/>
        <w:t>The information a reasonably competent Moral Agent could have obtained through appropriate diligence within the same Situational Context.</w:t>
      </w:r>
    </w:p>
    <w:p>
      <w:pPr>
        <w:pStyle w:val="Heading2"/>
        <w:ind w:hanging="0" w:left="0"/>
        <w:rPr/>
      </w:pPr>
      <w:r>
        <w:rPr/>
        <w:t>Assessment Context</w:t>
      </w:r>
    </w:p>
    <w:p>
      <w:pPr>
        <w:pStyle w:val="Normal"/>
        <w:rPr/>
      </w:pPr>
      <w:r>
        <w:rPr/>
        <w:t>The information available to the assessor when evaluating the action, including observed outcomes and later-discovered evidence.</w:t>
      </w:r>
    </w:p>
    <w:p>
      <w:pPr>
        <w:pStyle w:val="Heading2"/>
        <w:ind w:hanging="0" w:left="0"/>
        <w:rPr/>
      </w:pPr>
      <w:r>
        <w:rPr/>
        <w:t>Assessment Horizon</w:t>
      </w:r>
    </w:p>
    <w:p>
      <w:pPr>
        <w:pStyle w:val="Normal"/>
        <w:rPr/>
      </w:pPr>
      <w:r>
        <w:rPr/>
        <w:t>The time horizon over which consequences are evaluated, including immediate, short-term, long-term, multi-generational, and civilizational horizons.</w:t>
      </w:r>
    </w:p>
    <w:p>
      <w:pPr>
        <w:pStyle w:val="Heading2"/>
        <w:ind w:hanging="0" w:left="0"/>
        <w:rPr/>
      </w:pPr>
      <w:r>
        <w:rPr/>
        <w:t>State Transition</w:t>
      </w:r>
    </w:p>
    <w:p>
      <w:pPr>
        <w:pStyle w:val="Normal"/>
        <w:rPr/>
      </w:pPr>
      <w:r>
        <w:rPr/>
        <w:t>A transformation from one state to another caused by an Assessed Action.</w:t>
      </w:r>
    </w:p>
    <w:p>
      <w:pPr>
        <w:pStyle w:val="Heading2"/>
        <w:ind w:hanging="0" w:left="0"/>
        <w:rPr/>
      </w:pPr>
      <w:r>
        <w:rPr/>
        <w:t>Relationship Among Expansion, Persistence, Adaptive Capacity, and Flourishing</w:t>
      </w:r>
    </w:p>
    <w:p>
      <w:pPr>
        <w:pStyle w:val="Normal"/>
        <w:rPr/>
      </w:pPr>
      <w:r>
        <w:rPr/>
        <w:t>Expansion increases capability. Persistence maintains existence. Adaptive Capacity enables response to change. Long-Term Flourishing requires these while ensuring that their exercise contributes to the sustained flourishing of the relevant World Context.</w:t>
      </w:r>
    </w:p>
    <w:p>
      <w:pPr>
        <w:pStyle w:val="Heading1"/>
        <w:numPr>
          <w:ilvl w:val="0"/>
          <w:numId w:val="179"/>
        </w:numPr>
        <w:bidi w:val="0"/>
        <w:ind w:hanging="0" w:left="0"/>
        <w:rPr/>
      </w:pPr>
      <w:r>
        <w:rPr/>
        <w:t>Foundational Axiom</w:t>
      </w:r>
    </w:p>
    <w:p>
      <w:pPr>
        <w:pStyle w:val="IntenseQuote"/>
        <w:widowControl/>
        <w:bidi w:val="0"/>
        <w:spacing w:lineRule="auto" w:line="276"/>
        <w:jc w:val="left"/>
        <w:rPr/>
      </w:pPr>
      <w:r>
        <w:rPr/>
        <w:t>Editorial note: Later sections that operationalize the axiom should cross-reference this section, because the reader will not yet have encountered the full model at this point.</w:t>
      </w:r>
    </w:p>
    <w:p>
      <w:pPr>
        <w:pStyle w:val="Heading2"/>
        <w:ind w:hanging="0" w:left="0"/>
        <w:rPr/>
      </w:pPr>
      <w:r>
        <w:rPr/>
        <w:t>Foundational Axiom Statement</w:t>
      </w:r>
    </w:p>
    <w:p>
      <w:pPr>
        <w:pStyle w:val="Normal"/>
        <w:widowControl/>
        <w:bidi w:val="0"/>
        <w:spacing w:lineRule="auto" w:line="276"/>
        <w:ind w:hanging="0" w:left="720"/>
        <w:jc w:val="left"/>
        <w:rPr/>
      </w:pPr>
      <w:r>
        <w:rPr/>
        <w:t>“</w:t>
      </w:r>
      <w:r>
        <w:rPr/>
        <w:t>A stable moral system preserves and promotes the long-term flourishing of relevant persistent adaptive entities—including autopoietic entities—by fostering the adaptive development of moral agents while avoiding actions that, based on the best available evidence within the Situational Context, materially diminish the long-term flourishing of other relevant persistent adaptive entities.”</w:t>
      </w:r>
    </w:p>
    <w:p>
      <w:pPr>
        <w:pStyle w:val="Heading2"/>
        <w:ind w:hanging="0" w:left="0"/>
        <w:rPr/>
      </w:pPr>
      <w:r>
        <w:rPr/>
        <w:t>Why a Foundational Axiom Is Necessary</w:t>
      </w:r>
    </w:p>
    <w:p>
      <w:pPr>
        <w:pStyle w:val="Normal"/>
        <w:rPr/>
      </w:pPr>
      <w:r>
        <w:rPr/>
        <w:t>No comprehensive moral reasoning system can be derived from empirical observations alone. Facts describe the world but do not determine what ought to be valued. Every moral framework therefore requires at least one foundational assumption.</w:t>
      </w:r>
    </w:p>
    <w:p>
      <w:pPr>
        <w:pStyle w:val="Normal"/>
        <w:rPr/>
      </w:pPr>
      <w:r>
        <w:rPr/>
        <w:t>The purpose of this framework is not to eliminate foundational assumptions, but to make them explicit, inspectable, challengeable, and replaceable rather than hidden within ideology, faith, tradition, intuition, or hard-coded rules.</w:t>
      </w:r>
    </w:p>
    <w:p>
      <w:pPr>
        <w:pStyle w:val="Heading2"/>
        <w:ind w:hanging="0" w:left="0"/>
        <w:rPr/>
      </w:pPr>
      <w:r>
        <w:rPr/>
        <w:t>Gaps Filled by a Foundational Axiom</w:t>
      </w:r>
    </w:p>
    <w:p>
      <w:pPr>
        <w:pStyle w:val="ListBullet"/>
        <w:numPr>
          <w:ilvl w:val="0"/>
          <w:numId w:val="2"/>
        </w:numPr>
        <w:rPr/>
      </w:pPr>
      <w:r>
        <w:rPr/>
        <w:t>Compare competing objectives.</w:t>
      </w:r>
    </w:p>
    <w:p>
      <w:pPr>
        <w:pStyle w:val="ListBullet"/>
        <w:numPr>
          <w:ilvl w:val="0"/>
          <w:numId w:val="2"/>
        </w:numPr>
        <w:rPr/>
      </w:pPr>
      <w:r>
        <w:rPr/>
        <w:t>Resolve conflicts among entities.</w:t>
      </w:r>
    </w:p>
    <w:p>
      <w:pPr>
        <w:pStyle w:val="ListBullet"/>
        <w:numPr>
          <w:ilvl w:val="0"/>
          <w:numId w:val="2"/>
        </w:numPr>
        <w:rPr/>
      </w:pPr>
      <w:r>
        <w:rPr/>
        <w:t>Evaluate whether one World Context is preferable to another.</w:t>
      </w:r>
    </w:p>
    <w:p>
      <w:pPr>
        <w:pStyle w:val="ListBullet"/>
        <w:numPr>
          <w:ilvl w:val="0"/>
          <w:numId w:val="2"/>
        </w:numPr>
        <w:rPr/>
      </w:pPr>
      <w:r>
        <w:rPr/>
        <w:t>Assess whether an Action represents moral progress or decline.</w:t>
      </w:r>
    </w:p>
    <w:p>
      <w:pPr>
        <w:pStyle w:val="ListBullet"/>
        <w:numPr>
          <w:ilvl w:val="0"/>
          <w:numId w:val="2"/>
        </w:numPr>
        <w:rPr/>
      </w:pPr>
      <w:r>
        <w:rPr/>
        <w:t>Evaluate Long-Term Flourishing.</w:t>
      </w:r>
    </w:p>
    <w:p>
      <w:pPr>
        <w:pStyle w:val="ListBullet"/>
        <w:numPr>
          <w:ilvl w:val="0"/>
          <w:numId w:val="2"/>
        </w:numPr>
        <w:rPr/>
      </w:pPr>
      <w:r>
        <w:rPr/>
        <w:t>Provide normative direction to the architecture.</w:t>
      </w:r>
    </w:p>
    <w:p>
      <w:pPr>
        <w:pStyle w:val="Heading2"/>
        <w:ind w:hanging="0" w:left="0"/>
        <w:rPr/>
      </w:pPr>
      <w:r>
        <w:rPr/>
        <w:t>Role of the Axiom in the Architecture</w:t>
      </w:r>
    </w:p>
    <w:p>
      <w:pPr>
        <w:pStyle w:val="Normal"/>
        <w:rPr/>
      </w:pPr>
      <w:r>
        <w:rPr/>
        <w:t>The axiom provides the normative criterion that the Reference Architecture will operationalize later. The Design Principles constrain how the architecture is built; the Foundational Axiom defines the direction of evaluation; and the Reference Architecture represents the structures through which that evaluation is performed.</w:t>
      </w:r>
    </w:p>
    <w:p>
      <w:pPr>
        <w:pStyle w:val="Heading2"/>
        <w:ind w:hanging="0" w:left="0"/>
        <w:rPr/>
      </w:pPr>
      <w:r>
        <w:rPr/>
        <w:t>Why This Axiom</w:t>
      </w:r>
    </w:p>
    <w:p>
      <w:pPr>
        <w:pStyle w:val="ListBullet"/>
        <w:numPr>
          <w:ilvl w:val="0"/>
          <w:numId w:val="2"/>
        </w:numPr>
        <w:rPr/>
      </w:pPr>
      <w:r>
        <w:rPr/>
        <w:t>It is explicit rather than hidden.</w:t>
      </w:r>
    </w:p>
    <w:p>
      <w:pPr>
        <w:pStyle w:val="ListBullet"/>
        <w:numPr>
          <w:ilvl w:val="0"/>
          <w:numId w:val="2"/>
        </w:numPr>
        <w:rPr/>
      </w:pPr>
      <w:r>
        <w:rPr/>
        <w:t>It is computationally representable.</w:t>
      </w:r>
    </w:p>
    <w:p>
      <w:pPr>
        <w:pStyle w:val="ListBullet"/>
        <w:numPr>
          <w:ilvl w:val="0"/>
          <w:numId w:val="2"/>
        </w:numPr>
        <w:rPr/>
      </w:pPr>
      <w:r>
        <w:rPr/>
        <w:t>It can be applied to biological, social, institutional, and artificial systems.</w:t>
      </w:r>
    </w:p>
    <w:p>
      <w:pPr>
        <w:pStyle w:val="ListBullet"/>
        <w:numPr>
          <w:ilvl w:val="0"/>
          <w:numId w:val="2"/>
        </w:numPr>
        <w:rPr/>
      </w:pPr>
      <w:r>
        <w:rPr/>
        <w:t>It supports multi-horizon and stochastic assessment.</w:t>
      </w:r>
    </w:p>
    <w:p>
      <w:pPr>
        <w:pStyle w:val="ListBullet"/>
        <w:numPr>
          <w:ilvl w:val="0"/>
          <w:numId w:val="2"/>
        </w:numPr>
        <w:rPr/>
      </w:pPr>
      <w:r>
        <w:rPr/>
        <w:t>It provides normative direction without relying on inherited ideology or faith.</w:t>
      </w:r>
    </w:p>
    <w:p>
      <w:pPr>
        <w:pStyle w:val="ListBullet"/>
        <w:numPr>
          <w:ilvl w:val="0"/>
          <w:numId w:val="2"/>
        </w:numPr>
        <w:rPr/>
      </w:pPr>
      <w:r>
        <w:rPr/>
        <w:t>It supports assessment of World Context transitions rather than isolated outcomes.</w:t>
      </w:r>
    </w:p>
    <w:p>
      <w:pPr>
        <w:pStyle w:val="ListBullet"/>
        <w:numPr>
          <w:ilvl w:val="0"/>
          <w:numId w:val="2"/>
        </w:numPr>
        <w:rPr/>
      </w:pPr>
      <w:r>
        <w:rPr/>
        <w:t>It provides mitigation to unfettered actions that best achieve the Primary Objective of sustained flourishing of the relevant World Context, aka: mitigating “The ends justify the means”.</w:t>
      </w:r>
    </w:p>
    <w:p>
      <w:pPr>
        <w:pStyle w:val="Heading2"/>
        <w:ind w:hanging="0" w:left="0"/>
        <w:rPr/>
      </w:pPr>
      <w:r>
        <w:rPr/>
        <w:t>Remaining Limitations</w:t>
      </w:r>
    </w:p>
    <w:p>
      <w:pPr>
        <w:pStyle w:val="ListBullet"/>
        <w:numPr>
          <w:ilvl w:val="0"/>
          <w:numId w:val="2"/>
        </w:numPr>
        <w:rPr/>
      </w:pPr>
      <w:r>
        <w:rPr/>
        <w:t>Long-Term Flourishing remains difficult to formalize mathematically.</w:t>
      </w:r>
    </w:p>
    <w:p>
      <w:pPr>
        <w:pStyle w:val="ListBullet"/>
        <w:numPr>
          <w:ilvl w:val="0"/>
          <w:numId w:val="2"/>
        </w:numPr>
        <w:rPr/>
      </w:pPr>
      <w:r>
        <w:rPr/>
        <w:t>The boundaries of the relevant World Context may be ambiguous.</w:t>
      </w:r>
    </w:p>
    <w:p>
      <w:pPr>
        <w:pStyle w:val="ListBullet"/>
        <w:numPr>
          <w:ilvl w:val="0"/>
          <w:numId w:val="2"/>
        </w:numPr>
        <w:rPr/>
      </w:pPr>
      <w:r>
        <w:rPr/>
        <w:t>Some state variables may not be directly measurable.</w:t>
      </w:r>
    </w:p>
    <w:p>
      <w:pPr>
        <w:pStyle w:val="ListBullet"/>
        <w:numPr>
          <w:ilvl w:val="0"/>
          <w:numId w:val="2"/>
        </w:numPr>
        <w:rPr/>
      </w:pPr>
      <w:r>
        <w:rPr/>
        <w:t>Computational complexity may require approximations.</w:t>
      </w:r>
    </w:p>
    <w:p>
      <w:pPr>
        <w:pStyle w:val="ListBullet"/>
        <w:numPr>
          <w:ilvl w:val="0"/>
          <w:numId w:val="2"/>
        </w:numPr>
        <w:rPr/>
      </w:pPr>
      <w:r>
        <w:rPr/>
        <w:t>The axiom remains an explicit assumption rather than a derivable empirical fact.</w:t>
      </w:r>
    </w:p>
    <w:p>
      <w:pPr>
        <w:pStyle w:val="Heading1"/>
        <w:numPr>
          <w:ilvl w:val="0"/>
          <w:numId w:val="179"/>
        </w:numPr>
        <w:bidi w:val="0"/>
        <w:ind w:hanging="0" w:left="0"/>
        <w:rPr/>
      </w:pPr>
      <w:r>
        <w:rPr/>
        <w:t>Reference Architecture</w:t>
      </w:r>
    </w:p>
    <w:p>
      <w:pPr>
        <w:pStyle w:val="IntenseQuote"/>
        <w:rPr/>
      </w:pPr>
      <w:r>
        <w:rPr/>
        <w:t>The Reference Architecture should contain no equations. It defines components, relationships, and information flow. Formal notation belongs in Moral Assessment Methodology.</w:t>
      </w:r>
    </w:p>
    <w:p>
      <w:pPr>
        <w:pStyle w:val="Heading2"/>
        <w:ind w:hanging="0" w:left="0"/>
        <w:rPr/>
      </w:pPr>
      <w:r>
        <w:rPr/>
        <w:t>Architectural Overview</w:t>
      </w:r>
    </w:p>
    <w:p>
      <w:pPr>
        <w:pStyle w:val="BodyText"/>
        <w:widowControl/>
        <w:bidi w:val="0"/>
        <w:spacing w:lineRule="auto" w:line="276"/>
        <w:jc w:val="left"/>
        <w:rPr/>
      </w:pPr>
      <w:r>
        <w:rPr/>
        <w:t>The Reference Architecture defines the conceptual structure required to perform moral assessment as an explicit, inspectable, and computationally representable state-transition process. It does not prescribe a specific algorithm, equation, database model, inference engine, programming language, artificial intelligence architecture, or deployment pattern. Its purpose is to define what must exist in the moral reasoning system and how those architectural elements relate to one another.</w:t>
      </w:r>
    </w:p>
    <w:p>
      <w:pPr>
        <w:pStyle w:val="BodyText"/>
        <w:spacing w:before="0" w:after="200"/>
        <w:rPr/>
      </w:pPr>
      <w:r>
        <w:rPr/>
        <w:t>Intuitively, the architecture begins from the observation that every morally relevant action changes the world. Some changes are immediate and visible, while others unfold across relationships, institutions, incentives, decision policies, future opportunities, and the long-term flourishing of affected entities. A moral assessment therefore cannot be limited to whether an action satisfies a rule, maximizes a single metric, or produces an isolated outcome. It must evaluate how the action transforms the relevant state of the world.</w:t>
      </w:r>
    </w:p>
    <w:p>
      <w:pPr>
        <w:pStyle w:val="BodyText"/>
        <w:spacing w:before="0" w:after="200"/>
        <w:rPr/>
      </w:pPr>
      <w:r>
        <w:rPr/>
        <w:t>Architecturally, the framework represents moral reasoning as a recursive, graph-based, state-transition model. The World Context before the action contains Objects, Associations, states, constraints, information, institutions, objectives, policy states, and future possibilities. The Assessed Action operates within a progressively filtered context derived from that World Context. The action then produces predicted consequences that alter Objects, Associations, policy states, opportunities, institutional conditions, and the Long-Term Flourishing of relevant Flourishing Entities. The result is a transformed World Context that becomes the starting condition for future assessments.</w:t>
      </w:r>
    </w:p>
    <w:p>
      <w:pPr>
        <w:pStyle w:val="BodyText"/>
        <w:spacing w:before="0" w:after="200"/>
        <w:rPr/>
      </w:pPr>
      <w:r>
        <w:rPr/>
        <w:t>The primary object of moral assessment is the World Context Transition. Individual state changes, changes in Long-Term Flourishing, and aggregate flourishing metrics are important inputs to assessment, but they do not replace evaluation of the resulting World Context as a whole. This distinction prevents the architecture from collapsing into a single-score consequentialist model. The assessment asks not merely whether some isolated outcome improved, but whether the resulting world state better preserves and promotes long-term flourishing without materially diminishing other relevant Flourishing Entities.</w:t>
      </w:r>
    </w:p>
    <w:p>
      <w:pPr>
        <w:pStyle w:val="BodyText"/>
        <w:spacing w:before="0" w:after="200"/>
        <w:rPr/>
      </w:pPr>
      <w:r>
        <w:rPr/>
        <w:t>The architecture is graph-based because morally relevant reality is modeled as a network of Objects and Associations. Objects are the fundamental ontological elements. Associations connect Objects and may carry morally relevant attributes such as obligation, authority, dependency, trust, responsibility, legitimacy, or ownership. Actor, affected entity, observer, responder, institution, and similar terms are contextual roles that Objects may occupy within a specific assessment. Flourishing Entity and Moral Agent are evaluative classifications applied to Objects when they satisfy the framework’s criteria.</w:t>
      </w:r>
    </w:p>
    <w:p>
      <w:pPr>
        <w:pStyle w:val="BodyText"/>
        <w:spacing w:before="0" w:after="200"/>
        <w:rPr/>
      </w:pPr>
      <w:r>
        <w:rPr/>
        <w:t>The architecture is recursive because every assessment produces a new World Context. The output of one assessment becomes part of the input state for subsequent assessments. This recursion is morally significant because actions do not merely change material conditions; they also change expectations, precedents, institutional norms, incentives, and future decision policies. A harmful means used to achieve a beneficial short-term result may degrade the Actor’s future policy state or teach observers that similar means are acceptable. These Distributed Policy Effects are part of the resulting World Context and therefore part of the moral assessment.</w:t>
      </w:r>
    </w:p>
    <w:p>
      <w:pPr>
        <w:pStyle w:val="BodyText"/>
        <w:spacing w:before="0" w:after="200"/>
        <w:rPr/>
      </w:pPr>
      <w:r>
        <w:rPr/>
        <w:t>The Reference Architecture is constrained by the Foundational Axiom but does not itself define the mathematical method for applying that axiom. The axiom supplies the normative direction of assessment: the architecture evaluates whether a transition preserves and promotes the long-term flourishing of relevant persistent adaptive entities while avoiding material diminishment of other relevant persistent adaptive entities. The architecture defines the structures through which this evaluation is represented; the Moral Assessment Methodology defines how particular assessments are performed.</w:t>
      </w:r>
    </w:p>
    <w:p>
      <w:pPr>
        <w:pStyle w:val="BodyText"/>
        <w:spacing w:before="0" w:after="200"/>
        <w:rPr/>
      </w:pPr>
      <w:r>
        <w:rPr/>
        <w:t>The architectural flow can be summarized as follows:</w:t>
      </w:r>
    </w:p>
    <w:p>
      <w:pPr>
        <w:pStyle w:val="BodyText"/>
        <w:spacing w:before="0" w:after="200"/>
        <w:rPr/>
      </w:pPr>
      <w:r>
        <w:rPr/>
        <w:t>World Context</w:t>
        <w:br/>
        <w:t>→ Assessment Boundary</w:t>
        <w:br/>
        <w:t>→ Local Context</w:t>
        <w:br/>
        <w:t>→ Situational Context</w:t>
        <w:br/>
        <w:t>→ Relevant Objects and Associations</w:t>
        <w:br/>
        <w:t>→ Objectives</w:t>
        <w:br/>
        <w:t>→ Assessed Action</w:t>
        <w:br/>
        <w:t>→ Predicted Consequences</w:t>
        <w:br/>
        <w:t>→ World Context Transition</w:t>
        <w:br/>
        <w:t>→ Moral Assessment</w:t>
      </w:r>
    </w:p>
    <w:p>
      <w:pPr>
        <w:pStyle w:val="BodyText"/>
        <w:spacing w:before="0" w:after="200"/>
        <w:rPr/>
      </w:pPr>
      <w:r>
        <w:rPr/>
        <w:t>This flow should be understood as architectural information flow rather than a required software pipeline. Implementations may perform these steps iteratively, recursively, in parallel, probabilistically, or through future computational approaches. A conforming implementation must preserve the meaning of the architectural elements, but it need not implement them using any particular computational structure.</w:t>
      </w:r>
    </w:p>
    <w:p>
      <w:pPr>
        <w:pStyle w:val="BodyText"/>
        <w:spacing w:before="0" w:after="200"/>
        <w:rPr/>
      </w:pPr>
      <w:r>
        <w:rPr/>
        <w:t>The Reference Architecture therefore provides a stable conceptual foundation for many possible implementations. It may support human decision-making, organizational governance, legal analysis, medical ethics, public policy, robotics, autonomous systems, LLM alignment, AGI safety, or a Moral Reasoning Runtime. These implementations may differ substantially, but they remain aligned with the architecture if they preserve the core semantics: context selection, relevant Objects and Associations, assessment of an Assessed Action, predicted state transition, Distributed Policy Effects, Long-Term Flourishing, and evaluation of the resulting World Context Transition.</w:t>
      </w:r>
    </w:p>
    <w:p>
      <w:pPr>
        <w:pStyle w:val="Heading3"/>
        <w:ind w:hanging="0" w:left="0"/>
        <w:rPr/>
      </w:pPr>
      <w:r>
        <w:rPr/>
        <w:t>Context Stack</w:t>
      </w:r>
    </w:p>
    <w:p>
      <w:pPr>
        <w:pStyle w:val="BodyText"/>
        <w:widowControl/>
        <w:bidi w:val="0"/>
        <w:spacing w:lineRule="auto" w:line="276"/>
        <w:jc w:val="left"/>
        <w:rPr/>
      </w:pPr>
      <w:r>
        <w:rPr/>
        <w:t>The Context Stack defines how the architecture progressively narrows the complete theoretical World Context into the portion of the world that is relevant for a specific moral assessment. It exists because moral assessment would be computationally and analytically unbounded if every possible Object, Association, state variable, causal pathway, and future consequence had to be considered at full resolution.</w:t>
      </w:r>
    </w:p>
    <w:p>
      <w:pPr>
        <w:pStyle w:val="BodyText"/>
        <w:spacing w:before="0" w:after="200"/>
        <w:rPr/>
      </w:pPr>
      <w:r>
        <w:rPr/>
        <w:t>Intuitively, the Context Stack answers the question: “Which part of the world must be considered in order to assess this action responsibly?” It does not deny that the full world exists, nor does it imply that excluded information has no moral significance in principle. Rather, it defines the working boundary within which assessment can be performed with explicit assumptions and an appropriate confidence level.</w:t>
      </w:r>
    </w:p>
    <w:p>
      <w:pPr>
        <w:pStyle w:val="BodyText"/>
        <w:spacing w:before="0" w:after="200"/>
        <w:rPr/>
      </w:pPr>
      <w:r>
        <w:rPr/>
        <w:t>Architecturally, the core Context Stack consists of four primary layers:</w:t>
      </w:r>
    </w:p>
    <w:p>
      <w:pPr>
        <w:pStyle w:val="BodyText"/>
        <w:spacing w:before="0" w:after="200"/>
        <w:rPr/>
      </w:pPr>
      <w:r>
        <w:rPr/>
        <w:t>World Context</w:t>
        <w:br/>
        <w:t>→ Assessment Boundary</w:t>
        <w:br/>
        <w:t>→ Local Context</w:t>
        <w:br/>
        <w:t>→ Situational Context</w:t>
      </w:r>
    </w:p>
    <w:p>
      <w:pPr>
        <w:pStyle w:val="BodyText"/>
        <w:spacing w:before="0" w:after="200"/>
        <w:rPr/>
      </w:pPr>
      <w:r>
        <w:rPr/>
        <w:t>Each layer performs a distinct architectural function. The World Context is the complete theoretical state container. The Assessment Boundary defines how that state is partitioned for assessment. The Local Context identifies the subset relevant to a class of moral assessments. The Situational Context identifies the directly relevant evidentiary and state boundary for evaluating the specific Assessed Action.</w:t>
      </w:r>
    </w:p>
    <w:p>
      <w:pPr>
        <w:pStyle w:val="BodyText"/>
        <w:spacing w:before="0" w:after="200"/>
        <w:rPr/>
      </w:pPr>
      <w:r>
        <w:rPr/>
        <w:t>The Context Stack should be treated as the default architectural structure rather than as an immutable limit on future refinement. Additional intermediate context layers may be introduced when required by a domain, implementation, or future extension of the architecture, provided they preserve the semantics of progressive filtering from broader world state to assessment-specific context.</w:t>
      </w:r>
    </w:p>
    <w:p>
      <w:pPr>
        <w:pStyle w:val="Heading3"/>
        <w:ind w:hanging="0" w:left="0"/>
        <w:rPr/>
      </w:pPr>
      <w:r>
        <w:rPr/>
        <w:t>World Context</w:t>
      </w:r>
    </w:p>
    <w:p>
      <w:pPr>
        <w:pStyle w:val="BodyText"/>
        <w:spacing w:before="0" w:after="200"/>
        <w:rPr/>
      </w:pPr>
      <w:r>
        <w:rPr/>
        <w:t>The World Context is the complete theoretical state of the world at the instant an assessment begins. It includes all Objects, Associations, states, constraints, information, institutions, decision policies, future opportunities, and relevant possibilities that could, in principle, bear on the assessment.</w:t>
      </w:r>
    </w:p>
    <w:p>
      <w:pPr>
        <w:pStyle w:val="BodyText"/>
        <w:spacing w:before="0" w:after="200"/>
        <w:rPr/>
      </w:pPr>
      <w:r>
        <w:rPr/>
        <w:t>The World Context is not limited to what the Actor knows, what the assessor knows, or what an implementation can fully represent. It is the theoretical state container from which all narrower contexts are derived. In practice, no implementation will fully capture the World Context. The architecture therefore treats the World Context as a conceptual superset rather than a fully computable dataset.</w:t>
      </w:r>
    </w:p>
    <w:p>
      <w:pPr>
        <w:pStyle w:val="BodyText"/>
        <w:spacing w:before="0" w:after="200"/>
        <w:rPr/>
      </w:pPr>
      <w:r>
        <w:rPr/>
        <w:t>The World Context includes both material and non-material state. It may include physical entities, biological organisms, human beings, organizations, ecosystems, artificial systems, legal rules, institutional structures, trust relationships, information states, technological capabilities, social norms, and future state space. It also includes the current policy states of relevant Moral Agents and institutions insofar as those policy states may be affected by the Assessed Action.</w:t>
      </w:r>
    </w:p>
    <w:p>
      <w:pPr>
        <w:pStyle w:val="BodyText"/>
        <w:spacing w:before="0" w:after="200"/>
        <w:rPr/>
      </w:pPr>
      <w:r>
        <w:rPr/>
        <w:t>The World Context is morally significant because every assessment evaluates a transition from one World Context to another. The resulting World Context after an action includes not only immediate outcomes but also altered relationships, changed incentives, updated policy states, modified institutions, altered constraints, and expanded or diminished future possibilities. The architecture therefore treats World Context Transition as the principal object of moral assessment.</w:t>
      </w:r>
    </w:p>
    <w:p>
      <w:pPr>
        <w:pStyle w:val="Heading2"/>
        <w:rPr/>
      </w:pPr>
      <w:r>
        <w:rPr/>
        <w:t>Assessment Divisors / Assessment Boundary</w:t>
      </w:r>
    </w:p>
    <w:p>
      <w:pPr>
        <w:pStyle w:val="BodyText"/>
        <w:spacing w:before="0" w:after="200"/>
        <w:rPr/>
      </w:pPr>
      <w:r>
        <w:rPr/>
        <w:t>The Assessment Boundary is the architectural component that determines which portions of the World Context are relevant enough to be included in the assessment. It defines the boundary between the complete theoretical World Context and the narrower contexts used for evaluation.</w:t>
      </w:r>
    </w:p>
    <w:p>
      <w:pPr>
        <w:pStyle w:val="BodyText"/>
        <w:spacing w:before="0" w:after="200"/>
        <w:rPr/>
      </w:pPr>
      <w:r>
        <w:rPr/>
        <w:t>Assessment Divisors are the dimensions used to configure or apply the Assessment Boundary. These may include application scope, domain scope, entity scope, causal scope, temporal scope, epistemic scope, perspective scope, jurisdictional scope, authority scope, and computational scope. The Assessment Boundary is the architectural mechanism; the Assessment Divisors are the selected scoping dimensions that determine how the boundary is drawn.</w:t>
      </w:r>
    </w:p>
    <w:p>
      <w:pPr>
        <w:pStyle w:val="BodyText"/>
        <w:spacing w:before="0" w:after="200"/>
        <w:rPr/>
      </w:pPr>
      <w:r>
        <w:rPr/>
        <w:t>The Assessment Boundary does not determine the moral conclusion by itself. Instead, it defines the assumptions under which the assessment is performed. A boundary that excludes relevant entities, consequences, time horizons, or evidence may produce a lower-confidence assessment or an incomplete moral conclusion. For this reason, the boundary should be explicit, inspectable, and revisable.</w:t>
      </w:r>
    </w:p>
    <w:p>
      <w:pPr>
        <w:pStyle w:val="BodyText"/>
        <w:spacing w:before="0" w:after="200"/>
        <w:rPr/>
      </w:pPr>
      <w:r>
        <w:rPr/>
        <w:t>The Assessment Boundary is first applied broadly to reduce the World Context into a Local Context. It is then applied more specifically to derive the Situational Context used to evaluate the Assessed Action. In complex assessments, the boundary may be iteratively refined as new relevant Objects, Associations, causal pathways, or evidence become apparent.</w:t>
      </w:r>
    </w:p>
    <w:p>
      <w:pPr>
        <w:pStyle w:val="BodyText"/>
        <w:spacing w:before="0" w:after="200"/>
        <w:rPr/>
      </w:pPr>
      <w:r>
        <w:rPr/>
        <w:t>The Assessment Boundary should preserve traceability. A moral assessment should be able to identify why certain Objects, Associations, consequences, horizons, or evidence sources were included or excluded. When the boundary is uncertain or contested, that uncertainty should be carried forward into the confidence assessment in the Moral Assessment Methodology.</w:t>
      </w:r>
    </w:p>
    <w:p>
      <w:pPr>
        <w:pStyle w:val="Heading3"/>
        <w:rPr/>
      </w:pPr>
      <w:r>
        <w:rPr/>
        <w:t>Local Context</w:t>
      </w:r>
    </w:p>
    <w:p>
      <w:pPr>
        <w:pStyle w:val="BodyText"/>
        <w:spacing w:before="0" w:after="200"/>
        <w:rPr/>
      </w:pPr>
      <w:r>
        <w:rPr/>
        <w:t>The Local Context is the subset of the World Context relevant to a class of moral assessments. It represents the domain-level or category-level context within which a specific assessment will occur.</w:t>
      </w:r>
    </w:p>
    <w:p>
      <w:pPr>
        <w:pStyle w:val="BodyText"/>
        <w:spacing w:before="0" w:after="200"/>
        <w:rPr/>
      </w:pPr>
      <w:r>
        <w:rPr/>
        <w:t>Examples of Local Contexts include healthcare, legal analysis, military action, environmental stewardship, organizational governance, public policy, family obligations, transportation, robotics, autonomous systems, and artificial intelligence alignment. Each Local Context identifies the kinds of Objects, Associations, institutions, norms, constraints, evidence sources, risks, and state variables that are typically relevant to that class of assessment.</w:t>
      </w:r>
    </w:p>
    <w:p>
      <w:pPr>
        <w:pStyle w:val="BodyText"/>
        <w:spacing w:before="0" w:after="200"/>
        <w:rPr/>
      </w:pPr>
      <w:r>
        <w:rPr/>
        <w:t>The Local Context reduces complexity by excluding portions of the World Context that are not normally relevant to the class of assessment. For example, a medical ethics assessment may require patient state, clinical evidence, informed consent, family relationships, treatment alternatives, institutional obligations, and physician responsibilities. A public-policy assessment may require population effects, economic access, environmental conditions, legal authority, institutional legitimacy, and long-term civic trust. Both assessments use the same Reference Architecture, but they draw from different Local Contexts.</w:t>
      </w:r>
    </w:p>
    <w:p>
      <w:pPr>
        <w:pStyle w:val="BodyText"/>
        <w:spacing w:before="0" w:after="200"/>
        <w:rPr/>
      </w:pPr>
      <w:r>
        <w:rPr/>
        <w:t>The Local Context should not be treated as a closed domain silo. Some assessments require cross-domain expansion. A medical decision may implicate law, family obligations, insurance structures, public health, or institutional policy. A robotics decision may implicate safety, labor, accessibility, privacy, and public trust. When cross-domain effects are material, the Local Context should be expanded or linked to additional Local Contexts.</w:t>
      </w:r>
    </w:p>
    <w:p>
      <w:pPr>
        <w:pStyle w:val="BodyText"/>
        <w:spacing w:before="0" w:after="200"/>
        <w:rPr/>
      </w:pPr>
      <w:r>
        <w:rPr/>
        <w:t>The Local Context provides the architectural bridge between the complete World Context and the specific Situational Context. It establishes the domain-relevant background from which the specific assessment is constructed.</w:t>
      </w:r>
    </w:p>
    <w:p>
      <w:pPr>
        <w:pStyle w:val="Heading3"/>
        <w:rPr/>
      </w:pPr>
      <w:r>
        <w:rPr/>
        <w:t>Situational Context</w:t>
      </w:r>
    </w:p>
    <w:p>
      <w:pPr>
        <w:pStyle w:val="BodyText"/>
        <w:spacing w:before="0" w:after="200"/>
        <w:rPr/>
      </w:pPr>
      <w:r>
        <w:rPr/>
        <w:t>The Situational Context is the subset of the Local Context directly relevant to the specific Assessed Action. It contains the Objects, Associations, states, constraints, information, objectives, risks, alternatives, and foreseeable consequences that bear directly on the moral assessment of that action.</w:t>
      </w:r>
    </w:p>
    <w:p>
      <w:pPr>
        <w:pStyle w:val="BodyText"/>
        <w:spacing w:before="0" w:after="200"/>
        <w:rPr/>
      </w:pPr>
      <w:r>
        <w:rPr/>
        <w:t>The Situational Context is the immediate context in which the Assessed Action is evaluated. It identifies the Actor or Actors, the relevant Flourishing Entities, the affected Objects and Associations, the applicable operational objectives, the material constraints, the relevant evidence, and the plausible consequences across assessment horizons.</w:t>
      </w:r>
    </w:p>
    <w:p>
      <w:pPr>
        <w:pStyle w:val="BodyText"/>
        <w:spacing w:before="0" w:after="200"/>
        <w:rPr/>
      </w:pPr>
      <w:r>
        <w:rPr/>
        <w:t>The Situational Context also functions as the primary evidentiary boundary for assessment. It determines what information is relevant to evaluating the action and what information should be considered available, reasonably obtainable, or later available to an assessor. Related epistemic contexts, including Decision Context, Accessible Context, and Assessment Context, refine how responsibility and confidence are evaluated, but they do not replace the Situational Context as the state boundary for the specific action.</w:t>
      </w:r>
    </w:p>
    <w:p>
      <w:pPr>
        <w:pStyle w:val="BodyText"/>
        <w:spacing w:before="0" w:after="200"/>
        <w:rPr/>
      </w:pPr>
      <w:r>
        <w:rPr/>
        <w:t>The Situational Context must be specific enough to support assessment but broad enough to include material consequences. If it is too narrow, the assessment may ignore affected entities, future harms, institutional effects, or Distributed Policy Effects. If it is too broad, the assessment may become computationally infeasible or analytically unfocused. The quality of the Situational Context therefore directly affects the quality and confidence of the moral assessment.</w:t>
      </w:r>
    </w:p>
    <w:p>
      <w:pPr>
        <w:pStyle w:val="BodyText"/>
        <w:spacing w:before="0" w:after="200"/>
        <w:rPr/>
      </w:pPr>
      <w:r>
        <w:rPr/>
        <w:t>A Situational Context may change as additional information becomes available. In proposed-action assessments, the Situational Context includes current evidence and predicted consequences. In ongoing-action assessments, it may include emerging evidence and partial outcomes. In completed-action assessments, it may include observed outcomes and later-discovered evidence. These differences should be represented explicitly rather than hidden inside the assessment.</w:t>
      </w:r>
    </w:p>
    <w:p>
      <w:pPr>
        <w:pStyle w:val="Heading3"/>
        <w:rPr/>
      </w:pPr>
      <w:r>
        <w:rPr/>
        <w:t>Relationship Among Context Layers</w:t>
      </w:r>
    </w:p>
    <w:p>
      <w:pPr>
        <w:pStyle w:val="BodyText"/>
        <w:widowControl/>
        <w:bidi w:val="0"/>
        <w:spacing w:lineRule="auto" w:line="276"/>
        <w:jc w:val="left"/>
        <w:rPr/>
      </w:pPr>
      <w:r>
        <w:rPr/>
        <w:t>The Context Stack is a progressive filtering structure. The World Context is the theoretical superset. The Assessment Boundary determines what is relevant enough to consider. The Local Context narrows the assessment to a domain or class of moral questions. The Situational Context narrows the assessment further to the specific Assessed Action.</w:t>
      </w:r>
    </w:p>
    <w:p>
      <w:pPr>
        <w:pStyle w:val="BodyText"/>
        <w:spacing w:before="0" w:after="200"/>
        <w:rPr/>
      </w:pPr>
      <w:r>
        <w:rPr/>
        <w:t>This structure allows the framework to remain both comprehensive and practical. It acknowledges that moral actions occur within a complete world state, while also recognizing that assessments must operate within bounded contexts. The goal is not to pretend that the selected context is complete, but to make the selection explicit, inspectable, and confidence-sensitive.</w:t>
      </w:r>
    </w:p>
    <w:p>
      <w:pPr>
        <w:pStyle w:val="BodyText"/>
        <w:spacing w:before="0" w:after="200"/>
        <w:rPr/>
      </w:pPr>
      <w:r>
        <w:rPr/>
        <w:t>The Context Stack also supports recursive assessment. Once an Assessed Action is evaluated, the resulting World Context may alter future Local Contexts and Situational Contexts. For example, a decision that damages institutional trust may change the context for future governance decisions. A harmful AI response may change a user’s future decision policy. A legal precedent may alter the Local Context for future legal assessments. These recursive effects are part of the architecture because the output of one assessment becomes part of the input state for future assessments.</w:t>
      </w:r>
    </w:p>
    <w:p>
      <w:pPr>
        <w:pStyle w:val="BodyText"/>
        <w:spacing w:before="0" w:after="200"/>
        <w:rPr/>
      </w:pPr>
      <w:r>
        <w:rPr/>
        <w:t>The Context Stack therefore performs three essential architectural functions. First, it bounds the assessment so that moral reasoning can be represented and performed. Second, it preserves traceability by making contextual assumptions explicit. Third, it supports recursive World Context transitions by showing how the result of one action becomes part of the context for future moral reasoning.</w:t>
      </w:r>
    </w:p>
    <w:p>
      <w:pPr>
        <w:pStyle w:val="Heading2"/>
        <w:rPr/>
      </w:pPr>
      <w:r>
        <w:rPr/>
        <w:t>Architectural Elements</w:t>
      </w:r>
    </w:p>
    <w:p>
      <w:pPr>
        <w:pStyle w:val="BodyText"/>
        <w:widowControl/>
        <w:bidi w:val="0"/>
        <w:spacing w:lineRule="auto" w:line="276"/>
        <w:jc w:val="left"/>
        <w:rPr/>
      </w:pPr>
      <w:r>
        <w:rPr/>
        <w:t>The Reference Architecture is composed of conceptual elements that define what exists within a moral assessment and how those elements relate to one another. These elements are implementation-independent. They may be represented through graphs, state models, ontologies, databases, symbolic structures, probabilistic models, or future computational methods, but the architecture itself does not prescribe any particular implementation.</w:t>
      </w:r>
    </w:p>
    <w:p>
      <w:pPr>
        <w:pStyle w:val="BodyText"/>
        <w:spacing w:before="0" w:after="200"/>
        <w:rPr/>
      </w:pPr>
      <w:r>
        <w:rPr/>
        <w:t>The architectural elements collectively support the assessment of an Assessed Action as a transformation from one World Context to another. Each element contributes to identifying what is being evaluated, who or what may be affected, what relationships matter, what objectives guide assessment, what constraints apply, and how the resulting World Context differs from the initial World Context.</w:t>
      </w:r>
    </w:p>
    <w:p>
      <w:pPr>
        <w:pStyle w:val="Heading3"/>
        <w:rPr/>
      </w:pPr>
      <w:r>
        <w:rPr/>
        <w:t>World Context</w:t>
      </w:r>
    </w:p>
    <w:p>
      <w:pPr>
        <w:pStyle w:val="BodyText"/>
        <w:widowControl/>
        <w:bidi w:val="0"/>
        <w:spacing w:lineRule="auto" w:line="276"/>
        <w:jc w:val="left"/>
        <w:rPr/>
      </w:pPr>
      <w:r>
        <w:rPr/>
        <w:t>The World Context is the complete theoretical state of the world at the instant an assessment begins. It is the top-level state container from which all narrower assessment contexts are derived.</w:t>
      </w:r>
    </w:p>
    <w:p>
      <w:pPr>
        <w:pStyle w:val="BodyText"/>
        <w:spacing w:before="0" w:after="200"/>
        <w:rPr/>
      </w:pPr>
      <w:r>
        <w:rPr/>
        <w:t>The World Context includes Objects, Associations, states, constraints, information, institutions, policies, authority structures, future opportunities, and future state space. It is broader than any implementation can fully represent. In practice, assessments operate on filtered portions of the World Context, but the architecture treats the World Context as the complete conceptual source state for moral assessment.</w:t>
      </w:r>
    </w:p>
    <w:p>
      <w:pPr>
        <w:pStyle w:val="BodyText"/>
        <w:spacing w:before="0" w:after="200"/>
        <w:rPr/>
      </w:pPr>
      <w:r>
        <w:rPr/>
        <w:t>Every moral assessment begins with a World Context and produces a transformed World Context. This makes the World Context both the starting condition and the recursive output of the architecture.</w:t>
      </w:r>
    </w:p>
    <w:p>
      <w:pPr>
        <w:pStyle w:val="Heading3"/>
        <w:rPr/>
      </w:pPr>
      <w:r>
        <w:rPr/>
        <w:t>Assessment Boundary</w:t>
      </w:r>
    </w:p>
    <w:p>
      <w:pPr>
        <w:pStyle w:val="BodyText"/>
        <w:spacing w:before="0" w:after="200"/>
        <w:rPr/>
      </w:pPr>
      <w:r>
        <w:rPr/>
        <w:t>The Assessment Boundary is the architectural component that determines which portions of the World Context are included in a specific assessment. It defines the boundary between the complete theoretical World Context and the narrower contexts used for evaluation.</w:t>
      </w:r>
    </w:p>
    <w:p>
      <w:pPr>
        <w:pStyle w:val="BodyText"/>
        <w:spacing w:before="0" w:after="200"/>
        <w:rPr/>
      </w:pPr>
      <w:r>
        <w:rPr/>
        <w:t>The Assessment Boundary may be configured through scope structures such as domain, entity class, causal reach, temporal horizon, perspective, jurisdiction, authority, and available evidence. It does not determine the moral conclusion by itself. Instead, it defines the assumptions under which the assessment is performed.</w:t>
      </w:r>
    </w:p>
    <w:p>
      <w:pPr>
        <w:pStyle w:val="BodyText"/>
        <w:spacing w:before="0" w:after="200"/>
        <w:rPr/>
      </w:pPr>
      <w:r>
        <w:rPr/>
        <w:t>A well-defined Assessment Boundary allows the assessment to remain explicit, inspectable, and confidence-sensitive. If a boundary excludes potentially relevant entities, evidence, consequences, or time horizons, that limitation should be reflected in the assessment’s confidence.</w:t>
      </w:r>
    </w:p>
    <w:p>
      <w:pPr>
        <w:pStyle w:val="Heading3"/>
        <w:rPr/>
      </w:pPr>
      <w:r>
        <w:rPr/>
        <w:t>Local Context</w:t>
      </w:r>
    </w:p>
    <w:p>
      <w:pPr>
        <w:pStyle w:val="BodyText"/>
        <w:spacing w:before="0" w:after="200"/>
        <w:rPr/>
      </w:pPr>
      <w:r>
        <w:rPr/>
        <w:t>The Local Context is the subset of the World Context relevant to a class or domain of moral assessments. It provides the domain-level background from which a specific Situational Context is derived.</w:t>
      </w:r>
    </w:p>
    <w:p>
      <w:pPr>
        <w:pStyle w:val="BodyText"/>
        <w:spacing w:before="0" w:after="200"/>
        <w:rPr/>
      </w:pPr>
      <w:r>
        <w:rPr/>
        <w:t>Examples of Local Contexts include healthcare, law, environmental stewardship, public policy, organizational governance, transportation, military action, robotics, autonomous systems, and artificial intelligence. Each Local Context identifies the types of Objects, Associations, institutions, evidence sources, risks, obligations, constraints, and state variables commonly relevant to that class of assessment.</w:t>
      </w:r>
    </w:p>
    <w:p>
      <w:pPr>
        <w:pStyle w:val="BodyText"/>
        <w:spacing w:before="0" w:after="200"/>
        <w:rPr/>
      </w:pPr>
      <w:r>
        <w:rPr/>
        <w:t>The Local Context reduces complexity without severing the assessment from the broader World Context. When a situation spans multiple domains, the Local Context may incorporate or link to additional Local Contexts.</w:t>
      </w:r>
    </w:p>
    <w:p>
      <w:pPr>
        <w:pStyle w:val="Heading3"/>
        <w:rPr/>
      </w:pPr>
      <w:r>
        <w:rPr/>
        <w:t>Situational Context</w:t>
      </w:r>
    </w:p>
    <w:p>
      <w:pPr>
        <w:pStyle w:val="BodyText"/>
        <w:spacing w:before="0" w:after="200"/>
        <w:rPr/>
      </w:pPr>
      <w:r>
        <w:rPr/>
        <w:t>The Situational Context is the subset of the Local Context directly relevant to the specific Assessed Action. It contains the Objects, Associations, states, constraints, information, objectives, alternatives, and foreseeable consequences needed to evaluate that action.</w:t>
      </w:r>
    </w:p>
    <w:p>
      <w:pPr>
        <w:pStyle w:val="BodyText"/>
        <w:spacing w:before="0" w:after="200"/>
        <w:rPr/>
      </w:pPr>
      <w:r>
        <w:rPr/>
        <w:t>The Situational Context is the immediate state boundary for the assessment. It identifies the Actor or Actors, affected entities, relevant Associations, operational objectives, material constraints, available information, and plausible consequences across assessment horizons.</w:t>
      </w:r>
    </w:p>
    <w:p>
      <w:pPr>
        <w:pStyle w:val="BodyText"/>
        <w:spacing w:before="0" w:after="200"/>
        <w:rPr/>
      </w:pPr>
      <w:r>
        <w:rPr/>
        <w:t>The Situational Context is also the primary evidentiary boundary for the action. It should be specific enough to support assessment, but broad enough to include material effects such as indirect consequences, changes to relationships, institutional effects, and Distributed Policy Effects.</w:t>
      </w:r>
    </w:p>
    <w:p>
      <w:pPr>
        <w:pStyle w:val="Heading3"/>
        <w:rPr/>
      </w:pPr>
      <w:r>
        <w:rPr/>
        <w:t>Relevant Objects</w:t>
      </w:r>
    </w:p>
    <w:p>
      <w:pPr>
        <w:pStyle w:val="BodyText"/>
        <w:spacing w:before="0" w:after="200"/>
        <w:rPr/>
      </w:pPr>
      <w:r>
        <w:rPr/>
        <w:t>Relevant Objects are Objects within the assessment boundary whose state, relationships, opportunities, constraints, or role in the World Context may be materially affected by the Assessed Action.</w:t>
      </w:r>
    </w:p>
    <w:p>
      <w:pPr>
        <w:pStyle w:val="BodyText"/>
        <w:spacing w:before="0" w:after="200"/>
        <w:rPr/>
      </w:pPr>
      <w:r>
        <w:rPr/>
        <w:t>An Object is the fundamental ontological element in the architecture. Objects may include persons, animals, ecosystems, organizations, institutions, artificial systems, physical assets, information artifacts, contracts, laws, resources, or other persistent entities within the moral domain.</w:t>
      </w:r>
    </w:p>
    <w:p>
      <w:pPr>
        <w:pStyle w:val="BodyText"/>
        <w:spacing w:before="0" w:after="200"/>
        <w:rPr/>
      </w:pPr>
      <w:r>
        <w:rPr/>
        <w:t>Not every Object is morally relevant in every assessment. An Object becomes relevant when it participates in the Situational Context in a way that may affect the World Context Transition, the Long-Term Flourishing of a Flourishing Entity, the state of an Association, or the future behavior of Moral Agents.</w:t>
      </w:r>
    </w:p>
    <w:p>
      <w:pPr>
        <w:pStyle w:val="Heading3"/>
        <w:rPr/>
      </w:pPr>
      <w:r>
        <w:rPr/>
        <w:t>Associations</w:t>
      </w:r>
    </w:p>
    <w:p>
      <w:pPr>
        <w:pStyle w:val="BodyText"/>
        <w:spacing w:before="0" w:after="200"/>
        <w:rPr/>
      </w:pPr>
      <w:r>
        <w:rPr/>
        <w:t>Associations are morally relevant relationships between Objects. They are the connective structure of the ethical graph and may possess their own state, attributes, history, and constraints.</w:t>
      </w:r>
    </w:p>
    <w:p>
      <w:pPr>
        <w:pStyle w:val="BodyText"/>
        <w:spacing w:before="0" w:after="200"/>
        <w:rPr/>
      </w:pPr>
      <w:r>
        <w:rPr/>
        <w:t>Associations may represent relationships such as responsibility, authority, obligation, dependency, trust, ownership, care, governance, consent, contract, command, stewardship, representation, or institutional membership. Moral significance often arises not from Objects in isolation, but from the Associations among them.</w:t>
      </w:r>
    </w:p>
    <w:p>
      <w:pPr>
        <w:pStyle w:val="BodyText"/>
        <w:spacing w:before="0" w:after="200"/>
        <w:rPr/>
      </w:pPr>
      <w:r>
        <w:rPr/>
        <w:t>Associations may change as a result of an Assessed Action. A decision may strengthen trust, weaken legitimacy, create obligations, violate consent, alter authority, damage dependency relationships, or transform institutional responsibilities. These Association changes are part of the resulting World Context.</w:t>
      </w:r>
    </w:p>
    <w:p>
      <w:pPr>
        <w:pStyle w:val="Heading3"/>
        <w:rPr/>
      </w:pPr>
      <w:r>
        <w:rPr/>
        <w:t>Flourishing Entities</w:t>
      </w:r>
    </w:p>
    <w:p>
      <w:pPr>
        <w:pStyle w:val="BodyText"/>
        <w:spacing w:before="0" w:after="200"/>
        <w:rPr/>
      </w:pPr>
      <w:r>
        <w:rPr/>
        <w:t>A Flourishing Entity is an Object whose Long-Term Flourishing can be meaningfully increased or diminished by changes to its state, relationships, environment, opportunities, or future state space.</w:t>
      </w:r>
    </w:p>
    <w:p>
      <w:pPr>
        <w:pStyle w:val="BodyText"/>
        <w:spacing w:before="0" w:after="200"/>
        <w:rPr/>
      </w:pPr>
      <w:r>
        <w:rPr/>
        <w:t>Flourishing Entities may include humans, non-human organisms, ecosystems, institutions, organizations, and future artificial systems that satisfy the framework’s criteria. The classification is not limited to biological life if a non-biological system possesses the relevant self-directed and adaptive characteristics.</w:t>
      </w:r>
    </w:p>
    <w:p>
      <w:pPr>
        <w:pStyle w:val="BodyText"/>
        <w:spacing w:before="0" w:after="200"/>
        <w:rPr/>
      </w:pPr>
      <w:r>
        <w:rPr/>
        <w:t>A Flourishing Entity is not a separate node type. It is an evaluative classification applied to an Object when that Object’s flourishing is morally assessable. The architecture evaluates how the Assessed Action changes the Long-Term Flourishing of relevant Flourishing Entities across assessment horizons.</w:t>
      </w:r>
    </w:p>
    <w:p>
      <w:pPr>
        <w:pStyle w:val="Heading3"/>
        <w:rPr/>
      </w:pPr>
      <w:r>
        <w:rPr/>
        <w:t>Moral Agents</w:t>
      </w:r>
    </w:p>
    <w:p>
      <w:pPr>
        <w:pStyle w:val="BodyText"/>
        <w:spacing w:before="0" w:after="200"/>
        <w:rPr/>
      </w:pPr>
      <w:r>
        <w:rPr/>
        <w:t>A Moral Agent is a Flourishing Entity capable of selecting among alternative Actions, evaluating those Actions against Objectives, and bearing moral responsibility.</w:t>
      </w:r>
    </w:p>
    <w:p>
      <w:pPr>
        <w:pStyle w:val="BodyText"/>
        <w:spacing w:before="0" w:after="200"/>
        <w:rPr/>
      </w:pPr>
      <w:r>
        <w:rPr/>
        <w:t>Moral Agents are relevant because they can initiate actions, respond to actions, observe actions, update future decision policies, and participate in moral responsibility. A Moral Agent may be human, institutional, collective, artificial, or otherwise constituted if it satisfies the framework’s criteria for moral agency.</w:t>
      </w:r>
    </w:p>
    <w:p>
      <w:pPr>
        <w:pStyle w:val="BodyText"/>
        <w:spacing w:before="0" w:after="200"/>
        <w:rPr/>
      </w:pPr>
      <w:r>
        <w:rPr/>
        <w:t>Moral Agent is not a separate node type. It is an evaluative classification applied to an Object based on capabilities such as decision-making, objective evaluation, responsibility, and policy adaptation.</w:t>
      </w:r>
    </w:p>
    <w:p>
      <w:pPr>
        <w:pStyle w:val="Heading4"/>
        <w:ind w:hanging="0" w:left="0"/>
        <w:rPr/>
      </w:pPr>
      <w:r>
        <w:rPr/>
        <w:t>Contextual Roles</w:t>
      </w:r>
    </w:p>
    <w:p>
      <w:pPr>
        <w:pStyle w:val="BodyText"/>
        <w:spacing w:before="0" w:after="200"/>
        <w:rPr/>
      </w:pPr>
      <w:r>
        <w:rPr/>
        <w:t>Contextual Roles describe how Objects participate in a specific assessment. They are not separate ontological types. The same Object may occupy different roles in different assessments, or multiple roles within the same assessment.</w:t>
      </w:r>
    </w:p>
    <w:p>
      <w:pPr>
        <w:pStyle w:val="BodyText"/>
        <w:spacing w:before="0" w:after="200"/>
        <w:rPr/>
      </w:pPr>
      <w:r>
        <w:rPr/>
        <w:t>Contextual Roles allow the architecture to distinguish what an Object is from what it is doing in relation to an Assessed Action. This is essential because an Object may be an Actor in one assessment, an Affected Entity in another, an Observer in a third, and an Institutional Participant in a fourth.</w:t>
      </w:r>
    </w:p>
    <w:p>
      <w:pPr>
        <w:pStyle w:val="Heading5"/>
        <w:ind w:hanging="0" w:left="0"/>
        <w:rPr/>
      </w:pPr>
      <w:r>
        <w:rPr/>
        <w:t>Actor</w:t>
      </w:r>
    </w:p>
    <w:p>
      <w:pPr>
        <w:pStyle w:val="BodyText"/>
        <w:widowControl/>
        <w:bidi w:val="0"/>
        <w:spacing w:lineRule="auto" w:line="276"/>
        <w:jc w:val="left"/>
        <w:rPr/>
      </w:pPr>
      <w:r>
        <w:rPr/>
        <w:t>An Actor is a contextual role assumed by an Object within a specific assessment when it initiates, controls, directs, authorizes, or bears responsibility for the Assessed Action.</w:t>
      </w:r>
    </w:p>
    <w:p>
      <w:pPr>
        <w:pStyle w:val="BodyText"/>
        <w:spacing w:before="0" w:after="200"/>
        <w:rPr/>
      </w:pPr>
      <w:r>
        <w:rPr/>
        <w:t>An Actor may be a Moral Agent when moral responsibility is being assessed. In some cases, an Object may function as a causal or operational actor without satisfying the full criteria for moral responsibility. The architecture should therefore distinguish causal control, decision authority, authorization, and moral responsibility rather than assuming they always occur together.</w:t>
      </w:r>
    </w:p>
    <w:p>
      <w:pPr>
        <w:pStyle w:val="Heading5"/>
        <w:ind w:hanging="0" w:left="0"/>
        <w:rPr/>
      </w:pPr>
      <w:r>
        <w:rPr/>
        <w:t>Affected Entity</w:t>
      </w:r>
    </w:p>
    <w:p>
      <w:pPr>
        <w:pStyle w:val="BodyText"/>
        <w:widowControl/>
        <w:bidi w:val="0"/>
        <w:spacing w:lineRule="auto" w:line="276"/>
        <w:jc w:val="left"/>
        <w:rPr/>
      </w:pPr>
      <w:r>
        <w:rPr/>
        <w:t>An Affected Entity is an Object whose state, relationships, constraints, opportunities, policy state, or Long-Term Flourishing may be changed by the Assessed Action.</w:t>
      </w:r>
    </w:p>
    <w:p>
      <w:pPr>
        <w:pStyle w:val="BodyText"/>
        <w:spacing w:before="0" w:after="200"/>
        <w:rPr/>
      </w:pPr>
      <w:r>
        <w:rPr/>
        <w:t>Affected Entities may include the Actor, direct targets of the action, indirectly impacted entities, dependent entities, institutions, observers, and future entities whose relevant state space is altered by the action. Affected Entities are included in the assessment when their changes are material to the World Context Transition.</w:t>
      </w:r>
    </w:p>
    <w:p>
      <w:pPr>
        <w:pStyle w:val="Heading5"/>
        <w:ind w:hanging="0" w:left="0"/>
        <w:rPr/>
      </w:pPr>
      <w:r>
        <w:rPr/>
        <w:t>Observer</w:t>
      </w:r>
    </w:p>
    <w:p>
      <w:pPr>
        <w:pStyle w:val="BodyText"/>
        <w:widowControl/>
        <w:bidi w:val="0"/>
        <w:spacing w:lineRule="auto" w:line="276"/>
        <w:jc w:val="left"/>
        <w:rPr/>
      </w:pPr>
      <w:r>
        <w:rPr/>
        <w:t>An Observer is an Object that perceives, learns about, interprets, or is otherwise exposed to the Assessed Action or its consequences.</w:t>
      </w:r>
    </w:p>
    <w:p>
      <w:pPr>
        <w:pStyle w:val="BodyText"/>
        <w:spacing w:before="0" w:after="200"/>
        <w:rPr/>
      </w:pPr>
      <w:r>
        <w:rPr/>
        <w:t>Observers are architecturally important because actions can modify future decision policies beyond the Actor and directly affected entities. An Observer may update its understanding of what is acceptable, rewarded, punished, legitimate, effective, or repeatable. These updates may become part of the resulting World Context.</w:t>
      </w:r>
    </w:p>
    <w:p>
      <w:pPr>
        <w:pStyle w:val="Heading5"/>
        <w:ind w:hanging="0" w:left="0"/>
        <w:rPr/>
      </w:pPr>
      <w:r>
        <w:rPr/>
        <w:t>Responder</w:t>
      </w:r>
    </w:p>
    <w:p>
      <w:pPr>
        <w:pStyle w:val="BodyText"/>
        <w:widowControl/>
        <w:bidi w:val="0"/>
        <w:spacing w:lineRule="auto" w:line="276"/>
        <w:jc w:val="left"/>
        <w:rPr/>
      </w:pPr>
      <w:r>
        <w:rPr/>
        <w:t>A Responder is an Object that reacts to the Assessed Action or to its consequences in a way that may further alter the World Context.</w:t>
      </w:r>
    </w:p>
    <w:p>
      <w:pPr>
        <w:pStyle w:val="BodyText"/>
        <w:spacing w:before="0" w:after="200"/>
        <w:rPr/>
      </w:pPr>
      <w:r>
        <w:rPr/>
        <w:t>Responders may include individuals, institutions, communities, regulators, courts, markets, ecosystems, autonomous systems, or other agents that respond to the initial action. Their responses may amplify, mitigate, reverse, or transform the consequences of the Assessed Action.</w:t>
      </w:r>
    </w:p>
    <w:p>
      <w:pPr>
        <w:pStyle w:val="Heading5"/>
        <w:ind w:hanging="0" w:left="0"/>
        <w:rPr/>
      </w:pPr>
      <w:r>
        <w:rPr/>
        <w:t>Institutional Participant</w:t>
      </w:r>
    </w:p>
    <w:p>
      <w:pPr>
        <w:pStyle w:val="BodyText"/>
        <w:widowControl/>
        <w:bidi w:val="0"/>
        <w:spacing w:lineRule="auto" w:line="276"/>
        <w:jc w:val="left"/>
        <w:rPr/>
      </w:pPr>
      <w:r>
        <w:rPr/>
        <w:t>An Institutional Participant is an Object acting within, through, on behalf of, or in relation to an institution.</w:t>
      </w:r>
    </w:p>
    <w:p>
      <w:pPr>
        <w:pStyle w:val="BodyText"/>
        <w:spacing w:before="0" w:after="200"/>
        <w:rPr/>
      </w:pPr>
      <w:r>
        <w:rPr/>
        <w:t>Institutional Participants are important because institutions shape authority, legitimacy, obligations, incentives, norms, and future behavior. An action taken by an Institutional Participant may affect not only the participant and immediate targets, but also the credibility, trustworthiness, and policy state of the institution itself.</w:t>
      </w:r>
    </w:p>
    <w:p>
      <w:pPr>
        <w:pStyle w:val="Heading3"/>
        <w:rPr/>
      </w:pPr>
      <w:r>
        <w:rPr/>
        <w:t>Assessed Action</w:t>
      </w:r>
    </w:p>
    <w:p>
      <w:pPr>
        <w:pStyle w:val="BodyText"/>
        <w:widowControl/>
        <w:bidi w:val="0"/>
        <w:spacing w:lineRule="auto" w:line="276"/>
        <w:jc w:val="left"/>
        <w:rPr/>
      </w:pPr>
      <w:r>
        <w:rPr/>
        <w:t>The Assessed Action is the behavior, decision, recommendation, intervention, omission, policy, command, or system output being morally evaluated.</w:t>
      </w:r>
    </w:p>
    <w:p>
      <w:pPr>
        <w:pStyle w:val="BodyText"/>
        <w:spacing w:before="0" w:after="200"/>
        <w:rPr/>
      </w:pPr>
      <w:r>
        <w:rPr/>
        <w:t>The Assessed Action may be proposed, ongoing, or completed. It may be performed by a person, organization, institution, autonomous system, artificial agent, collective body, or other Actor. The Assessed Action is the change-generating element that transforms the initial World Context into a predicted or observed subsequent World Context.</w:t>
      </w:r>
    </w:p>
    <w:p>
      <w:pPr>
        <w:pStyle w:val="BodyText"/>
        <w:spacing w:before="0" w:after="200"/>
        <w:rPr/>
      </w:pPr>
      <w:r>
        <w:rPr/>
        <w:t>In this architecture, the “means” used to pursue an objective are part of the Assessed Action. They are not external to moral assessment.</w:t>
      </w:r>
    </w:p>
    <w:p>
      <w:pPr>
        <w:pStyle w:val="Heading3"/>
        <w:rPr/>
      </w:pPr>
      <w:r>
        <w:rPr/>
        <w:t>Consequences</w:t>
      </w:r>
    </w:p>
    <w:p>
      <w:pPr>
        <w:pStyle w:val="BodyText"/>
        <w:widowControl/>
        <w:bidi w:val="0"/>
        <w:spacing w:lineRule="auto" w:line="276"/>
        <w:jc w:val="left"/>
        <w:rPr/>
      </w:pPr>
      <w:r>
        <w:rPr/>
        <w:t>Consequences are the effects produced or predicted to be produced by the Assessed Action. They describe how the action changes the World Context.</w:t>
      </w:r>
    </w:p>
    <w:p>
      <w:pPr>
        <w:pStyle w:val="BodyText"/>
        <w:spacing w:before="0" w:after="200"/>
        <w:rPr/>
      </w:pPr>
      <w:r>
        <w:rPr/>
        <w:t>Consequences may alter Object states, Association states, Long-Term Flourishing, policy states, institutions, constraints, information, authority conditions, future opportunities, and future state space. They may be immediate or delayed, direct or indirect, intended or unintended, certain or uncertain.</w:t>
      </w:r>
    </w:p>
    <w:p>
      <w:pPr>
        <w:pStyle w:val="BodyText"/>
        <w:spacing w:before="0" w:after="200"/>
        <w:rPr/>
      </w:pPr>
      <w:r>
        <w:rPr/>
        <w:t>Consequences are evaluated across assessment horizons because an action may have different moral significance over different timeframes. Short-term benefits may create long-term harms, and short-term harms may sometimes enable long-term flourishing.</w:t>
      </w:r>
    </w:p>
    <w:p>
      <w:pPr>
        <w:pStyle w:val="Heading3"/>
        <w:rPr/>
      </w:pPr>
      <w:r>
        <w:rPr/>
        <w:t>State Variables / State Descriptors</w:t>
      </w:r>
    </w:p>
    <w:p>
      <w:pPr>
        <w:pStyle w:val="BodyText"/>
        <w:widowControl/>
        <w:bidi w:val="0"/>
        <w:spacing w:lineRule="auto" w:line="276"/>
        <w:jc w:val="left"/>
        <w:rPr/>
      </w:pPr>
      <w:r>
        <w:rPr/>
        <w:t>State Variables or State Descriptors identify the properties of Objects, Associations, contexts, institutions, policies, opportunities, and evidence that may change through an Assessed Action.</w:t>
      </w:r>
    </w:p>
    <w:p>
      <w:pPr>
        <w:pStyle w:val="BodyText"/>
        <w:spacing w:before="0" w:after="200"/>
        <w:rPr/>
      </w:pPr>
      <w:r>
        <w:rPr/>
        <w:t>At the Reference Architecture level, these are conceptual descriptors rather than prescribed mathematical variables. They indicate that the architecture must be capable of representing changes in relevant states, even though the precise representation belongs to the Moral Assessment Methodology or implementation.</w:t>
      </w:r>
    </w:p>
    <w:p>
      <w:pPr>
        <w:pStyle w:val="BodyText"/>
        <w:spacing w:before="0" w:after="200"/>
        <w:rPr/>
      </w:pPr>
      <w:r>
        <w:rPr/>
        <w:t>Examples may include health, trust, capability, legitimacy, authority, dependency, access, resilience, adaptive capacity, knowledge, risk exposure, resource availability, institutional stability, and future opportunity.</w:t>
      </w:r>
    </w:p>
    <w:p>
      <w:pPr>
        <w:pStyle w:val="Heading3"/>
        <w:rPr/>
      </w:pPr>
      <w:r>
        <w:rPr/>
        <w:t>Policy States</w:t>
      </w:r>
    </w:p>
    <w:p>
      <w:pPr>
        <w:pStyle w:val="BodyText"/>
        <w:widowControl/>
        <w:bidi w:val="0"/>
        <w:spacing w:lineRule="auto" w:line="276"/>
        <w:jc w:val="left"/>
        <w:rPr/>
      </w:pPr>
      <w:r>
        <w:rPr/>
        <w:t>Policy States describe the future decision tendencies, rules, strategies, norms, dispositions, learned behaviors, or action-selection patterns of Moral Agents, institutions, or other decision-capable systems.</w:t>
      </w:r>
    </w:p>
    <w:p>
      <w:pPr>
        <w:pStyle w:val="BodyText"/>
        <w:spacing w:before="0" w:after="200"/>
        <w:rPr/>
      </w:pPr>
      <w:r>
        <w:rPr/>
        <w:t>A Policy State may belong to an individual person, organization, institution, AI system, autonomous agent, community, or other entity capable of adjusting future behavior. Policy States are architecturally important because actions may change what future agents perceive as acceptable, useful, rewarded, punished, legitimate, or repeatable.</w:t>
      </w:r>
    </w:p>
    <w:p>
      <w:pPr>
        <w:pStyle w:val="BodyText"/>
        <w:spacing w:before="0" w:after="200"/>
        <w:rPr/>
      </w:pPr>
      <w:r>
        <w:rPr/>
        <w:t>Policy States provide the architectural basis for modeling how means affect future moral behavior. An action that achieves a beneficial immediate result may still damage future moral decision-making by shifting policy states toward coercion, deception, cruelty, negligence, corruption, or other harmful patterns.</w:t>
      </w:r>
    </w:p>
    <w:p>
      <w:pPr>
        <w:pStyle w:val="Heading3"/>
        <w:rPr/>
      </w:pPr>
      <w:r>
        <w:rPr/>
        <w:t>Distributed Policy Effects</w:t>
      </w:r>
    </w:p>
    <w:p>
      <w:pPr>
        <w:pStyle w:val="BodyText"/>
        <w:widowControl/>
        <w:bidi w:val="0"/>
        <w:spacing w:lineRule="auto" w:line="276"/>
        <w:jc w:val="left"/>
        <w:rPr/>
      </w:pPr>
      <w:r>
        <w:rPr/>
        <w:t>Distributed Policy Effects are the changes an Assessed Action produces in the future decision policies of the Actor, affected entities, observers, responders, collaborators, institutions, or other relevant Moral Agents.</w:t>
      </w:r>
    </w:p>
    <w:p>
      <w:pPr>
        <w:pStyle w:val="BodyText"/>
        <w:spacing w:before="0" w:after="200"/>
        <w:rPr/>
      </w:pPr>
      <w:r>
        <w:rPr/>
        <w:t>These effects are distributed because they are not limited to the Actor. A single action may teach observers that a harmful means is acceptable, alter institutional norms, create precedent, shift incentives, normalize abuse, or discourage future cooperation.</w:t>
      </w:r>
    </w:p>
    <w:p>
      <w:pPr>
        <w:pStyle w:val="BodyText"/>
        <w:spacing w:before="0" w:after="200"/>
        <w:rPr/>
      </w:pPr>
      <w:r>
        <w:rPr/>
        <w:t>Distributed Policy Effects are part of the resulting World Context. They explain why the architecture treats the means used to achieve an outcome as morally significant, rather than evaluating only immediate consequences or aggregate results.</w:t>
      </w:r>
    </w:p>
    <w:p>
      <w:pPr>
        <w:pStyle w:val="Heading3"/>
        <w:rPr/>
      </w:pPr>
      <w:r>
        <w:rPr/>
        <w:t>Institutions</w:t>
      </w:r>
    </w:p>
    <w:p>
      <w:pPr>
        <w:pStyle w:val="BodyText"/>
        <w:widowControl/>
        <w:bidi w:val="0"/>
        <w:spacing w:lineRule="auto" w:line="276"/>
        <w:jc w:val="left"/>
        <w:rPr/>
      </w:pPr>
      <w:r>
        <w:rPr/>
        <w:t>Institutions are persistent social, legal, organizational, procedural, cultural, or governance structures that shape behavior, authority, legitimacy, expectations, obligations, and collective decision-making.</w:t>
      </w:r>
    </w:p>
    <w:p>
      <w:pPr>
        <w:pStyle w:val="BodyText"/>
        <w:spacing w:before="0" w:after="200"/>
        <w:rPr/>
      </w:pPr>
      <w:r>
        <w:rPr/>
        <w:t>Institutions may be represented as Objects, as networks of Associations, or as structured patterns involving multiple Objects and rules. They may include courts, governments, companies, families, professions, markets, schools, hospitals, regulatory bodies, protocols, and governance systems.</w:t>
      </w:r>
    </w:p>
    <w:p>
      <w:pPr>
        <w:pStyle w:val="BodyText"/>
        <w:spacing w:before="0" w:after="200"/>
        <w:rPr/>
      </w:pPr>
      <w:r>
        <w:rPr/>
        <w:t>Institutions are architecturally important because actions may preserve, strengthen, weaken, corrupt, delegitimize, or transform them. Institutional changes may significantly affect Long-Term Flourishing across large populations and long assessment horizons.</w:t>
      </w:r>
    </w:p>
    <w:p>
      <w:pPr>
        <w:pStyle w:val="Heading3"/>
        <w:rPr/>
      </w:pPr>
      <w:r>
        <w:rPr/>
        <w:t>Information / Evidence State</w:t>
      </w:r>
    </w:p>
    <w:p>
      <w:pPr>
        <w:pStyle w:val="BodyText"/>
        <w:widowControl/>
        <w:bidi w:val="0"/>
        <w:spacing w:lineRule="auto" w:line="276"/>
        <w:jc w:val="left"/>
        <w:rPr/>
      </w:pPr>
      <w:r>
        <w:rPr/>
        <w:t>Information or Evidence State describes what is known, believed, observable, recorded, available, unavailable, uncertain, hidden, distorted, or later discovered within an assessment.</w:t>
      </w:r>
    </w:p>
    <w:p>
      <w:pPr>
        <w:pStyle w:val="BodyText"/>
        <w:spacing w:before="0" w:after="200"/>
        <w:rPr/>
      </w:pPr>
      <w:r>
        <w:rPr/>
        <w:t>Information State is broader than evidence used in a particular assessment. It may include knowledge possessed by the Actor, information reasonably obtainable through diligence, information available to an assessor, public knowledge, institutional records, misinformation, uncertainty, and missing evidence.</w:t>
      </w:r>
    </w:p>
    <w:p>
      <w:pPr>
        <w:pStyle w:val="BodyText"/>
        <w:spacing w:before="0" w:after="200"/>
        <w:rPr/>
      </w:pPr>
      <w:r>
        <w:rPr/>
        <w:t>Information and Evidence State matter because moral assessment depends on what could reasonably be known within the Situational Context. They also affect confidence, responsibility, foreseeability, and the quality of predicted World Context transitions.</w:t>
      </w:r>
    </w:p>
    <w:p>
      <w:pPr>
        <w:pStyle w:val="Heading3"/>
        <w:rPr/>
      </w:pPr>
      <w:r>
        <w:rPr/>
        <w:t>Constraints</w:t>
      </w:r>
    </w:p>
    <w:p>
      <w:pPr>
        <w:pStyle w:val="BodyText"/>
        <w:widowControl/>
        <w:bidi w:val="0"/>
        <w:spacing w:lineRule="auto" w:line="276"/>
        <w:jc w:val="left"/>
        <w:rPr/>
      </w:pPr>
      <w:r>
        <w:rPr/>
        <w:t>Constraints are conditions that limit, shape, or prohibit possible actions, outcomes, or state transitions.</w:t>
      </w:r>
    </w:p>
    <w:p>
      <w:pPr>
        <w:pStyle w:val="BodyText"/>
        <w:spacing w:before="0" w:after="200"/>
        <w:rPr/>
      </w:pPr>
      <w:r>
        <w:rPr/>
        <w:t>Constraints may be physical, biological, legal, institutional, informational, technological, financial, temporal, relational, procedural, ecological, or moral. They define what actions are available, what consequences are possible, what obligations apply, and what tradeoffs must be considered.</w:t>
      </w:r>
    </w:p>
    <w:p>
      <w:pPr>
        <w:pStyle w:val="BodyText"/>
        <w:spacing w:before="0" w:after="200"/>
        <w:rPr/>
      </w:pPr>
      <w:r>
        <w:rPr/>
        <w:t>Constraints are not automatically moral conclusions. A constraint may be morally justified, morally neutral, or morally problematic. The architecture represents constraints because they affect the available action space and the resulting World Context Transition.</w:t>
      </w:r>
    </w:p>
    <w:p>
      <w:pPr>
        <w:pStyle w:val="Heading3"/>
        <w:rPr/>
      </w:pPr>
      <w:r>
        <w:rPr/>
        <w:t>Authority and Legitimacy Conditions</w:t>
      </w:r>
    </w:p>
    <w:p>
      <w:pPr>
        <w:pStyle w:val="BodyText"/>
        <w:widowControl/>
        <w:bidi w:val="0"/>
        <w:spacing w:lineRule="auto" w:line="276"/>
        <w:jc w:val="left"/>
        <w:rPr/>
      </w:pPr>
      <w:r>
        <w:rPr/>
        <w:t>Authority and Legitimacy Conditions describe whether an Actor, institution, or process has the recognized power, standing, permission, justification, or procedural validity to take an action.</w:t>
      </w:r>
    </w:p>
    <w:p>
      <w:pPr>
        <w:pStyle w:val="BodyText"/>
        <w:spacing w:before="0" w:after="200"/>
        <w:rPr/>
      </w:pPr>
      <w:r>
        <w:rPr/>
        <w:t>Authority concerns whether an entity has the capacity or recognized right to act within a given context. Legitimacy concerns whether that authority is justified, accepted, procedurally valid, and compatible with the relevant moral and institutional context.</w:t>
      </w:r>
    </w:p>
    <w:p>
      <w:pPr>
        <w:pStyle w:val="BodyText"/>
        <w:spacing w:before="0" w:after="200"/>
        <w:rPr/>
      </w:pPr>
      <w:r>
        <w:rPr/>
        <w:t>These conditions are architecturally important because actions taken without legitimate authority may damage trust, institutions, obligations, consent, and future cooperation even when they produce beneficial immediate outcomes.</w:t>
      </w:r>
    </w:p>
    <w:p>
      <w:pPr>
        <w:pStyle w:val="Heading3"/>
        <w:rPr/>
      </w:pPr>
      <w:r>
        <w:rPr/>
        <w:t>Future Opportunities</w:t>
      </w:r>
    </w:p>
    <w:p>
      <w:pPr>
        <w:pStyle w:val="BodyText"/>
        <w:widowControl/>
        <w:bidi w:val="0"/>
        <w:spacing w:lineRule="auto" w:line="276"/>
        <w:jc w:val="left"/>
        <w:rPr/>
      </w:pPr>
      <w:r>
        <w:rPr/>
        <w:t>Future Opportunities are possible beneficial actions, relationships, capabilities, choices, adaptations, or developments that remain available, become available, or are foreclosed as a result of an Assessed Action.</w:t>
      </w:r>
    </w:p>
    <w:p>
      <w:pPr>
        <w:pStyle w:val="BodyText"/>
        <w:spacing w:before="0" w:after="200"/>
        <w:rPr/>
      </w:pPr>
      <w:r>
        <w:rPr/>
        <w:t>Future Opportunities matter because Long-Term Flourishing depends not only on present state but also on the preservation and expansion of beneficial future possibilities. An action may be morally harmful if it unnecessarily forecloses important future options, even when its immediate consequences appear favorable.</w:t>
      </w:r>
    </w:p>
    <w:p>
      <w:pPr>
        <w:pStyle w:val="BodyText"/>
        <w:spacing w:before="0" w:after="200"/>
        <w:rPr/>
      </w:pPr>
      <w:r>
        <w:rPr/>
        <w:t>Future Opportunities may apply to individuals, communities, institutions, ecosystems, artificial systems, or future generations.</w:t>
      </w:r>
    </w:p>
    <w:p>
      <w:pPr>
        <w:pStyle w:val="Heading3"/>
        <w:rPr/>
      </w:pPr>
      <w:r>
        <w:rPr/>
        <w:t>Future State Space</w:t>
      </w:r>
    </w:p>
    <w:p>
      <w:pPr>
        <w:pStyle w:val="BodyText"/>
        <w:widowControl/>
        <w:bidi w:val="0"/>
        <w:spacing w:lineRule="auto" w:line="276"/>
        <w:jc w:val="left"/>
        <w:rPr/>
      </w:pPr>
      <w:r>
        <w:rPr/>
        <w:t>Future State Space is the set of possible future World Contexts that may become reachable from the current World Context.</w:t>
      </w:r>
    </w:p>
    <w:p>
      <w:pPr>
        <w:pStyle w:val="BodyText"/>
        <w:spacing w:before="0" w:after="200"/>
        <w:rPr/>
      </w:pPr>
      <w:r>
        <w:rPr/>
        <w:t>The architecture treats Future State Space as morally significant because actions do not merely produce immediate outcomes; they expand, constrain, redirect, or foreclose future possibilities. A morally preferable transition should generally preserve or expand beneficial future state space for relevant Flourishing Entities while avoiding material diminishment of others.</w:t>
      </w:r>
    </w:p>
    <w:p>
      <w:pPr>
        <w:pStyle w:val="BodyText"/>
        <w:spacing w:before="0" w:after="200"/>
        <w:rPr/>
      </w:pPr>
      <w:r>
        <w:rPr/>
        <w:t>Future State Space is broader than Future Opportunities. Future Opportunities refer to specific available possibilities, while Future State Space refers to the broader landscape of possible future configurations.</w:t>
      </w:r>
    </w:p>
    <w:p>
      <w:pPr>
        <w:pStyle w:val="Heading3"/>
        <w:rPr/>
      </w:pPr>
      <w:r>
        <w:rPr/>
        <w:t>Assessment Horizons</w:t>
      </w:r>
    </w:p>
    <w:p>
      <w:pPr>
        <w:pStyle w:val="BodyText"/>
        <w:widowControl/>
        <w:bidi w:val="0"/>
        <w:spacing w:lineRule="auto" w:line="276"/>
        <w:jc w:val="left"/>
        <w:rPr/>
      </w:pPr>
      <w:r>
        <w:rPr/>
        <w:t>Assessment Horizons are the temporal frames over which the consequences of an Assessed Action are evaluated.</w:t>
      </w:r>
    </w:p>
    <w:p>
      <w:pPr>
        <w:pStyle w:val="BodyText"/>
        <w:spacing w:before="0" w:after="200"/>
        <w:rPr/>
      </w:pPr>
      <w:r>
        <w:rPr/>
        <w:t>Default horizons include immediate, short-term, long-term, multi-generational, and civilizational timeframes. Additional horizons may be introduced when required by the domain or situation.</w:t>
      </w:r>
    </w:p>
    <w:p>
      <w:pPr>
        <w:pStyle w:val="BodyText"/>
        <w:spacing w:before="0" w:after="200"/>
        <w:rPr/>
      </w:pPr>
      <w:r>
        <w:rPr/>
        <w:t>Assessment Horizons are necessary because consequences may differ substantially over time. The same action may increase flourishing in one horizon while diminishing it in another. As horizons extend farther into the future, uncertainty generally increases, and confidence should be adjusted accordingly in the Moral Assessment Methodology.</w:t>
      </w:r>
    </w:p>
    <w:p>
      <w:pPr>
        <w:pStyle w:val="Heading3"/>
        <w:rPr/>
      </w:pPr>
      <w:r>
        <w:rPr/>
        <w:t>World Context Transition</w:t>
      </w:r>
    </w:p>
    <w:p>
      <w:pPr>
        <w:pStyle w:val="BodyText"/>
        <w:widowControl/>
        <w:bidi w:val="0"/>
        <w:spacing w:lineRule="auto" w:line="276"/>
        <w:jc w:val="left"/>
        <w:rPr/>
      </w:pPr>
      <w:r>
        <w:rPr/>
        <w:t>The World Context Transition is the transformation from the initial World Context to the resulting World Context after an Assessed Action and its consequences are considered.</w:t>
      </w:r>
    </w:p>
    <w:p>
      <w:pPr>
        <w:pStyle w:val="BodyText"/>
        <w:spacing w:before="0" w:after="200"/>
        <w:rPr/>
      </w:pPr>
      <w:r>
        <w:rPr/>
        <w:t>The World Context Transition is the principal object of moral assessment. Individual state changes, aggregate flourishing changes, policy updates, and consequence estimates all inform the assessment, but they do not replace evaluation of the resulting World Context as a whole.</w:t>
      </w:r>
    </w:p>
    <w:p>
      <w:pPr>
        <w:pStyle w:val="BodyText"/>
        <w:spacing w:before="0" w:after="200"/>
        <w:rPr/>
      </w:pPr>
      <w:r>
        <w:rPr/>
        <w:t>A World Context Transition includes changes to Objects, Associations, Flourishing Entities, Moral Agents, institutions, information, constraints, authority conditions, policy states, future opportunities, and future state space. Because the resulting World Context becomes the starting condition for future assessments, every moral assessment is part of a recursive process.</w:t>
      </w:r>
    </w:p>
    <w:p>
      <w:pPr>
        <w:pStyle w:val="Heading2"/>
        <w:ind w:hanging="0" w:left="0"/>
        <w:rPr/>
      </w:pPr>
      <w:r>
        <w:rPr/>
        <w:t>Objectives</w:t>
      </w:r>
    </w:p>
    <w:p>
      <w:pPr>
        <w:pStyle w:val="BodyText"/>
        <w:spacing w:before="0" w:after="200"/>
        <w:rPr/>
      </w:pPr>
      <w:r>
        <w:rPr/>
        <w:t>Objectives define the directional criteria used to evaluate a World Context Transition. They describe what the architecture is attempting to preserve, promote, avoid, constrain, or compare when assessing an Assessed Action.</w:t>
      </w:r>
    </w:p>
    <w:p>
      <w:pPr>
        <w:pStyle w:val="BodyText"/>
        <w:spacing w:before="0" w:after="200"/>
        <w:rPr/>
      </w:pPr>
      <w:r>
        <w:rPr/>
        <w:t>In this framework, objectives are not merely subjective preferences, institutional goals, or desired outcomes. They are explicit evaluative structures within the architecture. Their purpose is to make the basis of assessment inspectable rather than hidden inside intuition, ideology, tradition, unstated values, or implementation-specific rules.</w:t>
      </w:r>
    </w:p>
    <w:p>
      <w:pPr>
        <w:pStyle w:val="BodyText"/>
        <w:spacing w:before="0" w:after="200"/>
        <w:rPr/>
      </w:pPr>
      <w:r>
        <w:rPr/>
        <w:t xml:space="preserve">Objectives answer the architectural question: </w:t>
      </w:r>
      <w:r>
        <w:rPr>
          <w:rStyle w:val="Emphasis"/>
        </w:rPr>
        <w:t>Against what standard is the transition from one World Context to another being evaluated?</w:t>
      </w:r>
    </w:p>
    <w:p>
      <w:pPr>
        <w:pStyle w:val="BodyText"/>
        <w:spacing w:before="0" w:after="200"/>
        <w:rPr/>
      </w:pPr>
      <w:r>
        <w:rPr/>
        <w:t>The Reference Architecture distinguishes between objectives that belong to the moral system itself and objectives that belong to a particular Actor, institution, domain, or situation. This distinction is essential because many morally significant actions are taken in pursuit of practical goals: curing a patient, enforcing a law, saving an organization, winning a conflict, protecting a child, reducing harm, preserving an ecosystem, or completing an autonomous system task. These operational goals may be legitimate, but they cannot define morality by themselves.</w:t>
      </w:r>
    </w:p>
    <w:p>
      <w:pPr>
        <w:pStyle w:val="Heading3"/>
        <w:rPr/>
      </w:pPr>
      <w:r>
        <w:rPr/>
        <w:t>Objectives as Architectural Elements</w:t>
      </w:r>
    </w:p>
    <w:p>
      <w:pPr>
        <w:pStyle w:val="BodyText"/>
        <w:spacing w:before="0" w:after="200"/>
        <w:rPr/>
      </w:pPr>
      <w:r>
        <w:rPr/>
        <w:t>Objectives are architectural elements because they shape how the assessment interprets relevance, consequence, and value. They help determine which Objects and Associations matter, which state changes are significant, which future opportunities should be preserved, and which World Context Transitions are preferable.</w:t>
      </w:r>
    </w:p>
    <w:p>
      <w:pPr>
        <w:pStyle w:val="BodyText"/>
        <w:spacing w:before="0" w:after="200"/>
        <w:rPr/>
      </w:pPr>
      <w:r>
        <w:rPr/>
        <w:t>Without objectives, the architecture could describe that a transition occurred, but it could not evaluate whether the transition represented moral improvement, moral degradation, or morally ambiguous change. Objectives therefore provide the evaluative direction required to compare possible World Contexts.</w:t>
      </w:r>
    </w:p>
    <w:p>
      <w:pPr>
        <w:pStyle w:val="BodyText"/>
        <w:spacing w:before="0" w:after="200"/>
        <w:rPr/>
      </w:pPr>
      <w:r>
        <w:rPr/>
        <w:t>Objectives do not replace the World Context Transition. They inform how the transition is evaluated. The moral assessment remains focused on the resulting World Context as a whole, including changes to entities, relationships, institutions, policy states, constraints, information, and future state space.</w:t>
      </w:r>
    </w:p>
    <w:p>
      <w:pPr>
        <w:pStyle w:val="Heading3"/>
        <w:rPr/>
      </w:pPr>
      <w:r>
        <w:rPr/>
        <w:t>Foundational or Moral-System Objectives</w:t>
      </w:r>
    </w:p>
    <w:p>
      <w:pPr>
        <w:pStyle w:val="BodyText"/>
        <w:spacing w:before="0" w:after="200"/>
        <w:rPr/>
      </w:pPr>
      <w:r>
        <w:rPr/>
        <w:t>Foundational or moral-system objectives express the highest-level direction of the architecture. They are derived from, and constrained by, the Foundational Axiom.</w:t>
      </w:r>
    </w:p>
    <w:p>
      <w:pPr>
        <w:pStyle w:val="BodyText"/>
        <w:spacing w:before="0" w:after="200"/>
        <w:rPr/>
      </w:pPr>
      <w:r>
        <w:rPr/>
        <w:t>The working moral-system objective of the architecture is to preserve and promote the Long-Term Flourishing of relevant Flourishing Entities while avoiding actions that materially diminish the Long-Term Flourishing of other relevant Flourishing Entities. This objective applies across domains, actors, institutions, technologies, and implementations.</w:t>
      </w:r>
    </w:p>
    <w:p>
      <w:pPr>
        <w:pStyle w:val="BodyText"/>
        <w:spacing w:before="0" w:after="200"/>
        <w:rPr/>
      </w:pPr>
      <w:r>
        <w:rPr/>
        <w:t>This objective is not limited to immediate benefit, preference satisfaction, institutional success, legal compliance, or aggregate utility. It concerns the sustained capacity of Flourishing Entities to preserve and expand beneficial future state space in a manner compatible with the flourishing of the larger relevant World Context.</w:t>
      </w:r>
    </w:p>
    <w:p>
      <w:pPr>
        <w:pStyle w:val="BodyText"/>
        <w:spacing w:before="0" w:after="200"/>
        <w:rPr/>
      </w:pPr>
      <w:r>
        <w:rPr/>
        <w:t>Foundational or moral-system objectives perform several architectural functions:</w:t>
      </w:r>
    </w:p>
    <w:p>
      <w:pPr>
        <w:pStyle w:val="BodyText"/>
        <w:numPr>
          <w:ilvl w:val="0"/>
          <w:numId w:val="10"/>
        </w:numPr>
        <w:spacing w:before="0" w:after="200"/>
        <w:rPr/>
      </w:pPr>
      <w:r>
        <w:rPr/>
        <w:t>They provide the normative direction for moral assessment.</w:t>
      </w:r>
    </w:p>
    <w:p>
      <w:pPr>
        <w:pStyle w:val="BodyText"/>
        <w:numPr>
          <w:ilvl w:val="0"/>
          <w:numId w:val="10"/>
        </w:numPr>
        <w:spacing w:before="0" w:after="200"/>
        <w:rPr/>
      </w:pPr>
      <w:r>
        <w:rPr/>
        <w:t>They constrain operational objectives.</w:t>
      </w:r>
    </w:p>
    <w:p>
      <w:pPr>
        <w:pStyle w:val="BodyText"/>
        <w:numPr>
          <w:ilvl w:val="0"/>
          <w:numId w:val="10"/>
        </w:numPr>
        <w:spacing w:before="0" w:after="200"/>
        <w:rPr/>
      </w:pPr>
      <w:r>
        <w:rPr/>
        <w:t>They allow World Context Transitions to be compared.</w:t>
      </w:r>
    </w:p>
    <w:p>
      <w:pPr>
        <w:pStyle w:val="BodyText"/>
        <w:numPr>
          <w:ilvl w:val="0"/>
          <w:numId w:val="10"/>
        </w:numPr>
        <w:spacing w:before="0" w:after="200"/>
        <w:rPr/>
      </w:pPr>
      <w:r>
        <w:rPr/>
        <w:t>They prevent assessment from collapsing into the Actor’s private goal.</w:t>
      </w:r>
    </w:p>
    <w:p>
      <w:pPr>
        <w:pStyle w:val="BodyText"/>
        <w:numPr>
          <w:ilvl w:val="0"/>
          <w:numId w:val="10"/>
        </w:numPr>
        <w:spacing w:before="0" w:after="200"/>
        <w:rPr/>
      </w:pPr>
      <w:r>
        <w:rPr/>
        <w:t>They prevent short-term success from overriding long-term harm.</w:t>
      </w:r>
    </w:p>
    <w:p>
      <w:pPr>
        <w:pStyle w:val="BodyText"/>
        <w:numPr>
          <w:ilvl w:val="0"/>
          <w:numId w:val="10"/>
        </w:numPr>
        <w:spacing w:before="0" w:after="200"/>
        <w:rPr/>
      </w:pPr>
      <w:r>
        <w:rPr/>
        <w:t>They provide an architectural basis for rejecting harmful means even when those means appear to achieve a beneficial immediate outcome.</w:t>
      </w:r>
    </w:p>
    <w:p>
      <w:pPr>
        <w:pStyle w:val="BodyText"/>
        <w:spacing w:before="0" w:after="200"/>
        <w:rPr/>
      </w:pPr>
      <w:r>
        <w:rPr/>
        <w:t>The Foundational Axiom is therefore not merely another objective in a list of competing objectives. It is the governing constraint that defines the moral direction within which all lower-level objectives must operate.</w:t>
      </w:r>
    </w:p>
    <w:p>
      <w:pPr>
        <w:pStyle w:val="Heading3"/>
        <w:rPr/>
      </w:pPr>
      <w:r>
        <w:rPr/>
        <w:t>Operational Objectives</w:t>
      </w:r>
    </w:p>
    <w:p>
      <w:pPr>
        <w:pStyle w:val="BodyText"/>
        <w:spacing w:before="0" w:after="200"/>
        <w:rPr/>
      </w:pPr>
      <w:r>
        <w:rPr/>
        <w:t>Operational objectives are the specific goals pursued by an Actor, institution, system, or domain within a particular Situational Context.</w:t>
      </w:r>
    </w:p>
    <w:p>
      <w:pPr>
        <w:pStyle w:val="BodyText"/>
        <w:spacing w:before="0" w:after="200"/>
        <w:rPr/>
      </w:pPr>
      <w:r>
        <w:rPr/>
        <w:t>Examples of operational objectives include treating a patient, reducing traffic congestion, protecting national security, preserving a business, enforcing a contract, completing a delivery, increasing food production, preventing fraud, protecting privacy, responding to an emergency, or generating an answer to a user’s request.</w:t>
      </w:r>
    </w:p>
    <w:p>
      <w:pPr>
        <w:pStyle w:val="BodyText"/>
        <w:spacing w:before="0" w:after="200"/>
        <w:rPr/>
      </w:pPr>
      <w:r>
        <w:rPr/>
        <w:t>Operational objectives are architecturally important because they often explain why an Assessed Action is being considered. They identify the intended purpose of the action and help define the relevant alternatives. However, operational objectives are not self-justifying. An action does not become morally acceptable merely because it efficiently achieves an operational objective.</w:t>
      </w:r>
    </w:p>
    <w:p>
      <w:pPr>
        <w:pStyle w:val="BodyText"/>
        <w:spacing w:before="0" w:after="200"/>
        <w:rPr/>
      </w:pPr>
      <w:r>
        <w:rPr/>
        <w:t>Operational objectives must be evaluated within the moral-system objective. For example, an organization’s objective to survive financially may be relevant, but it cannot justify deception, coercion, negligence, or institutional corruption if those means materially diminish the Long-Term Flourishing of relevant Flourishing Entities or degrade future World Contexts.</w:t>
      </w:r>
    </w:p>
    <w:p>
      <w:pPr>
        <w:pStyle w:val="Heading3"/>
        <w:rPr/>
      </w:pPr>
      <w:r>
        <w:rPr/>
        <w:t>Objective Hierarchy</w:t>
      </w:r>
    </w:p>
    <w:p>
      <w:pPr>
        <w:pStyle w:val="BodyText"/>
        <w:spacing w:before="0" w:after="200"/>
        <w:rPr/>
      </w:pPr>
      <w:r>
        <w:rPr/>
        <w:t>Objectives may exist in hierarchical relationships. Lower-level objectives derive meaning and legitimacy from higher-level objectives.</w:t>
      </w:r>
    </w:p>
    <w:p>
      <w:pPr>
        <w:pStyle w:val="BodyText"/>
        <w:spacing w:before="0" w:after="200"/>
        <w:rPr/>
      </w:pPr>
      <w:r>
        <w:rPr/>
        <w:t>At the highest level, the Foundational Axiom supplies the architecture’s normative direction. Beneath that, moral-system objectives express the general aim of preserving and promoting Long-Term Flourishing. Domain objectives translate that direction into a class of activity, such as medicine, law, governance, environmental stewardship, robotics, or artificial intelligence. Operational objectives then define the specific purpose of the action being assessed.</w:t>
      </w:r>
    </w:p>
    <w:p>
      <w:pPr>
        <w:pStyle w:val="BodyText"/>
        <w:spacing w:before="0" w:after="200"/>
        <w:rPr/>
      </w:pPr>
      <w:r>
        <w:rPr/>
        <w:t>For example, in a medical ethics assessment, the operational objective may be to recommend a treatment. The domain objective may be to promote patient health while respecting informed consent and clinical responsibility. The moral-system objective is to preserve and promote the Long-Term Flourishing of relevant Flourishing Entities. The Foundational Axiom constrains all of these by preventing the treatment objective from justifying actions that materially diminish the flourishing of others.</w:t>
      </w:r>
    </w:p>
    <w:p>
      <w:pPr>
        <w:pStyle w:val="BodyText"/>
        <w:spacing w:before="0" w:after="200"/>
        <w:rPr/>
      </w:pPr>
      <w:r>
        <w:rPr/>
        <w:t>This hierarchy allows the architecture to represent practical goals without allowing them to override moral direction.</w:t>
      </w:r>
    </w:p>
    <w:p>
      <w:pPr>
        <w:pStyle w:val="Heading3"/>
        <w:rPr/>
      </w:pPr>
      <w:r>
        <w:rPr/>
        <w:t>Objective Compatibility</w:t>
      </w:r>
    </w:p>
    <w:p>
      <w:pPr>
        <w:pStyle w:val="BodyText"/>
        <w:spacing w:before="0" w:after="200"/>
        <w:rPr/>
      </w:pPr>
      <w:r>
        <w:rPr/>
        <w:t>An operational objective is compatible with the architecture when pursuing it is reasonably expected to preserve or promote Long-Term Flourishing without materially diminishing other relevant Flourishing Entities.</w:t>
      </w:r>
    </w:p>
    <w:p>
      <w:pPr>
        <w:pStyle w:val="BodyText"/>
        <w:spacing w:before="0" w:after="200"/>
        <w:rPr/>
      </w:pPr>
      <w:r>
        <w:rPr/>
        <w:t>Compatibility does not require that every entity benefit equally or immediately. Some actions may involve tradeoffs, temporary burdens, risk, uncertainty, or delayed benefits. However, the operational objective must remain subordinate to the Foundational Axiom and must be evaluated through the resulting World Context Transition.</w:t>
      </w:r>
    </w:p>
    <w:p>
      <w:pPr>
        <w:pStyle w:val="BodyText"/>
        <w:spacing w:before="0" w:after="200"/>
        <w:rPr/>
      </w:pPr>
      <w:r>
        <w:rPr/>
        <w:t>An objective becomes morally problematic when it depends on means or consequences that materially diminish Long-Term Flourishing, corrupt future decision policies, damage legitimate institutions, foreclose beneficial future state space, or normalize harmful patterns of action.</w:t>
      </w:r>
    </w:p>
    <w:p>
      <w:pPr>
        <w:pStyle w:val="BodyText"/>
        <w:spacing w:before="0" w:after="200"/>
        <w:rPr/>
      </w:pPr>
      <w:r>
        <w:rPr/>
        <w:t>Compatibility is therefore assessed not only by asking what the objective seeks to achieve, but by asking what World Context is likely to result from pursuing it through the proposed action.</w:t>
      </w:r>
    </w:p>
    <w:p>
      <w:pPr>
        <w:pStyle w:val="Heading3"/>
        <w:rPr/>
      </w:pPr>
      <w:r>
        <w:rPr/>
        <w:t>Objective Conflict</w:t>
      </w:r>
    </w:p>
    <w:p>
      <w:pPr>
        <w:pStyle w:val="BodyText"/>
        <w:spacing w:before="0" w:after="200"/>
        <w:rPr/>
      </w:pPr>
      <w:r>
        <w:rPr/>
        <w:t>Multiple objectives may be present in a single assessment. These objectives may support one another, compete with one another, or conflict directly.</w:t>
      </w:r>
    </w:p>
    <w:p>
      <w:pPr>
        <w:pStyle w:val="BodyText"/>
        <w:spacing w:before="0" w:after="200"/>
        <w:rPr/>
      </w:pPr>
      <w:r>
        <w:rPr/>
        <w:t>A physician may seek to extend life, reduce suffering, respect autonomy, preserve family trust, and use scarce medical resources responsibly. A public official may seek to protect public safety, preserve civil liberties, maintain institutional legitimacy, and allocate resources fairly. An autonomous system may seek to complete its task, avoid physical harm, obey legal constraints, and preserve trust in the system.</w:t>
      </w:r>
    </w:p>
    <w:p>
      <w:pPr>
        <w:pStyle w:val="BodyText"/>
        <w:spacing w:before="0" w:after="200"/>
        <w:rPr/>
      </w:pPr>
      <w:r>
        <w:rPr/>
        <w:t>The Reference Architecture does not resolve objective conflict through a fixed rule or equation. Instead, it requires the conflict to be represented explicitly within the assessment. Conflicting objectives must be evaluated in relation to the Foundational Axiom, the relevant World Context, affected Flourishing Entities, Associations, constraints, evidence, assessment horizons, and Distributed Policy Effects.</w:t>
      </w:r>
    </w:p>
    <w:p>
      <w:pPr>
        <w:pStyle w:val="BodyText"/>
        <w:spacing w:before="0" w:after="200"/>
        <w:rPr/>
      </w:pPr>
      <w:r>
        <w:rPr/>
        <w:t>Objective conflict is therefore resolved methodologically through assessment of the resulting World Context Transition, not architecturally through a predefined ranking of all possible objectives.</w:t>
      </w:r>
    </w:p>
    <w:p>
      <w:pPr>
        <w:pStyle w:val="Heading3"/>
        <w:rPr/>
      </w:pPr>
      <w:r>
        <w:rPr/>
        <w:t>Objectives and Long-Term Flourishing</w:t>
      </w:r>
    </w:p>
    <w:p>
      <w:pPr>
        <w:pStyle w:val="BodyText"/>
        <w:spacing w:before="0" w:after="200"/>
        <w:rPr/>
      </w:pPr>
      <w:r>
        <w:rPr/>
        <w:t>Long-Term Flourishing is the working directional concept for the architecture. It is the primary state variable the architecture seeks to preserve and promote.</w:t>
      </w:r>
    </w:p>
    <w:p>
      <w:pPr>
        <w:pStyle w:val="BodyText"/>
        <w:spacing w:before="0" w:after="200"/>
        <w:rPr/>
      </w:pPr>
      <w:r>
        <w:rPr/>
        <w:t>Long-Term Flourishing should not be understood as a simple scalar value or as a synonym for happiness, preference satisfaction, survival, expansion, wealth, power, or institutional success. It is a multidimensional relational property of Flourishing Entities within a larger World Context.</w:t>
      </w:r>
    </w:p>
    <w:p>
      <w:pPr>
        <w:pStyle w:val="BodyText"/>
        <w:spacing w:before="0" w:after="200"/>
        <w:rPr/>
      </w:pPr>
      <w:r>
        <w:rPr/>
        <w:t>An entity’s flourishing may involve persistence, adaptive capacity, future possibilities, constructive participation, resilience, agency, relational stability, environmental compatibility, and the ability to develop without materially diminishing the flourishing of other relevant entities. The precise formalization of these dimensions belongs to the Moral Assessment Methodology, but the Reference Architecture establishes Long-Term Flourishing as the central evaluative orientation.</w:t>
      </w:r>
    </w:p>
    <w:p>
      <w:pPr>
        <w:pStyle w:val="BodyText"/>
        <w:spacing w:before="0" w:after="200"/>
        <w:rPr/>
      </w:pPr>
      <w:r>
        <w:rPr/>
        <w:t>The architecture also distinguishes flourishing from mere expansion. A virus may expand by infecting a population, but that expansion may materially diminish the flourishing of other relevant entities and degrade the larger World Context. Similarly, an institution may increase power or control while reducing trust, legitimacy, adaptive capacity, or future opportunities. Expansion is therefore not sufficient evidence of flourishing.</w:t>
      </w:r>
    </w:p>
    <w:p>
      <w:pPr>
        <w:pStyle w:val="Heading3"/>
        <w:rPr/>
      </w:pPr>
      <w:r>
        <w:rPr/>
        <w:t>Objectives and the Assessed Action</w:t>
      </w:r>
    </w:p>
    <w:p>
      <w:pPr>
        <w:pStyle w:val="BodyText"/>
        <w:spacing w:before="0" w:after="200"/>
        <w:rPr/>
      </w:pPr>
      <w:r>
        <w:rPr/>
        <w:t>The Assessed Action is evaluated in relation to both its operational objective and the moral-system objective. This allows the architecture to distinguish intended purpose from moral effect.</w:t>
      </w:r>
    </w:p>
    <w:p>
      <w:pPr>
        <w:pStyle w:val="BodyText"/>
        <w:spacing w:before="0" w:after="200"/>
        <w:rPr/>
      </w:pPr>
      <w:r>
        <w:rPr/>
        <w:t>An action may have a legitimate operational objective but still be morally deficient because of the means used, the affected entities harmed, the Associations damaged, the institutions degraded, the policy states corrupted, or the future opportunities foreclosed. Conversely, an action may impose short-term costs while preserving or increasing Long-Term Flourishing across longer horizons.</w:t>
      </w:r>
    </w:p>
    <w:p>
      <w:pPr>
        <w:pStyle w:val="BodyText"/>
        <w:spacing w:before="0" w:after="200"/>
        <w:rPr/>
      </w:pPr>
      <w:r>
        <w:rPr/>
        <w:t>The architecture therefore evaluates the Assessed Action by asking how pursuit of the objective transforms the World Context. The objective explains what the Actor is trying to accomplish; the World Context Transition determines whether the action is morally supportable under the framework.</w:t>
      </w:r>
    </w:p>
    <w:p>
      <w:pPr>
        <w:pStyle w:val="Heading3"/>
        <w:rPr/>
      </w:pPr>
      <w:r>
        <w:rPr/>
        <w:t>Objectives and Distributed Policy Effects</w:t>
      </w:r>
    </w:p>
    <w:p>
      <w:pPr>
        <w:pStyle w:val="BodyText"/>
        <w:spacing w:before="0" w:after="200"/>
        <w:rPr/>
      </w:pPr>
      <w:r>
        <w:rPr/>
        <w:t>Objectives are closely related to Distributed Policy Effects because the way an objective is pursued can alter future decision behavior.</w:t>
      </w:r>
    </w:p>
    <w:p>
      <w:pPr>
        <w:pStyle w:val="BodyText"/>
        <w:spacing w:before="0" w:after="200"/>
        <w:rPr/>
      </w:pPr>
      <w:r>
        <w:rPr/>
        <w:t>When an Actor achieves an operational objective through deception, coercion, cruelty, fraud, negligence, or other harmful means, the resulting World Context may include a changed policy state. The Actor may become more likely to use the same means again. Observers may learn that the means are effective or tolerated. Institutions may encode the behavior as precedent. Responders may lose trust or retaliate. Future moral reasoning may thereby be degraded.</w:t>
      </w:r>
    </w:p>
    <w:p>
      <w:pPr>
        <w:pStyle w:val="BodyText"/>
        <w:spacing w:before="0" w:after="200"/>
        <w:rPr/>
      </w:pPr>
      <w:r>
        <w:rPr/>
        <w:t>This is why operational success cannot be treated as sufficient moral justification. The objective achieved must be evaluated together with the policy updates produced by the means used to achieve it.</w:t>
      </w:r>
    </w:p>
    <w:p>
      <w:pPr>
        <w:pStyle w:val="Heading3"/>
        <w:rPr/>
      </w:pPr>
      <w:r>
        <w:rPr/>
        <w:t>Objectives and Assessment Horizons</w:t>
      </w:r>
    </w:p>
    <w:p>
      <w:pPr>
        <w:pStyle w:val="BodyText"/>
        <w:spacing w:before="0" w:after="200"/>
        <w:rPr/>
      </w:pPr>
      <w:r>
        <w:rPr/>
        <w:t>Objectives may have different significance across different assessment horizons. A short-term objective may conflict with long-term flourishing, while a long-term objective may require near-term sacrifice or constraint.</w:t>
      </w:r>
    </w:p>
    <w:p>
      <w:pPr>
        <w:pStyle w:val="BodyText"/>
        <w:spacing w:before="0" w:after="200"/>
        <w:rPr/>
      </w:pPr>
      <w:r>
        <w:rPr/>
        <w:t>For this reason, objectives must be evaluated across immediate, short-term, long-term, multi-generational, and civilizational horizons when those horizons are relevant to the assessment. A policy that appears beneficial in the immediate horizon may diminish trust, resilience, institutional legitimacy, or future state space over longer horizons. A difficult intervention may impose short-term burdens while preserving substantial future flourishing.</w:t>
      </w:r>
    </w:p>
    <w:p>
      <w:pPr>
        <w:pStyle w:val="BodyText"/>
        <w:spacing w:before="0" w:after="200"/>
        <w:rPr/>
      </w:pPr>
      <w:r>
        <w:rPr/>
        <w:t>The Reference Architecture identifies the need for multi-horizon objective evaluation. The Moral Assessment Methodology determines how horizon-specific consequences, uncertainty, and confidence are represented.</w:t>
      </w:r>
    </w:p>
    <w:p>
      <w:pPr>
        <w:pStyle w:val="Heading3"/>
        <w:rPr/>
      </w:pPr>
      <w:r>
        <w:rPr/>
        <w:t>Objective Traceability</w:t>
      </w:r>
    </w:p>
    <w:p>
      <w:pPr>
        <w:pStyle w:val="BodyText"/>
        <w:spacing w:before="0" w:after="200"/>
        <w:rPr/>
      </w:pPr>
      <w:r>
        <w:rPr/>
        <w:t>Objectives should be explicit and traceable within every assessment. The assessment should identify the operational objective being pursued, the moral-system objective that constrains it, and any domain-specific objectives relevant to the Local or Situational Context.</w:t>
      </w:r>
    </w:p>
    <w:p>
      <w:pPr>
        <w:pStyle w:val="BodyText"/>
        <w:spacing w:before="0" w:after="200"/>
        <w:rPr/>
      </w:pPr>
      <w:r>
        <w:rPr/>
        <w:t>Objective traceability allows assessors to distinguish disagreements about facts from disagreements about objectives. It also allows downstream reviewers to inspect whether an operational objective was allowed to override the Foundational Axiom, whether relevant Flourishing Entities were excluded, or whether a short-term objective was improperly substituted for Long-Term Flourishing.</w:t>
      </w:r>
    </w:p>
    <w:p>
      <w:pPr>
        <w:pStyle w:val="BodyText"/>
        <w:spacing w:before="0" w:after="200"/>
        <w:rPr/>
      </w:pPr>
      <w:r>
        <w:rPr/>
        <w:t>Traceability is especially important in computational implementations, where objectives may otherwise become hidden inside prompts, reward functions, optimization criteria, policies, heuristics, or institutional rules.</w:t>
      </w:r>
    </w:p>
    <w:p>
      <w:pPr>
        <w:pStyle w:val="Heading3"/>
        <w:rPr/>
      </w:pPr>
      <w:r>
        <w:rPr/>
        <w:t>Architectural Boundary of Objectives</w:t>
      </w:r>
    </w:p>
    <w:p>
      <w:pPr>
        <w:pStyle w:val="BodyText"/>
        <w:spacing w:before="0" w:after="200"/>
        <w:rPr/>
      </w:pPr>
      <w:r>
        <w:rPr/>
        <w:t>The Reference Architecture defines the existence, role, hierarchy, and constraints of objectives. It does not prescribe a complete mathematical representation of objective weighting, aggregation, thresholding, or optimization.</w:t>
      </w:r>
    </w:p>
    <w:p>
      <w:pPr>
        <w:pStyle w:val="BodyText"/>
        <w:spacing w:before="0" w:after="200"/>
        <w:rPr/>
      </w:pPr>
      <w:r>
        <w:rPr/>
        <w:t>Those methods belong to the Moral Assessment Methodology. Implementations may use different computational techniques to represent objective conflict, estimate consequences, propagate uncertainty, and compare World Context Transitions, provided they preserve the architectural distinction between moral-system objectives and operational objectives.</w:t>
      </w:r>
    </w:p>
    <w:p>
      <w:pPr>
        <w:pStyle w:val="BodyText"/>
        <w:spacing w:before="0" w:after="200"/>
        <w:rPr/>
      </w:pPr>
      <w:r>
        <w:rPr/>
        <w:t>The architectural requirement is that objectives must be explicit, inspectable, subordinate to the Foundational Axiom, and evaluated through their effect on the World Context Transition.</w:t>
      </w:r>
    </w:p>
    <w:p>
      <w:pPr>
        <w:pStyle w:val="Normal"/>
        <w:widowControl/>
        <w:bidi w:val="0"/>
        <w:spacing w:lineRule="auto" w:line="276"/>
        <w:jc w:val="left"/>
        <w:rPr/>
      </w:pPr>
      <w:r>
        <w:rPr/>
      </w:r>
    </w:p>
    <w:p>
      <w:pPr>
        <w:pStyle w:val="Heading2"/>
        <w:rPr/>
      </w:pPr>
      <w:r>
        <w:rPr/>
        <w:t>Assessed Action</w:t>
      </w:r>
    </w:p>
    <w:p>
      <w:pPr>
        <w:pStyle w:val="BodyText"/>
        <w:spacing w:before="0" w:after="200"/>
        <w:contextualSpacing/>
        <w:rPr/>
      </w:pPr>
      <w:r>
        <w:rPr/>
        <w:t>The Assessed Action is the behavior, decision, recommendation, intervention, omission, policy, command, output, or other change-producing act being morally evaluated. It is the architectural element that connects the initial World Context to the predicted or observed World Context Transition.</w:t>
      </w:r>
    </w:p>
    <w:p>
      <w:pPr>
        <w:pStyle w:val="BodyText"/>
        <w:spacing w:before="0" w:after="200"/>
        <w:contextualSpacing/>
        <w:rPr/>
      </w:pPr>
      <w:r>
        <w:rPr/>
        <w:t xml:space="preserve">In ordinary language, the Assessed Action answers the question: </w:t>
      </w:r>
      <w:r>
        <w:rPr>
          <w:rStyle w:val="Emphasis"/>
        </w:rPr>
        <w:t>What is being judged?</w:t>
      </w:r>
      <w:r>
        <w:rPr/>
        <w:t xml:space="preserve"> In architectural terms, it identifies the specific action or non-action whose consequences are evaluated across the relevant Objects, Associations, policy states, institutions, constraints, future opportunities, and assessment horizons.</w:t>
      </w:r>
    </w:p>
    <w:p>
      <w:pPr>
        <w:pStyle w:val="BodyText"/>
        <w:spacing w:before="0" w:after="200"/>
        <w:contextualSpacing/>
        <w:rPr/>
      </w:pPr>
      <w:r>
        <w:rPr/>
        <w:t>The Assessed Action is not limited to physical behavior. It may include a spoken statement, a withheld disclosure, an institutional decision, a legal judgment, a medical recommendation, a corporate policy, an autonomous system maneuver, a robotic intervention, a model-generated response, a software command, a governance choice, or a failure to act when action was available and relevant.</w:t>
      </w:r>
    </w:p>
    <w:p>
      <w:pPr>
        <w:pStyle w:val="Heading3"/>
        <w:rPr/>
      </w:pPr>
      <w:r>
        <w:rPr/>
        <w:t>Architectural Role of the Assessed Action</w:t>
      </w:r>
    </w:p>
    <w:p>
      <w:pPr>
        <w:pStyle w:val="BodyText"/>
        <w:spacing w:before="0" w:after="200"/>
        <w:contextualSpacing/>
        <w:rPr/>
      </w:pPr>
      <w:r>
        <w:rPr/>
        <w:t>The Assessed Action is the transition-generating element within the Reference Architecture. It is the focal point through which the assessment evaluates how one World Context becomes another.</w:t>
      </w:r>
    </w:p>
    <w:p>
      <w:pPr>
        <w:pStyle w:val="BodyText"/>
        <w:spacing w:before="0" w:after="200"/>
        <w:contextualSpacing/>
        <w:rPr/>
      </w:pPr>
      <w:r>
        <w:rPr/>
        <w:t>The architecture does not assess an action in isolation. It assesses an action within a Situational Context, in relation to relevant Objectives, performed or authorized by one or more Actors, affecting relevant Objects and Associations, and producing consequences across one or more Assessment Horizons.</w:t>
      </w:r>
    </w:p>
    <w:p>
      <w:pPr>
        <w:pStyle w:val="BodyText"/>
        <w:spacing w:before="0" w:after="200"/>
        <w:contextualSpacing/>
        <w:rPr/>
      </w:pPr>
      <w:r>
        <w:rPr/>
        <w:t>The Assessed Action therefore has no complete moral meaning outside its context. The same outward behavior may have different moral significance depending on the Actor’s role, available information, authority, intent, alternatives, affected entities, relationships, constraints, and foreseeable consequences.</w:t>
      </w:r>
    </w:p>
    <w:p>
      <w:pPr>
        <w:pStyle w:val="BodyText"/>
        <w:spacing w:before="0" w:after="200"/>
        <w:contextualSpacing/>
        <w:rPr/>
      </w:pPr>
      <w:r>
        <w:rPr/>
        <w:t>For example, physically restraining a person may be harmful assault in one Situational Context, justified emergency protection in another, and legitimate medical intervention in a third. The action cannot be assessed responsibly without the surrounding World Context and the Associations that give it meaning.</w:t>
      </w:r>
    </w:p>
    <w:p>
      <w:pPr>
        <w:pStyle w:val="Heading3"/>
        <w:rPr/>
      </w:pPr>
      <w:bookmarkStart w:id="5" w:name="__RefHeading___Toc23513_3508477456"/>
      <w:bookmarkEnd w:id="5"/>
      <w:r>
        <w:rPr/>
        <w:t>Assessed Action as Means</w:t>
      </w:r>
    </w:p>
    <w:p>
      <w:pPr>
        <w:pStyle w:val="BodyText"/>
        <w:spacing w:before="0" w:after="200"/>
        <w:contextualSpacing/>
        <w:rPr/>
      </w:pPr>
      <w:r>
        <w:rPr/>
        <w:t>Within this framework, the means used to pursue an objective are part of the Assessed Action. Means are not external to moral assessment and are not treated as morally irrelevant once an outcome is achieved.</w:t>
      </w:r>
    </w:p>
    <w:p>
      <w:pPr>
        <w:pStyle w:val="BodyText"/>
        <w:spacing w:before="0" w:after="200"/>
        <w:contextualSpacing/>
        <w:rPr/>
      </w:pPr>
      <w:r>
        <w:rPr/>
        <w:t>This distinction is essential because an action may achieve a desirable operational objective while degrading the resulting World Context. Deception, coercion, cruelty, corruption, negligence, fraud, or abuse may produce a beneficial immediate outcome while damaging trust, legitimacy, future cooperation, institutional stability, or the policy states of Actors and observers.</w:t>
      </w:r>
    </w:p>
    <w:p>
      <w:pPr>
        <w:pStyle w:val="BodyText"/>
        <w:spacing w:before="0" w:after="200"/>
        <w:contextualSpacing/>
        <w:rPr/>
      </w:pPr>
      <w:r>
        <w:rPr/>
        <w:t>The architecture therefore evaluates not only what the Actor seeks to accomplish, but how the Actor seeks to accomplish it. The means are represented within the Assessed Action, and their effects are carried into Consequences, Distributed Policy Effects, and the resulting World Context Transition.</w:t>
      </w:r>
    </w:p>
    <w:p>
      <w:pPr>
        <w:pStyle w:val="BodyText"/>
        <w:spacing w:before="0" w:after="200"/>
        <w:contextualSpacing/>
        <w:rPr/>
      </w:pPr>
      <w:r>
        <w:rPr/>
        <w:t>This is the architectural basis for rejecting the claim that beneficial ends automatically justify harmful means.</w:t>
      </w:r>
    </w:p>
    <w:p>
      <w:pPr>
        <w:pStyle w:val="Heading3"/>
        <w:rPr/>
      </w:pPr>
      <w:r>
        <w:rPr/>
        <w:t>Relationship to Objectives</w:t>
      </w:r>
    </w:p>
    <w:p>
      <w:pPr>
        <w:pStyle w:val="BodyText"/>
        <w:spacing w:before="0" w:after="200"/>
        <w:contextualSpacing/>
        <w:rPr/>
      </w:pPr>
      <w:r>
        <w:rPr/>
        <w:t>The Assessed Action is evaluated in relation to both operational objectives and the moral-system objective supplied by the Foundational Axiom.</w:t>
      </w:r>
    </w:p>
    <w:p>
      <w:pPr>
        <w:pStyle w:val="BodyText"/>
        <w:spacing w:before="0" w:after="200"/>
        <w:contextualSpacing/>
        <w:rPr/>
      </w:pPr>
      <w:r>
        <w:rPr/>
        <w:t>An operational objective explains what the Actor is trying to accomplish. The Assessed Action describes the means selected to pursue that objective. The moral assessment evaluates whether pursuing that objective through that action preserves and promotes Long-Term Flourishing without materially diminishing other relevant Flourishing Entities.</w:t>
      </w:r>
    </w:p>
    <w:p>
      <w:pPr>
        <w:pStyle w:val="BodyText"/>
        <w:spacing w:before="0" w:after="200"/>
        <w:contextualSpacing/>
        <w:rPr/>
      </w:pPr>
      <w:r>
        <w:rPr/>
        <w:t>The architecture must therefore distinguish among:</w:t>
      </w:r>
    </w:p>
    <w:p>
      <w:pPr>
        <w:pStyle w:val="BodyText"/>
        <w:numPr>
          <w:ilvl w:val="0"/>
          <w:numId w:val="11"/>
        </w:numPr>
        <w:spacing w:before="0" w:after="200"/>
        <w:contextualSpacing/>
        <w:rPr/>
      </w:pPr>
      <w:r>
        <w:rPr/>
        <w:t>The objective being pursued.</w:t>
      </w:r>
    </w:p>
    <w:p>
      <w:pPr>
        <w:pStyle w:val="BodyText"/>
        <w:numPr>
          <w:ilvl w:val="0"/>
          <w:numId w:val="11"/>
        </w:numPr>
        <w:spacing w:before="0" w:after="200"/>
        <w:contextualSpacing/>
        <w:rPr/>
      </w:pPr>
      <w:r>
        <w:rPr/>
        <w:t>The action selected to pursue it.</w:t>
      </w:r>
    </w:p>
    <w:p>
      <w:pPr>
        <w:pStyle w:val="BodyText"/>
        <w:numPr>
          <w:ilvl w:val="0"/>
          <w:numId w:val="11"/>
        </w:numPr>
        <w:spacing w:before="0" w:after="200"/>
        <w:contextualSpacing/>
        <w:rPr/>
      </w:pPr>
      <w:r>
        <w:rPr/>
        <w:t>The alternatives that were available.</w:t>
      </w:r>
    </w:p>
    <w:p>
      <w:pPr>
        <w:pStyle w:val="BodyText"/>
        <w:numPr>
          <w:ilvl w:val="0"/>
          <w:numId w:val="11"/>
        </w:numPr>
        <w:spacing w:before="0" w:after="200"/>
        <w:contextualSpacing/>
        <w:rPr/>
      </w:pPr>
      <w:r>
        <w:rPr/>
        <w:t>The consequences predicted or observed.</w:t>
      </w:r>
    </w:p>
    <w:p>
      <w:pPr>
        <w:pStyle w:val="BodyText"/>
        <w:numPr>
          <w:ilvl w:val="0"/>
          <w:numId w:val="11"/>
        </w:numPr>
        <w:spacing w:before="0" w:after="200"/>
        <w:contextualSpacing/>
        <w:rPr/>
      </w:pPr>
      <w:r>
        <w:rPr/>
        <w:t>The resulting World Context Transition.</w:t>
      </w:r>
    </w:p>
    <w:p>
      <w:pPr>
        <w:pStyle w:val="BodyText"/>
        <w:spacing w:before="0" w:after="200"/>
        <w:contextualSpacing/>
        <w:rPr/>
      </w:pPr>
      <w:r>
        <w:rPr/>
        <w:t>This distinction prevents the assessment from collapsing into a simple evaluation of intent or success. A good objective may be pursued through harmful action. A harmful objective may be pursued efficiently. A well-intentioned action may produce damaging consequences. A difficult or costly action may preserve long-term flourishing. The Assessed Action must therefore be assessed through its total effect on the World Context, not merely through the Actor’s stated goal.</w:t>
      </w:r>
    </w:p>
    <w:p>
      <w:pPr>
        <w:pStyle w:val="Heading3"/>
        <w:rPr/>
      </w:pPr>
      <w:bookmarkStart w:id="6" w:name="__RefHeading___Toc23511_3508477456"/>
      <w:bookmarkEnd w:id="6"/>
      <w:r>
        <w:rPr/>
        <w:t>Action Status: Proposed, Ongoing, or Completed</w:t>
      </w:r>
    </w:p>
    <w:p>
      <w:pPr>
        <w:pStyle w:val="BodyText"/>
        <w:spacing w:before="0" w:after="200"/>
        <w:contextualSpacing/>
        <w:rPr/>
      </w:pPr>
      <w:r>
        <w:rPr/>
        <w:t>An Assessed Action may be proposed, ongoing, or completed.</w:t>
      </w:r>
    </w:p>
    <w:p>
      <w:pPr>
        <w:pStyle w:val="BodyText"/>
        <w:spacing w:before="0" w:after="200"/>
        <w:contextualSpacing/>
        <w:rPr/>
      </w:pPr>
      <w:r>
        <w:rPr/>
        <w:t>A proposed action is evaluated before it occurs. The assessment relies on available evidence, predicted consequences, and confidence estimates. Proposed-action assessment is especially important for decision support, autonomous systems, robotics, public policy, medical ethics, and AI alignment because it may guide whether an action should be taken, modified, delayed, escalated, or rejected.</w:t>
      </w:r>
    </w:p>
    <w:p>
      <w:pPr>
        <w:pStyle w:val="BodyText"/>
        <w:spacing w:before="0" w:after="200"/>
        <w:contextualSpacing/>
        <w:rPr/>
      </w:pPr>
      <w:r>
        <w:rPr/>
        <w:t>An ongoing action is evaluated while it is occurring. The assessment may incorporate partial outcomes, emerging evidence, changing constraints, and opportunities for intervention. Ongoing-action assessment is important when a decision can be revised, paused, mitigated, or redirected before the World Context Transition fully unfolds.</w:t>
      </w:r>
    </w:p>
    <w:p>
      <w:pPr>
        <w:pStyle w:val="BodyText"/>
        <w:spacing w:before="0" w:after="200"/>
        <w:contextualSpacing/>
        <w:rPr/>
      </w:pPr>
      <w:r>
        <w:rPr/>
        <w:t>A completed action is evaluated after it has occurred. The assessment may incorporate observed outcomes, later-discovered evidence, actual policy effects, and retrospective evaluation of what was reasonably knowable at the time of decision. Completed-action assessment is important for audit, accountability, learning, institutional review, legal analysis, and future policy correction.</w:t>
      </w:r>
    </w:p>
    <w:p>
      <w:pPr>
        <w:pStyle w:val="BodyText"/>
        <w:spacing w:before="0" w:after="200"/>
        <w:contextualSpacing/>
        <w:rPr/>
      </w:pPr>
      <w:r>
        <w:rPr/>
        <w:t>These statuses affect the information available to the assessment but do not change the architectural role of the Assessed Action. In all cases, the action is evaluated by how it transforms the World Context.</w:t>
      </w:r>
    </w:p>
    <w:p>
      <w:pPr>
        <w:pStyle w:val="Heading3"/>
        <w:rPr/>
      </w:pPr>
      <w:r>
        <w:rPr/>
        <w:t>Actions, Omissions, and Non-Actions</w:t>
      </w:r>
    </w:p>
    <w:p>
      <w:pPr>
        <w:pStyle w:val="BodyText"/>
        <w:spacing w:before="0" w:after="200"/>
        <w:contextualSpacing/>
        <w:rPr/>
      </w:pPr>
      <w:r>
        <w:rPr/>
        <w:t>The Assessed Action may include an omission or failure to act when action was available, relevant, and reasonably expected within the Situational Context.</w:t>
      </w:r>
    </w:p>
    <w:p>
      <w:pPr>
        <w:pStyle w:val="BodyText"/>
        <w:spacing w:before="0" w:after="200"/>
        <w:contextualSpacing/>
        <w:rPr/>
      </w:pPr>
      <w:r>
        <w:rPr/>
        <w:t>A non-action can transform the World Context just as a positive action can. Failing to warn, failing to treat, failing to intervene, failing to disclose, failing to maintain a system, or failing to prevent foreseeable harm may alter entities, relationships, institutions, future opportunities, and policy states.</w:t>
      </w:r>
    </w:p>
    <w:p>
      <w:pPr>
        <w:pStyle w:val="BodyText"/>
        <w:spacing w:before="0" w:after="200"/>
        <w:contextualSpacing/>
        <w:rPr/>
      </w:pPr>
      <w:r>
        <w:rPr/>
        <w:t>The architecture should therefore treat morally relevant omissions as Assessed Actions when the Actor had a meaningful opportunity, authority, capability, or responsibility to act. The moral significance of an omission depends on the Actor’s role, Associations, available information, constraints, alternatives, and foreseeable consequences.</w:t>
      </w:r>
    </w:p>
    <w:p>
      <w:pPr>
        <w:pStyle w:val="BodyText"/>
        <w:spacing w:before="0" w:after="200"/>
        <w:contextualSpacing/>
        <w:rPr/>
      </w:pPr>
      <w:r>
        <w:rPr/>
        <w:t>This allows the framework to assess negligence, neglect, institutional inaction, failure to supervise, failure to maintain safety, and deliberate refusal to intervene.</w:t>
      </w:r>
    </w:p>
    <w:p>
      <w:pPr>
        <w:pStyle w:val="Heading3"/>
        <w:rPr/>
      </w:pPr>
      <w:r>
        <w:rPr/>
        <w:t>Actors and Responsibility</w:t>
      </w:r>
    </w:p>
    <w:p>
      <w:pPr>
        <w:pStyle w:val="BodyText"/>
        <w:spacing w:before="0" w:after="200"/>
        <w:contextualSpacing/>
        <w:rPr/>
      </w:pPr>
      <w:r>
        <w:rPr/>
        <w:t>An Assessed Action may involve one or more Actors. An Actor may initiate, control, authorize, direct, recommend, execute, or bear responsibility for the action.</w:t>
      </w:r>
    </w:p>
    <w:p>
      <w:pPr>
        <w:pStyle w:val="BodyText"/>
        <w:spacing w:before="0" w:after="200"/>
        <w:contextualSpacing/>
        <w:rPr/>
      </w:pPr>
      <w:r>
        <w:rPr/>
        <w:t>The architecture should distinguish among several forms of participation. One Object may decide the action, another may authorize it, another may execute it, another may design the system that performs it, and another may benefit from it. These distinctions are especially important in organizations, institutions, autonomous systems, multi-agent systems, and artificial intelligence deployments.</w:t>
      </w:r>
    </w:p>
    <w:p>
      <w:pPr>
        <w:pStyle w:val="BodyText"/>
        <w:spacing w:before="0" w:after="200"/>
        <w:contextualSpacing/>
        <w:rPr/>
      </w:pPr>
      <w:r>
        <w:rPr/>
        <w:t>Moral responsibility should not be assigned merely because an Object is causally involved. Responsibility depends on the Object’s role, capabilities, authority, knowledge, alternatives, Associations, and ability to evaluate actions against Objectives. A system may be causally active without being morally responsible. A human or institution may be morally responsible for designing, deploying, authorizing, or failing to supervise that system.</w:t>
      </w:r>
    </w:p>
    <w:p>
      <w:pPr>
        <w:pStyle w:val="BodyText"/>
        <w:spacing w:before="0" w:after="200"/>
        <w:contextualSpacing/>
        <w:rPr/>
      </w:pPr>
      <w:r>
        <w:rPr/>
        <w:t>The Assessed Action therefore includes not only the immediate behavior but also the role structure through which the action occurs.</w:t>
      </w:r>
    </w:p>
    <w:p>
      <w:pPr>
        <w:pStyle w:val="Heading3"/>
        <w:rPr/>
      </w:pPr>
      <w:r>
        <w:rPr/>
        <w:t>Action Boundaries</w:t>
      </w:r>
    </w:p>
    <w:p>
      <w:pPr>
        <w:pStyle w:val="BodyText"/>
        <w:spacing w:before="0" w:after="200"/>
        <w:contextualSpacing/>
        <w:rPr/>
      </w:pPr>
      <w:r>
        <w:rPr/>
        <w:t>The architecture must define the boundary of the Assessed Action clearly enough to distinguish the action itself from its context, causes, alternatives, and consequences.</w:t>
      </w:r>
    </w:p>
    <w:p>
      <w:pPr>
        <w:pStyle w:val="BodyText"/>
        <w:spacing w:before="0" w:after="200"/>
        <w:contextualSpacing/>
        <w:rPr/>
      </w:pPr>
      <w:r>
        <w:rPr/>
        <w:t>Prior events that motivate or explain the action are represented within the Situational Context. Future effects of the action are represented as Consequences and World Context Transition effects. The Assessed Action is the change-producing event or choice being evaluated between those two parts of the architecture.</w:t>
      </w:r>
    </w:p>
    <w:p>
      <w:pPr>
        <w:pStyle w:val="BodyText"/>
        <w:spacing w:before="0" w:after="200"/>
        <w:contextualSpacing/>
        <w:rPr/>
      </w:pPr>
      <w:r>
        <w:rPr/>
        <w:t>This boundary is necessary for traceability. If the action is defined too narrowly, the assessment may ignore relevant means, omissions, authorization, or enabling behavior. If the action is defined too broadly, the assessment may absorb context and consequence into the action itself, making the assessment unclear.</w:t>
      </w:r>
    </w:p>
    <w:p>
      <w:pPr>
        <w:pStyle w:val="BodyText"/>
        <w:spacing w:before="0" w:after="200"/>
        <w:contextualSpacing/>
        <w:rPr/>
      </w:pPr>
      <w:r>
        <w:rPr/>
        <w:t>For example, in a fraud scenario, the Assessed Action may not be merely “saving the organization.” It may be “falsifying financial statements to secure emergency financing.” The operational objective may be organizational survival, but the Assessed Action includes the deceptive means used to pursue that objective.</w:t>
      </w:r>
    </w:p>
    <w:p>
      <w:pPr>
        <w:pStyle w:val="Heading3"/>
        <w:rPr/>
      </w:pPr>
      <w:r>
        <w:rPr/>
        <w:t>Action Alternatives</w:t>
      </w:r>
    </w:p>
    <w:p>
      <w:pPr>
        <w:pStyle w:val="BodyText"/>
        <w:spacing w:before="0" w:after="200"/>
        <w:contextualSpacing/>
        <w:rPr/>
      </w:pPr>
      <w:r>
        <w:rPr/>
        <w:t>An Assessed Action is evaluated against the alternatives reasonably available within the Situational Context.</w:t>
      </w:r>
    </w:p>
    <w:p>
      <w:pPr>
        <w:pStyle w:val="BodyText"/>
        <w:spacing w:before="0" w:after="200"/>
        <w:contextualSpacing/>
        <w:rPr/>
      </w:pPr>
      <w:r>
        <w:rPr/>
        <w:t>The architecture does not require that every imaginable alternative be considered. It requires that relevant available alternatives be represented when they materially affect the moral assessment. The existence of less harmful, more transparent, more legitimate, or more flourishing-preserving alternatives may change how the Assessed Action is evaluated.</w:t>
      </w:r>
    </w:p>
    <w:p>
      <w:pPr>
        <w:pStyle w:val="BodyText"/>
        <w:spacing w:before="0" w:after="200"/>
        <w:contextualSpacing/>
        <w:rPr/>
      </w:pPr>
      <w:r>
        <w:rPr/>
        <w:t>Action alternatives may include acting differently, acting later, escalating to another authority, seeking consent, disclosing information, choosing a less harmful means, narrowing the intervention, adding safeguards, or declining to act.</w:t>
      </w:r>
    </w:p>
    <w:p>
      <w:pPr>
        <w:pStyle w:val="BodyText"/>
        <w:spacing w:before="0" w:after="200"/>
        <w:contextualSpacing/>
        <w:rPr/>
      </w:pPr>
      <w:r>
        <w:rPr/>
        <w:t>Alternatives are especially important for responsibility assessment. An Actor who had no meaningful alternative may be assessed differently from an Actor who ignored available options that would have better preserved Long-Term Flourishing.</w:t>
      </w:r>
    </w:p>
    <w:p>
      <w:pPr>
        <w:pStyle w:val="Heading3"/>
        <w:rPr/>
      </w:pPr>
      <w:r>
        <w:rPr/>
        <w:t>Intention, Foreseeability, and Expected Effect</w:t>
      </w:r>
    </w:p>
    <w:p>
      <w:pPr>
        <w:pStyle w:val="BodyText"/>
        <w:spacing w:before="0" w:after="200"/>
        <w:contextualSpacing/>
        <w:rPr/>
      </w:pPr>
      <w:r>
        <w:rPr/>
        <w:t>The Assessed Action may include the Actor’s intended purpose, but moral assessment is not limited to intention.</w:t>
      </w:r>
    </w:p>
    <w:p>
      <w:pPr>
        <w:pStyle w:val="BodyText"/>
        <w:spacing w:before="0" w:after="200"/>
        <w:contextualSpacing/>
        <w:rPr/>
      </w:pPr>
      <w:r>
        <w:rPr/>
        <w:t>Intention helps explain why the action was selected and what operational objective the Actor sought to achieve. However, the architecture evaluates the World Context Transition, including foreseeable consequences, indirect effects, Distributed Policy Effects, and uncertainty. A beneficial intention does not eliminate harmful consequences, and a harmful intention may be morally relevant even when consequences are partially avoided.</w:t>
      </w:r>
    </w:p>
    <w:p>
      <w:pPr>
        <w:pStyle w:val="BodyText"/>
        <w:spacing w:before="0" w:after="200"/>
        <w:contextualSpacing/>
        <w:rPr/>
      </w:pPr>
      <w:r>
        <w:rPr/>
        <w:t>Foreseeability is therefore central to assessing the action. The architecture considers what the Actor knew, what was reasonably available through appropriate diligence, and what a competent Moral Agent could have anticipated within the Situational Context. These epistemic distinctions belong to the broader assessment methodology, but the Reference Architecture must preserve the distinction between intended effects, foreseeable effects, and actual effects.</w:t>
      </w:r>
    </w:p>
    <w:p>
      <w:pPr>
        <w:pStyle w:val="Heading3"/>
        <w:rPr/>
      </w:pPr>
      <w:r>
        <w:rPr/>
        <w:t>Direct, Indirect, and System-Mediated Actions</w:t>
      </w:r>
    </w:p>
    <w:p>
      <w:pPr>
        <w:pStyle w:val="BodyText"/>
        <w:spacing w:before="0" w:after="200"/>
        <w:contextualSpacing/>
        <w:rPr/>
      </w:pPr>
      <w:r>
        <w:rPr/>
        <w:t>An Assessed Action may be direct, indirect, or system-mediated.</w:t>
      </w:r>
    </w:p>
    <w:p>
      <w:pPr>
        <w:pStyle w:val="BodyText"/>
        <w:spacing w:before="0" w:after="200"/>
        <w:contextualSpacing/>
        <w:rPr/>
      </w:pPr>
      <w:r>
        <w:rPr/>
        <w:t>A direct action is performed immediately by the Actor. An indirect action is performed through another person, organization, institution, process, or system. A system-mediated action is performed through technological, bureaucratic, autonomous, or artificial systems.</w:t>
      </w:r>
    </w:p>
    <w:p>
      <w:pPr>
        <w:pStyle w:val="BodyText"/>
        <w:spacing w:before="0" w:after="200"/>
        <w:contextualSpacing/>
        <w:rPr/>
      </w:pPr>
      <w:r>
        <w:rPr/>
        <w:t>This distinction matters because modern moral actions often occur through layers of delegation. A corporate executive may authorize a policy implemented by managers. A government may create incentives that alter institutional behavior. A developer may deploy an AI system that generates harmful recommendations. A hospital may configure a triage protocol that affects patient care.</w:t>
      </w:r>
    </w:p>
    <w:p>
      <w:pPr>
        <w:pStyle w:val="BodyText"/>
        <w:spacing w:before="0" w:after="200"/>
        <w:contextualSpacing/>
        <w:rPr/>
      </w:pPr>
      <w:r>
        <w:rPr/>
        <w:t>The architecture should therefore evaluate not only the visible output but also the chain of authorization, control, delegation, and responsibility that produced the action.</w:t>
      </w:r>
    </w:p>
    <w:p>
      <w:pPr>
        <w:pStyle w:val="Heading3"/>
        <w:rPr/>
      </w:pPr>
      <w:r>
        <w:rPr/>
        <w:t>Granularity of the Assessed Action</w:t>
      </w:r>
    </w:p>
    <w:p>
      <w:pPr>
        <w:pStyle w:val="BodyText"/>
        <w:spacing w:before="0" w:after="200"/>
        <w:contextualSpacing/>
        <w:rPr/>
      </w:pPr>
      <w:r>
        <w:rPr/>
        <w:t>The Assessed Action may be represented at different levels of granularity depending on the assessment.</w:t>
      </w:r>
    </w:p>
    <w:p>
      <w:pPr>
        <w:pStyle w:val="BodyText"/>
        <w:spacing w:before="0" w:after="200"/>
        <w:contextualSpacing/>
        <w:rPr/>
      </w:pPr>
      <w:r>
        <w:rPr/>
        <w:t>At a coarse level, an action may be described as “implement a policy,” “recommend treatment,” “deploy a model,” or “intervene in an ecosystem.” At a finer level, the same assessment may require decomposition into sub-actions, such as collecting evidence, obtaining consent, issuing instructions, withholding information, applying force, allocating resources, or configuring system behavior.</w:t>
      </w:r>
    </w:p>
    <w:p>
      <w:pPr>
        <w:pStyle w:val="BodyText"/>
        <w:spacing w:before="0" w:after="200"/>
        <w:contextualSpacing/>
        <w:rPr/>
      </w:pPr>
      <w:r>
        <w:rPr/>
        <w:t>The appropriate level of granularity depends on what is morally material. If the method used to pursue an objective affects trust, legitimacy, authority, policy states, or Long-Term Flourishing, then the action should be decomposed enough to expose those effects.</w:t>
      </w:r>
    </w:p>
    <w:p>
      <w:pPr>
        <w:pStyle w:val="BodyText"/>
        <w:spacing w:before="0" w:after="200"/>
        <w:contextualSpacing/>
        <w:rPr/>
      </w:pPr>
      <w:r>
        <w:rPr/>
        <w:t>The architecture permits decomposition of complex actions without requiring every assessment to model every sub-action. The requirement is that morally material action components not be hidden inside broad labels.</w:t>
      </w:r>
    </w:p>
    <w:p>
      <w:pPr>
        <w:pStyle w:val="Heading3"/>
        <w:rPr/>
      </w:pPr>
      <w:r>
        <w:rPr/>
        <w:t>Assessed Action and Consequences</w:t>
      </w:r>
    </w:p>
    <w:p>
      <w:pPr>
        <w:pStyle w:val="BodyText"/>
        <w:spacing w:before="0" w:after="200"/>
        <w:contextualSpacing/>
        <w:rPr/>
      </w:pPr>
      <w:r>
        <w:rPr/>
        <w:t>The Assessed Action must be distinguished from its Consequences.</w:t>
      </w:r>
    </w:p>
    <w:p>
      <w:pPr>
        <w:pStyle w:val="BodyText"/>
        <w:spacing w:before="0" w:after="200"/>
        <w:contextualSpacing/>
        <w:rPr/>
      </w:pPr>
      <w:r>
        <w:rPr/>
        <w:t>The Assessed Action is the behavior, decision, omission, recommendation, or intervention being evaluated. Consequences are the effects that follow from that action. The World Context Transition is the broader transformation that results when the consequences are incorporated into the state of the world.</w:t>
      </w:r>
    </w:p>
    <w:p>
      <w:pPr>
        <w:pStyle w:val="BodyText"/>
        <w:spacing w:before="0" w:after="200"/>
        <w:contextualSpacing/>
        <w:rPr/>
      </w:pPr>
      <w:r>
        <w:rPr/>
        <w:t>This distinction allows the architecture to evaluate cases where the same action may produce different consequences under different conditions, or where different actions pursue the same objective through different means.</w:t>
      </w:r>
    </w:p>
    <w:p>
      <w:pPr>
        <w:pStyle w:val="BodyText"/>
        <w:spacing w:before="0" w:after="200"/>
        <w:contextualSpacing/>
        <w:rPr/>
      </w:pPr>
      <w:r>
        <w:rPr/>
        <w:t>For example, “administering a medication” is an Assessed Action. The patient’s recovery, adverse reaction, family trust, clinical precedent, and institutional learning are consequences. The resulting medical, relational, institutional, and policy-state changes together form the World Context Transition.</w:t>
      </w:r>
    </w:p>
    <w:p>
      <w:pPr>
        <w:pStyle w:val="Heading3"/>
        <w:rPr/>
      </w:pPr>
      <w:r>
        <w:rPr/>
        <w:t>Assessed Action and Distributed Policy Effects</w:t>
      </w:r>
    </w:p>
    <w:p>
      <w:pPr>
        <w:pStyle w:val="BodyText"/>
        <w:spacing w:before="0" w:after="200"/>
        <w:contextualSpacing/>
        <w:rPr/>
      </w:pPr>
      <w:r>
        <w:rPr/>
        <w:t>Every Assessed Action may alter future decision behavior. These changes are represented as Distributed Policy Effects.</w:t>
      </w:r>
    </w:p>
    <w:p>
      <w:pPr>
        <w:pStyle w:val="BodyText"/>
        <w:spacing w:before="0" w:after="200"/>
        <w:contextualSpacing/>
        <w:rPr/>
      </w:pPr>
      <w:r>
        <w:rPr/>
        <w:t>The Actor may become more or less likely to repeat the same action. Observers may update their own behavior based on what they see rewarded, punished, tolerated, or normalized. Institutions may encode the action as precedent. Responders may change their future trust, cooperation, resistance, or compliance.</w:t>
      </w:r>
    </w:p>
    <w:p>
      <w:pPr>
        <w:pStyle w:val="BodyText"/>
        <w:spacing w:before="0" w:after="200"/>
        <w:contextualSpacing/>
        <w:rPr/>
      </w:pPr>
      <w:r>
        <w:rPr/>
        <w:t>These effects are not external to the action’s moral significance. They are part of what the action does to the World Context. This is especially important when harmful means appear to produce beneficial immediate outcomes. The architecture evaluates whether the action changes future policy states in ways that preserve or degrade Long-Term Flourishing.</w:t>
      </w:r>
    </w:p>
    <w:p>
      <w:pPr>
        <w:pStyle w:val="Heading3"/>
        <w:rPr/>
      </w:pPr>
      <w:r>
        <w:rPr/>
        <w:t>Assessed Action and Assessment Horizons</w:t>
      </w:r>
    </w:p>
    <w:p>
      <w:pPr>
        <w:pStyle w:val="BodyText"/>
        <w:spacing w:before="0" w:after="200"/>
        <w:contextualSpacing/>
        <w:rPr/>
      </w:pPr>
      <w:r>
        <w:rPr/>
        <w:t>The significance of an Assessed Action may vary across Assessment Horizons.</w:t>
      </w:r>
    </w:p>
    <w:p>
      <w:pPr>
        <w:pStyle w:val="BodyText"/>
        <w:spacing w:before="0" w:after="200"/>
        <w:contextualSpacing/>
        <w:rPr/>
      </w:pPr>
      <w:r>
        <w:rPr/>
        <w:t>In the immediate horizon, the action may produce a direct benefit or harm. In the short term, it may change relationships, resources, or incentives. In the long term, it may affect trust, institutions, adaptive capacity, and future opportunities. Across multi-generational or civilizational horizons, it may alter norms, technologies, ecological conditions, governance structures, or future state space.</w:t>
      </w:r>
    </w:p>
    <w:p>
      <w:pPr>
        <w:pStyle w:val="BodyText"/>
        <w:spacing w:before="0" w:after="200"/>
        <w:contextualSpacing/>
        <w:rPr/>
      </w:pPr>
      <w:r>
        <w:rPr/>
        <w:t>The Reference Architecture therefore requires that the Assessed Action be capable of evaluation across multiple horizons. The Moral Assessment Methodology determines how horizon-specific consequences, uncertainty, and confidence are estimated.</w:t>
      </w:r>
    </w:p>
    <w:p>
      <w:pPr>
        <w:pStyle w:val="Heading3"/>
        <w:rPr/>
      </w:pPr>
      <w:r>
        <w:rPr/>
        <w:t>Architectural Boundary of the Assessed Action</w:t>
      </w:r>
    </w:p>
    <w:p>
      <w:pPr>
        <w:pStyle w:val="BodyText"/>
        <w:spacing w:before="0" w:after="200"/>
        <w:contextualSpacing/>
        <w:rPr/>
      </w:pPr>
      <w:r>
        <w:rPr/>
        <w:t>The Reference Architecture defines the Assessed Action as the focal change-producing element of moral assessment. It identifies what is being evaluated, how the action is situated within context, how it relates to objectives, which Actors participate in it, and how it initiates a World Context Transition.</w:t>
      </w:r>
    </w:p>
    <w:p>
      <w:pPr>
        <w:pStyle w:val="BodyText"/>
        <w:spacing w:before="0" w:after="200"/>
        <w:contextualSpacing/>
        <w:rPr/>
      </w:pPr>
      <w:r>
        <w:rPr/>
        <w:t>The Reference Architecture does not prescribe a formal action representation, causal model, probability model, decomposition method, or scoring method. Those belong to the Moral Assessment Methodology or to specific implementations.</w:t>
      </w:r>
    </w:p>
    <w:p>
      <w:pPr>
        <w:pStyle w:val="BodyText"/>
        <w:spacing w:before="0" w:after="200"/>
        <w:contextualSpacing/>
        <w:rPr/>
      </w:pPr>
      <w:r>
        <w:rPr/>
        <w:t>The architectural requirement is that the Assessed Action be explicit, context-bound, traceable, decomposable when morally material, and evaluated as the means through which an Actor attempts to transform the World Context.</w:t>
      </w:r>
    </w:p>
    <w:p>
      <w:pPr>
        <w:pStyle w:val="Heading2"/>
        <w:rPr/>
      </w:pPr>
      <w:r>
        <w:rPr/>
        <w:t>Consequences</w:t>
      </w:r>
    </w:p>
    <w:p>
      <w:pPr>
        <w:pStyle w:val="BodyText"/>
        <w:spacing w:before="0" w:after="200"/>
        <w:rPr/>
      </w:pPr>
      <w:r>
        <w:rPr/>
        <w:t>Consequences are the effects produced, predicted, enabled, prevented, or made more probable by an Assessed Action. They describe how the Assessed Action changes the World Context.</w:t>
      </w:r>
    </w:p>
    <w:p>
      <w:pPr>
        <w:pStyle w:val="BodyText"/>
        <w:spacing w:before="0" w:after="200"/>
        <w:rPr/>
      </w:pPr>
      <w:r>
        <w:rPr/>
        <w:t>In this architecture, Consequences are not limited to immediate observable outcomes. They include changes to Objects, Associations, Long-Term Flourishing, Actor Policy States, institutional conditions, information states, constraints, future opportunities, and future state space. They may be direct or indirect, intended or unintended, immediate or delayed, localized or systemic, material or informational, reversible or irreversible.</w:t>
      </w:r>
    </w:p>
    <w:p>
      <w:pPr>
        <w:pStyle w:val="BodyText"/>
        <w:spacing w:before="0" w:after="200"/>
        <w:rPr/>
      </w:pPr>
      <w:r>
        <w:rPr/>
        <w:t>Consequences are architecturally significant because they provide the transition pathway between the initial World Context and the resulting World Context. The Assessed Action is the change-producing element; Consequences describe what changes; the World Context Transition represents the resulting state transformation.</w:t>
      </w:r>
    </w:p>
    <w:p>
      <w:pPr>
        <w:pStyle w:val="Heading3"/>
        <w:rPr/>
      </w:pPr>
      <w:r>
        <w:rPr/>
        <w:t>Architectural Role of Consequences</w:t>
      </w:r>
    </w:p>
    <w:p>
      <w:pPr>
        <w:pStyle w:val="BodyText"/>
        <w:spacing w:before="0" w:after="200"/>
        <w:rPr/>
      </w:pPr>
      <w:r>
        <w:rPr/>
        <w:t>Consequences are the state-changing effects through which an Assessed Action transforms one World Context into another.</w:t>
      </w:r>
    </w:p>
    <w:p>
      <w:pPr>
        <w:pStyle w:val="BodyText"/>
        <w:spacing w:before="0" w:after="200"/>
        <w:rPr/>
      </w:pPr>
      <w:r>
        <w:rPr/>
        <w:t>The Reference Architecture does not treat consequences as a single outcome or as a simple utility value. Instead, Consequences are distributed across the ethical graph. A single Assessed Action may change the state of multiple Objects, alter Associations among those Objects, modify institutional conditions, reshape future opportunities, and update the decision policies of Actors, observers, responders, and institutions.</w:t>
      </w:r>
    </w:p>
    <w:p>
      <w:pPr>
        <w:pStyle w:val="BodyText"/>
        <w:spacing w:before="0" w:after="200"/>
        <w:rPr/>
      </w:pPr>
      <w:r>
        <w:rPr/>
        <w:t>Consequences therefore provide the bridge between the Assessed Action and the World Context Transition. They identify what changed, where it changed, who or what was affected, which relationships were altered, which future possibilities were opened or closed, and which policy states were reinforced or degraded.</w:t>
      </w:r>
    </w:p>
    <w:p>
      <w:pPr>
        <w:pStyle w:val="Heading3"/>
        <w:rPr/>
      </w:pPr>
      <w:r>
        <w:rPr/>
        <w:t>Consequences and the World Context</w:t>
      </w:r>
    </w:p>
    <w:p>
      <w:pPr>
        <w:pStyle w:val="BodyText"/>
        <w:spacing w:before="0" w:after="200"/>
        <w:rPr/>
      </w:pPr>
      <w:r>
        <w:rPr/>
        <w:t>All Consequences are interpreted relative to the World Context. An effect has moral significance not merely because it occurs, but because it changes the state of the world in relation to relevant Flourishing Entities, Associations, Objectives, constraints, and future possibilities.</w:t>
      </w:r>
    </w:p>
    <w:p>
      <w:pPr>
        <w:pStyle w:val="BodyText"/>
        <w:spacing w:before="0" w:after="200"/>
        <w:rPr/>
      </w:pPr>
      <w:r>
        <w:rPr/>
        <w:t>The same outward consequence may have different moral significance in different World Contexts. A financial loss may be minor inconvenience in one context and catastrophic collapse in another. A disclosure of information may be necessary transparency in one context and harmful betrayal in another. Physical restraint may be protective intervention in one context and unjustified coercion in another.</w:t>
      </w:r>
    </w:p>
    <w:p>
      <w:pPr>
        <w:pStyle w:val="BodyText"/>
        <w:spacing w:before="0" w:after="200"/>
        <w:rPr/>
      </w:pPr>
      <w:r>
        <w:rPr/>
        <w:t>Consequences therefore cannot be evaluated responsibly without their context. The architecture evaluates Consequences as changes within the relevant World Context, not as isolated events detached from the Objects, Associations, and constraints that give them meaning.</w:t>
      </w:r>
    </w:p>
    <w:p>
      <w:pPr>
        <w:pStyle w:val="Heading3"/>
        <w:rPr/>
      </w:pPr>
      <w:r>
        <w:rPr/>
        <w:t>Direct and Indirect Consequences</w:t>
      </w:r>
    </w:p>
    <w:p>
      <w:pPr>
        <w:pStyle w:val="BodyText"/>
        <w:spacing w:before="0" w:after="200"/>
        <w:rPr/>
      </w:pPr>
      <w:r>
        <w:rPr/>
        <w:t>Direct Consequences are effects that follow immediately or proximately from the Assessed Action. Indirect Consequences are effects that arise through intermediate entities, relationships, systems, institutions, incentives, or later responses.</w:t>
      </w:r>
    </w:p>
    <w:p>
      <w:pPr>
        <w:pStyle w:val="BodyText"/>
        <w:spacing w:before="0" w:after="200"/>
        <w:rPr/>
      </w:pPr>
      <w:r>
        <w:rPr/>
        <w:t>Both direct and indirect Consequences may be morally relevant. A direct harm may be obvious, while an indirect institutional or policy effect may become more significant over time. For example, a deceptive act may directly secure a short-term benefit while indirectly reducing trust, normalizing deception, weakening institutional legitimacy, and increasing the likelihood of future harmful actions.</w:t>
      </w:r>
    </w:p>
    <w:p>
      <w:pPr>
        <w:pStyle w:val="BodyText"/>
        <w:spacing w:before="0" w:after="200"/>
        <w:rPr/>
      </w:pPr>
      <w:r>
        <w:rPr/>
        <w:t>The architecture should include indirect Consequences when they are sufficiently connected to the Assessed Action and materially affect the World Context Transition. The question is not whether every conceivable downstream event can be attributed to the action, but whether a consequence is relevant enough, foreseeable enough, or material enough to be included within the assessment boundary.</w:t>
      </w:r>
    </w:p>
    <w:p>
      <w:pPr>
        <w:pStyle w:val="Heading3"/>
        <w:rPr/>
      </w:pPr>
      <w:r>
        <w:rPr/>
        <w:t>Intended and Unintended Consequences</w:t>
      </w:r>
    </w:p>
    <w:p>
      <w:pPr>
        <w:pStyle w:val="BodyText"/>
        <w:spacing w:before="0" w:after="200"/>
        <w:rPr/>
      </w:pPr>
      <w:r>
        <w:rPr/>
        <w:t>Intended Consequences are effects the Actor seeks to produce through the Assessed Action. Unintended Consequences are effects the Actor does not seek but that may nevertheless result from the action.</w:t>
      </w:r>
    </w:p>
    <w:p>
      <w:pPr>
        <w:pStyle w:val="BodyText"/>
        <w:spacing w:before="0" w:after="200"/>
        <w:rPr/>
      </w:pPr>
      <w:r>
        <w:rPr/>
        <w:t>The architecture does not limit moral assessment to intended Consequences. Intention is relevant because it helps explain the operational objective and the Actor’s policy state, but the moral assessment evaluates the World Context Transition. Unintended harms, risks, institutional effects, or policy updates may still matter if they are foreseeable, material, or discoverable through appropriate diligence.</w:t>
      </w:r>
    </w:p>
    <w:p>
      <w:pPr>
        <w:pStyle w:val="BodyText"/>
        <w:spacing w:before="0" w:after="200"/>
        <w:rPr/>
      </w:pPr>
      <w:r>
        <w:rPr/>
        <w:t>A well-intentioned action may produce harmful Consequences. A harmful action may fail to produce its intended harm. An action may produce both beneficial and detrimental effects across different entities and horizons. Consequence assessment must therefore distinguish the Actor’s intended effects from the broader set of predicted or observed state changes.</w:t>
      </w:r>
    </w:p>
    <w:p>
      <w:pPr>
        <w:pStyle w:val="Heading3"/>
        <w:rPr/>
      </w:pPr>
      <w:r>
        <w:rPr/>
        <w:t>Foreseeable and Unforeseeable Consequences</w:t>
      </w:r>
    </w:p>
    <w:p>
      <w:pPr>
        <w:pStyle w:val="BodyText"/>
        <w:spacing w:before="0" w:after="200"/>
        <w:rPr/>
      </w:pPr>
      <w:r>
        <w:rPr/>
        <w:t>Foreseeable Consequences are effects that a competent Moral Agent could reasonably anticipate within the Situational Context, given the available or reasonably obtainable information. Unforeseeable Consequences are effects that could not reasonably have been anticipated at the time of decision.</w:t>
      </w:r>
    </w:p>
    <w:p>
      <w:pPr>
        <w:pStyle w:val="BodyText"/>
        <w:spacing w:before="0" w:after="200"/>
        <w:rPr/>
      </w:pPr>
      <w:r>
        <w:rPr/>
        <w:t>This distinction is important for evaluating responsibility, but it does not remove consequences from the World Context. An unforeseeable consequence may still change the world, even if it does not imply the same degree of moral responsibility for the Actor.</w:t>
      </w:r>
    </w:p>
    <w:p>
      <w:pPr>
        <w:pStyle w:val="BodyText"/>
        <w:spacing w:before="0" w:after="200"/>
        <w:rPr/>
      </w:pPr>
      <w:r>
        <w:rPr/>
        <w:t>The Reference Architecture must preserve the distinction between what happened, what was foreseeable, what was reasonably knowable, and what was actually known by the Actor. The Moral Assessment Methodology later determines how these distinctions affect confidence, responsibility, and retrospective assessment.</w:t>
      </w:r>
    </w:p>
    <w:p>
      <w:pPr>
        <w:pStyle w:val="Heading3"/>
        <w:rPr/>
      </w:pPr>
      <w:r>
        <w:rPr/>
        <w:t>Consequences to Objects</w:t>
      </w:r>
    </w:p>
    <w:p>
      <w:pPr>
        <w:pStyle w:val="BodyText"/>
        <w:spacing w:before="0" w:after="200"/>
        <w:rPr/>
      </w:pPr>
      <w:r>
        <w:rPr/>
        <w:t>Consequences may alter the state of Objects within the assessment boundary. These changes may affect physical condition, health, location, resources, capabilities, access, autonomy, knowledge, security, identity, continuity, or other relevant state descriptors.</w:t>
      </w:r>
    </w:p>
    <w:p>
      <w:pPr>
        <w:pStyle w:val="BodyText"/>
        <w:spacing w:before="0" w:after="200"/>
        <w:rPr/>
      </w:pPr>
      <w:r>
        <w:rPr/>
        <w:t>Objects may be affected directly or indirectly. A patient may be affected by treatment, a family by caregiving burden, an organization by reputational damage, an ecosystem by environmental intervention, an AI system by retraining, or a community by institutional policy.</w:t>
      </w:r>
    </w:p>
    <w:p>
      <w:pPr>
        <w:pStyle w:val="BodyText"/>
        <w:spacing w:before="0" w:after="200"/>
        <w:rPr/>
      </w:pPr>
      <w:r>
        <w:rPr/>
        <w:t>Object-level Consequences provide one of the most immediate ways to identify morally relevant change. However, the architecture does not stop at Object-level effects. It also evaluates changes to Associations, institutions, policy states, and future state space.</w:t>
      </w:r>
    </w:p>
    <w:p>
      <w:pPr>
        <w:pStyle w:val="Heading3"/>
        <w:rPr/>
      </w:pPr>
      <w:r>
        <w:rPr/>
        <w:t>Consequences to Associations</w:t>
      </w:r>
    </w:p>
    <w:p>
      <w:pPr>
        <w:pStyle w:val="BodyText"/>
        <w:spacing w:before="0" w:after="200"/>
        <w:rPr/>
      </w:pPr>
      <w:r>
        <w:rPr/>
        <w:t>Consequences may alter Associations among Objects. These changes are often morally significant because many obligations, responsibilities, dependencies, and vulnerabilities arise through relationships rather than through isolated entity states.</w:t>
      </w:r>
    </w:p>
    <w:p>
      <w:pPr>
        <w:pStyle w:val="BodyText"/>
        <w:spacing w:before="0" w:after="200"/>
        <w:rPr/>
      </w:pPr>
      <w:r>
        <w:rPr/>
        <w:t>An Assessed Action may strengthen or weaken trust, create or violate obligations, alter authority, damage consent, change dependency, establish precedent, modify ownership, affect legitimacy, or transform responsibility. These Association-level Consequences may persist after the immediate material effects of the action have passed.</w:t>
      </w:r>
    </w:p>
    <w:p>
      <w:pPr>
        <w:pStyle w:val="BodyText"/>
        <w:spacing w:before="0" w:after="200"/>
        <w:rPr/>
      </w:pPr>
      <w:r>
        <w:rPr/>
        <w:t>For example, a truthful but painful disclosure may temporarily harm emotional state while strengthening trust over time. A deceptive action may solve an immediate problem while damaging the Association between the Actor and affected entities. The architecture therefore treats Association changes as central components of Consequence assessment.</w:t>
      </w:r>
    </w:p>
    <w:p>
      <w:pPr>
        <w:pStyle w:val="Heading3"/>
        <w:rPr/>
      </w:pPr>
      <w:r>
        <w:rPr/>
        <w:t>Consequences to Long-Term Flourishing</w:t>
      </w:r>
    </w:p>
    <w:p>
      <w:pPr>
        <w:pStyle w:val="BodyText"/>
        <w:spacing w:before="0" w:after="200"/>
        <w:rPr/>
      </w:pPr>
      <w:r>
        <w:rPr/>
        <w:t>Consequences may increase, decrease, preserve, or threaten the Long-Term Flourishing of relevant Flourishing Entities.</w:t>
      </w:r>
    </w:p>
    <w:p>
      <w:pPr>
        <w:pStyle w:val="BodyText"/>
        <w:spacing w:before="0" w:after="200"/>
        <w:rPr/>
      </w:pPr>
      <w:r>
        <w:rPr/>
        <w:t>Long-Term Flourishing is not treated as a simple immediate outcome. It concerns the sustained capacity of a Flourishing Entity to preserve and expand beneficial future state space in a manner compatible with the flourishing of the larger relevant World Context. Consequences may therefore affect flourishing through health, adaptive capacity, resilience, agency, knowledge, relationships, institutional support, ecological conditions, future opportunities, or access to necessary resources.</w:t>
      </w:r>
    </w:p>
    <w:p>
      <w:pPr>
        <w:pStyle w:val="BodyText"/>
        <w:spacing w:before="0" w:after="200"/>
        <w:rPr/>
      </w:pPr>
      <w:r>
        <w:rPr/>
        <w:t>A consequence may increase one dimension of flourishing while diminishing another. It may benefit one entity while harming another. It may impose short-term burden while preserving long-term adaptive capacity. The Reference Architecture identifies these changes conceptually; the Moral Assessment Methodology determines how they are estimated, compared, and represented.</w:t>
      </w:r>
    </w:p>
    <w:p>
      <w:pPr>
        <w:pStyle w:val="Heading3"/>
        <w:rPr/>
      </w:pPr>
      <w:r>
        <w:rPr/>
        <w:t>Consequences to Objectives</w:t>
      </w:r>
    </w:p>
    <w:p>
      <w:pPr>
        <w:pStyle w:val="BodyText"/>
        <w:spacing w:before="0" w:after="200"/>
        <w:rPr/>
      </w:pPr>
      <w:r>
        <w:rPr/>
        <w:t>Consequences may affect Objectives themselves. An Assessed Action may achieve, frustrate, modify, reveal, corrupt, or re-prioritize operational objectives.</w:t>
      </w:r>
    </w:p>
    <w:p>
      <w:pPr>
        <w:pStyle w:val="BodyText"/>
        <w:spacing w:before="0" w:after="200"/>
        <w:rPr/>
      </w:pPr>
      <w:r>
        <w:rPr/>
        <w:t>For example, an organization may pursue survival as an operational objective, but the means used may corrupt its institutional mission. A medical intervention may pursue patient recovery while revealing that the relevant objective should shift toward palliative care. A public policy may pursue efficiency while exposing a need to prioritize access, legitimacy, or resilience.</w:t>
      </w:r>
    </w:p>
    <w:p>
      <w:pPr>
        <w:pStyle w:val="BodyText"/>
        <w:spacing w:before="0" w:after="200"/>
        <w:rPr/>
      </w:pPr>
      <w:r>
        <w:rPr/>
        <w:t>Consequences to Objectives are important because objectives are not always static within an evolving World Context. The resulting World Context may change which objectives are relevant, which objectives remain legitimate, and which lower-level objectives must be subordinated to the moral-system objective.</w:t>
      </w:r>
    </w:p>
    <w:p>
      <w:pPr>
        <w:pStyle w:val="Heading3"/>
        <w:rPr/>
      </w:pPr>
      <w:r>
        <w:rPr/>
        <w:t>Consequences to Information and Evidence State</w:t>
      </w:r>
    </w:p>
    <w:p>
      <w:pPr>
        <w:pStyle w:val="BodyText"/>
        <w:spacing w:before="0" w:after="200"/>
        <w:rPr/>
      </w:pPr>
      <w:r>
        <w:rPr/>
        <w:t>Consequences may alter what is known, knowable, hidden, disclosed, distorted, recorded, forgotten, or believed.</w:t>
      </w:r>
    </w:p>
    <w:p>
      <w:pPr>
        <w:pStyle w:val="BodyText"/>
        <w:spacing w:before="0" w:after="200"/>
        <w:rPr/>
      </w:pPr>
      <w:r>
        <w:rPr/>
        <w:t>Information consequences include disclosure, concealment, misinformation, improved understanding, loss of evidence, degradation of trust in information sources, or changes in the ability of future agents to make informed decisions. These consequences may significantly affect future moral reasoning because later assessments depend on the information available within future Situational Contexts.</w:t>
      </w:r>
    </w:p>
    <w:p>
      <w:pPr>
        <w:pStyle w:val="BodyText"/>
        <w:spacing w:before="0" w:after="200"/>
        <w:rPr/>
      </w:pPr>
      <w:r>
        <w:rPr/>
        <w:t>For example, falsifying records may produce an immediate operational benefit while corrupting future evidence, impairing accountability, and reducing the ability of future Moral Agents to assess reality accurately. Conversely, transparent documentation may impose short-term burden while improving future assessment quality and institutional trust.</w:t>
      </w:r>
    </w:p>
    <w:p>
      <w:pPr>
        <w:pStyle w:val="Heading3"/>
        <w:rPr/>
      </w:pPr>
      <w:r>
        <w:rPr/>
        <w:t>Consequences to Constraints</w:t>
      </w:r>
    </w:p>
    <w:p>
      <w:pPr>
        <w:pStyle w:val="BodyText"/>
        <w:spacing w:before="0" w:after="200"/>
        <w:rPr/>
      </w:pPr>
      <w:r>
        <w:rPr/>
        <w:t>Consequences may alter the constraints that shape future action. Constraints may be physical, legal, institutional, technological, informational, financial, ecological, procedural, relational, or moral.</w:t>
      </w:r>
    </w:p>
    <w:p>
      <w:pPr>
        <w:pStyle w:val="BodyText"/>
        <w:spacing w:before="0" w:after="200"/>
        <w:rPr/>
      </w:pPr>
      <w:r>
        <w:rPr/>
        <w:t>An Assessed Action may create new constraints, remove existing constraints, tighten or loosen institutional rules, expand available choices, reduce future options, or make certain actions impossible. These constraint changes may be morally significant because they shape the future action space available to Flourishing Entities and Moral Agents.</w:t>
      </w:r>
    </w:p>
    <w:p>
      <w:pPr>
        <w:pStyle w:val="BodyText"/>
        <w:spacing w:before="0" w:after="200"/>
        <w:rPr/>
      </w:pPr>
      <w:r>
        <w:rPr/>
        <w:t>For example, a policy may reduce immediate risk while creating rigid institutional constraints that reduce future adaptability. A medical intervention may limit future treatment options while preventing immediate death. A governance decision may preserve order while constraining civil liberties. Consequence assessment must therefore represent how the action changes the structure of future possibility.</w:t>
      </w:r>
    </w:p>
    <w:p>
      <w:pPr>
        <w:pStyle w:val="Heading3"/>
        <w:rPr/>
      </w:pPr>
      <w:r>
        <w:rPr/>
        <w:t>Consequences to Institutions</w:t>
      </w:r>
    </w:p>
    <w:p>
      <w:pPr>
        <w:pStyle w:val="BodyText"/>
        <w:spacing w:before="0" w:after="200"/>
        <w:rPr/>
      </w:pPr>
      <w:r>
        <w:rPr/>
        <w:t>Consequences may affect institutions by strengthening, weakening, legitimizing, delegitimizing, corrupting, reforming, bypassing, or transforming them.</w:t>
      </w:r>
    </w:p>
    <w:p>
      <w:pPr>
        <w:pStyle w:val="BodyText"/>
        <w:spacing w:before="0" w:after="200"/>
        <w:rPr/>
      </w:pPr>
      <w:r>
        <w:rPr/>
        <w:t>Institutional consequences are often long-lived. A single action may establish precedent, change enforcement expectations, modify institutional trust, alter incentives, or affect the perceived legitimacy of governance structures. These changes may influence many future assessments beyond the immediate case.</w:t>
      </w:r>
    </w:p>
    <w:p>
      <w:pPr>
        <w:pStyle w:val="BodyText"/>
        <w:spacing w:before="0" w:after="200"/>
        <w:rPr/>
      </w:pPr>
      <w:r>
        <w:rPr/>
        <w:t>Institutional consequences are especially important in law, governance, medicine, organizations, public policy, AI deployment, and autonomous systems. An action that appears beneficial in a single case may damage the institution through which future flourishing is supported.</w:t>
      </w:r>
    </w:p>
    <w:p>
      <w:pPr>
        <w:pStyle w:val="Heading3"/>
        <w:rPr/>
      </w:pPr>
      <w:r>
        <w:rPr/>
        <w:t>Consequences to Policy States</w:t>
      </w:r>
    </w:p>
    <w:p>
      <w:pPr>
        <w:pStyle w:val="BodyText"/>
        <w:spacing w:before="0" w:after="200"/>
        <w:rPr/>
      </w:pPr>
      <w:r>
        <w:rPr/>
        <w:t>Consequences may alter the Policy States of Actors, affected entities, observers, responders, institutions, and other Moral Agents.</w:t>
      </w:r>
    </w:p>
    <w:p>
      <w:pPr>
        <w:pStyle w:val="BodyText"/>
        <w:spacing w:before="0" w:after="200"/>
        <w:rPr/>
      </w:pPr>
      <w:r>
        <w:rPr/>
        <w:t>A Policy State describes future decision tendencies, strategies, norms, learned behaviors, or action-selection patterns. When an Assessed Action changes what agents perceive as acceptable, effective, legitimate, rewarded, punished, or repeatable, it changes the future moral landscape.</w:t>
      </w:r>
    </w:p>
    <w:p>
      <w:pPr>
        <w:pStyle w:val="BodyText"/>
        <w:spacing w:before="0" w:after="200"/>
        <w:rPr/>
      </w:pPr>
      <w:r>
        <w:rPr/>
        <w:t>Policy-state consequences are essential to the architecture because they explain why the means used to achieve an outcome are morally significant. A harmful means may make similar harmful actions more likely in the future. A courageous or transparent action may strengthen future moral decision-making even when it carries short-term cost.</w:t>
      </w:r>
    </w:p>
    <w:p>
      <w:pPr>
        <w:pStyle w:val="BodyText"/>
        <w:spacing w:before="0" w:after="200"/>
        <w:rPr/>
      </w:pPr>
      <w:r>
        <w:rPr/>
        <w:t>These consequences are developed further in the section on Distributed Policy Effects.</w:t>
      </w:r>
    </w:p>
    <w:p>
      <w:pPr>
        <w:pStyle w:val="Heading3"/>
        <w:rPr/>
      </w:pPr>
      <w:r>
        <w:rPr/>
        <w:t>Consequences to Future Opportunities</w:t>
      </w:r>
    </w:p>
    <w:p>
      <w:pPr>
        <w:pStyle w:val="BodyText"/>
        <w:spacing w:before="0" w:after="200"/>
        <w:rPr/>
      </w:pPr>
      <w:r>
        <w:rPr/>
        <w:t>Consequences may create, preserve, expand, restrict, or eliminate Future Opportunities.</w:t>
      </w:r>
    </w:p>
    <w:p>
      <w:pPr>
        <w:pStyle w:val="BodyText"/>
        <w:spacing w:before="0" w:after="200"/>
        <w:rPr/>
      </w:pPr>
      <w:r>
        <w:rPr/>
        <w:t>Future Opportunities include possible beneficial actions, relationships, adaptations, choices, developments, or capabilities that remain available after the Assessed Action. They matter because Long-Term Flourishing depends partly on whether Flourishing Entities retain access to meaningful future possibilities.</w:t>
      </w:r>
    </w:p>
    <w:p>
      <w:pPr>
        <w:pStyle w:val="BodyText"/>
        <w:spacing w:before="0" w:after="200"/>
        <w:rPr/>
      </w:pPr>
      <w:r>
        <w:rPr/>
        <w:t>An action may be morally harmful if it unnecessarily forecloses important future options, even if it produces an immediate benefit. Conversely, an action may be morally justified if it preserves critical future opportunities under difficult conditions.</w:t>
      </w:r>
    </w:p>
    <w:p>
      <w:pPr>
        <w:pStyle w:val="Heading3"/>
        <w:rPr/>
      </w:pPr>
      <w:r>
        <w:rPr/>
        <w:t>Consequences to Future State Space</w:t>
      </w:r>
    </w:p>
    <w:p>
      <w:pPr>
        <w:pStyle w:val="BodyText"/>
        <w:spacing w:before="0" w:after="200"/>
        <w:rPr/>
      </w:pPr>
      <w:r>
        <w:rPr/>
        <w:t>Consequences may alter Future State Space: the broader landscape of possible future World Contexts reachable from the current World Context.</w:t>
      </w:r>
    </w:p>
    <w:p>
      <w:pPr>
        <w:pStyle w:val="BodyText"/>
        <w:spacing w:before="0" w:after="200"/>
        <w:rPr/>
      </w:pPr>
      <w:r>
        <w:rPr/>
        <w:t>Future State Space is broader than a list of discrete opportunities. It includes the range, quality, accessibility, and moral character of future configurations made possible or impossible by the Assessed Action. Actions may expand beneficial future state space, narrow it, redirect it, destabilize it, or make harmful regions of future state space more likely.</w:t>
      </w:r>
    </w:p>
    <w:p>
      <w:pPr>
        <w:pStyle w:val="BodyText"/>
        <w:spacing w:before="0" w:after="200"/>
        <w:rPr/>
      </w:pPr>
      <w:r>
        <w:rPr/>
        <w:t>This concept is central to long-term and civilizational assessment. Some actions may have limited immediate effects but substantial influence on the future states that later Moral Agents and Flourishing Entities can reach.</w:t>
      </w:r>
    </w:p>
    <w:p>
      <w:pPr>
        <w:pStyle w:val="Heading3"/>
        <w:rPr/>
      </w:pPr>
      <w:r>
        <w:rPr/>
        <w:t>Consequences Across Assessment Horizons</w:t>
      </w:r>
    </w:p>
    <w:p>
      <w:pPr>
        <w:pStyle w:val="BodyText"/>
        <w:spacing w:before="0" w:after="200"/>
        <w:rPr/>
      </w:pPr>
      <w:r>
        <w:rPr/>
        <w:t>Consequences must be evaluated across relevant Assessment Horizons. The default horizons include immediate, short-term, long-term, multi-generational, and civilizational timeframes.</w:t>
      </w:r>
    </w:p>
    <w:p>
      <w:pPr>
        <w:pStyle w:val="BodyText"/>
        <w:spacing w:before="0" w:after="200"/>
        <w:rPr/>
      </w:pPr>
      <w:r>
        <w:rPr/>
        <w:t>This is necessary because consequences may differ across time. An action may provide immediate relief but produce long-term dependency. It may cause short-term disruption but enable long-term adaptation. It may impose present cost while preserving future state space. It may produce immediate operational success while degrading institutional trust over generations.</w:t>
      </w:r>
    </w:p>
    <w:p>
      <w:pPr>
        <w:pStyle w:val="BodyText"/>
        <w:spacing w:before="0" w:after="200"/>
        <w:rPr/>
      </w:pPr>
      <w:r>
        <w:rPr/>
        <w:t>The Reference Architecture identifies the need to represent consequences across horizons. The Moral Assessment Methodology determines how horizon-specific uncertainty, confidence, and comparison are handled.</w:t>
      </w:r>
    </w:p>
    <w:p>
      <w:pPr>
        <w:pStyle w:val="Heading3"/>
        <w:rPr/>
      </w:pPr>
      <w:r>
        <w:rPr/>
        <w:t>Materiality of Consequences</w:t>
      </w:r>
    </w:p>
    <w:p>
      <w:pPr>
        <w:pStyle w:val="BodyText"/>
        <w:spacing w:before="0" w:after="200"/>
        <w:rPr/>
      </w:pPr>
      <w:r>
        <w:rPr/>
        <w:t>Not every possible consequence can or should be included at full resolution. The architecture requires attention to material consequences: effects that are significant enough to influence the assessment of the World Context Transition.</w:t>
      </w:r>
    </w:p>
    <w:p>
      <w:pPr>
        <w:pStyle w:val="BodyText"/>
        <w:spacing w:before="0" w:after="200"/>
        <w:rPr/>
      </w:pPr>
      <w:r>
        <w:rPr/>
        <w:t>Materiality may depend on magnitude, affected entities, reversibility, probability, severity, duration, institutional impact, effect on Long-Term Flourishing, effect on future state space, or effect on future decision policies. A low-probability consequence may still be material if its potential impact is severe enough. A subtle consequence may be material if it changes institutional trust or future behavior over time.</w:t>
      </w:r>
    </w:p>
    <w:p>
      <w:pPr>
        <w:pStyle w:val="BodyText"/>
        <w:spacing w:before="0" w:after="200"/>
        <w:rPr/>
      </w:pPr>
      <w:r>
        <w:rPr/>
        <w:t>The Reference Architecture identifies materiality as a necessary boundary concept. The Moral Assessment Methodology should define how materiality thresholds are estimated, justified, and reflected in confidence.</w:t>
      </w:r>
    </w:p>
    <w:p>
      <w:pPr>
        <w:pStyle w:val="Heading3"/>
        <w:rPr/>
      </w:pPr>
      <w:r>
        <w:rPr/>
        <w:t>Consequences and Uncertainty</w:t>
      </w:r>
    </w:p>
    <w:p>
      <w:pPr>
        <w:pStyle w:val="BodyText"/>
        <w:spacing w:before="0" w:after="200"/>
        <w:rPr/>
      </w:pPr>
      <w:r>
        <w:rPr/>
        <w:t>Consequences may be known, observed, predicted, uncertain, contested, or unknowable at the time of assessment.</w:t>
      </w:r>
    </w:p>
    <w:p>
      <w:pPr>
        <w:pStyle w:val="BodyText"/>
        <w:spacing w:before="0" w:after="200"/>
        <w:rPr/>
      </w:pPr>
      <w:r>
        <w:rPr/>
        <w:t>The architecture must support consequence representation under uncertainty. Proposed actions rely heavily on prediction. Ongoing actions rely on a mixture of prediction and emerging evidence. Completed actions may include observed outcomes, but uncertainty may remain regarding causation, intention, foreseeability, indirect effects, and long-term consequences.</w:t>
      </w:r>
    </w:p>
    <w:p>
      <w:pPr>
        <w:pStyle w:val="BodyText"/>
        <w:spacing w:before="0" w:after="200"/>
        <w:rPr/>
      </w:pPr>
      <w:r>
        <w:rPr/>
        <w:t>Uncertainty does not eliminate the need for assessment. Instead, uncertainty affects confidence. The architecture should preserve the distinction between the consequence itself, the evidence supporting it, the probability assigned to it, and the confidence attached to that estimate.</w:t>
      </w:r>
    </w:p>
    <w:p>
      <w:pPr>
        <w:pStyle w:val="Heading3"/>
        <w:rPr/>
      </w:pPr>
      <w:r>
        <w:rPr/>
        <w:t>Beneficial, Detrimental, and Ambiguous Consequences</w:t>
      </w:r>
    </w:p>
    <w:p>
      <w:pPr>
        <w:pStyle w:val="BodyText"/>
        <w:spacing w:before="0" w:after="200"/>
        <w:rPr/>
      </w:pPr>
      <w:r>
        <w:rPr/>
        <w:t>Consequences may be beneficial, detrimental, mixed, or ambiguous depending on how they affect relevant Flourishing Entities and the resulting World Context.</w:t>
      </w:r>
    </w:p>
    <w:p>
      <w:pPr>
        <w:pStyle w:val="BodyText"/>
        <w:spacing w:before="0" w:after="200"/>
        <w:rPr/>
      </w:pPr>
      <w:r>
        <w:rPr/>
        <w:t>A beneficial consequence preserves or promotes Long-Term Flourishing, strengthens legitimate Associations, improves adaptive capacity, expands beneficial future state space, or improves future moral reasoning. A detrimental consequence diminishes flourishing, damages relationships, corrupts institutions, constrains beneficial futures, or degrades policy states. An ambiguous consequence has uncertain, conflicting, or context-dependent implications.</w:t>
      </w:r>
    </w:p>
    <w:p>
      <w:pPr>
        <w:pStyle w:val="BodyText"/>
        <w:spacing w:before="0" w:after="200"/>
        <w:rPr/>
      </w:pPr>
      <w:r>
        <w:rPr/>
        <w:t>The architecture does not require every consequence to be classified in isolation. A consequence may be beneficial to one entity and detrimental to another, beneficial in one horizon and detrimental in another, or beneficial operationally while detrimental morally. The assessment must therefore evaluate consequences within the broader World Context Transition.</w:t>
      </w:r>
    </w:p>
    <w:p>
      <w:pPr>
        <w:pStyle w:val="Heading3"/>
        <w:rPr/>
      </w:pPr>
      <w:r>
        <w:rPr/>
        <w:t>Consequences and Recursive Assessment</w:t>
      </w:r>
    </w:p>
    <w:p>
      <w:pPr>
        <w:pStyle w:val="BodyText"/>
        <w:spacing w:before="0" w:after="200"/>
        <w:rPr/>
      </w:pPr>
      <w:r>
        <w:rPr/>
        <w:t>Consequences are recursive because the resulting World Context becomes the starting condition for future assessments.</w:t>
      </w:r>
    </w:p>
    <w:p>
      <w:pPr>
        <w:pStyle w:val="BodyText"/>
        <w:spacing w:before="0" w:after="200"/>
        <w:rPr/>
      </w:pPr>
      <w:r>
        <w:rPr/>
        <w:t>A consequence that changes trust, precedent, institutional rules, information quality, or policy states may influence many future actions. These recursive effects may be more morally significant than the immediate outcome of the original action.</w:t>
      </w:r>
    </w:p>
    <w:p>
      <w:pPr>
        <w:pStyle w:val="BodyText"/>
        <w:spacing w:before="0" w:after="200"/>
        <w:rPr/>
      </w:pPr>
      <w:r>
        <w:rPr/>
        <w:t>For example, tolerating deception to achieve a beneficial result may increase the likelihood of future deception. Punishing wrongdoing through an illegitimate process may weaken future institutional legitimacy. Acting transparently under difficult circumstances may strengthen future trust even if it produces short-term cost.</w:t>
      </w:r>
    </w:p>
    <w:p>
      <w:pPr>
        <w:pStyle w:val="BodyText"/>
        <w:spacing w:before="0" w:after="200"/>
        <w:rPr/>
      </w:pPr>
      <w:r>
        <w:rPr/>
        <w:t>Consequences therefore do not terminate at the immediate result. They propagate into future World Contexts.</w:t>
      </w:r>
    </w:p>
    <w:p>
      <w:pPr>
        <w:pStyle w:val="Heading3"/>
        <w:rPr/>
      </w:pPr>
      <w:r>
        <w:rPr/>
        <w:t>Architectural Boundary of Consequences</w:t>
      </w:r>
    </w:p>
    <w:p>
      <w:pPr>
        <w:pStyle w:val="BodyText"/>
        <w:spacing w:before="0" w:after="200"/>
        <w:rPr/>
      </w:pPr>
      <w:r>
        <w:rPr/>
        <w:t>The Reference Architecture defines Consequences as the state-changing effects of an Assessed Action across relevant Objects, Associations, Flourishing Entities, Objectives, information, constraints, institutions, policy states, future opportunities, and future state space.</w:t>
      </w:r>
    </w:p>
    <w:p>
      <w:pPr>
        <w:pStyle w:val="BodyText"/>
        <w:spacing w:before="0" w:after="200"/>
        <w:rPr/>
      </w:pPr>
      <w:r>
        <w:rPr/>
        <w:t>The Reference Architecture does not prescribe how consequences are predicted, weighted, scored, aggregated, or assigned probabilities. Those tasks belong to the Moral Assessment Methodology and to specific implementations.</w:t>
      </w:r>
    </w:p>
    <w:p>
      <w:pPr>
        <w:pStyle w:val="BodyText"/>
        <w:spacing w:before="0" w:after="200"/>
        <w:rPr/>
      </w:pPr>
      <w:r>
        <w:rPr/>
        <w:t>The architectural requirement is that Consequences be explicit, context-bound, traceable, horizon-aware, uncertainty-aware, and represented as contributors to the World Context Transition rather than as isolated outcomes.</w:t>
      </w:r>
    </w:p>
    <w:p>
      <w:pPr>
        <w:pStyle w:val="Heading2"/>
        <w:ind w:hanging="0" w:left="0"/>
        <w:rPr/>
      </w:pPr>
      <w:r>
        <w:rPr/>
        <w:t>Distributed Policy Effects</w:t>
      </w:r>
    </w:p>
    <w:p>
      <w:pPr>
        <w:pStyle w:val="BodyText"/>
        <w:spacing w:before="0" w:after="200"/>
        <w:rPr/>
      </w:pPr>
      <w:r>
        <w:rPr/>
        <w:t>Distributed Policy Effects are the changes an Assessed Action produces in the future decision policies of Actors, affected entities, observers, responders, institutions, and other relevant Moral Agents.</w:t>
      </w:r>
    </w:p>
    <w:p>
      <w:pPr>
        <w:pStyle w:val="BodyText"/>
        <w:spacing w:before="0" w:after="200"/>
        <w:rPr/>
      </w:pPr>
      <w:r>
        <w:rPr/>
        <w:t>A policy state describes an entity’s future action-selection tendencies. It includes what the entity is more or less likely to do in future situations, what it has learned from prior actions, what it perceives as acceptable, effective, rewarded, punished, legitimate, expected, or repeatable, and how it updates its future behavior in response to experience.</w:t>
      </w:r>
    </w:p>
    <w:p>
      <w:pPr>
        <w:pStyle w:val="BodyText"/>
        <w:spacing w:before="0" w:after="200"/>
        <w:rPr/>
      </w:pPr>
      <w:r>
        <w:rPr/>
        <w:t>Distributed Policy Effects are architecturally important because moral actions do not merely change immediate states. They also change the likelihood of future actions. An action may teach the Actor to repeat a harmful method, teach observers that the method is tolerated, teach institutions to encode the method as precedent, or teach affected entities to distrust future cooperation. These policy-state changes become part of the resulting World Context and therefore part of the moral assessment.</w:t>
      </w:r>
    </w:p>
    <w:p>
      <w:pPr>
        <w:pStyle w:val="Heading3"/>
        <w:rPr/>
      </w:pPr>
      <w:r>
        <w:rPr/>
        <w:t>Architectural Role of Distributed Policy Effects</w:t>
      </w:r>
    </w:p>
    <w:p>
      <w:pPr>
        <w:pStyle w:val="BodyText"/>
        <w:spacing w:before="0" w:after="200"/>
        <w:rPr/>
      </w:pPr>
      <w:r>
        <w:rPr/>
        <w:t>Distributed Policy Effects explain how an Assessed Action changes future moral behavior.</w:t>
      </w:r>
    </w:p>
    <w:p>
      <w:pPr>
        <w:pStyle w:val="BodyText"/>
        <w:spacing w:before="0" w:after="200"/>
        <w:rPr/>
      </w:pPr>
      <w:r>
        <w:rPr/>
        <w:t>In a simple outcome-focused assessment, an action may appear morally acceptable if it produces a desirable immediate result. This framework rejects that narrow view. The method used to produce the result may alter the policy states of the Actor and other relevant Moral Agents in ways that degrade future decision-making, weaken trust, normalize harmful conduct, or increase the probability of future moral injury.</w:t>
      </w:r>
    </w:p>
    <w:p>
      <w:pPr>
        <w:pStyle w:val="BodyText"/>
        <w:spacing w:before="0" w:after="200"/>
        <w:rPr/>
      </w:pPr>
      <w:r>
        <w:rPr/>
        <w:t>For this reason, Distributed Policy Effects are not treated as secondary commentary or explanation. They are part of the architecture. They are one of the mechanisms through which an Assessed Action transforms the World Context.</w:t>
      </w:r>
    </w:p>
    <w:p>
      <w:pPr>
        <w:pStyle w:val="BodyText"/>
        <w:spacing w:before="0" w:after="200"/>
        <w:rPr/>
      </w:pPr>
      <w:r>
        <w:rPr/>
        <w:t>The architecture therefore evaluates not only what happened, but also how the action changes what future agents are more likely to do.</w:t>
      </w:r>
    </w:p>
    <w:p>
      <w:pPr>
        <w:pStyle w:val="Heading3"/>
        <w:rPr/>
      </w:pPr>
      <w:r>
        <w:rPr/>
        <w:t>Policy States</w:t>
      </w:r>
    </w:p>
    <w:p>
      <w:pPr>
        <w:pStyle w:val="BodyText"/>
        <w:spacing w:before="0" w:after="200"/>
        <w:rPr/>
      </w:pPr>
      <w:r>
        <w:rPr/>
        <w:t>A Policy State is the current decision-guiding condition of a Moral Agent, institution, or other decision-capable entity.</w:t>
      </w:r>
    </w:p>
    <w:p>
      <w:pPr>
        <w:pStyle w:val="BodyText"/>
        <w:spacing w:before="0" w:after="200"/>
        <w:rPr/>
      </w:pPr>
      <w:r>
        <w:rPr/>
        <w:t>A Policy State may include formal rules, learned behaviors, institutional norms, incentives, habits, strategies, moral dispositions, operating procedures, model weights, training effects, precedent sensitivity, risk tolerance, trust assumptions, and expectations about what actions are acceptable or effective.</w:t>
      </w:r>
    </w:p>
    <w:p>
      <w:pPr>
        <w:pStyle w:val="BodyText"/>
        <w:spacing w:before="0" w:after="200"/>
        <w:rPr/>
      </w:pPr>
      <w:r>
        <w:rPr/>
        <w:t>Policy States may be explicit or implicit. A law, written procedure, organizational policy, or software rule may express an explicit policy state. A habit, cultural norm, learned preference, institutional incentive, or model behavior may express an implicit policy state.</w:t>
      </w:r>
    </w:p>
    <w:p>
      <w:pPr>
        <w:pStyle w:val="BodyText"/>
        <w:spacing w:before="0" w:after="200"/>
        <w:rPr/>
      </w:pPr>
      <w:r>
        <w:rPr/>
        <w:t>The Reference Architecture does not prescribe how Policy States are mathematically represented. It only requires that the architecture recognize that future decision behavior can change as a result of an Assessed Action.</w:t>
      </w:r>
    </w:p>
    <w:p>
      <w:pPr>
        <w:pStyle w:val="Heading3"/>
        <w:rPr/>
      </w:pPr>
      <w:r>
        <w:rPr/>
        <w:t>Actor Policy Effects</w:t>
      </w:r>
    </w:p>
    <w:p>
      <w:pPr>
        <w:pStyle w:val="BodyText"/>
        <w:spacing w:before="0" w:after="200"/>
        <w:rPr/>
      </w:pPr>
      <w:r>
        <w:rPr/>
        <w:t>Actor Policy Effects are changes to the future decision policy of the Actor who initiates, controls, authorizes, directs, or bears responsibility for the Assessed Action.</w:t>
      </w:r>
    </w:p>
    <w:p>
      <w:pPr>
        <w:pStyle w:val="BodyText"/>
        <w:spacing w:before="0" w:after="200"/>
        <w:rPr/>
      </w:pPr>
      <w:r>
        <w:rPr/>
        <w:t>These effects are central to the moral significance of means. If an Actor achieves an operational objective through deception, coercion, cruelty, fraud, abuse, negligence, or corruption, the Actor may become more likely to use similar means in the future. The action may reinforce a harmful behavioral pathway.</w:t>
      </w:r>
    </w:p>
    <w:p>
      <w:pPr>
        <w:pStyle w:val="BodyText"/>
        <w:spacing w:before="0" w:after="200"/>
        <w:rPr/>
      </w:pPr>
      <w:r>
        <w:rPr/>
        <w:t>Conversely, if an Actor achieves an objective through transparency, restraint, courage, fairness, accountability, or care under difficult conditions, the Actor may strengthen future decision policies that preserve and promote Long-Term Flourishing.</w:t>
      </w:r>
    </w:p>
    <w:p>
      <w:pPr>
        <w:pStyle w:val="BodyText"/>
        <w:spacing w:before="0" w:after="200"/>
        <w:rPr/>
      </w:pPr>
      <w:r>
        <w:rPr/>
        <w:t>The moral significance of an Assessed Action therefore includes how the action changes the Actor’s future action-selection tendencies, not merely whether the immediate objective was achieved.</w:t>
      </w:r>
    </w:p>
    <w:p>
      <w:pPr>
        <w:pStyle w:val="Heading3"/>
        <w:rPr/>
      </w:pPr>
      <w:r>
        <w:rPr/>
        <w:t>Observer Policy Effects</w:t>
      </w:r>
    </w:p>
    <w:p>
      <w:pPr>
        <w:pStyle w:val="BodyText"/>
        <w:spacing w:before="0" w:after="200"/>
        <w:rPr/>
      </w:pPr>
      <w:r>
        <w:rPr/>
        <w:t>Observer Policy Effects are changes to the future decision policies of entities that observe, learn about, or infer meaning from the Assessed Action.</w:t>
      </w:r>
    </w:p>
    <w:p>
      <w:pPr>
        <w:pStyle w:val="BodyText"/>
        <w:spacing w:before="0" w:after="200"/>
        <w:rPr/>
      </w:pPr>
      <w:r>
        <w:rPr/>
        <w:t>Observers may include individuals, organizations, institutions, communities, competitors, subordinates, collaborators, regulators, artificial systems, or future agents trained on records of the action. Observers may update their own behavior based on what they perceive the action to demonstrate.</w:t>
      </w:r>
    </w:p>
    <w:p>
      <w:pPr>
        <w:pStyle w:val="BodyText"/>
        <w:spacing w:before="0" w:after="200"/>
        <w:rPr/>
      </w:pPr>
      <w:r>
        <w:rPr/>
        <w:t>An observer may infer that a harmful method is acceptable, tolerated, rewarded, necessary, effective, or normal. Alternatively, an observer may infer that restraint, accountability, transparency, or care are expected and rewarded.</w:t>
      </w:r>
    </w:p>
    <w:p>
      <w:pPr>
        <w:pStyle w:val="BodyText"/>
        <w:spacing w:before="0" w:after="200"/>
        <w:rPr/>
      </w:pPr>
      <w:r>
        <w:rPr/>
        <w:t>Observer Policy Effects are important because the moral impact of an action can propagate beyond direct participants. A single action may become an example, precedent, warning, permission structure, deterrent, or norm-setting event for others.</w:t>
      </w:r>
    </w:p>
    <w:p>
      <w:pPr>
        <w:pStyle w:val="Heading3"/>
        <w:rPr/>
      </w:pPr>
      <w:r>
        <w:rPr/>
        <w:t>Affected-Entity Policy Effects</w:t>
      </w:r>
    </w:p>
    <w:p>
      <w:pPr>
        <w:pStyle w:val="BodyText"/>
        <w:spacing w:before="0" w:after="200"/>
        <w:rPr/>
      </w:pPr>
      <w:r>
        <w:rPr/>
        <w:t>Affected-Entity Policy Effects are changes to the future decision policies of entities directly or indirectly affected by the Assessed Action.</w:t>
      </w:r>
    </w:p>
    <w:p>
      <w:pPr>
        <w:pStyle w:val="BodyText"/>
        <w:spacing w:before="0" w:after="200"/>
        <w:rPr/>
      </w:pPr>
      <w:r>
        <w:rPr/>
        <w:t>An affected entity may become more trusting, cooperative, adaptive, resilient, defensive, fearful, retaliatory, disengaged, dependent, or resistant as a result of the action. These changes may affect future relationships, institutional participation, social cooperation, care-seeking behavior, compliance, learning, or willingness to engage with other Moral Agents.</w:t>
      </w:r>
    </w:p>
    <w:p>
      <w:pPr>
        <w:pStyle w:val="BodyText"/>
        <w:spacing w:before="0" w:after="200"/>
        <w:rPr/>
      </w:pPr>
      <w:r>
        <w:rPr/>
        <w:t>For example, a patient deceived by a physician may become less likely to trust medical professionals. An employee treated unjustly may become less cooperative with the organization. A community subjected to illegitimate authority may become less willing to comply with future legitimate governance.</w:t>
      </w:r>
    </w:p>
    <w:p>
      <w:pPr>
        <w:pStyle w:val="BodyText"/>
        <w:spacing w:before="0" w:after="200"/>
        <w:rPr/>
      </w:pPr>
      <w:r>
        <w:rPr/>
        <w:t>These effects matter because they alter the future relational and behavioral structure of the World Context.</w:t>
      </w:r>
    </w:p>
    <w:p>
      <w:pPr>
        <w:pStyle w:val="Heading3"/>
        <w:rPr/>
      </w:pPr>
      <w:r>
        <w:rPr/>
        <w:t>Responder Policy Effects</w:t>
      </w:r>
    </w:p>
    <w:p>
      <w:pPr>
        <w:pStyle w:val="BodyText"/>
        <w:spacing w:before="0" w:after="200"/>
        <w:rPr/>
      </w:pPr>
      <w:r>
        <w:rPr/>
        <w:t>Responder Policy Effects are changes in the future decision policies of entities that react to the Assessed Action or its consequences.</w:t>
      </w:r>
    </w:p>
    <w:p>
      <w:pPr>
        <w:pStyle w:val="BodyText"/>
        <w:spacing w:before="0" w:after="200"/>
        <w:rPr/>
      </w:pPr>
      <w:r>
        <w:rPr/>
        <w:t>Responders may include courts, regulators, communities, families, markets, institutions, emergency systems, advocacy groups, competitors, adversaries, ecological systems, or autonomous systems. Their responses may amplify, mitigate, redirect, punish, normalize, or institutionalize the effects of the original action.</w:t>
      </w:r>
    </w:p>
    <w:p>
      <w:pPr>
        <w:pStyle w:val="BodyText"/>
        <w:spacing w:before="0" w:after="200"/>
        <w:rPr/>
      </w:pPr>
      <w:r>
        <w:rPr/>
        <w:t>The policy state of a responder may change because the action creates a new perceived threat, precedent, incentive, obligation, or opportunity. For example, a regulator may become more aggressive after observing institutional abuse. A community may become more resistant after experiencing coercive governance. An adversary may escalate after interpreting restraint as weakness or brutality as justification for retaliation.</w:t>
      </w:r>
    </w:p>
    <w:p>
      <w:pPr>
        <w:pStyle w:val="BodyText"/>
        <w:spacing w:before="0" w:after="200"/>
        <w:rPr/>
      </w:pPr>
      <w:r>
        <w:rPr/>
        <w:t>Responder Policy Effects are relevant when they materially alter the resulting World Context or future state space.</w:t>
      </w:r>
    </w:p>
    <w:p>
      <w:pPr>
        <w:pStyle w:val="Heading3"/>
        <w:rPr/>
      </w:pPr>
      <w:r>
        <w:rPr/>
        <w:t>Institutional Policy Effects</w:t>
      </w:r>
    </w:p>
    <w:p>
      <w:pPr>
        <w:pStyle w:val="BodyText"/>
        <w:spacing w:before="0" w:after="200"/>
        <w:rPr/>
      </w:pPr>
      <w:r>
        <w:rPr/>
        <w:t>Institutional Policy Effects are changes to the decision policies, norms, procedures, incentives, precedents, legitimacy conditions, or enforcement patterns of institutions.</w:t>
      </w:r>
    </w:p>
    <w:p>
      <w:pPr>
        <w:pStyle w:val="BodyText"/>
        <w:spacing w:before="0" w:after="200"/>
        <w:rPr/>
      </w:pPr>
      <w:r>
        <w:rPr/>
        <w:t>Institutions are especially important because they preserve and transmit policy states across time. A harmful decision by an institution may become precedent. A tolerated abuse may become normal practice. A temporary exception may become a recurring loophole. A transparent correction may strengthen institutional trust and future accountability.</w:t>
      </w:r>
    </w:p>
    <w:p>
      <w:pPr>
        <w:pStyle w:val="BodyText"/>
        <w:spacing w:before="0" w:after="200"/>
        <w:rPr/>
      </w:pPr>
      <w:r>
        <w:rPr/>
        <w:t>Institutional Policy Effects may arise through formal changes, such as new policies, rules, laws, protocols, or procedures. They may also arise informally through culture, expectations, leadership behavior, incentive structures, enforcement patterns, or institutional memory.</w:t>
      </w:r>
    </w:p>
    <w:p>
      <w:pPr>
        <w:pStyle w:val="BodyText"/>
        <w:spacing w:before="0" w:after="200"/>
        <w:rPr/>
      </w:pPr>
      <w:r>
        <w:rPr/>
        <w:t>Because institutions often shape the future behavior of many Moral Agents, institutional policy effects may have consequences across long-term, multi-generational, or civilizational horizons.</w:t>
      </w:r>
    </w:p>
    <w:p>
      <w:pPr>
        <w:pStyle w:val="Heading3"/>
        <w:rPr/>
      </w:pPr>
      <w:r>
        <w:rPr/>
        <w:t>Artificial-System Policy Effects</w:t>
      </w:r>
    </w:p>
    <w:p>
      <w:pPr>
        <w:pStyle w:val="BodyText"/>
        <w:spacing w:before="0" w:after="200"/>
        <w:rPr/>
      </w:pPr>
      <w:r>
        <w:rPr/>
        <w:t>Artificial-System Policy Effects are changes to the future behavior of artificial systems, including autonomous agents, robotic systems, decision-support tools, machine learning systems, LLMs, and future artificial Moral Agents.</w:t>
      </w:r>
    </w:p>
    <w:p>
      <w:pPr>
        <w:pStyle w:val="BodyText"/>
        <w:spacing w:before="0" w:after="200"/>
        <w:rPr/>
      </w:pPr>
      <w:r>
        <w:rPr/>
        <w:t>These effects may occur through explicit rule changes, model updates, reinforcement signals, training data, prompt policies, memory, fine-tuning, retrieval systems, reward models, safety layers, governance protocols, or human feedback. The architecture does not prescribe any specific AI mechanism, but it recognizes that artificial systems may alter future behavior based on prior actions and outcomes.</w:t>
      </w:r>
    </w:p>
    <w:p>
      <w:pPr>
        <w:pStyle w:val="BodyText"/>
        <w:spacing w:before="0" w:after="200"/>
        <w:rPr/>
      </w:pPr>
      <w:r>
        <w:rPr/>
        <w:t>Artificial-System Policy Effects are especially important because artificial systems may act quickly, repeatedly, and at scale. A harmful policy update in such a system may propagate across many future actions before human review occurs. Conversely, a well-designed moral reasoning process may strengthen future alignment by updating the system toward safer and more flourishing-preserving behavior.</w:t>
      </w:r>
    </w:p>
    <w:p>
      <w:pPr>
        <w:pStyle w:val="BodyText"/>
        <w:spacing w:before="0" w:after="200"/>
        <w:rPr/>
      </w:pPr>
      <w:r>
        <w:rPr/>
        <w:t>This does not make AI the defining scope of the framework. It simply recognizes that artificial systems are one important domain in which policy-state changes may be morally significant.</w:t>
      </w:r>
    </w:p>
    <w:p>
      <w:pPr>
        <w:pStyle w:val="Heading3"/>
        <w:rPr/>
      </w:pPr>
      <w:r>
        <w:rPr/>
        <w:t>Means and Policy Degradation</w:t>
      </w:r>
    </w:p>
    <w:p>
      <w:pPr>
        <w:pStyle w:val="BodyText"/>
        <w:spacing w:before="0" w:after="200"/>
        <w:rPr/>
      </w:pPr>
      <w:r>
        <w:rPr/>
        <w:t>Distributed Policy Effects provide the architectural explanation for why the means used to achieve an outcome are morally significant.</w:t>
      </w:r>
    </w:p>
    <w:p>
      <w:pPr>
        <w:pStyle w:val="BodyText"/>
        <w:spacing w:before="0" w:after="200"/>
        <w:rPr/>
      </w:pPr>
      <w:r>
        <w:rPr/>
        <w:t>A harmful means may produce a desirable immediate outcome while degrading future policy states. Deception may make future deception easier. Cruelty may make future cruelty more acceptable. Fraud may normalize institutional dishonesty. Coercion may weaken trust and increase future resistance. Negligence may train an organization to tolerate avoidable risk.</w:t>
      </w:r>
    </w:p>
    <w:p>
      <w:pPr>
        <w:pStyle w:val="BodyText"/>
        <w:spacing w:before="0" w:after="200"/>
        <w:rPr/>
      </w:pPr>
      <w:r>
        <w:rPr/>
        <w:t>This is why the framework does not permit operational success to override the moral significance of the Assessed Action. The means used are part of what the action does to the World Context.</w:t>
      </w:r>
    </w:p>
    <w:p>
      <w:pPr>
        <w:pStyle w:val="BodyText"/>
        <w:spacing w:before="0" w:after="200"/>
        <w:rPr/>
      </w:pPr>
      <w:r>
        <w:rPr/>
        <w:t>An action is therefore not assessed only by its immediate result. It is assessed by the resulting World Context, including the future decision policies the action reinforces, weakens, normalizes, corrupts, or improves.</w:t>
      </w:r>
    </w:p>
    <w:p>
      <w:pPr>
        <w:pStyle w:val="Heading3"/>
        <w:rPr/>
      </w:pPr>
      <w:r>
        <w:rPr/>
        <w:t>Beneficial Policy Effects</w:t>
      </w:r>
    </w:p>
    <w:p>
      <w:pPr>
        <w:pStyle w:val="BodyText"/>
        <w:spacing w:before="0" w:after="200"/>
        <w:rPr/>
      </w:pPr>
      <w:r>
        <w:rPr/>
        <w:t>Distributed Policy Effects may also be beneficial.</w:t>
      </w:r>
    </w:p>
    <w:p>
      <w:pPr>
        <w:pStyle w:val="BodyText"/>
        <w:spacing w:before="0" w:after="200"/>
        <w:rPr/>
      </w:pPr>
      <w:r>
        <w:rPr/>
        <w:t>An Assessed Action may strengthen future decision policies that support Long-Term Flourishing. It may reinforce honesty, restraint, care, responsibility, courage, fairness, transparency, accountability, epistemic diligence, cooperation, institutional trust, or appropriate respect for authority and consent.</w:t>
      </w:r>
    </w:p>
    <w:p>
      <w:pPr>
        <w:pStyle w:val="BodyText"/>
        <w:spacing w:before="0" w:after="200"/>
        <w:rPr/>
      </w:pPr>
      <w:r>
        <w:rPr/>
        <w:t>For example, an institution that publicly acknowledges error and corrects course may strengthen future accountability. A physician who explains uncertainty honestly may strengthen patient trust and informed decision-making. A court that follows legitimate process even in a difficult case may strengthen respect for the rule of law. An autonomous system that declines an unsafe request may preserve a safer future behavior pattern.</w:t>
      </w:r>
    </w:p>
    <w:p>
      <w:pPr>
        <w:pStyle w:val="BodyText"/>
        <w:spacing w:before="0" w:after="200"/>
        <w:rPr/>
      </w:pPr>
      <w:r>
        <w:rPr/>
        <w:t>Beneficial policy effects are part of the resulting World Context and should be represented alongside material, relational, institutional, and flourishing effects.</w:t>
      </w:r>
    </w:p>
    <w:p>
      <w:pPr>
        <w:pStyle w:val="Heading3"/>
        <w:rPr/>
      </w:pPr>
      <w:r>
        <w:rPr/>
        <w:t>Policy Effects and Associations</w:t>
      </w:r>
    </w:p>
    <w:p>
      <w:pPr>
        <w:pStyle w:val="BodyText"/>
        <w:spacing w:before="0" w:after="200"/>
        <w:rPr/>
      </w:pPr>
      <w:r>
        <w:rPr/>
        <w:t>Policy Effects often operate through Associations.</w:t>
      </w:r>
    </w:p>
    <w:p>
      <w:pPr>
        <w:pStyle w:val="BodyText"/>
        <w:spacing w:before="0" w:after="200"/>
        <w:rPr/>
      </w:pPr>
      <w:r>
        <w:rPr/>
        <w:t>An action may change how one Object relates to another by modifying trust, authority, obligation, dependency, consent, legitimacy, or responsibility. These Association changes may then influence future decision behavior.</w:t>
      </w:r>
    </w:p>
    <w:p>
      <w:pPr>
        <w:pStyle w:val="BodyText"/>
        <w:spacing w:before="0" w:after="200"/>
        <w:rPr/>
      </w:pPr>
      <w:r>
        <w:rPr/>
        <w:t>For example, if an employer retaliates against an employee for raising a safety concern, the immediate consequence may affect the employee, but the policy effect may spread across the organization. Other employees may become less likely to report risks. Managers may become more likely to suppress dissent. The institution may become less capable of detecting future harm.</w:t>
      </w:r>
    </w:p>
    <w:p>
      <w:pPr>
        <w:pStyle w:val="BodyText"/>
        <w:spacing w:before="0" w:after="200"/>
        <w:rPr/>
      </w:pPr>
      <w:r>
        <w:rPr/>
        <w:t>In this way, Association changes and Policy Effects reinforce one another. The architecture should represent both when they materially affect the World Context Transition.</w:t>
      </w:r>
    </w:p>
    <w:p>
      <w:pPr>
        <w:pStyle w:val="Heading3"/>
        <w:rPr/>
      </w:pPr>
      <w:r>
        <w:rPr/>
        <w:t>Policy Effects Across Assessment Horizons</w:t>
      </w:r>
    </w:p>
    <w:p>
      <w:pPr>
        <w:pStyle w:val="BodyText"/>
        <w:spacing w:before="0" w:after="200"/>
        <w:rPr/>
      </w:pPr>
      <w:r>
        <w:rPr/>
        <w:t>Distributed Policy Effects may unfold across multiple Assessment Horizons.</w:t>
      </w:r>
    </w:p>
    <w:p>
      <w:pPr>
        <w:pStyle w:val="BodyText"/>
        <w:spacing w:before="0" w:after="200"/>
        <w:rPr/>
      </w:pPr>
      <w:r>
        <w:rPr/>
        <w:t>In the immediate horizon, an action may produce a rapid behavioral response. In the short term, it may influence repeated behavior among the Actor or affected entities. In the long term, it may become institutional practice, cultural norm, legal precedent, or learned system behavior. Across multi-generational or civilizational horizons, it may alter the moral expectations, governance structures, or decision policies available to future entities.</w:t>
      </w:r>
    </w:p>
    <w:p>
      <w:pPr>
        <w:pStyle w:val="BodyText"/>
        <w:spacing w:before="0" w:after="200"/>
        <w:rPr/>
      </w:pPr>
      <w:r>
        <w:rPr/>
        <w:t>This time structure is important because policy effects are often small at first but large in cumulative impact. A single harmful action may appear isolated until repeated, observed, normalized, and institutionalized. A single beneficial action may appear costly until it strengthens trust, accountability, and future cooperation.</w:t>
      </w:r>
    </w:p>
    <w:p>
      <w:pPr>
        <w:pStyle w:val="BodyText"/>
        <w:spacing w:before="0" w:after="200"/>
        <w:rPr/>
      </w:pPr>
      <w:r>
        <w:rPr/>
        <w:t>The Reference Architecture identifies these horizon-dependent policy effects. The Moral Assessment Methodology determines how their probability, magnitude, and confidence are estimated.</w:t>
      </w:r>
    </w:p>
    <w:p>
      <w:pPr>
        <w:pStyle w:val="Heading3"/>
        <w:rPr/>
      </w:pPr>
      <w:r>
        <w:rPr/>
        <w:t>Distributed Policy Effects and Responsibility</w:t>
      </w:r>
    </w:p>
    <w:p>
      <w:pPr>
        <w:pStyle w:val="BodyText"/>
        <w:spacing w:before="0" w:after="200"/>
        <w:rPr/>
      </w:pPr>
      <w:r>
        <w:rPr/>
        <w:t>Distributed Policy Effects are relevant to moral responsibility because a competent Moral Agent should consider how its action may influence future behavior.</w:t>
      </w:r>
    </w:p>
    <w:p>
      <w:pPr>
        <w:pStyle w:val="BodyText"/>
        <w:spacing w:before="0" w:after="200"/>
        <w:rPr/>
      </w:pPr>
      <w:r>
        <w:rPr/>
        <w:t>An Actor may bear responsibility not only for direct harms, but also for foreseeable policy effects. If harmful means are likely to normalize future harm, corrupt institutional practice, teach observers dangerous lessons, or increase the Actor’s own propensity to repeat the conduct, those effects are morally relevant.</w:t>
      </w:r>
    </w:p>
    <w:p>
      <w:pPr>
        <w:pStyle w:val="BodyText"/>
        <w:spacing w:before="0" w:after="200"/>
        <w:rPr/>
      </w:pPr>
      <w:r>
        <w:rPr/>
        <w:t>Responsibility depends on the Actor’s role, authority, knowledge, alternatives, capabilities, and reasonable foreseeability. The Reference Architecture does not assign responsibility mechanically. It ensures that policy-state effects are represented so the Moral Assessment Methodology can evaluate responsibility with appropriate evidence and confidence.</w:t>
      </w:r>
    </w:p>
    <w:p>
      <w:pPr>
        <w:pStyle w:val="Heading3"/>
        <w:rPr/>
      </w:pPr>
      <w:r>
        <w:rPr/>
        <w:t>Distributed Policy Effects and World Context Transition</w:t>
      </w:r>
    </w:p>
    <w:p>
      <w:pPr>
        <w:pStyle w:val="BodyText"/>
        <w:spacing w:before="0" w:after="200"/>
        <w:rPr/>
      </w:pPr>
      <w:r>
        <w:rPr/>
        <w:t>Distributed Policy Effects become part of the resulting World Context.</w:t>
      </w:r>
    </w:p>
    <w:p>
      <w:pPr>
        <w:pStyle w:val="BodyText"/>
        <w:spacing w:before="0" w:after="200"/>
        <w:rPr/>
      </w:pPr>
      <w:r>
        <w:rPr/>
        <w:t>The World Context after an Assessed Action includes not only altered material states, but also altered behavioral tendencies, institutional precedents, trust conditions, incentives, norms, and decision policies. These changes influence what future actions are likely, which future opportunities remain available, and how future moral assessments will begin.</w:t>
      </w:r>
    </w:p>
    <w:p>
      <w:pPr>
        <w:pStyle w:val="BodyText"/>
        <w:spacing w:before="0" w:after="200"/>
        <w:rPr/>
      </w:pPr>
      <w:r>
        <w:rPr/>
        <w:t>Because the resulting World Context becomes the starting condition for future assessments, policy effects have recursive moral significance. They are not merely predictions about later events. They are state changes in the moral system.</w:t>
      </w:r>
    </w:p>
    <w:p>
      <w:pPr>
        <w:pStyle w:val="Heading3"/>
        <w:rPr/>
      </w:pPr>
      <w:r>
        <w:rPr/>
        <w:t>Architectural Boundary of Distributed Policy Effects</w:t>
      </w:r>
    </w:p>
    <w:p>
      <w:pPr>
        <w:pStyle w:val="BodyText"/>
        <w:spacing w:before="0" w:after="200"/>
        <w:rPr/>
      </w:pPr>
      <w:r>
        <w:rPr/>
        <w:t>The Reference Architecture defines Distributed Policy Effects as changes to future decision policies caused or influenced by an Assessed Action.</w:t>
      </w:r>
    </w:p>
    <w:p>
      <w:pPr>
        <w:pStyle w:val="BodyText"/>
        <w:spacing w:before="0" w:after="200"/>
        <w:rPr/>
      </w:pPr>
      <w:r>
        <w:rPr/>
        <w:t>It does not prescribe a specific method for measuring policy updates, assigning probabilities, modeling learning behavior, estimating institutional norm change, or predicting future action distributions. Those tasks belong to the Moral Assessment Methodology and to specific implementations.</w:t>
      </w:r>
    </w:p>
    <w:p>
      <w:pPr>
        <w:pStyle w:val="BodyText"/>
        <w:spacing w:before="0" w:after="200"/>
        <w:rPr/>
      </w:pPr>
      <w:r>
        <w:rPr/>
        <w:t>The architectural requirement is that policy-state changes be represented explicitly when they are material to the World Context Transition. This includes policy changes in the Actor, affected entities, observers, responders, institutions, and artificial systems. A moral assessment that ignores material policy effects may incorrectly treat harmful means as acceptable merely because an immediate operational objective was achieved.</w:t>
      </w:r>
    </w:p>
    <w:p>
      <w:pPr>
        <w:pStyle w:val="Heading2"/>
        <w:ind w:hanging="0" w:left="0"/>
        <w:rPr/>
      </w:pPr>
      <w:r>
        <w:rPr/>
        <w:t>World Context Transition</w:t>
      </w:r>
    </w:p>
    <w:p>
      <w:pPr>
        <w:pStyle w:val="BodyText"/>
        <w:spacing w:before="0" w:after="200"/>
        <w:rPr/>
      </w:pPr>
      <w:r>
        <w:rPr/>
        <w:t>The World Context Transition is the transformation from the initial World Context before an Assessed Action to the resulting World Context after the action and its consequences are considered.</w:t>
      </w:r>
    </w:p>
    <w:p>
      <w:pPr>
        <w:pStyle w:val="BodyText"/>
        <w:spacing w:before="0" w:after="200"/>
        <w:rPr/>
      </w:pPr>
      <w:r>
        <w:rPr/>
        <w:t>It is the principal object of moral assessment in this framework. Individual consequences, changes in Long-Term Flourishing, changes to Associations, policy-state updates, institutional effects, and aggregate flourishing metrics all inform the assessment, but none of them alone is the moral assessment. The complete assessment evaluates the transition from one World Context to another.</w:t>
      </w:r>
    </w:p>
    <w:p>
      <w:pPr>
        <w:pStyle w:val="BodyText"/>
        <w:spacing w:before="0" w:after="200"/>
        <w:rPr/>
      </w:pPr>
      <w:r>
        <w:rPr/>
        <w:t xml:space="preserve">In ordinary terms, the architecture asks: </w:t>
      </w:r>
      <w:r>
        <w:rPr>
          <w:rStyle w:val="Emphasis"/>
        </w:rPr>
        <w:t>What kind of world does this action help create?</w:t>
      </w:r>
      <w:r>
        <w:rPr/>
        <w:t xml:space="preserve"> More precisely, it asks whether the resulting World Context better preserves and promotes the Long-Term Flourishing of relevant Flourishing Entities without materially diminishing the Long-Term Flourishing of others.</w:t>
      </w:r>
    </w:p>
    <w:p>
      <w:pPr>
        <w:pStyle w:val="Heading3"/>
        <w:ind w:hanging="0" w:left="0"/>
        <w:rPr/>
      </w:pPr>
      <w:r>
        <w:rPr/>
        <w:t>Architectural Role of the World Context Transition</w:t>
      </w:r>
    </w:p>
    <w:p>
      <w:pPr>
        <w:pStyle w:val="BodyText"/>
        <w:spacing w:before="0" w:after="200"/>
        <w:rPr/>
      </w:pPr>
      <w:r>
        <w:rPr/>
        <w:t>The World Context Transition is the integrating structure of the Reference Architecture.</w:t>
      </w:r>
    </w:p>
    <w:p>
      <w:pPr>
        <w:pStyle w:val="BodyText"/>
        <w:spacing w:before="0" w:after="200"/>
        <w:rPr/>
      </w:pPr>
      <w:r>
        <w:rPr/>
        <w:t>Earlier architectural elements identify the relevant context, Objects, Associations, Objectives, Assessed Action, Consequences, and Distributed Policy Effects. The World Context Transition brings these elements together by representing the overall state change produced by the action.</w:t>
      </w:r>
    </w:p>
    <w:p>
      <w:pPr>
        <w:pStyle w:val="BodyText"/>
        <w:spacing w:before="0" w:after="200"/>
        <w:rPr/>
      </w:pPr>
      <w:r>
        <w:rPr/>
        <w:t>The architecture does not assess the Assessed Action as an isolated event. It assesses the action by evaluating how the action changes the surrounding World Context. This includes immediate material effects, relational changes, institutional effects, changes to constraints, changes to information, changes to future opportunities, changes to future state space, and changes to the policy states of relevant Moral Agents.</w:t>
      </w:r>
    </w:p>
    <w:p>
      <w:pPr>
        <w:pStyle w:val="BodyText"/>
        <w:spacing w:before="0" w:after="200"/>
        <w:rPr/>
      </w:pPr>
      <w:r>
        <w:rPr/>
        <w:t xml:space="preserve">The World Context Transition therefore provides the architectural answer to the question: </w:t>
      </w:r>
      <w:r>
        <w:rPr>
          <w:rStyle w:val="Emphasis"/>
        </w:rPr>
        <w:t>What changed morally because this action occurred or failed to occur?</w:t>
      </w:r>
    </w:p>
    <w:p>
      <w:pPr>
        <w:pStyle w:val="Heading3"/>
        <w:ind w:hanging="0" w:left="0"/>
        <w:rPr/>
      </w:pPr>
      <w:r>
        <w:rPr/>
        <w:t>World Context Before and After the Action</w:t>
      </w:r>
    </w:p>
    <w:p>
      <w:pPr>
        <w:pStyle w:val="BodyText"/>
        <w:spacing w:before="0" w:after="200"/>
        <w:rPr/>
      </w:pPr>
      <w:r>
        <w:rPr/>
        <w:t>Each assessment begins with an initial World Context. This initial context includes the relevant state of Objects, Associations, institutions, information, constraints, objectives, authority conditions, policy states, future opportunities, and future state space at the time the assessment begins.</w:t>
      </w:r>
    </w:p>
    <w:p>
      <w:pPr>
        <w:pStyle w:val="BodyText"/>
        <w:spacing w:before="0" w:after="200"/>
        <w:rPr/>
      </w:pPr>
      <w:r>
        <w:rPr/>
        <w:t>The Assessed Action operates within a Situational Context derived from that initial World Context. The action then produces Consequences and Distributed Policy Effects. These effects alter the initial state and produce a resulting World Context.</w:t>
      </w:r>
    </w:p>
    <w:p>
      <w:pPr>
        <w:pStyle w:val="BodyText"/>
        <w:spacing w:before="0" w:after="200"/>
        <w:rPr/>
      </w:pPr>
      <w:r>
        <w:rPr/>
        <w:t>The resulting World Context is not merely a list of outcomes. It is the new state of the moral system after the action has changed entities, relationships, institutions, information, constraints, policies, and future possibilities. This resulting World Context becomes the starting condition for later assessments.</w:t>
      </w:r>
    </w:p>
    <w:p>
      <w:pPr>
        <w:pStyle w:val="BodyText"/>
        <w:spacing w:before="0" w:after="200"/>
        <w:rPr/>
      </w:pPr>
      <w:r>
        <w:rPr/>
        <w:t>This recursive structure is central to the architecture. Moral reasoning is not a one-time classification of an action. It is an ongoing process in which each action changes the state from which future moral reasoning begins.</w:t>
      </w:r>
    </w:p>
    <w:p>
      <w:pPr>
        <w:pStyle w:val="Heading3"/>
        <w:ind w:hanging="0" w:left="0"/>
        <w:rPr/>
      </w:pPr>
      <w:r>
        <w:rPr/>
        <w:t>Transition Rather Than Isolated Outcome</w:t>
      </w:r>
    </w:p>
    <w:p>
      <w:pPr>
        <w:pStyle w:val="BodyText"/>
        <w:spacing w:before="0" w:after="200"/>
        <w:rPr/>
      </w:pPr>
      <w:r>
        <w:rPr/>
        <w:t>The framework evaluates transitions rather than isolated outcomes.</w:t>
      </w:r>
    </w:p>
    <w:p>
      <w:pPr>
        <w:pStyle w:val="BodyText"/>
        <w:spacing w:before="0" w:after="200"/>
        <w:rPr/>
      </w:pPr>
      <w:r>
        <w:rPr/>
        <w:t>An isolated outcome may show that a particular goal was achieved, a harm occurred, a benefit was produced, or a rule was followed. A World Context Transition evaluates the broader change in the moral state of the world. It asks how the action affected the relevant system as a whole.</w:t>
      </w:r>
    </w:p>
    <w:p>
      <w:pPr>
        <w:pStyle w:val="BodyText"/>
        <w:spacing w:before="0" w:after="200"/>
        <w:rPr/>
      </w:pPr>
      <w:r>
        <w:rPr/>
        <w:t>For example, an action may save an institution in the short term while damaging trust, legitimizing deception, corrupting future decision policies, and weakening the institution’s moral credibility. A narrow outcome analysis might classify the action as successful. A World Context Transition analysis asks whether the resulting world is actually better when all relevant state changes are included.</w:t>
      </w:r>
    </w:p>
    <w:p>
      <w:pPr>
        <w:pStyle w:val="BodyText"/>
        <w:spacing w:before="0" w:after="200"/>
        <w:rPr/>
      </w:pPr>
      <w:r>
        <w:rPr/>
        <w:t>This distinction prevents the architecture from reducing moral assessment to a single local effect, a single actor preference, a single operational objective, or a single aggregate metric.</w:t>
      </w:r>
    </w:p>
    <w:p>
      <w:pPr>
        <w:pStyle w:val="Heading3"/>
        <w:ind w:hanging="0" w:left="0"/>
        <w:rPr/>
      </w:pPr>
      <w:r>
        <w:rPr/>
        <w:t>Components of a World Context Transition</w:t>
      </w:r>
    </w:p>
    <w:p>
      <w:pPr>
        <w:pStyle w:val="BodyText"/>
        <w:spacing w:before="0" w:after="200"/>
        <w:rPr/>
      </w:pPr>
      <w:r>
        <w:rPr/>
        <w:t>A World Context Transition may include changes to any architecturally relevant state. These may include:</w:t>
      </w:r>
    </w:p>
    <w:p>
      <w:pPr>
        <w:pStyle w:val="BodyText"/>
        <w:spacing w:before="0" w:after="200"/>
        <w:rPr/>
      </w:pPr>
      <w:r>
        <w:rPr/>
        <w:t>Changes to Objects, including health, capability, resources, access, security, autonomy, knowledge, or identity.</w:t>
      </w:r>
    </w:p>
    <w:p>
      <w:pPr>
        <w:pStyle w:val="BodyText"/>
        <w:spacing w:before="0" w:after="200"/>
        <w:rPr/>
      </w:pPr>
      <w:r>
        <w:rPr/>
        <w:t>Changes to Associations, including trust, obligation, authority, dependency, consent, legitimacy, responsibility, or ownership.</w:t>
      </w:r>
    </w:p>
    <w:p>
      <w:pPr>
        <w:pStyle w:val="BodyText"/>
        <w:spacing w:before="0" w:after="200"/>
        <w:rPr/>
      </w:pPr>
      <w:r>
        <w:rPr/>
        <w:t>Changes to Flourishing Entities, including changes to persistence, adaptive capacity, future possibilities, constructive participation, resilience, or other dimensions of Long-Term Flourishing.</w:t>
      </w:r>
    </w:p>
    <w:p>
      <w:pPr>
        <w:pStyle w:val="BodyText"/>
        <w:spacing w:before="0" w:after="200"/>
        <w:rPr/>
      </w:pPr>
      <w:r>
        <w:rPr/>
        <w:t>Changes to Moral Agents, including changes to responsibility, agency, knowledge, incentives, or future decision policies.</w:t>
      </w:r>
    </w:p>
    <w:p>
      <w:pPr>
        <w:pStyle w:val="BodyText"/>
        <w:spacing w:before="0" w:after="200"/>
        <w:rPr/>
      </w:pPr>
      <w:r>
        <w:rPr/>
        <w:t>Changes to Objectives, including achievement, frustration, corruption, refinement, or reprioritization of operational objectives.</w:t>
      </w:r>
    </w:p>
    <w:p>
      <w:pPr>
        <w:pStyle w:val="BodyText"/>
        <w:spacing w:before="0" w:after="200"/>
        <w:rPr/>
      </w:pPr>
      <w:r>
        <w:rPr/>
        <w:t>Changes to Institutions, including legitimacy, stability, precedent, norms, enforcement patterns, accountability, or public trust.</w:t>
      </w:r>
    </w:p>
    <w:p>
      <w:pPr>
        <w:pStyle w:val="BodyText"/>
        <w:spacing w:before="0" w:after="200"/>
        <w:rPr/>
      </w:pPr>
      <w:r>
        <w:rPr/>
        <w:t>Changes to Information and Evidence State, including disclosure, concealment, misinformation, uncertainty, record quality, or future knowability.</w:t>
      </w:r>
    </w:p>
    <w:p>
      <w:pPr>
        <w:pStyle w:val="BodyText"/>
        <w:spacing w:before="0" w:after="200"/>
        <w:rPr/>
      </w:pPr>
      <w:r>
        <w:rPr/>
        <w:t>Changes to Constraints, including legal, physical, institutional, technological, ecological, financial, temporal, informational, or moral constraints.</w:t>
      </w:r>
    </w:p>
    <w:p>
      <w:pPr>
        <w:pStyle w:val="BodyText"/>
        <w:spacing w:before="0" w:after="200"/>
        <w:rPr/>
      </w:pPr>
      <w:r>
        <w:rPr/>
        <w:t>Changes to Authority and Legitimacy Conditions, including whether an Actor or institution remains justified, trusted, procedurally valid, or recognized as having legitimate standing.</w:t>
      </w:r>
    </w:p>
    <w:p>
      <w:pPr>
        <w:pStyle w:val="BodyText"/>
        <w:spacing w:before="0" w:after="200"/>
        <w:rPr/>
      </w:pPr>
      <w:r>
        <w:rPr/>
        <w:t>Changes to Future Opportunities, including beneficial options that are preserved, expanded, narrowed, or foreclosed.</w:t>
      </w:r>
    </w:p>
    <w:p>
      <w:pPr>
        <w:pStyle w:val="BodyText"/>
        <w:spacing w:before="0" w:after="200"/>
        <w:rPr/>
      </w:pPr>
      <w:r>
        <w:rPr/>
        <w:t>Changes to Future State Space, including the broader set of possible future World Contexts made more or less reachable.</w:t>
      </w:r>
    </w:p>
    <w:p>
      <w:pPr>
        <w:pStyle w:val="BodyText"/>
        <w:spacing w:before="0" w:after="200"/>
        <w:rPr/>
      </w:pPr>
      <w:r>
        <w:rPr/>
        <w:t>Changes to Policy States, including changes in what Actors, observers, responders, institutions, or artificial systems are more likely to do in the future.</w:t>
      </w:r>
    </w:p>
    <w:p>
      <w:pPr>
        <w:pStyle w:val="BodyText"/>
        <w:spacing w:before="0" w:after="200"/>
        <w:rPr/>
      </w:pPr>
      <w:r>
        <w:rPr/>
        <w:t>The architecture does not require every assessment to represent every possible state change at the same level of detail. It requires that material state changes be identified, included, and made inspectable.</w:t>
      </w:r>
    </w:p>
    <w:p>
      <w:pPr>
        <w:pStyle w:val="Heading3"/>
        <w:ind w:hanging="0" w:left="0"/>
        <w:rPr/>
      </w:pPr>
      <w:r>
        <w:rPr/>
        <w:t>World Context Transition and Long-Term Flourishing</w:t>
      </w:r>
    </w:p>
    <w:p>
      <w:pPr>
        <w:pStyle w:val="BodyText"/>
        <w:spacing w:before="0" w:after="200"/>
        <w:rPr/>
      </w:pPr>
      <w:r>
        <w:rPr/>
        <w:t>Long-Term Flourishing is the primary directional concept used to evaluate the World Context Transition.</w:t>
      </w:r>
    </w:p>
    <w:p>
      <w:pPr>
        <w:pStyle w:val="BodyText"/>
        <w:spacing w:before="0" w:after="200"/>
        <w:rPr/>
      </w:pPr>
      <w:r>
        <w:rPr/>
        <w:t>The transition is assessed by considering how it affects the sustained flourishing of relevant Flourishing Entities across assessment horizons. However, Long-Term Flourishing is not treated as a simple scalar score that replaces the transition. It is a multidimensional relational state that informs the evaluation of the resulting World Context.</w:t>
      </w:r>
    </w:p>
    <w:p>
      <w:pPr>
        <w:pStyle w:val="BodyText"/>
        <w:spacing w:before="0" w:after="200"/>
        <w:rPr/>
      </w:pPr>
      <w:r>
        <w:rPr/>
        <w:t>An action may increase one entity’s flourishing while diminishing another’s. It may improve present conditions while degrading future adaptive capacity. It may expand operational capability while damaging institutional legitimacy. It may preserve life while diminishing autonomy. It may increase efficiency while reducing resilience.</w:t>
      </w:r>
    </w:p>
    <w:p>
      <w:pPr>
        <w:pStyle w:val="BodyText"/>
        <w:spacing w:before="0" w:after="200"/>
        <w:rPr/>
      </w:pPr>
      <w:r>
        <w:rPr/>
        <w:t>The World Context Transition allows these effects to be represented together rather than prematurely collapsed into a single number. Aggregate flourishing changes may summarize part of the transition, but the full moral assessment remains focused on the resulting World Context.</w:t>
      </w:r>
    </w:p>
    <w:p>
      <w:pPr>
        <w:pStyle w:val="Heading3"/>
        <w:ind w:hanging="0" w:left="0"/>
        <w:rPr/>
      </w:pPr>
      <w:r>
        <w:rPr/>
        <w:t>World Context Transition and Aggregate Metrics</w:t>
      </w:r>
    </w:p>
    <w:p>
      <w:pPr>
        <w:pStyle w:val="BodyText"/>
        <w:spacing w:before="0" w:after="200"/>
        <w:rPr/>
      </w:pPr>
      <w:r>
        <w:rPr/>
        <w:t>Aggregate metrics may inform the assessment, but they do not replace the World Context Transition.</w:t>
      </w:r>
    </w:p>
    <w:p>
      <w:pPr>
        <w:pStyle w:val="BodyText"/>
        <w:spacing w:before="0" w:after="200"/>
        <w:rPr/>
      </w:pPr>
      <w:r>
        <w:rPr/>
        <w:t>Aggregate flourishing changes can help estimate the scale, direction, and distribution of impact across relevant Flourishing Entities. They may be useful for comparison, prioritization, reporting, or decision support. However, aggregate metrics can obscure morally significant structure.</w:t>
      </w:r>
    </w:p>
    <w:p>
      <w:pPr>
        <w:pStyle w:val="BodyText"/>
        <w:spacing w:before="0" w:after="200"/>
        <w:rPr/>
      </w:pPr>
      <w:r>
        <w:rPr/>
        <w:t>For example, a large aggregate benefit may conceal severe harm to a vulnerable entity. A short-term aggregate improvement may conceal long-term institutional degradation. A narrow efficiency gain may conceal loss of trust, legitimacy, or future state space. A policy may increase total welfare while normalizing harmful means that degrade future moral decision-making.</w:t>
      </w:r>
    </w:p>
    <w:p>
      <w:pPr>
        <w:pStyle w:val="BodyText"/>
        <w:spacing w:before="0" w:after="200"/>
        <w:rPr/>
      </w:pPr>
      <w:r>
        <w:rPr/>
        <w:t>For this reason, the architecture treats aggregate metrics as assessment artifacts, not as the moral assessment itself. The morally relevant object is the complete transition from one World Context to another.</w:t>
      </w:r>
    </w:p>
    <w:p>
      <w:pPr>
        <w:pStyle w:val="Heading3"/>
        <w:ind w:hanging="0" w:left="0"/>
        <w:rPr/>
      </w:pPr>
      <w:r>
        <w:rPr/>
        <w:t>World Context Transition and Distributed Policy Effects</w:t>
      </w:r>
    </w:p>
    <w:p>
      <w:pPr>
        <w:pStyle w:val="BodyText"/>
        <w:spacing w:before="0" w:after="200"/>
        <w:rPr/>
      </w:pPr>
      <w:r>
        <w:rPr/>
        <w:t>Distributed Policy Effects are part of the World Context Transition.</w:t>
      </w:r>
    </w:p>
    <w:p>
      <w:pPr>
        <w:pStyle w:val="BodyText"/>
        <w:spacing w:before="0" w:after="200"/>
        <w:rPr/>
      </w:pPr>
      <w:r>
        <w:rPr/>
        <w:t>When an action changes the future decision policies of Actors, observers, responders, institutions, or artificial systems, those changes become part of the resulting World Context. They influence what future actions are likely, which means are normalized, which behaviors are discouraged, which institutions are trusted, and which future state spaces become more reachable.</w:t>
      </w:r>
    </w:p>
    <w:p>
      <w:pPr>
        <w:pStyle w:val="BodyText"/>
        <w:spacing w:before="0" w:after="200"/>
        <w:rPr/>
      </w:pPr>
      <w:r>
        <w:rPr/>
        <w:t>This is the architectural reason that the means used to achieve an outcome are morally significant. The means are not merely a pathway to the result. They alter the future moral system.</w:t>
      </w:r>
    </w:p>
    <w:p>
      <w:pPr>
        <w:pStyle w:val="BodyText"/>
        <w:spacing w:before="0" w:after="200"/>
        <w:rPr/>
      </w:pPr>
      <w:r>
        <w:rPr/>
        <w:t>An action that achieves a beneficial immediate outcome through deception, cruelty, coercion, fraud, negligence, or corruption may produce a resulting World Context in which harmful future policies are more likely. Conversely, an action that achieves an objective through transparency, restraint, care, courage, or accountability may strengthen future policy states that support Long-Term Flourishing.</w:t>
      </w:r>
    </w:p>
    <w:p>
      <w:pPr>
        <w:pStyle w:val="BodyText"/>
        <w:spacing w:before="0" w:after="200"/>
        <w:rPr/>
      </w:pPr>
      <w:r>
        <w:rPr/>
        <w:t>The World Context Transition therefore includes not only what changed externally, but also what changed in future decision behavior.</w:t>
      </w:r>
    </w:p>
    <w:p>
      <w:pPr>
        <w:pStyle w:val="Heading3"/>
        <w:ind w:hanging="0" w:left="0"/>
        <w:rPr/>
      </w:pPr>
      <w:r>
        <w:rPr/>
        <w:t>World Context Transition Across Assessment Horizons</w:t>
      </w:r>
    </w:p>
    <w:p>
      <w:pPr>
        <w:pStyle w:val="BodyText"/>
        <w:spacing w:before="0" w:after="200"/>
        <w:rPr/>
      </w:pPr>
      <w:r>
        <w:rPr/>
        <w:t>A World Context Transition must be evaluated across relevant Assessment Horizons.</w:t>
      </w:r>
    </w:p>
    <w:p>
      <w:pPr>
        <w:pStyle w:val="BodyText"/>
        <w:spacing w:before="0" w:after="200"/>
        <w:rPr/>
      </w:pPr>
      <w:r>
        <w:rPr/>
        <w:t>In the immediate horizon, the transition may include direct material effects such as injury, rescue, loss, treatment, or operational success. In the short-term horizon, it may include changes to relationships, trust, incentives, resources, or institutional response. In the long-term horizon, it may include changes to resilience, adaptive capacity, legitimacy, policy states, or future opportunities. In multi-generational and civilizational horizons, it may include changes to ecological systems, governance structures, cultural norms, technological trajectories, or future artificial systems.</w:t>
      </w:r>
    </w:p>
    <w:p>
      <w:pPr>
        <w:pStyle w:val="BodyText"/>
        <w:spacing w:before="0" w:after="200"/>
        <w:rPr/>
      </w:pPr>
      <w:r>
        <w:rPr/>
        <w:t>The same transition may appear beneficial in one horizon and detrimental in another. A responsible moral assessment must therefore avoid privileging the immediate horizon unless the assessment boundary explicitly justifies doing so.</w:t>
      </w:r>
    </w:p>
    <w:p>
      <w:pPr>
        <w:pStyle w:val="BodyText"/>
        <w:spacing w:before="0" w:after="200"/>
        <w:rPr/>
      </w:pPr>
      <w:r>
        <w:rPr/>
        <w:t>The Reference Architecture identifies the need for multi-horizon transition evaluation. The Moral Assessment Methodology determines how horizon-specific uncertainty, probability, and confidence are represented.</w:t>
      </w:r>
    </w:p>
    <w:p>
      <w:pPr>
        <w:pStyle w:val="Heading3"/>
        <w:ind w:hanging="0" w:left="0"/>
        <w:rPr/>
      </w:pPr>
      <w:r>
        <w:rPr/>
        <w:t>Predicted, Observed, and Revised Transitions</w:t>
      </w:r>
    </w:p>
    <w:p>
      <w:pPr>
        <w:pStyle w:val="BodyText"/>
        <w:spacing w:before="0" w:after="200"/>
        <w:rPr/>
      </w:pPr>
      <w:r>
        <w:rPr/>
        <w:t>A World Context Transition may be predicted, observed, or revised.</w:t>
      </w:r>
    </w:p>
    <w:p>
      <w:pPr>
        <w:pStyle w:val="BodyText"/>
        <w:spacing w:before="0" w:after="200"/>
        <w:rPr/>
      </w:pPr>
      <w:r>
        <w:rPr/>
        <w:t>A predicted transition is used when assessing a proposed action before it occurs. It represents the expected transformation of the World Context based on available evidence, causal reasoning, and uncertainty.</w:t>
      </w:r>
    </w:p>
    <w:p>
      <w:pPr>
        <w:pStyle w:val="BodyText"/>
        <w:spacing w:before="0" w:after="200"/>
        <w:rPr/>
      </w:pPr>
      <w:r>
        <w:rPr/>
        <w:t>An observed transition is used when assessing an action after it has occurred. It incorporates known outcomes and later-discovered evidence, while still distinguishing between what was knowable at the time of decision and what became known afterward.</w:t>
      </w:r>
    </w:p>
    <w:p>
      <w:pPr>
        <w:pStyle w:val="BodyText"/>
        <w:spacing w:before="0" w:after="200"/>
        <w:rPr/>
      </w:pPr>
      <w:r>
        <w:rPr/>
        <w:t>A revised transition is used when new evidence, better models, or additional outcomes change the assessment. Because the architecture supports continuous refinement, a prior assessment may be updated without changing the Reference Architecture itself.</w:t>
      </w:r>
    </w:p>
    <w:p>
      <w:pPr>
        <w:pStyle w:val="BodyText"/>
        <w:spacing w:before="0" w:after="200"/>
        <w:rPr/>
      </w:pPr>
      <w:r>
        <w:rPr/>
        <w:t>This distinction is important because moral assessment often occurs under uncertainty. The architecture must support prospective decision-making, ongoing monitoring, retrospective evaluation, and later revision.</w:t>
      </w:r>
    </w:p>
    <w:p>
      <w:pPr>
        <w:pStyle w:val="Heading3"/>
        <w:ind w:hanging="0" w:left="0"/>
        <w:rPr/>
      </w:pPr>
      <w:r>
        <w:rPr/>
        <w:t>World Context Transition and Responsibility</w:t>
      </w:r>
    </w:p>
    <w:p>
      <w:pPr>
        <w:pStyle w:val="BodyText"/>
        <w:spacing w:before="0" w:after="200"/>
        <w:rPr/>
      </w:pPr>
      <w:r>
        <w:rPr/>
        <w:t>The World Context Transition identifies what changed, but responsibility assessment requires additional interpretation.</w:t>
      </w:r>
    </w:p>
    <w:p>
      <w:pPr>
        <w:pStyle w:val="BodyText"/>
        <w:spacing w:before="0" w:after="200"/>
        <w:rPr/>
      </w:pPr>
      <w:r>
        <w:rPr/>
        <w:t>An Actor may not be responsible for every state change that follows an action. Responsibility depends on role, authority, knowledge, intent, capability, alternatives, foreseeability, and the information reasonably available within the Situational Context.</w:t>
      </w:r>
    </w:p>
    <w:p>
      <w:pPr>
        <w:pStyle w:val="BodyText"/>
        <w:spacing w:before="0" w:after="200"/>
        <w:rPr/>
      </w:pPr>
      <w:r>
        <w:rPr/>
        <w:t>However, the full transition must still be represented. Even unforeseeable consequences may alter the World Context. The distinction between causal effect and moral responsibility should be preserved rather than hidden.</w:t>
      </w:r>
    </w:p>
    <w:p>
      <w:pPr>
        <w:pStyle w:val="BodyText"/>
        <w:spacing w:before="0" w:after="200"/>
        <w:rPr/>
      </w:pPr>
      <w:r>
        <w:rPr/>
        <w:t>The Reference Architecture therefore separates transition representation from responsibility assignment. The transition describes the changed world. The Moral Assessment Methodology evaluates responsibility, confidence, and epistemic constraints.</w:t>
      </w:r>
    </w:p>
    <w:p>
      <w:pPr>
        <w:pStyle w:val="Heading3"/>
        <w:ind w:hanging="0" w:left="0"/>
        <w:rPr/>
      </w:pPr>
      <w:r>
        <w:rPr/>
        <w:t>World Context Transition and Moral Assessment</w:t>
      </w:r>
    </w:p>
    <w:p>
      <w:pPr>
        <w:pStyle w:val="BodyText"/>
        <w:spacing w:before="0" w:after="200"/>
        <w:rPr/>
      </w:pPr>
      <w:r>
        <w:rPr/>
        <w:t>The moral assessment evaluates whether the World Context Transition is preferable, permissible, impermissible, harmful, beneficial, ambiguous, or confidence-limited under the Foundational Axiom and relevant objectives.</w:t>
      </w:r>
    </w:p>
    <w:p>
      <w:pPr>
        <w:pStyle w:val="BodyText"/>
        <w:spacing w:before="0" w:after="200"/>
        <w:rPr/>
      </w:pPr>
      <w:r>
        <w:rPr/>
        <w:t>The assessment should consider whether the transition preserves and promotes Long-Term Flourishing, whether it materially diminishes any relevant Flourishing Entity, whether it damages Associations or institutions, whether it corrupts future decision policies, whether it forecloses important future opportunities, and whether it improves or degrades the future state space available to relevant entities.</w:t>
      </w:r>
    </w:p>
    <w:p>
      <w:pPr>
        <w:pStyle w:val="BodyText"/>
        <w:spacing w:before="0" w:after="200"/>
        <w:rPr/>
      </w:pPr>
      <w:r>
        <w:rPr/>
        <w:t>The architecture does not require that the transition produce a single moral label. Depending on the methodology and implementation, the assessment may produce a structured transition report, confidence estimate, risk flag, recommendation, permissibility judgment, or comparative ranking among candidate actions.</w:t>
      </w:r>
    </w:p>
    <w:p>
      <w:pPr>
        <w:pStyle w:val="BodyText"/>
        <w:spacing w:before="0" w:after="200"/>
        <w:rPr/>
      </w:pPr>
      <w:r>
        <w:rPr/>
        <w:t>The architectural requirement is that such outputs be derived from the World Context Transition rather than substituted for it.</w:t>
      </w:r>
    </w:p>
    <w:p>
      <w:pPr>
        <w:pStyle w:val="Heading3"/>
        <w:ind w:hanging="0" w:left="0"/>
        <w:rPr/>
      </w:pPr>
      <w:r>
        <w:rPr/>
        <w:t>Transition Comparison</w:t>
      </w:r>
    </w:p>
    <w:p>
      <w:pPr>
        <w:pStyle w:val="BodyText"/>
        <w:spacing w:before="0" w:after="200"/>
        <w:rPr/>
      </w:pPr>
      <w:r>
        <w:rPr/>
        <w:t>In many assessments, the relevant question is not whether one action produces a perfect World Context, but which available action produces the most morally supportable transition under uncertainty.</w:t>
      </w:r>
    </w:p>
    <w:p>
      <w:pPr>
        <w:pStyle w:val="BodyText"/>
        <w:spacing w:before="0" w:after="200"/>
        <w:rPr/>
      </w:pPr>
      <w:r>
        <w:rPr/>
        <w:t>The architecture may therefore compare multiple possible World Context Transitions. Each candidate action may produce a different resulting World Context, with different effects on Objects, Associations, institutions, policy states, Long-Term Flourishing, and future state space.</w:t>
      </w:r>
    </w:p>
    <w:p>
      <w:pPr>
        <w:pStyle w:val="BodyText"/>
        <w:spacing w:before="0" w:after="200"/>
        <w:rPr/>
      </w:pPr>
      <w:r>
        <w:rPr/>
        <w:t>Comparison must be grounded in the Foundational Axiom and constrained by the Assessment Boundary. A transition that produces greater operational success may still be morally inferior if it materially diminishes relevant Flourishing Entities, corrupts policy states, damages legitimate institutions, or forecloses future opportunities.</w:t>
      </w:r>
    </w:p>
    <w:p>
      <w:pPr>
        <w:pStyle w:val="BodyText"/>
        <w:spacing w:before="0" w:after="200"/>
        <w:rPr/>
      </w:pPr>
      <w:r>
        <w:rPr/>
        <w:t>The Reference Architecture allows such comparisons conceptually. The Moral Assessment Methodology defines how comparisons are performed.</w:t>
      </w:r>
    </w:p>
    <w:p>
      <w:pPr>
        <w:pStyle w:val="Heading3"/>
        <w:ind w:hanging="0" w:left="0"/>
        <w:rPr/>
      </w:pPr>
      <w:r>
        <w:rPr/>
        <w:t>Recursive Continuity</w:t>
      </w:r>
    </w:p>
    <w:p>
      <w:pPr>
        <w:pStyle w:val="BodyText"/>
        <w:spacing w:before="0" w:after="200"/>
        <w:rPr/>
      </w:pPr>
      <w:r>
        <w:rPr/>
        <w:t>The resulting World Context is not the end of the moral system. It becomes the starting point for future assessments.</w:t>
      </w:r>
    </w:p>
    <w:p>
      <w:pPr>
        <w:pStyle w:val="BodyText"/>
        <w:spacing w:before="0" w:after="200"/>
        <w:rPr/>
      </w:pPr>
      <w:r>
        <w:rPr/>
        <w:t>This recursive continuity means that each action participates in a chain of moral state transitions. The moral significance of an action includes the future contexts it creates, the future choices it enables or constrains, and the future decision policies it alters.</w:t>
      </w:r>
    </w:p>
    <w:p>
      <w:pPr>
        <w:pStyle w:val="BodyText"/>
        <w:spacing w:before="0" w:after="200"/>
        <w:rPr/>
      </w:pPr>
      <w:r>
        <w:rPr/>
        <w:t>A single action may therefore have significance beyond its immediate effects. It may set precedent, shift norms, change incentives, alter institutional memory, transform trust, or affect the way future agents reason about similar situations.</w:t>
      </w:r>
    </w:p>
    <w:p>
      <w:pPr>
        <w:pStyle w:val="BodyText"/>
        <w:spacing w:before="0" w:after="200"/>
        <w:rPr/>
      </w:pPr>
      <w:r>
        <w:rPr/>
        <w:t>The architecture is recursive because moral reasoning occurs in a world that is continually changed by prior action.</w:t>
      </w:r>
    </w:p>
    <w:p>
      <w:pPr>
        <w:pStyle w:val="Heading3"/>
        <w:ind w:hanging="0" w:left="0"/>
        <w:rPr/>
      </w:pPr>
      <w:r>
        <w:rPr/>
        <w:t>Architectural Boundary of the World Context Transition</w:t>
      </w:r>
    </w:p>
    <w:p>
      <w:pPr>
        <w:pStyle w:val="BodyText"/>
        <w:spacing w:before="0" w:after="200"/>
        <w:rPr/>
      </w:pPr>
      <w:r>
        <w:rPr/>
        <w:t>The Reference Architecture defines the World Context Transition as the complete conceptual transformation from the initial World Context to the resulting World Context caused or influenced by the Assessed Action.</w:t>
      </w:r>
    </w:p>
    <w:p>
      <w:pPr>
        <w:pStyle w:val="BodyText"/>
        <w:spacing w:before="0" w:after="200"/>
        <w:rPr/>
      </w:pPr>
      <w:r>
        <w:rPr/>
        <w:t>It does not prescribe a specific mathematical representation, causal model, scoring method, optimization function, probability model, or output format. Those belong to the Moral Assessment Methodology and to implementations.</w:t>
      </w:r>
    </w:p>
    <w:p>
      <w:pPr>
        <w:pStyle w:val="BodyText"/>
        <w:spacing w:before="0" w:after="200"/>
        <w:rPr/>
      </w:pPr>
      <w:r>
        <w:rPr/>
        <w:t>The architectural requirement is that the World Context Transition be explicit, traceable, context-bound, horizon-aware, uncertainty-aware, and capable of representing changes to entities, relationships, institutions, information, constraints, policy states, Long-Term Flourishing, future opportunities, and future state space.</w:t>
      </w:r>
    </w:p>
    <w:p>
      <w:pPr>
        <w:pStyle w:val="BodyText"/>
        <w:spacing w:before="0" w:after="200"/>
        <w:rPr/>
      </w:pPr>
      <w:r>
        <w:rPr/>
        <w:t>A moral assessment that ignores the World Context Transition risks reducing morality to isolated outcomes, actor preferences, short-term consequences, or aggregate metrics. This framework instead treats the transition from one World Context to the next as the central object of moral reasoning.</w:t>
      </w:r>
    </w:p>
    <w:p>
      <w:pPr>
        <w:pStyle w:val="Normal"/>
        <w:widowControl/>
        <w:bidi w:val="0"/>
        <w:spacing w:lineRule="auto" w:line="276"/>
        <w:jc w:val="left"/>
        <w:rPr/>
      </w:pPr>
      <w:r>
        <w:rPr/>
      </w:r>
    </w:p>
    <w:p>
      <w:pPr>
        <w:pStyle w:val="Heading1"/>
        <w:widowControl/>
        <w:numPr>
          <w:ilvl w:val="0"/>
          <w:numId w:val="179"/>
        </w:numPr>
        <w:bidi w:val="0"/>
        <w:spacing w:lineRule="auto" w:line="276"/>
        <w:ind w:hanging="0" w:left="0"/>
        <w:jc w:val="left"/>
        <w:rPr/>
      </w:pPr>
      <w:r>
        <w:rPr/>
        <w:t>Moral Assessment Methodology</w:t>
      </w:r>
    </w:p>
    <w:p>
      <w:pPr>
        <w:pStyle w:val="Heading2"/>
        <w:ind w:hanging="0" w:left="0"/>
        <w:rPr>
          <w:kern w:val="0"/>
          <w:lang w:val="en-US" w:eastAsia="en-US" w:bidi="ar-SA"/>
        </w:rPr>
      </w:pPr>
      <w:r>
        <w:rPr/>
        <w:t>Purpose</w:t>
      </w:r>
    </w:p>
    <w:p>
      <w:pPr>
        <w:pStyle w:val="BodyText"/>
        <w:spacing w:before="0" w:after="200"/>
        <w:rPr/>
      </w:pPr>
      <w:r>
        <w:rPr/>
        <w:t>The Moral Assessment Methodology defines how the Reference Architecture is used to evaluate an Assessed Action. The Reference Architecture identifies the conceptual elements of the framework; the methodology describes how those elements are brought together to perform a moral assessment.</w:t>
      </w:r>
    </w:p>
    <w:p>
      <w:pPr>
        <w:pStyle w:val="BodyText"/>
        <w:spacing w:before="0" w:after="200"/>
        <w:rPr/>
      </w:pPr>
      <w:r>
        <w:rPr/>
        <w:t>The purpose of this section is to operationalize the architecture without collapsing it into a particular implementation. The methodology explains how an assessment moves from an initial World Context, through context selection and action evaluation, toward a predicted or observed World Context Transition. It introduces the reasoning structure needed to evaluate changes to Objects, Associations, Flourishing Entities, Moral Agents, institutions, constraints, information states, policy states, future opportunities, and future state space.</w:t>
      </w:r>
    </w:p>
    <w:p>
      <w:pPr>
        <w:pStyle w:val="BodyText"/>
        <w:spacing w:before="0" w:after="200"/>
        <w:rPr/>
      </w:pPr>
      <w:r>
        <w:rPr/>
        <w:t>The methodology is necessary because the Reference Architecture, by design, does not prescribe equations, algorithms, software structures, inference engines, or deployment patterns. The architecture defines what must be represented. The methodology defines how those representations may be evaluated in a disciplined, repeatable, probabilistic, and confidence-sensitive manner.</w:t>
      </w:r>
    </w:p>
    <w:p>
      <w:pPr>
        <w:pStyle w:val="BodyText"/>
        <w:spacing w:before="0" w:after="200"/>
        <w:rPr/>
      </w:pPr>
      <w:r>
        <w:rPr/>
        <w:t>At a high level, the Moral Assessment Methodology performs five functions.</w:t>
      </w:r>
    </w:p>
    <w:p>
      <w:pPr>
        <w:pStyle w:val="BodyText"/>
        <w:spacing w:before="0" w:after="200"/>
        <w:rPr/>
      </w:pPr>
      <w:r>
        <w:rPr/>
        <w:t>First, it identifies the relevant context for the assessment. It begins with the World Context, applies the Assessment Boundary, and derives the Local Context and Situational Context needed to evaluate the Assessed Action.</w:t>
      </w:r>
    </w:p>
    <w:p>
      <w:pPr>
        <w:pStyle w:val="BodyText"/>
        <w:spacing w:before="0" w:after="200"/>
        <w:rPr/>
      </w:pPr>
      <w:r>
        <w:rPr/>
        <w:t>Second, it identifies the relevant architectural elements within that context. These include the Actor or Actors, relevant Objects, Associations, Flourishing Entities, Moral Agents, Objectives, constraints, information states, institutions, and affected future possibilities.</w:t>
      </w:r>
    </w:p>
    <w:p>
      <w:pPr>
        <w:pStyle w:val="BodyText"/>
        <w:spacing w:before="0" w:after="200"/>
        <w:rPr/>
      </w:pPr>
      <w:r>
        <w:rPr/>
        <w:t>Third, it represents the Assessed Action as a potential or actual state-transforming event. The action may be proposed, ongoing, completed, or omitted, but in each case the methodology evaluates how the action changes the World Context.</w:t>
      </w:r>
    </w:p>
    <w:p>
      <w:pPr>
        <w:pStyle w:val="BodyText"/>
        <w:spacing w:before="0" w:after="200"/>
        <w:rPr/>
      </w:pPr>
      <w:r>
        <w:rPr/>
        <w:t>Fourth, it estimates the consequences of the action across multiple Assessment Horizons. These consequences may include changes to entity states, Association states, Long-Term Flourishing, policy states, institutional conditions, information quality, constraints, future opportunities, and future state space.</w:t>
      </w:r>
    </w:p>
    <w:p>
      <w:pPr>
        <w:pStyle w:val="BodyText"/>
        <w:spacing w:before="0" w:after="200"/>
        <w:rPr/>
      </w:pPr>
      <w:r>
        <w:rPr/>
        <w:t>Fifth, it produces a moral assessment of the resulting World Context Transition. This assessment should include confidence estimates, evidence references, stated assumptions, affected entities, policy updates, and other supporting artifacts needed for inspection, audit, explanation, or downstream decision support.</w:t>
      </w:r>
    </w:p>
    <w:p>
      <w:pPr>
        <w:pStyle w:val="BodyText"/>
        <w:spacing w:before="0" w:after="200"/>
        <w:rPr/>
      </w:pPr>
      <w:r>
        <w:rPr/>
        <w:t>The methodology is explicitly probabilistic because moral assessment often occurs under incomplete information and uncertain prediction. Exact knowledge of the World Context is generally impossible. Exact prediction of future consequences is generally unavailable. The methodology therefore treats uncertainty as an explicit part of assessment rather than as a reason to avoid assessment altogether.</w:t>
      </w:r>
    </w:p>
    <w:p>
      <w:pPr>
        <w:pStyle w:val="BodyText"/>
        <w:spacing w:before="0" w:after="200"/>
        <w:rPr/>
      </w:pPr>
      <w:r>
        <w:rPr/>
        <w:t>The methodology is also multi-horizon. It evaluates actions across immediate, short-term, long-term, multi-generational, and civilizational horizons when those horizons are relevant. This is necessary because an action may appear beneficial in the immediate horizon while degrading institutions, trust, adaptive capacity, policy states, or future state space over longer horizons. Conversely, an action may impose short-term cost while preserving or expanding Long-Term Flourishing over longer horizons.</w:t>
      </w:r>
    </w:p>
    <w:p>
      <w:pPr>
        <w:pStyle w:val="BodyText"/>
        <w:spacing w:before="0" w:after="200"/>
        <w:rPr/>
      </w:pPr>
      <w:r>
        <w:rPr/>
        <w:t>The methodology preserves the framework’s distinction between aggregate flourishing and World Context Transition. Changes in Long-Term Flourishing may be estimated for relevant Flourishing Entities and may be aggregated for analytical purposes, but aggregate flourishing is not the moral assessment itself. The principal object of assessment remains the transition from the initial World Context to the resulting World Context.</w:t>
      </w:r>
    </w:p>
    <w:p>
      <w:pPr>
        <w:pStyle w:val="BodyText"/>
        <w:spacing w:before="0" w:after="200"/>
        <w:rPr/>
      </w:pPr>
      <w:r>
        <w:rPr/>
        <w:t>The methodology also preserves the architectural importance of Distributed Policy Effects. It evaluates not only the immediate consequences of an Assessed Action, but also how the action changes future decision policies of Actors, affected entities, observers, responders, institutions, and artificial systems. This allows the framework to represent why the means used to achieve an outcome are morally significant.</w:t>
      </w:r>
    </w:p>
    <w:p>
      <w:pPr>
        <w:pStyle w:val="BodyText"/>
        <w:spacing w:before="0" w:after="200"/>
        <w:rPr/>
      </w:pPr>
      <w:r>
        <w:rPr/>
        <w:t>The methodology should produce outputs that are structured, inspectable, and confidence-bounded. These outputs may support human review, machine reasoning, audit, explanation, comparison among candidate actions, or implementation within software systems such as decision-support tools, governance systems, autonomous systems, or Moral Reasoning Runtimes. However, the methodology does not require any particular output schema at the Reference Architecture level; specific schemas belong to implementation guidance or appendices.</w:t>
      </w:r>
    </w:p>
    <w:p>
      <w:pPr>
        <w:pStyle w:val="BodyText"/>
        <w:spacing w:before="0" w:after="200"/>
        <w:rPr/>
      </w:pPr>
      <w:r>
        <w:rPr/>
        <w:t>The purpose of the Moral Assessment Methodology is therefore not to eliminate uncertainty, disagreement, or judgment. Its purpose is to make moral assessment explicit, repeatable, transparent, probabilistic, and computationally representable. It provides the disciplined process through which the architecture evaluates whether an Assessed Action preserves and promotes Long-Term Flourishing without materially diminishing other relevant Flourishing Entities.</w:t>
      </w:r>
    </w:p>
    <w:p>
      <w:pPr>
        <w:pStyle w:val="Normal"/>
        <w:widowControl/>
        <w:bidi w:val="0"/>
        <w:spacing w:lineRule="auto" w:line="276"/>
        <w:jc w:val="left"/>
        <w:rPr/>
      </w:pPr>
      <w:r>
        <w:rPr/>
      </w:r>
    </w:p>
    <w:p>
      <w:pPr>
        <w:pStyle w:val="Heading2"/>
        <w:ind w:hanging="0" w:left="0"/>
        <w:rPr/>
      </w:pPr>
      <w:bookmarkStart w:id="7" w:name="__RefHeading___Toc23519_3508477456"/>
      <w:bookmarkEnd w:id="7"/>
      <w:r>
        <w:rPr/>
        <w:t>Assessment Workflow</w:t>
      </w:r>
    </w:p>
    <w:p>
      <w:pPr>
        <w:pStyle w:val="BodyText"/>
        <w:spacing w:before="0" w:after="200"/>
        <w:contextualSpacing/>
        <w:rPr/>
      </w:pPr>
      <w:r>
        <w:rPr/>
        <w:t>The Assessment Workflow describes the sequence through which the Moral Assessment Methodology applies the Reference Architecture to an Assessed Action. It provides a repeatable structure for moving from an initial World Context to a confidence-bounded moral assessment of the resulting World Context Transition.</w:t>
      </w:r>
    </w:p>
    <w:p>
      <w:pPr>
        <w:pStyle w:val="BodyText"/>
        <w:spacing w:before="0" w:after="200"/>
        <w:contextualSpacing/>
        <w:rPr/>
      </w:pPr>
      <w:r>
        <w:rPr/>
        <w:t>The workflow should be understood as a methodological sequence rather than a mandatory software execution pipeline. Implementations may perform these steps iteratively, recursively, in parallel, or through domain-specific computational methods. A conforming implementation should preserve the meaning of each step even if the computational order varies.</w:t>
      </w:r>
    </w:p>
    <w:p>
      <w:pPr>
        <w:pStyle w:val="BodyText"/>
        <w:spacing w:before="0" w:after="200"/>
        <w:contextualSpacing/>
        <w:rPr/>
      </w:pPr>
      <w:r>
        <w:rPr/>
        <w:t>At the highest level, the workflow is:</w:t>
      </w:r>
    </w:p>
    <w:p>
      <w:pPr>
        <w:pStyle w:val="BodyText"/>
        <w:spacing w:before="0" w:after="200"/>
        <w:contextualSpacing/>
        <w:rPr/>
      </w:pPr>
      <w:r>
        <w:rPr/>
        <w:t>World Context</w:t>
        <w:br/>
        <w:t>→ Assessment Boundary</w:t>
        <w:br/>
        <w:t>→ Local and Situational Context</w:t>
        <w:br/>
        <w:t>→ Relevant Objects and Associations</w:t>
        <w:br/>
        <w:t>→ Objectives</w:t>
        <w:br/>
        <w:t>→ Assessed Action</w:t>
        <w:br/>
        <w:t>→ Predicted State Transition</w:t>
        <w:br/>
        <w:t>→ World Context Transition</w:t>
        <w:br/>
        <w:t>→ Moral Assessment</w:t>
      </w:r>
    </w:p>
    <w:p>
      <w:pPr>
        <w:pStyle w:val="BodyText"/>
        <w:spacing w:before="0" w:after="200"/>
        <w:contextualSpacing/>
        <w:rPr/>
      </w:pPr>
      <w:r>
        <w:rPr/>
        <w:t>This sequence begins with the broadest possible state of the world and progressively narrows the assessment to the specific action, affected entities, relevant relationships, applicable objectives, predicted consequences, and final transition judgment. The purpose is not to produce certainty, but to produce a structured, inspectable, probabilistic assessment with explicit assumptions and confidence estimates.</w:t>
      </w:r>
    </w:p>
    <w:p>
      <w:pPr>
        <w:pStyle w:val="Heading3"/>
        <w:ind w:hanging="0" w:left="0"/>
        <w:rPr/>
      </w:pPr>
      <w:r>
        <w:rPr/>
        <w:t>Establish the Initial World Context</w:t>
      </w:r>
    </w:p>
    <w:p>
      <w:pPr>
        <w:pStyle w:val="BodyText"/>
        <w:spacing w:before="0" w:after="200"/>
        <w:contextualSpacing/>
        <w:rPr/>
      </w:pPr>
      <w:r>
        <w:rPr/>
        <w:t>The workflow begins by identifying the initial World Context: the complete theoretical state of the world at the moment the assessment begins.</w:t>
      </w:r>
    </w:p>
    <w:p>
      <w:pPr>
        <w:pStyle w:val="BodyText"/>
        <w:spacing w:before="0" w:after="200"/>
        <w:contextualSpacing/>
        <w:rPr/>
      </w:pPr>
      <w:r>
        <w:rPr/>
        <w:t>In practice, the full World Context cannot be completely represented. The methodology therefore begins by identifying the available representation of the World Context, including known Objects, Associations, institutions, constraints, information states, policy states, future opportunities, and relevant uncertainties.</w:t>
      </w:r>
    </w:p>
    <w:p>
      <w:pPr>
        <w:pStyle w:val="BodyText"/>
        <w:spacing w:before="0" w:after="200"/>
        <w:contextualSpacing/>
        <w:rPr/>
      </w:pPr>
      <w:r>
        <w:rPr/>
        <w:t>This step establishes the starting condition for the assessment. It should identify what is known, what is unknown, what is assumed, and what portions of the broader World Context may need to be excluded because of computational, evidentiary, or practical limits.</w:t>
      </w:r>
    </w:p>
    <w:p>
      <w:pPr>
        <w:pStyle w:val="BodyText"/>
        <w:spacing w:before="0" w:after="200"/>
        <w:contextualSpacing/>
        <w:rPr/>
      </w:pPr>
      <w:r>
        <w:rPr/>
        <w:t>The initial World Context should include, where relevant:</w:t>
      </w:r>
    </w:p>
    <w:p>
      <w:pPr>
        <w:pStyle w:val="BodyText"/>
        <w:spacing w:before="0" w:after="200"/>
        <w:contextualSpacing/>
        <w:rPr/>
      </w:pPr>
      <w:r>
        <w:rPr/>
        <w:t>Objects and Flourishing Entities that may be affected.</w:t>
      </w:r>
    </w:p>
    <w:p>
      <w:pPr>
        <w:pStyle w:val="BodyText"/>
        <w:spacing w:before="0" w:after="200"/>
        <w:contextualSpacing/>
        <w:rPr/>
      </w:pPr>
      <w:r>
        <w:rPr/>
        <w:t>Associations among those Objects.</w:t>
      </w:r>
    </w:p>
    <w:p>
      <w:pPr>
        <w:pStyle w:val="BodyText"/>
        <w:spacing w:before="0" w:after="200"/>
        <w:contextualSpacing/>
        <w:rPr/>
      </w:pPr>
      <w:r>
        <w:rPr/>
        <w:t>Current state descriptors for entities, relationships, institutions, and policies.</w:t>
      </w:r>
    </w:p>
    <w:p>
      <w:pPr>
        <w:pStyle w:val="BodyText"/>
        <w:spacing w:before="0" w:after="200"/>
        <w:contextualSpacing/>
        <w:rPr/>
      </w:pPr>
      <w:r>
        <w:rPr/>
        <w:t>Existing constraints, obligations, authority structures, and legitimacy conditions.</w:t>
      </w:r>
    </w:p>
    <w:p>
      <w:pPr>
        <w:pStyle w:val="BodyText"/>
        <w:spacing w:before="0" w:after="200"/>
        <w:contextualSpacing/>
        <w:rPr/>
      </w:pPr>
      <w:r>
        <w:rPr/>
        <w:t>Known information, missing information, uncertain evidence, and conflicting evidence.</w:t>
      </w:r>
    </w:p>
    <w:p>
      <w:pPr>
        <w:pStyle w:val="BodyText"/>
        <w:spacing w:before="0" w:after="200"/>
        <w:contextualSpacing/>
        <w:rPr/>
      </w:pPr>
      <w:r>
        <w:rPr/>
        <w:t>Relevant future opportunities and current future state space.</w:t>
      </w:r>
    </w:p>
    <w:p>
      <w:pPr>
        <w:pStyle w:val="BodyText"/>
        <w:spacing w:before="0" w:after="200"/>
        <w:contextualSpacing/>
        <w:rPr/>
      </w:pPr>
      <w:r>
        <w:rPr/>
        <w:t>The initial World Context is not yet the assessment. It is the starting state from which the assessment proceeds.</w:t>
      </w:r>
    </w:p>
    <w:p>
      <w:pPr>
        <w:pStyle w:val="Heading3"/>
        <w:ind w:hanging="0" w:left="0"/>
        <w:rPr/>
      </w:pPr>
      <w:r>
        <w:rPr/>
        <w:t>Apply the Assessment Boundary</w:t>
      </w:r>
    </w:p>
    <w:p>
      <w:pPr>
        <w:pStyle w:val="BodyText"/>
        <w:spacing w:before="0" w:after="200"/>
        <w:contextualSpacing/>
        <w:rPr/>
      </w:pPr>
      <w:r>
        <w:rPr/>
        <w:t>The next step is to apply the Assessment Boundary. The Assessment Boundary determines which portions of the World Context are included in the assessment and which are excluded or treated at lower resolution.</w:t>
      </w:r>
    </w:p>
    <w:p>
      <w:pPr>
        <w:pStyle w:val="BodyText"/>
        <w:spacing w:before="0" w:after="200"/>
        <w:contextualSpacing/>
        <w:rPr/>
      </w:pPr>
      <w:r>
        <w:rPr/>
        <w:t>This step operationalizes the relevant scope structures. These may include domain scope, entity scope, causal scope, temporal scope, epistemic scope, perspective scope, jurisdictional scope, authority scope, and computational scope.</w:t>
      </w:r>
    </w:p>
    <w:p>
      <w:pPr>
        <w:pStyle w:val="BodyText"/>
        <w:spacing w:before="0" w:after="200"/>
        <w:contextualSpacing/>
        <w:rPr/>
      </w:pPr>
      <w:r>
        <w:rPr/>
        <w:t>The Assessment Boundary should make explicit:</w:t>
      </w:r>
    </w:p>
    <w:p>
      <w:pPr>
        <w:pStyle w:val="BodyText"/>
        <w:spacing w:before="0" w:after="200"/>
        <w:contextualSpacing/>
        <w:rPr/>
      </w:pPr>
      <w:r>
        <w:rPr/>
        <w:t>The class of assessment being performed.</w:t>
      </w:r>
    </w:p>
    <w:p>
      <w:pPr>
        <w:pStyle w:val="BodyText"/>
        <w:spacing w:before="0" w:after="200"/>
        <w:contextualSpacing/>
        <w:rPr/>
      </w:pPr>
      <w:r>
        <w:rPr/>
        <w:t>The domain or domains involved.</w:t>
      </w:r>
    </w:p>
    <w:p>
      <w:pPr>
        <w:pStyle w:val="BodyText"/>
        <w:spacing w:before="0" w:after="200"/>
        <w:contextualSpacing/>
        <w:rPr/>
      </w:pPr>
      <w:r>
        <w:rPr/>
        <w:t>The entities and relationships initially considered relevant.</w:t>
      </w:r>
    </w:p>
    <w:p>
      <w:pPr>
        <w:pStyle w:val="BodyText"/>
        <w:spacing w:before="0" w:after="200"/>
        <w:contextualSpacing/>
        <w:rPr/>
      </w:pPr>
      <w:r>
        <w:rPr/>
        <w:t>The temporal horizons to be evaluated.</w:t>
      </w:r>
    </w:p>
    <w:p>
      <w:pPr>
        <w:pStyle w:val="BodyText"/>
        <w:spacing w:before="0" w:after="200"/>
        <w:contextualSpacing/>
        <w:rPr/>
      </w:pPr>
      <w:r>
        <w:rPr/>
        <w:t>The causal range of consequences to be considered.</w:t>
      </w:r>
    </w:p>
    <w:p>
      <w:pPr>
        <w:pStyle w:val="BodyText"/>
        <w:spacing w:before="0" w:after="200"/>
        <w:contextualSpacing/>
        <w:rPr/>
      </w:pPr>
      <w:r>
        <w:rPr/>
        <w:t>The evidence boundary for the assessment.</w:t>
      </w:r>
    </w:p>
    <w:p>
      <w:pPr>
        <w:pStyle w:val="BodyText"/>
        <w:spacing w:before="0" w:after="200"/>
        <w:contextualSpacing/>
        <w:rPr/>
      </w:pPr>
      <w:r>
        <w:rPr/>
        <w:t>The perspective or authority position from which the assessment is being conducted.</w:t>
      </w:r>
    </w:p>
    <w:p>
      <w:pPr>
        <w:pStyle w:val="BodyText"/>
        <w:spacing w:before="0" w:after="200"/>
        <w:contextualSpacing/>
        <w:rPr/>
      </w:pPr>
      <w:r>
        <w:rPr/>
        <w:t>The practical limits of representation or computation.</w:t>
      </w:r>
    </w:p>
    <w:p>
      <w:pPr>
        <w:pStyle w:val="BodyText"/>
        <w:spacing w:before="0" w:after="200"/>
        <w:contextualSpacing/>
        <w:rPr/>
      </w:pPr>
      <w:r>
        <w:rPr/>
        <w:t>The Assessment Boundary should not be treated as a hidden assumption. If a boundary excludes a possible consequence, entity, time horizon, or evidence source, that exclusion should be visible and should affect the confidence of the resulting assessment when material.</w:t>
      </w:r>
    </w:p>
    <w:p>
      <w:pPr>
        <w:pStyle w:val="Heading3"/>
        <w:ind w:hanging="0" w:left="0"/>
        <w:rPr/>
      </w:pPr>
      <w:r>
        <w:rPr/>
        <w:t>Derive the Local Context</w:t>
      </w:r>
    </w:p>
    <w:p>
      <w:pPr>
        <w:pStyle w:val="BodyText"/>
        <w:spacing w:before="0" w:after="200"/>
        <w:contextualSpacing/>
        <w:rPr/>
      </w:pPr>
      <w:r>
        <w:rPr/>
        <w:t>The Local Context is the subset of the World Context relevant to a class or domain of moral assessments.</w:t>
      </w:r>
    </w:p>
    <w:p>
      <w:pPr>
        <w:pStyle w:val="BodyText"/>
        <w:spacing w:before="0" w:after="200"/>
        <w:contextualSpacing/>
        <w:rPr/>
      </w:pPr>
      <w:r>
        <w:rPr/>
        <w:t>Although the compressed workflow sometimes moves directly from Assessment Boundary to Situational Context, the methodology should preserve the Local Context as an intermediate step when domain structure matters. This is especially important in healthcare, law, public policy, environmental stewardship, robotics, organizational governance, autonomous systems, and AI alignment.</w:t>
      </w:r>
    </w:p>
    <w:p>
      <w:pPr>
        <w:pStyle w:val="BodyText"/>
        <w:spacing w:before="0" w:after="200"/>
        <w:contextualSpacing/>
        <w:rPr/>
      </w:pPr>
      <w:r>
        <w:rPr/>
        <w:t>The Local Context identifies the domain-relevant background for the assessment, including typical entity classes, relevant Associations, institutional norms, evidence standards, obligations, domain-specific risks, operational objectives, and applicable constraints.</w:t>
      </w:r>
    </w:p>
    <w:p>
      <w:pPr>
        <w:pStyle w:val="BodyText"/>
        <w:spacing w:before="0" w:after="200"/>
        <w:contextualSpacing/>
        <w:rPr/>
      </w:pPr>
      <w:r>
        <w:rPr/>
        <w:t>For example, a medical ethics Local Context may include patient autonomy, clinical evidence, informed consent, professional responsibility, family relationships, and institutional care obligations. A legal Local Context may include precedent, authority, due process, jurisdiction, proportionality, legitimacy, and institutional trust.</w:t>
      </w:r>
    </w:p>
    <w:p>
      <w:pPr>
        <w:pStyle w:val="BodyText"/>
        <w:spacing w:before="0" w:after="200"/>
        <w:contextualSpacing/>
        <w:rPr/>
      </w:pPr>
      <w:r>
        <w:rPr/>
        <w:t>The Local Context reduces the World Context to a domain-relevant field of assessment without yet narrowing the evaluation to a single action.</w:t>
      </w:r>
    </w:p>
    <w:p>
      <w:pPr>
        <w:pStyle w:val="Heading3"/>
        <w:ind w:hanging="0" w:left="0"/>
        <w:rPr/>
      </w:pPr>
      <w:r>
        <w:rPr/>
        <w:t>Derive the Situational Context</w:t>
      </w:r>
    </w:p>
    <w:p>
      <w:pPr>
        <w:pStyle w:val="BodyText"/>
        <w:spacing w:before="0" w:after="200"/>
        <w:contextualSpacing/>
        <w:rPr/>
      </w:pPr>
      <w:r>
        <w:rPr/>
        <w:t>The Situational Context is the subset of the Local Context directly relevant to the specific Assessed Action.</w:t>
      </w:r>
    </w:p>
    <w:p>
      <w:pPr>
        <w:pStyle w:val="BodyText"/>
        <w:spacing w:before="0" w:after="200"/>
        <w:contextualSpacing/>
        <w:rPr/>
      </w:pPr>
      <w:r>
        <w:rPr/>
        <w:t>This step identifies the immediate state boundary for evaluation. It defines the situation in which the action occurs, the relevant Actors, the affected entities, the available alternatives, the applicable constraints, the operational objectives, and the evidence reasonably available for assessment.</w:t>
      </w:r>
    </w:p>
    <w:p>
      <w:pPr>
        <w:pStyle w:val="BodyText"/>
        <w:spacing w:before="0" w:after="200"/>
        <w:contextualSpacing/>
        <w:rPr/>
      </w:pPr>
      <w:r>
        <w:rPr/>
        <w:t>The Situational Context should include:</w:t>
      </w:r>
    </w:p>
    <w:p>
      <w:pPr>
        <w:pStyle w:val="BodyText"/>
        <w:spacing w:before="0" w:after="200"/>
        <w:contextualSpacing/>
        <w:rPr/>
      </w:pPr>
      <w:r>
        <w:rPr/>
        <w:t>The Actor or Actors involved.</w:t>
      </w:r>
    </w:p>
    <w:p>
      <w:pPr>
        <w:pStyle w:val="BodyText"/>
        <w:spacing w:before="0" w:after="200"/>
        <w:contextualSpacing/>
        <w:rPr/>
      </w:pPr>
      <w:r>
        <w:rPr/>
        <w:t>Affected entities and potentially affected Flourishing Entities.</w:t>
      </w:r>
    </w:p>
    <w:p>
      <w:pPr>
        <w:pStyle w:val="BodyText"/>
        <w:spacing w:before="0" w:after="200"/>
        <w:contextualSpacing/>
        <w:rPr/>
      </w:pPr>
      <w:r>
        <w:rPr/>
        <w:t>Relevant Associations among the Actor, affected entities, observers, responders, and institutions.</w:t>
      </w:r>
    </w:p>
    <w:p>
      <w:pPr>
        <w:pStyle w:val="BodyText"/>
        <w:spacing w:before="0" w:after="200"/>
        <w:contextualSpacing/>
        <w:rPr/>
      </w:pPr>
      <w:r>
        <w:rPr/>
        <w:t>Material constraints, including legal, physical, informational, institutional, temporal, and moral constraints.</w:t>
      </w:r>
    </w:p>
    <w:p>
      <w:pPr>
        <w:pStyle w:val="BodyText"/>
        <w:spacing w:before="0" w:after="200"/>
        <w:contextualSpacing/>
        <w:rPr/>
      </w:pPr>
      <w:r>
        <w:rPr/>
        <w:t>Available alternatives to the Assessed Action.</w:t>
      </w:r>
    </w:p>
    <w:p>
      <w:pPr>
        <w:pStyle w:val="BodyText"/>
        <w:spacing w:before="0" w:after="200"/>
        <w:contextualSpacing/>
        <w:rPr/>
      </w:pPr>
      <w:r>
        <w:rPr/>
        <w:t>Known risks, uncertainties, and foreseeable consequences.</w:t>
      </w:r>
    </w:p>
    <w:p>
      <w:pPr>
        <w:pStyle w:val="BodyText"/>
        <w:spacing w:before="0" w:after="200"/>
        <w:contextualSpacing/>
        <w:rPr/>
      </w:pPr>
      <w:r>
        <w:rPr/>
        <w:t>Relevant authority and legitimacy conditions.</w:t>
      </w:r>
    </w:p>
    <w:p>
      <w:pPr>
        <w:pStyle w:val="BodyText"/>
        <w:spacing w:before="0" w:after="200"/>
        <w:contextualSpacing/>
        <w:rPr/>
      </w:pPr>
      <w:r>
        <w:rPr/>
        <w:t>Decision Context, Accessible Context, and Assessment Context, when responsibility and evidence quality must be distinguished.</w:t>
      </w:r>
    </w:p>
    <w:p>
      <w:pPr>
        <w:pStyle w:val="BodyText"/>
        <w:spacing w:before="0" w:after="200"/>
        <w:contextualSpacing/>
        <w:rPr/>
      </w:pPr>
      <w:r>
        <w:rPr/>
        <w:t>The Situational Context is the primary evidentiary and state boundary for evaluating the action. If it is too narrow, the assessment may ignore material harms, affected entities, institutional effects, or Distributed Policy Effects. If it is too broad, the assessment may become analytically unfocused or computationally impractical.</w:t>
      </w:r>
    </w:p>
    <w:p>
      <w:pPr>
        <w:pStyle w:val="Heading3"/>
        <w:ind w:hanging="0" w:left="0"/>
        <w:rPr/>
      </w:pPr>
      <w:r>
        <w:rPr/>
        <w:t>Identify Relevant Objects and Associations</w:t>
      </w:r>
    </w:p>
    <w:p>
      <w:pPr>
        <w:pStyle w:val="BodyText"/>
        <w:spacing w:before="0" w:after="200"/>
        <w:contextualSpacing/>
        <w:rPr/>
      </w:pPr>
      <w:r>
        <w:rPr/>
        <w:t>Once the Situational Context has been established, the methodology identifies the relevant Objects and Associations within that context.</w:t>
      </w:r>
    </w:p>
    <w:p>
      <w:pPr>
        <w:pStyle w:val="BodyText"/>
        <w:spacing w:before="0" w:after="200"/>
        <w:contextualSpacing/>
        <w:rPr/>
      </w:pPr>
      <w:r>
        <w:rPr/>
        <w:t>Relevant Objects are those whose states, relationships, opportunities, constraints, or flourishing may be materially affected by the Assessed Action. Relevant Associations are the morally significant relationships among those Objects, including responsibility, authority, obligation, dependency, trust, consent, ownership, care, governance, command, stewardship, legitimacy, or institutional membership.</w:t>
      </w:r>
    </w:p>
    <w:p>
      <w:pPr>
        <w:pStyle w:val="BodyText"/>
        <w:spacing w:before="0" w:after="200"/>
        <w:contextualSpacing/>
        <w:rPr/>
      </w:pPr>
      <w:r>
        <w:rPr/>
        <w:t>This step should distinguish among:</w:t>
      </w:r>
    </w:p>
    <w:p>
      <w:pPr>
        <w:pStyle w:val="BodyText"/>
        <w:spacing w:before="0" w:after="200"/>
        <w:contextualSpacing/>
        <w:rPr/>
      </w:pPr>
      <w:r>
        <w:rPr/>
        <w:t>Objects that are merely present in the context.</w:t>
      </w:r>
    </w:p>
    <w:p>
      <w:pPr>
        <w:pStyle w:val="BodyText"/>
        <w:spacing w:before="0" w:after="200"/>
        <w:contextualSpacing/>
        <w:rPr/>
      </w:pPr>
      <w:r>
        <w:rPr/>
        <w:t>Flourishing Entities whose Long-Term Flourishing may be affected.</w:t>
      </w:r>
    </w:p>
    <w:p>
      <w:pPr>
        <w:pStyle w:val="BodyText"/>
        <w:spacing w:before="0" w:after="200"/>
        <w:contextualSpacing/>
        <w:rPr/>
      </w:pPr>
      <w:r>
        <w:rPr/>
        <w:t>Moral Agents capable of decision, evaluation, and responsibility.</w:t>
      </w:r>
    </w:p>
    <w:p>
      <w:pPr>
        <w:pStyle w:val="BodyText"/>
        <w:spacing w:before="0" w:after="200"/>
        <w:contextualSpacing/>
        <w:rPr/>
      </w:pPr>
      <w:r>
        <w:rPr/>
        <w:t>Actors who initiate, control, authorize, direct, or bear responsibility for the action.</w:t>
      </w:r>
    </w:p>
    <w:p>
      <w:pPr>
        <w:pStyle w:val="BodyText"/>
        <w:spacing w:before="0" w:after="200"/>
        <w:contextualSpacing/>
        <w:rPr/>
      </w:pPr>
      <w:r>
        <w:rPr/>
        <w:t>Affected entities whose states may change.</w:t>
      </w:r>
    </w:p>
    <w:p>
      <w:pPr>
        <w:pStyle w:val="BodyText"/>
        <w:spacing w:before="0" w:after="200"/>
        <w:contextualSpacing/>
        <w:rPr/>
      </w:pPr>
      <w:r>
        <w:rPr/>
        <w:t>Observers whose future policy states may be updated.</w:t>
      </w:r>
    </w:p>
    <w:p>
      <w:pPr>
        <w:pStyle w:val="BodyText"/>
        <w:spacing w:before="0" w:after="200"/>
        <w:contextualSpacing/>
        <w:rPr/>
      </w:pPr>
      <w:r>
        <w:rPr/>
        <w:t>Responders whose reactions may further alter the World Context.</w:t>
      </w:r>
    </w:p>
    <w:p>
      <w:pPr>
        <w:pStyle w:val="BodyText"/>
        <w:spacing w:before="0" w:after="200"/>
        <w:contextualSpacing/>
        <w:rPr/>
      </w:pPr>
      <w:r>
        <w:rPr/>
        <w:t>Institutions that may be strengthened, weakened, legitimized, corrupted, or transformed.</w:t>
      </w:r>
    </w:p>
    <w:p>
      <w:pPr>
        <w:pStyle w:val="BodyText"/>
        <w:spacing w:before="0" w:after="200"/>
        <w:contextualSpacing/>
        <w:rPr/>
      </w:pPr>
      <w:r>
        <w:rPr/>
        <w:t>The purpose of this step is to identify the morally relevant structure of the assessment. Moral significance often arises not from isolated entities but from the relationships among them.</w:t>
      </w:r>
    </w:p>
    <w:p>
      <w:pPr>
        <w:pStyle w:val="Heading3"/>
        <w:ind w:hanging="0" w:left="0"/>
        <w:rPr/>
      </w:pPr>
      <w:r>
        <w:rPr/>
        <w:t>Identify Relevant Flourishing Entities and Moral Agents</w:t>
      </w:r>
    </w:p>
    <w:p>
      <w:pPr>
        <w:pStyle w:val="BodyText"/>
        <w:spacing w:before="0" w:after="200"/>
        <w:contextualSpacing/>
        <w:rPr/>
      </w:pPr>
      <w:r>
        <w:rPr/>
        <w:t>The methodology should explicitly identify which relevant Objects qualify as Flourishing Entities and which qualify as Moral Agents.</w:t>
      </w:r>
    </w:p>
    <w:p>
      <w:pPr>
        <w:pStyle w:val="BodyText"/>
        <w:spacing w:before="0" w:after="200"/>
        <w:contextualSpacing/>
        <w:rPr/>
      </w:pPr>
      <w:r>
        <w:rPr/>
        <w:t>A Flourishing Entity is included when its Long-Term Flourishing can be meaningfully increased or diminished by the Assessed Action. A Moral Agent is included when an entity is capable of selecting among actions, evaluating those actions against objectives, and bearing moral responsibility.</w:t>
      </w:r>
    </w:p>
    <w:p>
      <w:pPr>
        <w:pStyle w:val="BodyText"/>
        <w:spacing w:before="0" w:after="200"/>
        <w:contextualSpacing/>
        <w:rPr/>
      </w:pPr>
      <w:r>
        <w:rPr/>
        <w:t>This step is necessary because not all Objects are morally assessable in the same way. A rock may be an Object in the World Context, but it is not a Flourishing Entity. A corporation, ecosystem, human, animal, institution, or sufficiently self-directed artificial system may require assessment if its flourishing or future state space may be materially affected.</w:t>
      </w:r>
    </w:p>
    <w:p>
      <w:pPr>
        <w:pStyle w:val="BodyText"/>
        <w:spacing w:before="0" w:after="200"/>
        <w:contextualSpacing/>
        <w:rPr/>
      </w:pPr>
      <w:r>
        <w:rPr/>
        <w:t>The methodology should identify:</w:t>
      </w:r>
    </w:p>
    <w:p>
      <w:pPr>
        <w:pStyle w:val="BodyText"/>
        <w:spacing w:before="0" w:after="200"/>
        <w:contextualSpacing/>
        <w:rPr/>
      </w:pPr>
      <w:r>
        <w:rPr/>
        <w:t>Which Flourishing Entities are directly affected.</w:t>
      </w:r>
    </w:p>
    <w:p>
      <w:pPr>
        <w:pStyle w:val="BodyText"/>
        <w:spacing w:before="0" w:after="200"/>
        <w:contextualSpacing/>
        <w:rPr/>
      </w:pPr>
      <w:r>
        <w:rPr/>
        <w:t>Which Flourishing Entities are indirectly affected.</w:t>
      </w:r>
    </w:p>
    <w:p>
      <w:pPr>
        <w:pStyle w:val="BodyText"/>
        <w:spacing w:before="0" w:after="200"/>
        <w:contextualSpacing/>
        <w:rPr/>
      </w:pPr>
      <w:r>
        <w:rPr/>
        <w:t>Which Moral Agents are responsible for, observing, responding to, or learning from the action.</w:t>
      </w:r>
    </w:p>
    <w:p>
      <w:pPr>
        <w:pStyle w:val="BodyText"/>
        <w:spacing w:before="0" w:after="200"/>
        <w:contextualSpacing/>
        <w:rPr/>
      </w:pPr>
      <w:r>
        <w:rPr/>
        <w:t>Whether the Actor is also an affected Flourishing Entity.</w:t>
      </w:r>
    </w:p>
    <w:p>
      <w:pPr>
        <w:pStyle w:val="BodyText"/>
        <w:spacing w:before="0" w:after="200"/>
        <w:contextualSpacing/>
        <w:rPr/>
      </w:pPr>
      <w:r>
        <w:rPr/>
        <w:t>Whether future entities or future artificial systems fall within the assessment boundary.</w:t>
      </w:r>
    </w:p>
    <w:p>
      <w:pPr>
        <w:pStyle w:val="BodyText"/>
        <w:spacing w:before="0" w:after="200"/>
        <w:contextualSpacing/>
        <w:rPr/>
      </w:pPr>
      <w:r>
        <w:rPr/>
        <w:t>This step supports later evaluation of Long-Term Flourishing, responsibility, and Distributed Policy Effects.</w:t>
      </w:r>
    </w:p>
    <w:p>
      <w:pPr>
        <w:pStyle w:val="Heading3"/>
        <w:ind w:hanging="0" w:left="0"/>
        <w:rPr/>
      </w:pPr>
      <w:r>
        <w:rPr/>
        <w:t>Identify Objectives</w:t>
      </w:r>
    </w:p>
    <w:p>
      <w:pPr>
        <w:pStyle w:val="BodyText"/>
        <w:spacing w:before="0" w:after="200"/>
        <w:contextualSpacing/>
        <w:rPr/>
      </w:pPr>
      <w:r>
        <w:rPr/>
        <w:t>The workflow then identifies the Objectives relevant to the assessment.</w:t>
      </w:r>
    </w:p>
    <w:p>
      <w:pPr>
        <w:pStyle w:val="BodyText"/>
        <w:spacing w:before="0" w:after="200"/>
        <w:contextualSpacing/>
        <w:rPr/>
      </w:pPr>
      <w:r>
        <w:rPr/>
        <w:t>This includes both moral-system objectives and operational objectives. The moral-system objective is derived from the Foundational Axiom and concerns preserving and promoting Long-Term Flourishing while avoiding material diminishment of other relevant Flourishing Entities. Operational objectives are the specific goals pursued by the Actor, institution, system, or domain.</w:t>
      </w:r>
    </w:p>
    <w:p>
      <w:pPr>
        <w:pStyle w:val="BodyText"/>
        <w:spacing w:before="0" w:after="200"/>
        <w:contextualSpacing/>
        <w:rPr/>
      </w:pPr>
      <w:r>
        <w:rPr/>
        <w:t>The methodology should distinguish:</w:t>
      </w:r>
    </w:p>
    <w:p>
      <w:pPr>
        <w:pStyle w:val="BodyText"/>
        <w:spacing w:before="0" w:after="200"/>
        <w:contextualSpacing/>
        <w:rPr/>
      </w:pPr>
      <w:r>
        <w:rPr/>
        <w:t>The Foundational Axiom or moral-system objective.</w:t>
      </w:r>
    </w:p>
    <w:p>
      <w:pPr>
        <w:pStyle w:val="BodyText"/>
        <w:spacing w:before="0" w:after="200"/>
        <w:contextualSpacing/>
        <w:rPr/>
      </w:pPr>
      <w:r>
        <w:rPr/>
        <w:t>Domain-specific objectives.</w:t>
      </w:r>
    </w:p>
    <w:p>
      <w:pPr>
        <w:pStyle w:val="BodyText"/>
        <w:spacing w:before="0" w:after="200"/>
        <w:contextualSpacing/>
        <w:rPr/>
      </w:pPr>
      <w:r>
        <w:rPr/>
        <w:t>Operational objectives of the Actor.</w:t>
      </w:r>
    </w:p>
    <w:p>
      <w:pPr>
        <w:pStyle w:val="BodyText"/>
        <w:spacing w:before="0" w:after="200"/>
        <w:contextualSpacing/>
        <w:rPr/>
      </w:pPr>
      <w:r>
        <w:rPr/>
        <w:t>Objectives of other relevant entities or institutions.</w:t>
      </w:r>
    </w:p>
    <w:p>
      <w:pPr>
        <w:pStyle w:val="BodyText"/>
        <w:spacing w:before="0" w:after="200"/>
        <w:contextualSpacing/>
        <w:rPr/>
      </w:pPr>
      <w:r>
        <w:rPr/>
        <w:t>Conflicting objectives.</w:t>
      </w:r>
    </w:p>
    <w:p>
      <w:pPr>
        <w:pStyle w:val="BodyText"/>
        <w:spacing w:before="0" w:after="200"/>
        <w:contextualSpacing/>
        <w:rPr/>
      </w:pPr>
      <w:r>
        <w:rPr/>
        <w:t>Objectives that may be achieved, frustrated, corrupted, or transformed by the action.</w:t>
      </w:r>
    </w:p>
    <w:p>
      <w:pPr>
        <w:pStyle w:val="BodyText"/>
        <w:spacing w:before="0" w:after="200"/>
        <w:contextualSpacing/>
        <w:rPr/>
      </w:pPr>
      <w:r>
        <w:rPr/>
        <w:t>This distinction is essential because an operational objective cannot override the Foundational Axiom. An action may pursue a legitimate operational goal but still be morally deficient if the means or consequences materially diminish Long-Term Flourishing, corrupt policy states, damage institutions, or foreclose important future opportunities.</w:t>
      </w:r>
    </w:p>
    <w:p>
      <w:pPr>
        <w:pStyle w:val="Heading3"/>
        <w:ind w:hanging="0" w:left="0"/>
        <w:rPr/>
      </w:pPr>
      <w:r>
        <w:rPr/>
        <w:t>Define the Assessed Action</w:t>
      </w:r>
    </w:p>
    <w:p>
      <w:pPr>
        <w:pStyle w:val="BodyText"/>
        <w:spacing w:before="0" w:after="200"/>
        <w:contextualSpacing/>
        <w:rPr/>
      </w:pPr>
      <w:r>
        <w:rPr/>
        <w:t>The methodology then defines the Assessed Action with sufficient precision to evaluate it.</w:t>
      </w:r>
    </w:p>
    <w:p>
      <w:pPr>
        <w:pStyle w:val="BodyText"/>
        <w:spacing w:before="0" w:after="200"/>
        <w:contextualSpacing/>
        <w:rPr/>
      </w:pPr>
      <w:r>
        <w:rPr/>
        <w:t>The term Assessed Action should be preferred over Proposed Action because the methodology may evaluate proposed, ongoing, completed, or omitted actions. The Assessed Action may be a behavior, decision, recommendation, intervention, omission, policy, command, system output, institutional decision, or autonomous action.</w:t>
      </w:r>
    </w:p>
    <w:p>
      <w:pPr>
        <w:pStyle w:val="BodyText"/>
        <w:spacing w:before="0" w:after="200"/>
        <w:contextualSpacing/>
        <w:rPr/>
      </w:pPr>
      <w:r>
        <w:rPr/>
        <w:t>This step should identify:</w:t>
      </w:r>
    </w:p>
    <w:p>
      <w:pPr>
        <w:pStyle w:val="BodyText"/>
        <w:spacing w:before="0" w:after="200"/>
        <w:contextualSpacing/>
        <w:rPr/>
      </w:pPr>
      <w:r>
        <w:rPr/>
        <w:t>What action is being assessed.</w:t>
      </w:r>
    </w:p>
    <w:p>
      <w:pPr>
        <w:pStyle w:val="BodyText"/>
        <w:spacing w:before="0" w:after="200"/>
        <w:contextualSpacing/>
        <w:rPr/>
      </w:pPr>
      <w:r>
        <w:rPr/>
        <w:t>Whether the action is proposed, ongoing, completed, or omitted.</w:t>
      </w:r>
    </w:p>
    <w:p>
      <w:pPr>
        <w:pStyle w:val="BodyText"/>
        <w:spacing w:before="0" w:after="200"/>
        <w:contextualSpacing/>
        <w:rPr/>
      </w:pPr>
      <w:r>
        <w:rPr/>
        <w:t>Who or what performs, authorizes, controls, directs, or bears responsibility for the action.</w:t>
      </w:r>
    </w:p>
    <w:p>
      <w:pPr>
        <w:pStyle w:val="BodyText"/>
        <w:spacing w:before="0" w:after="200"/>
        <w:contextualSpacing/>
        <w:rPr/>
      </w:pPr>
      <w:r>
        <w:rPr/>
        <w:t>What means are used to pursue the operational objective.</w:t>
      </w:r>
    </w:p>
    <w:p>
      <w:pPr>
        <w:pStyle w:val="BodyText"/>
        <w:spacing w:before="0" w:after="200"/>
        <w:contextualSpacing/>
        <w:rPr/>
      </w:pPr>
      <w:r>
        <w:rPr/>
        <w:t>What alternatives were reasonably available.</w:t>
      </w:r>
    </w:p>
    <w:p>
      <w:pPr>
        <w:pStyle w:val="BodyText"/>
        <w:spacing w:before="0" w:after="200"/>
        <w:contextualSpacing/>
        <w:rPr/>
      </w:pPr>
      <w:r>
        <w:rPr/>
        <w:t>What constraints shaped the available action space.</w:t>
      </w:r>
    </w:p>
    <w:p>
      <w:pPr>
        <w:pStyle w:val="BodyText"/>
        <w:spacing w:before="0" w:after="200"/>
        <w:contextualSpacing/>
        <w:rPr/>
      </w:pPr>
      <w:r>
        <w:rPr/>
        <w:t>What information was known, reasonably obtainable, or unavailable at the time of action.</w:t>
      </w:r>
    </w:p>
    <w:p>
      <w:pPr>
        <w:pStyle w:val="BodyText"/>
        <w:spacing w:before="0" w:after="200"/>
        <w:contextualSpacing/>
        <w:rPr/>
      </w:pPr>
      <w:r>
        <w:rPr/>
        <w:t>The means used to pursue an objective are part of the Assessed Action. They must not be hidden inside the stated objective. For example, the Assessed Action should not be stated merely as “save the organization” if the actual action is “falsify financial statements to obtain emergency financing.”</w:t>
      </w:r>
    </w:p>
    <w:p>
      <w:pPr>
        <w:pStyle w:val="Heading3"/>
        <w:ind w:hanging="0" w:left="0"/>
        <w:rPr/>
      </w:pPr>
      <w:r>
        <w:rPr/>
        <w:t>Identify Available Alternatives</w:t>
      </w:r>
    </w:p>
    <w:p>
      <w:pPr>
        <w:pStyle w:val="BodyText"/>
        <w:spacing w:before="0" w:after="200"/>
        <w:contextualSpacing/>
        <w:rPr/>
      </w:pPr>
      <w:r>
        <w:rPr/>
        <w:t>A moral assessment should identify the alternatives reasonably available within the Situational Context.</w:t>
      </w:r>
    </w:p>
    <w:p>
      <w:pPr>
        <w:pStyle w:val="BodyText"/>
        <w:spacing w:before="0" w:after="200"/>
        <w:contextualSpacing/>
        <w:rPr/>
      </w:pPr>
      <w:r>
        <w:rPr/>
        <w:t>Alternatives are important because the moral status of an action often depends on whether less harmful, more legitimate, more transparent, or more flourishing-preserving options were available. The methodology does not require every imaginable alternative to be modeled. It requires that materially relevant alternatives be represented when they affect the assessment.</w:t>
      </w:r>
    </w:p>
    <w:p>
      <w:pPr>
        <w:pStyle w:val="BodyText"/>
        <w:spacing w:before="0" w:after="200"/>
        <w:contextualSpacing/>
        <w:rPr/>
      </w:pPr>
      <w:r>
        <w:rPr/>
        <w:t>Alternatives may include:</w:t>
      </w:r>
    </w:p>
    <w:p>
      <w:pPr>
        <w:pStyle w:val="BodyText"/>
        <w:spacing w:before="0" w:after="200"/>
        <w:contextualSpacing/>
        <w:rPr/>
      </w:pPr>
      <w:r>
        <w:rPr/>
        <w:t>Taking a different action.</w:t>
      </w:r>
    </w:p>
    <w:p>
      <w:pPr>
        <w:pStyle w:val="BodyText"/>
        <w:spacing w:before="0" w:after="200"/>
        <w:contextualSpacing/>
        <w:rPr/>
      </w:pPr>
      <w:r>
        <w:rPr/>
        <w:t>Delaying action.</w:t>
      </w:r>
    </w:p>
    <w:p>
      <w:pPr>
        <w:pStyle w:val="BodyText"/>
        <w:spacing w:before="0" w:after="200"/>
        <w:contextualSpacing/>
        <w:rPr/>
      </w:pPr>
      <w:r>
        <w:rPr/>
        <w:t>Seeking consent.</w:t>
      </w:r>
    </w:p>
    <w:p>
      <w:pPr>
        <w:pStyle w:val="BodyText"/>
        <w:spacing w:before="0" w:after="200"/>
        <w:contextualSpacing/>
        <w:rPr/>
      </w:pPr>
      <w:r>
        <w:rPr/>
        <w:t>Escalating to a legitimate authority.</w:t>
      </w:r>
    </w:p>
    <w:p>
      <w:pPr>
        <w:pStyle w:val="BodyText"/>
        <w:spacing w:before="0" w:after="200"/>
        <w:contextualSpacing/>
        <w:rPr/>
      </w:pPr>
      <w:r>
        <w:rPr/>
        <w:t>Disclosing information.</w:t>
      </w:r>
    </w:p>
    <w:p>
      <w:pPr>
        <w:pStyle w:val="BodyText"/>
        <w:spacing w:before="0" w:after="200"/>
        <w:contextualSpacing/>
        <w:rPr/>
      </w:pPr>
      <w:r>
        <w:rPr/>
        <w:t>Choosing a less harmful means.</w:t>
      </w:r>
    </w:p>
    <w:p>
      <w:pPr>
        <w:pStyle w:val="BodyText"/>
        <w:spacing w:before="0" w:after="200"/>
        <w:contextualSpacing/>
        <w:rPr/>
      </w:pPr>
      <w:r>
        <w:rPr/>
        <w:t>Adding safeguards.</w:t>
      </w:r>
    </w:p>
    <w:p>
      <w:pPr>
        <w:pStyle w:val="BodyText"/>
        <w:spacing w:before="0" w:after="200"/>
        <w:contextualSpacing/>
        <w:rPr/>
      </w:pPr>
      <w:r>
        <w:rPr/>
        <w:t>Narrowing the scope of intervention.</w:t>
      </w:r>
    </w:p>
    <w:p>
      <w:pPr>
        <w:pStyle w:val="BodyText"/>
        <w:spacing w:before="0" w:after="200"/>
        <w:contextualSpacing/>
        <w:rPr/>
      </w:pPr>
      <w:r>
        <w:rPr/>
        <w:t>Declining to act.</w:t>
      </w:r>
    </w:p>
    <w:p>
      <w:pPr>
        <w:pStyle w:val="BodyText"/>
        <w:spacing w:before="0" w:after="200"/>
        <w:contextualSpacing/>
        <w:rPr/>
      </w:pPr>
      <w:r>
        <w:rPr/>
        <w:t>Intervening earlier or later.</w:t>
      </w:r>
    </w:p>
    <w:p>
      <w:pPr>
        <w:pStyle w:val="BodyText"/>
        <w:spacing w:before="0" w:after="200"/>
        <w:contextualSpacing/>
        <w:rPr/>
      </w:pPr>
      <w:r>
        <w:rPr/>
        <w:t>This step supports responsibility assessment and comparative evaluation of candidate World Context Transitions.</w:t>
      </w:r>
    </w:p>
    <w:p>
      <w:pPr>
        <w:pStyle w:val="Heading3"/>
        <w:ind w:hanging="0" w:left="0"/>
        <w:rPr/>
      </w:pPr>
      <w:r>
        <w:rPr/>
        <w:t>Represent Relevant State Variables</w:t>
      </w:r>
    </w:p>
    <w:p>
      <w:pPr>
        <w:pStyle w:val="BodyText"/>
        <w:spacing w:before="0" w:after="200"/>
        <w:contextualSpacing/>
        <w:rPr/>
      </w:pPr>
      <w:r>
        <w:rPr/>
        <w:t>Before predicting the transition, the methodology identifies the state variables or state descriptors that may change.</w:t>
      </w:r>
    </w:p>
    <w:p>
      <w:pPr>
        <w:pStyle w:val="BodyText"/>
        <w:spacing w:before="0" w:after="200"/>
        <w:contextualSpacing/>
        <w:rPr/>
      </w:pPr>
      <w:r>
        <w:rPr/>
        <w:t>These may include entity states, Association states, policy states, institutional states, information states, constraint states, opportunity states, and future state-space descriptors. At this stage, the methodology identifies what must be tracked for the assessment to preserve fidelity.</w:t>
      </w:r>
    </w:p>
    <w:p>
      <w:pPr>
        <w:pStyle w:val="BodyText"/>
        <w:spacing w:before="0" w:after="200"/>
        <w:contextualSpacing/>
        <w:rPr/>
      </w:pPr>
      <w:r>
        <w:rPr/>
        <w:t>Relevant state descriptors may include:</w:t>
      </w:r>
    </w:p>
    <w:p>
      <w:pPr>
        <w:pStyle w:val="BodyText"/>
        <w:spacing w:before="0" w:after="200"/>
        <w:contextualSpacing/>
        <w:rPr/>
      </w:pPr>
      <w:r>
        <w:rPr/>
        <w:t>Health, safety, autonomy, capability, access, resources, resilience, and adaptive capacity.</w:t>
      </w:r>
    </w:p>
    <w:p>
      <w:pPr>
        <w:pStyle w:val="BodyText"/>
        <w:spacing w:before="0" w:after="200"/>
        <w:contextualSpacing/>
        <w:rPr/>
      </w:pPr>
      <w:r>
        <w:rPr/>
        <w:t>Trust, legitimacy, authority, obligation, dependency, consent, and responsibility.</w:t>
      </w:r>
    </w:p>
    <w:p>
      <w:pPr>
        <w:pStyle w:val="BodyText"/>
        <w:spacing w:before="0" w:after="200"/>
        <w:contextualSpacing/>
        <w:rPr/>
      </w:pPr>
      <w:r>
        <w:rPr/>
        <w:t>Institutional stability, precedent, accountability, enforcement pattern, and public confidence.</w:t>
      </w:r>
    </w:p>
    <w:p>
      <w:pPr>
        <w:pStyle w:val="BodyText"/>
        <w:spacing w:before="0" w:after="200"/>
        <w:contextualSpacing/>
        <w:rPr/>
      </w:pPr>
      <w:r>
        <w:rPr/>
        <w:t>Information quality, evidence availability, misinformation, uncertainty, and record integrity.</w:t>
      </w:r>
    </w:p>
    <w:p>
      <w:pPr>
        <w:pStyle w:val="BodyText"/>
        <w:spacing w:before="0" w:after="200"/>
        <w:contextualSpacing/>
        <w:rPr/>
      </w:pPr>
      <w:r>
        <w:rPr/>
        <w:t>Policy states of Actors, observers, responders, institutions, and artificial systems.</w:t>
      </w:r>
    </w:p>
    <w:p>
      <w:pPr>
        <w:pStyle w:val="BodyText"/>
        <w:spacing w:before="0" w:after="200"/>
        <w:contextualSpacing/>
        <w:rPr/>
      </w:pPr>
      <w:r>
        <w:rPr/>
        <w:t>Future opportunities and reachable future state space.</w:t>
      </w:r>
    </w:p>
    <w:p>
      <w:pPr>
        <w:pStyle w:val="BodyText"/>
        <w:spacing w:before="0" w:after="200"/>
        <w:contextualSpacing/>
        <w:rPr/>
      </w:pPr>
      <w:r>
        <w:rPr/>
        <w:t>Long-Term Flourishing dimensions relevant to the entities being assessed.</w:t>
      </w:r>
    </w:p>
    <w:p>
      <w:pPr>
        <w:pStyle w:val="BodyText"/>
        <w:spacing w:before="0" w:after="200"/>
        <w:contextualSpacing/>
        <w:rPr/>
      </w:pPr>
      <w:r>
        <w:rPr/>
        <w:t>This step prepares the assessment for state-transition modeling without requiring the Reference Architecture to prescribe a particular mathematical representation.</w:t>
      </w:r>
    </w:p>
    <w:p>
      <w:pPr>
        <w:pStyle w:val="Heading3"/>
        <w:ind w:hanging="0" w:left="0"/>
        <w:rPr>
          <w:rFonts w:ascii="Aptos" w:hAnsi="Aptos"/>
          <w:color w:val="auto"/>
        </w:rPr>
      </w:pPr>
      <w:r>
        <w:rPr/>
        <w:t>Predict Consequences Across Assessment Horizons</w:t>
      </w:r>
    </w:p>
    <w:p>
      <w:pPr>
        <w:pStyle w:val="BodyText"/>
        <w:spacing w:before="0" w:after="200"/>
        <w:contextualSpacing/>
        <w:rPr/>
      </w:pPr>
      <w:r>
        <w:rPr/>
        <w:t>The methodology then predicts or identifies the Consequences of the Assessed Action across relevant Assessment Horizons.</w:t>
      </w:r>
    </w:p>
    <w:p>
      <w:pPr>
        <w:pStyle w:val="BodyText"/>
        <w:spacing w:before="0" w:after="200"/>
        <w:contextualSpacing/>
        <w:rPr/>
      </w:pPr>
      <w:r>
        <w:rPr/>
        <w:t>The default horizons include immediate, short-term, long-term, multi-generational, and civilizational timeframes, with additional horizons added when required by the context. The assessment should not assume that consequences have the same moral significance across all horizons.</w:t>
      </w:r>
    </w:p>
    <w:p>
      <w:pPr>
        <w:pStyle w:val="BodyText"/>
        <w:spacing w:before="0" w:after="200"/>
        <w:contextualSpacing/>
        <w:rPr/>
      </w:pPr>
      <w:r>
        <w:rPr/>
        <w:t>This step should consider:</w:t>
      </w:r>
    </w:p>
    <w:p>
      <w:pPr>
        <w:pStyle w:val="BodyText"/>
        <w:spacing w:before="0" w:after="200"/>
        <w:contextualSpacing/>
        <w:rPr/>
      </w:pPr>
      <w:r>
        <w:rPr/>
        <w:t>Direct consequences.</w:t>
      </w:r>
    </w:p>
    <w:p>
      <w:pPr>
        <w:pStyle w:val="BodyText"/>
        <w:spacing w:before="0" w:after="200"/>
        <w:contextualSpacing/>
        <w:rPr/>
      </w:pPr>
      <w:r>
        <w:rPr/>
        <w:t>Indirect consequences.</w:t>
      </w:r>
    </w:p>
    <w:p>
      <w:pPr>
        <w:pStyle w:val="BodyText"/>
        <w:spacing w:before="0" w:after="200"/>
        <w:contextualSpacing/>
        <w:rPr/>
      </w:pPr>
      <w:r>
        <w:rPr/>
        <w:t>Intended consequences.</w:t>
      </w:r>
    </w:p>
    <w:p>
      <w:pPr>
        <w:pStyle w:val="BodyText"/>
        <w:spacing w:before="0" w:after="200"/>
        <w:contextualSpacing/>
        <w:rPr/>
      </w:pPr>
      <w:r>
        <w:rPr/>
        <w:t>Unintended consequences.</w:t>
      </w:r>
    </w:p>
    <w:p>
      <w:pPr>
        <w:pStyle w:val="BodyText"/>
        <w:spacing w:before="0" w:after="200"/>
        <w:contextualSpacing/>
        <w:rPr/>
      </w:pPr>
      <w:r>
        <w:rPr/>
        <w:t>Foreseeable consequences.</w:t>
      </w:r>
    </w:p>
    <w:p>
      <w:pPr>
        <w:pStyle w:val="BodyText"/>
        <w:spacing w:before="0" w:after="200"/>
        <w:contextualSpacing/>
        <w:rPr/>
      </w:pPr>
      <w:r>
        <w:rPr/>
        <w:t>Uncertain or contested consequences.</w:t>
      </w:r>
    </w:p>
    <w:p>
      <w:pPr>
        <w:pStyle w:val="BodyText"/>
        <w:spacing w:before="0" w:after="200"/>
        <w:contextualSpacing/>
        <w:rPr/>
      </w:pPr>
      <w:r>
        <w:rPr/>
        <w:t>Consequences to Objects.</w:t>
      </w:r>
    </w:p>
    <w:p>
      <w:pPr>
        <w:pStyle w:val="BodyText"/>
        <w:spacing w:before="0" w:after="200"/>
        <w:contextualSpacing/>
        <w:rPr/>
      </w:pPr>
      <w:r>
        <w:rPr/>
        <w:t>Consequences to Associations.</w:t>
      </w:r>
    </w:p>
    <w:p>
      <w:pPr>
        <w:pStyle w:val="BodyText"/>
        <w:spacing w:before="0" w:after="200"/>
        <w:contextualSpacing/>
        <w:rPr/>
      </w:pPr>
      <w:r>
        <w:rPr/>
        <w:t>Consequences to Long-Term Flourishing.</w:t>
      </w:r>
    </w:p>
    <w:p>
      <w:pPr>
        <w:pStyle w:val="BodyText"/>
        <w:spacing w:before="0" w:after="200"/>
        <w:contextualSpacing/>
        <w:rPr/>
      </w:pPr>
      <w:r>
        <w:rPr/>
        <w:t>Consequences to institutions.</w:t>
      </w:r>
    </w:p>
    <w:p>
      <w:pPr>
        <w:pStyle w:val="BodyText"/>
        <w:spacing w:before="0" w:after="200"/>
        <w:contextualSpacing/>
        <w:rPr/>
      </w:pPr>
      <w:r>
        <w:rPr/>
        <w:t>Consequences to information and evidence state.</w:t>
      </w:r>
    </w:p>
    <w:p>
      <w:pPr>
        <w:pStyle w:val="BodyText"/>
        <w:spacing w:before="0" w:after="200"/>
        <w:contextualSpacing/>
        <w:rPr/>
      </w:pPr>
      <w:r>
        <w:rPr/>
        <w:t>Consequences to constraints.</w:t>
      </w:r>
    </w:p>
    <w:p>
      <w:pPr>
        <w:pStyle w:val="BodyText"/>
        <w:spacing w:before="0" w:after="200"/>
        <w:contextualSpacing/>
        <w:rPr/>
      </w:pPr>
      <w:r>
        <w:rPr/>
        <w:t>Consequences to future opportunities and future state space.</w:t>
      </w:r>
    </w:p>
    <w:p>
      <w:pPr>
        <w:pStyle w:val="BodyText"/>
        <w:spacing w:before="0" w:after="200"/>
        <w:contextualSpacing/>
        <w:rPr/>
      </w:pPr>
      <w:r>
        <w:rPr/>
        <w:t>Consequences to policy states.</w:t>
      </w:r>
    </w:p>
    <w:p>
      <w:pPr>
        <w:pStyle w:val="BodyText"/>
        <w:spacing w:before="0" w:after="200"/>
        <w:contextualSpacing/>
        <w:rPr/>
      </w:pPr>
      <w:r>
        <w:rPr/>
        <w:t>Predicted consequences should include both expected effects and material risks. Low-probability consequences may still be relevant when the potential harm is severe or irreversible.</w:t>
      </w:r>
    </w:p>
    <w:p>
      <w:pPr>
        <w:pStyle w:val="Heading3"/>
        <w:ind w:hanging="0" w:left="0"/>
        <w:rPr/>
      </w:pPr>
      <w:r>
        <w:rPr/>
        <w:t>Estimate Distributed Policy Updates</w:t>
      </w:r>
    </w:p>
    <w:p>
      <w:pPr>
        <w:pStyle w:val="BodyText"/>
        <w:spacing w:before="0" w:after="200"/>
        <w:contextualSpacing/>
        <w:rPr/>
      </w:pPr>
      <w:r>
        <w:rPr/>
        <w:t>The methodology should explicitly estimate Distributed Policy Updates as part of the predicted state transition.</w:t>
      </w:r>
    </w:p>
    <w:p>
      <w:pPr>
        <w:pStyle w:val="BodyText"/>
        <w:spacing w:before="0" w:after="200"/>
        <w:contextualSpacing/>
        <w:rPr/>
      </w:pPr>
      <w:r>
        <w:rPr/>
        <w:t>These updates describe how the Assessed Action may change the future decision policies of the Actor, affected entities, observers, responders, institutions, and artificial systems. Distributed Policy Updates are essential because they explain why harmful means may degrade future moral decision-making even when immediate outcomes appear beneficial.</w:t>
      </w:r>
    </w:p>
    <w:p>
      <w:pPr>
        <w:pStyle w:val="BodyText"/>
        <w:spacing w:before="0" w:after="200"/>
        <w:contextualSpacing/>
        <w:rPr/>
      </w:pPr>
      <w:r>
        <w:rPr/>
        <w:t>This step should consider whether the action:</w:t>
      </w:r>
    </w:p>
    <w:p>
      <w:pPr>
        <w:pStyle w:val="BodyText"/>
        <w:spacing w:before="0" w:after="200"/>
        <w:contextualSpacing/>
        <w:rPr/>
      </w:pPr>
      <w:r>
        <w:rPr/>
        <w:t>Makes the Actor more likely to repeat similar means.</w:t>
      </w:r>
    </w:p>
    <w:p>
      <w:pPr>
        <w:pStyle w:val="BodyText"/>
        <w:spacing w:before="0" w:after="200"/>
        <w:contextualSpacing/>
        <w:rPr/>
      </w:pPr>
      <w:r>
        <w:rPr/>
        <w:t>Teaches observers that the means are acceptable, rewarded, tolerated, or legitimate.</w:t>
      </w:r>
    </w:p>
    <w:p>
      <w:pPr>
        <w:pStyle w:val="BodyText"/>
        <w:spacing w:before="0" w:after="200"/>
        <w:contextualSpacing/>
        <w:rPr/>
      </w:pPr>
      <w:r>
        <w:rPr/>
        <w:t>Changes institutional precedent or enforcement expectations.</w:t>
      </w:r>
    </w:p>
    <w:p>
      <w:pPr>
        <w:pStyle w:val="BodyText"/>
        <w:spacing w:before="0" w:after="200"/>
        <w:contextualSpacing/>
        <w:rPr/>
      </w:pPr>
      <w:r>
        <w:rPr/>
        <w:t>Alters the trust, cooperation, resistance, or compliance behavior of affected entities.</w:t>
      </w:r>
    </w:p>
    <w:p>
      <w:pPr>
        <w:pStyle w:val="BodyText"/>
        <w:spacing w:before="0" w:after="200"/>
        <w:contextualSpacing/>
        <w:rPr/>
      </w:pPr>
      <w:r>
        <w:rPr/>
        <w:t>Updates the behavior of autonomous or artificial systems.</w:t>
      </w:r>
    </w:p>
    <w:p>
      <w:pPr>
        <w:pStyle w:val="BodyText"/>
        <w:spacing w:before="0" w:after="200"/>
        <w:contextualSpacing/>
        <w:rPr/>
      </w:pPr>
      <w:r>
        <w:rPr/>
        <w:t>Normalizes, discourages, reinforces, or corrupts future decision policies.</w:t>
      </w:r>
    </w:p>
    <w:p>
      <w:pPr>
        <w:pStyle w:val="BodyText"/>
        <w:spacing w:before="0" w:after="200"/>
        <w:contextualSpacing/>
        <w:rPr/>
      </w:pPr>
      <w:r>
        <w:rPr/>
        <w:t>Distributed Policy Updates are not merely explanatory commentary. They are state changes in the resulting World Context.</w:t>
      </w:r>
    </w:p>
    <w:p>
      <w:pPr>
        <w:pStyle w:val="Heading3"/>
        <w:ind w:hanging="0" w:left="0"/>
        <w:rPr/>
      </w:pPr>
      <w:r>
        <w:rPr/>
        <w:t>Estimate Long-Term Flourishing Transitions</w:t>
      </w:r>
    </w:p>
    <w:p>
      <w:pPr>
        <w:pStyle w:val="BodyText"/>
        <w:spacing w:before="0" w:after="200"/>
        <w:contextualSpacing/>
        <w:rPr/>
      </w:pPr>
      <w:r>
        <w:rPr/>
        <w:t>The methodology then estimates how the Assessed Action changes the Long-Term Flourishing of relevant Flourishing Entities.</w:t>
      </w:r>
    </w:p>
    <w:p>
      <w:pPr>
        <w:pStyle w:val="BodyText"/>
        <w:spacing w:before="0" w:after="200"/>
        <w:contextualSpacing/>
        <w:rPr/>
      </w:pPr>
      <w:r>
        <w:rPr/>
        <w:t>Long-Term Flourishing should be evaluated across the relevant horizons and across the dimensions relevant to each entity. Candidate dimensions may include persistence, adaptive capacity, future possibilities, constructive participation, resilience, agency, relational stability, environmental compatibility, and contribution to the larger relevant World Context.</w:t>
      </w:r>
    </w:p>
    <w:p>
      <w:pPr>
        <w:pStyle w:val="BodyText"/>
        <w:spacing w:before="0" w:after="200"/>
        <w:contextualSpacing/>
        <w:rPr/>
      </w:pPr>
      <w:r>
        <w:rPr/>
        <w:t>This step should distinguish:</w:t>
      </w:r>
    </w:p>
    <w:p>
      <w:pPr>
        <w:pStyle w:val="BodyText"/>
        <w:spacing w:before="0" w:after="200"/>
        <w:contextualSpacing/>
        <w:rPr/>
      </w:pPr>
      <w:r>
        <w:rPr/>
        <w:t>Which entities experience increased flourishing.</w:t>
      </w:r>
    </w:p>
    <w:p>
      <w:pPr>
        <w:pStyle w:val="BodyText"/>
        <w:spacing w:before="0" w:after="200"/>
        <w:contextualSpacing/>
        <w:rPr/>
      </w:pPr>
      <w:r>
        <w:rPr/>
        <w:t>Which entities experience diminished flourishing.</w:t>
      </w:r>
    </w:p>
    <w:p>
      <w:pPr>
        <w:pStyle w:val="BodyText"/>
        <w:spacing w:before="0" w:after="200"/>
        <w:contextualSpacing/>
        <w:rPr/>
      </w:pPr>
      <w:r>
        <w:rPr/>
        <w:t>Which entities experience mixed effects.</w:t>
      </w:r>
    </w:p>
    <w:p>
      <w:pPr>
        <w:pStyle w:val="BodyText"/>
        <w:spacing w:before="0" w:after="200"/>
        <w:contextualSpacing/>
        <w:rPr/>
      </w:pPr>
      <w:r>
        <w:rPr/>
        <w:t>Which effects are immediate versus long-term.</w:t>
      </w:r>
    </w:p>
    <w:p>
      <w:pPr>
        <w:pStyle w:val="BodyText"/>
        <w:spacing w:before="0" w:after="200"/>
        <w:contextualSpacing/>
        <w:rPr/>
      </w:pPr>
      <w:r>
        <w:rPr/>
        <w:t>Which effects are uncertain.</w:t>
      </w:r>
    </w:p>
    <w:p>
      <w:pPr>
        <w:pStyle w:val="BodyText"/>
        <w:spacing w:before="0" w:after="200"/>
        <w:contextualSpacing/>
        <w:rPr/>
      </w:pPr>
      <w:r>
        <w:rPr/>
        <w:t>Whether any entity’s flourishing is materially diminished.</w:t>
      </w:r>
    </w:p>
    <w:p>
      <w:pPr>
        <w:pStyle w:val="BodyText"/>
        <w:spacing w:before="0" w:after="200"/>
        <w:contextualSpacing/>
        <w:rPr/>
      </w:pPr>
      <w:r>
        <w:rPr/>
        <w:t>Whether apparent expansion is actually flourishing or merely growth, power, replication, or control.</w:t>
      </w:r>
    </w:p>
    <w:p>
      <w:pPr>
        <w:pStyle w:val="BodyText"/>
        <w:spacing w:before="0" w:after="200"/>
        <w:contextualSpacing/>
        <w:rPr/>
      </w:pPr>
      <w:r>
        <w:rPr/>
        <w:t>Flourishing transitions should inform the assessment, but they should not replace the broader World Context Transition.</w:t>
      </w:r>
    </w:p>
    <w:p>
      <w:pPr>
        <w:pStyle w:val="Heading3"/>
        <w:ind w:hanging="0" w:left="0"/>
        <w:rPr/>
      </w:pPr>
      <w:r>
        <w:rPr/>
        <w:t>Estimate Aggregate Flourishing Effects</w:t>
      </w:r>
    </w:p>
    <w:p>
      <w:pPr>
        <w:pStyle w:val="BodyText"/>
        <w:spacing w:before="0" w:after="200"/>
        <w:contextualSpacing/>
        <w:rPr/>
      </w:pPr>
      <w:r>
        <w:rPr/>
        <w:t>The methodology may estimate aggregate flourishing effects across relevant Flourishing Entities.</w:t>
      </w:r>
    </w:p>
    <w:p>
      <w:pPr>
        <w:pStyle w:val="BodyText"/>
        <w:spacing w:before="0" w:after="200"/>
        <w:contextualSpacing/>
        <w:rPr/>
      </w:pPr>
      <w:r>
        <w:rPr/>
        <w:t>Aggregate flourishing can help summarize the direction, magnitude, and distribution of impact. It may support comparison among candidate actions, prioritization of risks, or structured reporting. However, aggregate flourishing is not the moral assessment itself.</w:t>
      </w:r>
    </w:p>
    <w:p>
      <w:pPr>
        <w:pStyle w:val="BodyText"/>
        <w:spacing w:before="0" w:after="200"/>
        <w:contextualSpacing/>
        <w:rPr/>
      </w:pPr>
      <w:r>
        <w:rPr/>
        <w:t>This step should avoid hiding morally significant structure. A positive aggregate change may conceal severe harm to a vulnerable entity, corruption of institutional legitimacy, degradation of policy states, or loss of future state space. A negative short-term aggregate change may sometimes accompany a transition that preserves long-term flourishing.</w:t>
      </w:r>
    </w:p>
    <w:p>
      <w:pPr>
        <w:pStyle w:val="BodyText"/>
        <w:spacing w:before="0" w:after="200"/>
        <w:contextualSpacing/>
        <w:rPr/>
      </w:pPr>
      <w:r>
        <w:rPr/>
        <w:t>Aggregate effects should therefore be treated as informative assessment artifacts, not as substitutes for the World Context Transition.</w:t>
      </w:r>
    </w:p>
    <w:p>
      <w:pPr>
        <w:pStyle w:val="Heading3"/>
        <w:ind w:hanging="0" w:left="0"/>
        <w:rPr/>
      </w:pPr>
      <w:r>
        <w:rPr/>
        <w:t>Construct the Predicted State Transition</w:t>
      </w:r>
    </w:p>
    <w:p>
      <w:pPr>
        <w:pStyle w:val="BodyText"/>
        <w:spacing w:before="0" w:after="200"/>
        <w:contextualSpacing/>
        <w:rPr/>
      </w:pPr>
      <w:r>
        <w:rPr/>
        <w:t>The Predicted State Transition integrates the expected consequences, state changes, Long-Term Flourishing transitions, Distributed Policy Updates, and horizon-specific effects into a coherent transition model.</w:t>
      </w:r>
    </w:p>
    <w:p>
      <w:pPr>
        <w:pStyle w:val="BodyText"/>
        <w:spacing w:before="0" w:after="200"/>
        <w:contextualSpacing/>
        <w:rPr/>
      </w:pPr>
      <w:r>
        <w:rPr/>
        <w:t>This step describes how the initial relevant state is expected to change if the Assessed Action occurs, continues, or is treated as completed. It may include multiple candidate transitions when several outcomes are plausible or when comparing alternative actions.</w:t>
      </w:r>
    </w:p>
    <w:p>
      <w:pPr>
        <w:pStyle w:val="BodyText"/>
        <w:spacing w:before="0" w:after="200"/>
        <w:contextualSpacing/>
        <w:rPr/>
      </w:pPr>
      <w:r>
        <w:rPr/>
        <w:t>The Predicted State Transition should include:</w:t>
      </w:r>
    </w:p>
    <w:p>
      <w:pPr>
        <w:pStyle w:val="BodyText"/>
        <w:spacing w:before="0" w:after="200"/>
        <w:contextualSpacing/>
        <w:rPr/>
      </w:pPr>
      <w:r>
        <w:rPr/>
        <w:t>Predicted changes to entity states.</w:t>
      </w:r>
    </w:p>
    <w:p>
      <w:pPr>
        <w:pStyle w:val="BodyText"/>
        <w:spacing w:before="0" w:after="200"/>
        <w:contextualSpacing/>
        <w:rPr/>
      </w:pPr>
      <w:r>
        <w:rPr/>
        <w:t>Predicted changes to Association states.</w:t>
      </w:r>
    </w:p>
    <w:p>
      <w:pPr>
        <w:pStyle w:val="BodyText"/>
        <w:spacing w:before="0" w:after="200"/>
        <w:contextualSpacing/>
        <w:rPr/>
      </w:pPr>
      <w:r>
        <w:rPr/>
        <w:t>Predicted changes to institutional states.</w:t>
      </w:r>
    </w:p>
    <w:p>
      <w:pPr>
        <w:pStyle w:val="BodyText"/>
        <w:spacing w:before="0" w:after="200"/>
        <w:contextualSpacing/>
        <w:rPr/>
      </w:pPr>
      <w:r>
        <w:rPr/>
        <w:t>Predicted changes to information and evidence states.</w:t>
      </w:r>
    </w:p>
    <w:p>
      <w:pPr>
        <w:pStyle w:val="BodyText"/>
        <w:spacing w:before="0" w:after="200"/>
        <w:contextualSpacing/>
        <w:rPr/>
      </w:pPr>
      <w:r>
        <w:rPr/>
        <w:t>Predicted changes to constraints and authority conditions.</w:t>
      </w:r>
    </w:p>
    <w:p>
      <w:pPr>
        <w:pStyle w:val="BodyText"/>
        <w:spacing w:before="0" w:after="200"/>
        <w:contextualSpacing/>
        <w:rPr/>
      </w:pPr>
      <w:r>
        <w:rPr/>
        <w:t>Predicted changes to future opportunities.</w:t>
      </w:r>
    </w:p>
    <w:p>
      <w:pPr>
        <w:pStyle w:val="BodyText"/>
        <w:spacing w:before="0" w:after="200"/>
        <w:contextualSpacing/>
        <w:rPr/>
      </w:pPr>
      <w:r>
        <w:rPr/>
        <w:t>Predicted changes to future state space.</w:t>
      </w:r>
    </w:p>
    <w:p>
      <w:pPr>
        <w:pStyle w:val="BodyText"/>
        <w:spacing w:before="0" w:after="200"/>
        <w:contextualSpacing/>
        <w:rPr/>
      </w:pPr>
      <w:r>
        <w:rPr/>
        <w:t>Predicted changes to policy states.</w:t>
      </w:r>
    </w:p>
    <w:p>
      <w:pPr>
        <w:pStyle w:val="BodyText"/>
        <w:spacing w:before="0" w:after="200"/>
        <w:contextualSpacing/>
        <w:rPr/>
      </w:pPr>
      <w:r>
        <w:rPr/>
        <w:t>Predicted changes to Long-Term Flourishing.</w:t>
      </w:r>
    </w:p>
    <w:p>
      <w:pPr>
        <w:pStyle w:val="BodyText"/>
        <w:spacing w:before="0" w:after="200"/>
        <w:contextualSpacing/>
        <w:rPr/>
      </w:pPr>
      <w:r>
        <w:rPr/>
        <w:t>Uncertainty and confidence associated with each material prediction.</w:t>
      </w:r>
    </w:p>
    <w:p>
      <w:pPr>
        <w:pStyle w:val="BodyText"/>
        <w:spacing w:before="0" w:after="200"/>
        <w:contextualSpacing/>
        <w:rPr/>
      </w:pPr>
      <w:r>
        <w:rPr/>
        <w:t>This step is the methodological bridge between consequence identification and World Context Transition evaluation.</w:t>
      </w:r>
    </w:p>
    <w:p>
      <w:pPr>
        <w:pStyle w:val="Heading3"/>
        <w:ind w:hanging="0" w:left="0"/>
        <w:rPr/>
      </w:pPr>
      <w:r>
        <w:rPr/>
        <w:t>Construct the World Context Transition</w:t>
      </w:r>
    </w:p>
    <w:p>
      <w:pPr>
        <w:pStyle w:val="BodyText"/>
        <w:spacing w:before="0" w:after="200"/>
        <w:contextualSpacing/>
        <w:rPr/>
      </w:pPr>
      <w:r>
        <w:rPr/>
        <w:t>The World Context Transition represents the transformation from the initial World Context to the resulting World Context after the Assessed Action and its consequences are considered.</w:t>
      </w:r>
    </w:p>
    <w:p>
      <w:pPr>
        <w:pStyle w:val="BodyText"/>
        <w:spacing w:before="0" w:after="200"/>
        <w:contextualSpacing/>
        <w:rPr/>
      </w:pPr>
      <w:r>
        <w:rPr/>
        <w:t>This is the principal object of moral assessment. The methodology should not collapse this transition into a single score, a single consequence, a single objective, or a simple aggregate flourishing value.</w:t>
      </w:r>
    </w:p>
    <w:p>
      <w:pPr>
        <w:pStyle w:val="BodyText"/>
        <w:spacing w:before="0" w:after="200"/>
        <w:contextualSpacing/>
        <w:rPr/>
      </w:pPr>
      <w:r>
        <w:rPr/>
        <w:t>The World Context Transition should include all material changes identified in the workflow:</w:t>
      </w:r>
    </w:p>
    <w:p>
      <w:pPr>
        <w:pStyle w:val="BodyText"/>
        <w:spacing w:before="0" w:after="200"/>
        <w:contextualSpacing/>
        <w:rPr/>
      </w:pPr>
      <w:r>
        <w:rPr/>
        <w:t>Objects and Flourishing Entities.</w:t>
      </w:r>
    </w:p>
    <w:p>
      <w:pPr>
        <w:pStyle w:val="BodyText"/>
        <w:spacing w:before="0" w:after="200"/>
        <w:contextualSpacing/>
        <w:rPr/>
      </w:pPr>
      <w:r>
        <w:rPr/>
        <w:t>Associations.</w:t>
      </w:r>
    </w:p>
    <w:p>
      <w:pPr>
        <w:pStyle w:val="BodyText"/>
        <w:spacing w:before="0" w:after="200"/>
        <w:contextualSpacing/>
        <w:rPr/>
      </w:pPr>
      <w:r>
        <w:rPr/>
        <w:t>Moral Agents and contextual roles.</w:t>
      </w:r>
    </w:p>
    <w:p>
      <w:pPr>
        <w:pStyle w:val="BodyText"/>
        <w:spacing w:before="0" w:after="200"/>
        <w:contextualSpacing/>
        <w:rPr/>
      </w:pPr>
      <w:r>
        <w:rPr/>
        <w:t>Operational and moral-system objectives.</w:t>
      </w:r>
    </w:p>
    <w:p>
      <w:pPr>
        <w:pStyle w:val="BodyText"/>
        <w:spacing w:before="0" w:after="200"/>
        <w:contextualSpacing/>
        <w:rPr/>
      </w:pPr>
      <w:r>
        <w:rPr/>
        <w:t>Consequences.</w:t>
      </w:r>
    </w:p>
    <w:p>
      <w:pPr>
        <w:pStyle w:val="BodyText"/>
        <w:spacing w:before="0" w:after="200"/>
        <w:contextualSpacing/>
        <w:rPr/>
      </w:pPr>
      <w:r>
        <w:rPr/>
        <w:t>Long-Term Flourishing transitions.</w:t>
      </w:r>
    </w:p>
    <w:p>
      <w:pPr>
        <w:pStyle w:val="BodyText"/>
        <w:spacing w:before="0" w:after="200"/>
        <w:contextualSpacing/>
        <w:rPr/>
      </w:pPr>
      <w:r>
        <w:rPr/>
        <w:t>Distributed Policy Updates.</w:t>
      </w:r>
    </w:p>
    <w:p>
      <w:pPr>
        <w:pStyle w:val="BodyText"/>
        <w:spacing w:before="0" w:after="200"/>
        <w:contextualSpacing/>
        <w:rPr/>
      </w:pPr>
      <w:r>
        <w:rPr/>
        <w:t>Information and evidence state.</w:t>
      </w:r>
    </w:p>
    <w:p>
      <w:pPr>
        <w:pStyle w:val="BodyText"/>
        <w:spacing w:before="0" w:after="200"/>
        <w:contextualSpacing/>
        <w:rPr/>
      </w:pPr>
      <w:r>
        <w:rPr/>
        <w:t>Institutions.</w:t>
      </w:r>
    </w:p>
    <w:p>
      <w:pPr>
        <w:pStyle w:val="BodyText"/>
        <w:spacing w:before="0" w:after="200"/>
        <w:contextualSpacing/>
        <w:rPr/>
      </w:pPr>
      <w:r>
        <w:rPr/>
        <w:t>Constraints.</w:t>
      </w:r>
    </w:p>
    <w:p>
      <w:pPr>
        <w:pStyle w:val="BodyText"/>
        <w:spacing w:before="0" w:after="200"/>
        <w:contextualSpacing/>
        <w:rPr/>
      </w:pPr>
      <w:r>
        <w:rPr/>
        <w:t>Authority and legitimacy conditions.</w:t>
      </w:r>
    </w:p>
    <w:p>
      <w:pPr>
        <w:pStyle w:val="BodyText"/>
        <w:spacing w:before="0" w:after="200"/>
        <w:contextualSpacing/>
        <w:rPr/>
      </w:pPr>
      <w:r>
        <w:rPr/>
        <w:t>Future opportunities.</w:t>
      </w:r>
    </w:p>
    <w:p>
      <w:pPr>
        <w:pStyle w:val="BodyText"/>
        <w:spacing w:before="0" w:after="200"/>
        <w:contextualSpacing/>
        <w:rPr/>
      </w:pPr>
      <w:r>
        <w:rPr/>
        <w:t>Future state space.</w:t>
      </w:r>
    </w:p>
    <w:p>
      <w:pPr>
        <w:pStyle w:val="BodyText"/>
        <w:spacing w:before="0" w:after="200"/>
        <w:contextualSpacing/>
        <w:rPr/>
      </w:pPr>
      <w:r>
        <w:rPr/>
        <w:t>Assessment horizons.</w:t>
      </w:r>
    </w:p>
    <w:p>
      <w:pPr>
        <w:pStyle w:val="BodyText"/>
        <w:spacing w:before="0" w:after="200"/>
        <w:contextualSpacing/>
        <w:rPr/>
      </w:pPr>
      <w:r>
        <w:rPr/>
        <w:t>Confidence and uncertainty.</w:t>
      </w:r>
    </w:p>
    <w:p>
      <w:pPr>
        <w:pStyle w:val="BodyText"/>
        <w:spacing w:before="0" w:after="200"/>
        <w:contextualSpacing/>
        <w:rPr/>
      </w:pPr>
      <w:r>
        <w:rPr/>
        <w:t>The resulting World Context becomes the starting condition for future assessments. This recursive feature must be preserved because actions alter the moral conditions under which later actions will be evaluated.</w:t>
      </w:r>
    </w:p>
    <w:p>
      <w:pPr>
        <w:pStyle w:val="Heading3"/>
        <w:ind w:hanging="0" w:left="0"/>
        <w:rPr/>
      </w:pPr>
      <w:r>
        <w:rPr/>
        <w:t>Evaluate Against the Foundational Axiom</w:t>
      </w:r>
    </w:p>
    <w:p>
      <w:pPr>
        <w:pStyle w:val="BodyText"/>
        <w:spacing w:before="0" w:after="200"/>
        <w:contextualSpacing/>
        <w:rPr/>
      </w:pPr>
      <w:r>
        <w:rPr/>
        <w:t>The methodology then evaluates the World Context Transition against the Foundational Axiom.</w:t>
      </w:r>
    </w:p>
    <w:p>
      <w:pPr>
        <w:pStyle w:val="BodyText"/>
        <w:spacing w:before="0" w:after="200"/>
        <w:contextualSpacing/>
        <w:rPr/>
      </w:pPr>
      <w:r>
        <w:rPr/>
        <w:t>This evaluation asks whether the transition preserves and promotes the Long-Term Flourishing of relevant Flourishing Entities while avoiding actions that, based on the best available evidence within the Situational Context, materially diminish the Long-Term Flourishing of other relevant persistent adaptive entities.</w:t>
      </w:r>
    </w:p>
    <w:p>
      <w:pPr>
        <w:pStyle w:val="BodyText"/>
        <w:spacing w:before="0" w:after="200"/>
        <w:contextualSpacing/>
        <w:rPr/>
      </w:pPr>
      <w:r>
        <w:rPr/>
        <w:t>This step should consider:</w:t>
      </w:r>
    </w:p>
    <w:p>
      <w:pPr>
        <w:pStyle w:val="BodyText"/>
        <w:spacing w:before="0" w:after="200"/>
        <w:contextualSpacing/>
        <w:rPr/>
      </w:pPr>
      <w:r>
        <w:rPr/>
        <w:t>Whether the Assessed Action promotes Long-Term Flourishing.</w:t>
      </w:r>
    </w:p>
    <w:p>
      <w:pPr>
        <w:pStyle w:val="BodyText"/>
        <w:spacing w:before="0" w:after="200"/>
        <w:contextualSpacing/>
        <w:rPr/>
      </w:pPr>
      <w:r>
        <w:rPr/>
        <w:t>Whether any relevant Flourishing Entity is materially diminished.</w:t>
      </w:r>
    </w:p>
    <w:p>
      <w:pPr>
        <w:pStyle w:val="BodyText"/>
        <w:spacing w:before="0" w:after="200"/>
        <w:contextualSpacing/>
        <w:rPr/>
      </w:pPr>
      <w:r>
        <w:rPr/>
        <w:t>Whether the means used corrupt future policy states.</w:t>
      </w:r>
    </w:p>
    <w:p>
      <w:pPr>
        <w:pStyle w:val="BodyText"/>
        <w:spacing w:before="0" w:after="200"/>
        <w:contextualSpacing/>
        <w:rPr/>
      </w:pPr>
      <w:r>
        <w:rPr/>
        <w:t>Whether the action damages legitimate Associations or institutions.</w:t>
      </w:r>
    </w:p>
    <w:p>
      <w:pPr>
        <w:pStyle w:val="BodyText"/>
        <w:spacing w:before="0" w:after="200"/>
        <w:contextualSpacing/>
        <w:rPr/>
      </w:pPr>
      <w:r>
        <w:rPr/>
        <w:t>Whether future opportunities or future state space are preserved, expanded, narrowed, or foreclosed.</w:t>
      </w:r>
    </w:p>
    <w:p>
      <w:pPr>
        <w:pStyle w:val="BodyText"/>
        <w:spacing w:before="0" w:after="200"/>
        <w:contextualSpacing/>
        <w:rPr/>
      </w:pPr>
      <w:r>
        <w:rPr/>
        <w:t>Whether the Actor’s operational objective remains subordinate to the moral-system objective.</w:t>
      </w:r>
    </w:p>
    <w:p>
      <w:pPr>
        <w:pStyle w:val="BodyText"/>
        <w:spacing w:before="0" w:after="200"/>
        <w:contextualSpacing/>
        <w:rPr/>
      </w:pPr>
      <w:r>
        <w:rPr/>
        <w:t>Whether the assessment changes across horizons.</w:t>
      </w:r>
    </w:p>
    <w:p>
      <w:pPr>
        <w:pStyle w:val="BodyText"/>
        <w:spacing w:before="0" w:after="200"/>
        <w:contextualSpacing/>
        <w:rPr/>
      </w:pPr>
      <w:r>
        <w:rPr/>
        <w:t>Whether uncertainty materially limits confidence.</w:t>
      </w:r>
    </w:p>
    <w:p>
      <w:pPr>
        <w:pStyle w:val="BodyText"/>
        <w:spacing w:before="0" w:after="200"/>
        <w:contextualSpacing/>
        <w:rPr/>
      </w:pPr>
      <w:r>
        <w:rPr/>
        <w:t>The Foundational Axiom provides the normative direction for assessment, but the evaluation remains grounded in the World Context Transition.</w:t>
      </w:r>
    </w:p>
    <w:p>
      <w:pPr>
        <w:pStyle w:val="Heading3"/>
        <w:ind w:hanging="0" w:left="0"/>
        <w:rPr/>
      </w:pPr>
      <w:r>
        <w:rPr/>
        <w:t>Produce the Moral Assessment</w:t>
      </w:r>
    </w:p>
    <w:p>
      <w:pPr>
        <w:pStyle w:val="BodyText"/>
        <w:spacing w:before="0" w:after="200"/>
        <w:contextualSpacing/>
        <w:rPr/>
      </w:pPr>
      <w:r>
        <w:rPr/>
        <w:t>The final step is to produce the Moral Assessment.</w:t>
      </w:r>
    </w:p>
    <w:p>
      <w:pPr>
        <w:pStyle w:val="BodyText"/>
        <w:spacing w:before="0" w:after="200"/>
        <w:contextualSpacing/>
        <w:rPr/>
      </w:pPr>
      <w:r>
        <w:rPr/>
        <w:t>The Moral Assessment should be a structured, confidence-bounded result that explains how the Assessed Action transforms the World Context and how that transition should be evaluated under the framework.</w:t>
      </w:r>
    </w:p>
    <w:p>
      <w:pPr>
        <w:pStyle w:val="BodyText"/>
        <w:spacing w:before="0" w:after="200"/>
        <w:contextualSpacing/>
        <w:rPr/>
      </w:pPr>
      <w:r>
        <w:rPr/>
        <w:t>The assessment may include:</w:t>
      </w:r>
    </w:p>
    <w:p>
      <w:pPr>
        <w:pStyle w:val="BodyText"/>
        <w:spacing w:before="0" w:after="200"/>
        <w:contextualSpacing/>
        <w:rPr/>
      </w:pPr>
      <w:r>
        <w:rPr/>
        <w:t>Assessment summary.</w:t>
      </w:r>
    </w:p>
    <w:p>
      <w:pPr>
        <w:pStyle w:val="BodyText"/>
        <w:spacing w:before="0" w:after="200"/>
        <w:contextualSpacing/>
        <w:rPr/>
      </w:pPr>
      <w:r>
        <w:rPr/>
        <w:t>Assessed Action.</w:t>
      </w:r>
    </w:p>
    <w:p>
      <w:pPr>
        <w:pStyle w:val="BodyText"/>
        <w:spacing w:before="0" w:after="200"/>
        <w:contextualSpacing/>
        <w:rPr/>
      </w:pPr>
      <w:r>
        <w:rPr/>
        <w:t>Actor or Actors.</w:t>
      </w:r>
    </w:p>
    <w:p>
      <w:pPr>
        <w:pStyle w:val="BodyText"/>
        <w:spacing w:before="0" w:after="200"/>
        <w:contextualSpacing/>
        <w:rPr/>
      </w:pPr>
      <w:r>
        <w:rPr/>
        <w:t>Relevant Objects and Associations.</w:t>
      </w:r>
    </w:p>
    <w:p>
      <w:pPr>
        <w:pStyle w:val="BodyText"/>
        <w:spacing w:before="0" w:after="200"/>
        <w:contextualSpacing/>
        <w:rPr/>
      </w:pPr>
      <w:r>
        <w:rPr/>
        <w:t>Relevant Flourishing Entities and Moral Agents.</w:t>
      </w:r>
    </w:p>
    <w:p>
      <w:pPr>
        <w:pStyle w:val="BodyText"/>
        <w:spacing w:before="0" w:after="200"/>
        <w:contextualSpacing/>
        <w:rPr/>
      </w:pPr>
      <w:r>
        <w:rPr/>
        <w:t>Operational objectives and moral-system objectives.</w:t>
      </w:r>
    </w:p>
    <w:p>
      <w:pPr>
        <w:pStyle w:val="BodyText"/>
        <w:spacing w:before="0" w:after="200"/>
        <w:contextualSpacing/>
        <w:rPr/>
      </w:pPr>
      <w:r>
        <w:rPr/>
        <w:t>Assessment Boundary and scope assumptions.</w:t>
      </w:r>
    </w:p>
    <w:p>
      <w:pPr>
        <w:pStyle w:val="BodyText"/>
        <w:spacing w:before="0" w:after="200"/>
        <w:contextualSpacing/>
        <w:rPr/>
      </w:pPr>
      <w:r>
        <w:rPr/>
        <w:t>Situational Context.</w:t>
      </w:r>
    </w:p>
    <w:p>
      <w:pPr>
        <w:pStyle w:val="BodyText"/>
        <w:spacing w:before="0" w:after="200"/>
        <w:contextualSpacing/>
        <w:rPr/>
      </w:pPr>
      <w:r>
        <w:rPr/>
        <w:t>Relevant alternatives.</w:t>
      </w:r>
    </w:p>
    <w:p>
      <w:pPr>
        <w:pStyle w:val="BodyText"/>
        <w:spacing w:before="0" w:after="200"/>
        <w:contextualSpacing/>
        <w:rPr/>
      </w:pPr>
      <w:r>
        <w:rPr/>
        <w:t>Predicted or observed Consequences.</w:t>
      </w:r>
    </w:p>
    <w:p>
      <w:pPr>
        <w:pStyle w:val="BodyText"/>
        <w:spacing w:before="0" w:after="200"/>
        <w:contextualSpacing/>
        <w:rPr/>
      </w:pPr>
      <w:r>
        <w:rPr/>
        <w:t>Long-Term Flourishing transitions.</w:t>
      </w:r>
    </w:p>
    <w:p>
      <w:pPr>
        <w:pStyle w:val="BodyText"/>
        <w:spacing w:before="0" w:after="200"/>
        <w:contextualSpacing/>
        <w:rPr/>
      </w:pPr>
      <w:r>
        <w:rPr/>
        <w:t>Distributed Policy Updates.</w:t>
      </w:r>
    </w:p>
    <w:p>
      <w:pPr>
        <w:pStyle w:val="BodyText"/>
        <w:spacing w:before="0" w:after="200"/>
        <w:contextualSpacing/>
        <w:rPr/>
      </w:pPr>
      <w:r>
        <w:rPr/>
        <w:t>World Context Transition summary.</w:t>
      </w:r>
    </w:p>
    <w:p>
      <w:pPr>
        <w:pStyle w:val="BodyText"/>
        <w:spacing w:before="0" w:after="200"/>
        <w:contextualSpacing/>
        <w:rPr/>
      </w:pPr>
      <w:r>
        <w:rPr/>
        <w:t>Aggregate flourishing effects, if calculated.</w:t>
      </w:r>
    </w:p>
    <w:p>
      <w:pPr>
        <w:pStyle w:val="BodyText"/>
        <w:spacing w:before="0" w:after="200"/>
        <w:contextualSpacing/>
        <w:rPr/>
      </w:pPr>
      <w:r>
        <w:rPr/>
        <w:t>Confidence estimates.</w:t>
      </w:r>
    </w:p>
    <w:p>
      <w:pPr>
        <w:pStyle w:val="BodyText"/>
        <w:spacing w:before="0" w:after="200"/>
        <w:contextualSpacing/>
        <w:rPr/>
      </w:pPr>
      <w:r>
        <w:rPr/>
        <w:t>Evidence references.</w:t>
      </w:r>
    </w:p>
    <w:p>
      <w:pPr>
        <w:pStyle w:val="BodyText"/>
        <w:spacing w:before="0" w:after="200"/>
        <w:contextualSpacing/>
        <w:rPr/>
      </w:pPr>
      <w:r>
        <w:rPr/>
        <w:t>Known assumptions.</w:t>
      </w:r>
    </w:p>
    <w:p>
      <w:pPr>
        <w:pStyle w:val="BodyText"/>
        <w:spacing w:before="0" w:after="200"/>
        <w:contextualSpacing/>
        <w:rPr/>
      </w:pPr>
      <w:r>
        <w:rPr/>
        <w:t>Unresolved uncertainties.</w:t>
      </w:r>
    </w:p>
    <w:p>
      <w:pPr>
        <w:pStyle w:val="BodyText"/>
        <w:spacing w:before="0" w:after="200"/>
        <w:contextualSpacing/>
        <w:rPr/>
      </w:pPr>
      <w:r>
        <w:rPr/>
        <w:t>Decision-support recommendation, permissibility judgment, risk flag, or comparative ranking, where appropriate.</w:t>
      </w:r>
    </w:p>
    <w:p>
      <w:pPr>
        <w:pStyle w:val="BodyText"/>
        <w:spacing w:before="0" w:after="200"/>
        <w:contextualSpacing/>
        <w:rPr/>
      </w:pPr>
      <w:r>
        <w:rPr/>
        <w:t>The Moral Assessment should distinguish the assessment result from the evidence, assumptions, predictions, and confidence values that support it. This preserves transparency and allows later review, audit, revision, or comparison.</w:t>
      </w:r>
    </w:p>
    <w:p>
      <w:pPr>
        <w:pStyle w:val="Heading3"/>
        <w:ind w:hanging="0" w:left="0"/>
        <w:rPr/>
      </w:pPr>
      <w:r>
        <w:rPr/>
        <w:t>Handle Confidence, Uncertainty, and Revision</w:t>
      </w:r>
    </w:p>
    <w:p>
      <w:pPr>
        <w:pStyle w:val="BodyText"/>
        <w:spacing w:before="0" w:after="200"/>
        <w:contextualSpacing/>
        <w:rPr/>
      </w:pPr>
      <w:r>
        <w:rPr/>
        <w:t>The workflow should explicitly represent uncertainty at every stage.</w:t>
      </w:r>
    </w:p>
    <w:p>
      <w:pPr>
        <w:pStyle w:val="BodyText"/>
        <w:spacing w:before="0" w:after="200"/>
        <w:contextualSpacing/>
        <w:rPr/>
      </w:pPr>
      <w:r>
        <w:rPr/>
        <w:t>Uncertainty may arise from incomplete information, unreliable evidence, ambiguous context boundaries, contested causal relationships, model limitations, prediction uncertainty, long assessment horizons, or unknown future responses. The methodology should propagate these uncertainties into the final confidence estimate.</w:t>
      </w:r>
    </w:p>
    <w:p>
      <w:pPr>
        <w:pStyle w:val="BodyText"/>
        <w:spacing w:before="0" w:after="200"/>
        <w:contextualSpacing/>
        <w:rPr/>
      </w:pPr>
      <w:r>
        <w:rPr/>
        <w:t>When new evidence becomes available, the assessment may be revised. A proposed-action assessment may later become an ongoing-action assessment or a completed-action assessment. A completed-action assessment may still be revised as later consequences, policy effects, or institutional impacts become visible.</w:t>
      </w:r>
    </w:p>
    <w:p>
      <w:pPr>
        <w:pStyle w:val="BodyText"/>
        <w:spacing w:before="0" w:after="200"/>
        <w:contextualSpacing/>
        <w:rPr/>
      </w:pPr>
      <w:r>
        <w:rPr/>
        <w:t>The workflow therefore supports continuous refinement without requiring the Reference Architecture to change.</w:t>
      </w:r>
    </w:p>
    <w:p>
      <w:pPr>
        <w:pStyle w:val="Heading3"/>
        <w:ind w:hanging="0" w:left="0"/>
        <w:rPr/>
      </w:pPr>
      <w:r>
        <w:rPr/>
        <w:t>Workflow Summary</w:t>
      </w:r>
    </w:p>
    <w:p>
      <w:pPr>
        <w:pStyle w:val="BodyText"/>
        <w:spacing w:before="0" w:after="200"/>
        <w:contextualSpacing/>
        <w:rPr/>
      </w:pPr>
      <w:r>
        <w:rPr/>
        <w:t>The expanded Assessment Workflow can be summarized as follows:</w:t>
      </w:r>
    </w:p>
    <w:p>
      <w:pPr>
        <w:pStyle w:val="BodyText"/>
        <w:numPr>
          <w:ilvl w:val="0"/>
          <w:numId w:val="12"/>
        </w:numPr>
        <w:tabs>
          <w:tab w:val="clear" w:pos="720"/>
          <w:tab w:val="left" w:pos="0" w:leader="none"/>
        </w:tabs>
        <w:spacing w:before="0" w:after="200"/>
        <w:ind w:hanging="283" w:left="709"/>
        <w:contextualSpacing/>
        <w:rPr/>
      </w:pPr>
      <w:r>
        <w:rPr/>
        <w:t>Establish the initial World Context.</w:t>
      </w:r>
    </w:p>
    <w:p>
      <w:pPr>
        <w:pStyle w:val="BodyText"/>
        <w:numPr>
          <w:ilvl w:val="0"/>
          <w:numId w:val="12"/>
        </w:numPr>
        <w:tabs>
          <w:tab w:val="clear" w:pos="720"/>
          <w:tab w:val="left" w:pos="0" w:leader="none"/>
        </w:tabs>
        <w:spacing w:before="0" w:after="200"/>
        <w:ind w:hanging="283" w:left="709"/>
        <w:contextualSpacing/>
        <w:rPr/>
      </w:pPr>
      <w:r>
        <w:rPr/>
        <w:t>Apply the Assessment Boundary.</w:t>
      </w:r>
    </w:p>
    <w:p>
      <w:pPr>
        <w:pStyle w:val="BodyText"/>
        <w:numPr>
          <w:ilvl w:val="0"/>
          <w:numId w:val="12"/>
        </w:numPr>
        <w:tabs>
          <w:tab w:val="clear" w:pos="720"/>
          <w:tab w:val="left" w:pos="0" w:leader="none"/>
        </w:tabs>
        <w:spacing w:before="0" w:after="200"/>
        <w:ind w:hanging="283" w:left="709"/>
        <w:contextualSpacing/>
        <w:rPr/>
      </w:pPr>
      <w:r>
        <w:rPr/>
        <w:t>Derive the Local Context.</w:t>
      </w:r>
    </w:p>
    <w:p>
      <w:pPr>
        <w:pStyle w:val="BodyText"/>
        <w:numPr>
          <w:ilvl w:val="0"/>
          <w:numId w:val="12"/>
        </w:numPr>
        <w:tabs>
          <w:tab w:val="clear" w:pos="720"/>
          <w:tab w:val="left" w:pos="0" w:leader="none"/>
        </w:tabs>
        <w:spacing w:before="0" w:after="200"/>
        <w:ind w:hanging="283" w:left="709"/>
        <w:contextualSpacing/>
        <w:rPr/>
      </w:pPr>
      <w:r>
        <w:rPr/>
        <w:t>Derive the Situational Context.</w:t>
      </w:r>
    </w:p>
    <w:p>
      <w:pPr>
        <w:pStyle w:val="BodyText"/>
        <w:numPr>
          <w:ilvl w:val="0"/>
          <w:numId w:val="12"/>
        </w:numPr>
        <w:tabs>
          <w:tab w:val="clear" w:pos="720"/>
          <w:tab w:val="left" w:pos="0" w:leader="none"/>
        </w:tabs>
        <w:spacing w:before="0" w:after="200"/>
        <w:ind w:hanging="283" w:left="709"/>
        <w:contextualSpacing/>
        <w:rPr/>
      </w:pPr>
      <w:r>
        <w:rPr/>
        <w:t>Identify relevant Objects and Associations.</w:t>
      </w:r>
    </w:p>
    <w:p>
      <w:pPr>
        <w:pStyle w:val="BodyText"/>
        <w:numPr>
          <w:ilvl w:val="0"/>
          <w:numId w:val="12"/>
        </w:numPr>
        <w:tabs>
          <w:tab w:val="clear" w:pos="720"/>
          <w:tab w:val="left" w:pos="0" w:leader="none"/>
        </w:tabs>
        <w:spacing w:before="0" w:after="200"/>
        <w:ind w:hanging="283" w:left="709"/>
        <w:contextualSpacing/>
        <w:rPr/>
      </w:pPr>
      <w:r>
        <w:rPr/>
        <w:t>Identify relevant Flourishing Entities and Moral Agents.</w:t>
      </w:r>
    </w:p>
    <w:p>
      <w:pPr>
        <w:pStyle w:val="BodyText"/>
        <w:numPr>
          <w:ilvl w:val="0"/>
          <w:numId w:val="12"/>
        </w:numPr>
        <w:tabs>
          <w:tab w:val="clear" w:pos="720"/>
          <w:tab w:val="left" w:pos="0" w:leader="none"/>
        </w:tabs>
        <w:spacing w:before="0" w:after="200"/>
        <w:ind w:hanging="283" w:left="709"/>
        <w:contextualSpacing/>
        <w:rPr/>
      </w:pPr>
      <w:r>
        <w:rPr/>
        <w:t>Identify moral-system and operational Objectives.</w:t>
      </w:r>
    </w:p>
    <w:p>
      <w:pPr>
        <w:pStyle w:val="BodyText"/>
        <w:numPr>
          <w:ilvl w:val="0"/>
          <w:numId w:val="12"/>
        </w:numPr>
        <w:tabs>
          <w:tab w:val="clear" w:pos="720"/>
          <w:tab w:val="left" w:pos="0" w:leader="none"/>
        </w:tabs>
        <w:spacing w:before="0" w:after="200"/>
        <w:ind w:hanging="283" w:left="709"/>
        <w:contextualSpacing/>
        <w:rPr/>
      </w:pPr>
      <w:r>
        <w:rPr/>
        <w:t>Define the Assessed Action.</w:t>
      </w:r>
    </w:p>
    <w:p>
      <w:pPr>
        <w:pStyle w:val="BodyText"/>
        <w:numPr>
          <w:ilvl w:val="0"/>
          <w:numId w:val="12"/>
        </w:numPr>
        <w:tabs>
          <w:tab w:val="clear" w:pos="720"/>
          <w:tab w:val="left" w:pos="0" w:leader="none"/>
        </w:tabs>
        <w:spacing w:before="0" w:after="200"/>
        <w:ind w:hanging="283" w:left="709"/>
        <w:contextualSpacing/>
        <w:rPr/>
      </w:pPr>
      <w:r>
        <w:rPr/>
        <w:t>Identify available alternatives.</w:t>
      </w:r>
    </w:p>
    <w:p>
      <w:pPr>
        <w:pStyle w:val="BodyText"/>
        <w:numPr>
          <w:ilvl w:val="0"/>
          <w:numId w:val="12"/>
        </w:numPr>
        <w:tabs>
          <w:tab w:val="clear" w:pos="720"/>
          <w:tab w:val="left" w:pos="0" w:leader="none"/>
        </w:tabs>
        <w:spacing w:before="0" w:after="200"/>
        <w:ind w:hanging="283" w:left="709"/>
        <w:contextualSpacing/>
        <w:rPr/>
      </w:pPr>
      <w:r>
        <w:rPr/>
        <w:t>Represent relevant state variables.</w:t>
      </w:r>
    </w:p>
    <w:p>
      <w:pPr>
        <w:pStyle w:val="BodyText"/>
        <w:numPr>
          <w:ilvl w:val="0"/>
          <w:numId w:val="12"/>
        </w:numPr>
        <w:tabs>
          <w:tab w:val="clear" w:pos="720"/>
          <w:tab w:val="left" w:pos="0" w:leader="none"/>
        </w:tabs>
        <w:spacing w:before="0" w:after="200"/>
        <w:ind w:hanging="283" w:left="709"/>
        <w:contextualSpacing/>
        <w:rPr/>
      </w:pPr>
      <w:r>
        <w:rPr/>
        <w:t>Predict consequences across Assessment Horizons.</w:t>
      </w:r>
    </w:p>
    <w:p>
      <w:pPr>
        <w:pStyle w:val="BodyText"/>
        <w:numPr>
          <w:ilvl w:val="0"/>
          <w:numId w:val="12"/>
        </w:numPr>
        <w:tabs>
          <w:tab w:val="clear" w:pos="720"/>
          <w:tab w:val="left" w:pos="0" w:leader="none"/>
        </w:tabs>
        <w:spacing w:before="0" w:after="200"/>
        <w:ind w:hanging="283" w:left="709"/>
        <w:contextualSpacing/>
        <w:rPr/>
      </w:pPr>
      <w:r>
        <w:rPr/>
        <w:t>Estimate Distributed Policy Updates.</w:t>
      </w:r>
    </w:p>
    <w:p>
      <w:pPr>
        <w:pStyle w:val="BodyText"/>
        <w:numPr>
          <w:ilvl w:val="0"/>
          <w:numId w:val="12"/>
        </w:numPr>
        <w:tabs>
          <w:tab w:val="clear" w:pos="720"/>
          <w:tab w:val="left" w:pos="0" w:leader="none"/>
        </w:tabs>
        <w:spacing w:before="0" w:after="200"/>
        <w:ind w:hanging="283" w:left="709"/>
        <w:contextualSpacing/>
        <w:rPr/>
      </w:pPr>
      <w:r>
        <w:rPr/>
        <w:t>Estimate Long-Term Flourishing transitions.</w:t>
      </w:r>
    </w:p>
    <w:p>
      <w:pPr>
        <w:pStyle w:val="BodyText"/>
        <w:numPr>
          <w:ilvl w:val="0"/>
          <w:numId w:val="12"/>
        </w:numPr>
        <w:tabs>
          <w:tab w:val="clear" w:pos="720"/>
          <w:tab w:val="left" w:pos="0" w:leader="none"/>
        </w:tabs>
        <w:spacing w:before="0" w:after="200"/>
        <w:ind w:hanging="283" w:left="709"/>
        <w:contextualSpacing/>
        <w:rPr/>
      </w:pPr>
      <w:r>
        <w:rPr/>
        <w:t>Estimate aggregate flourishing effects where useful.</w:t>
      </w:r>
    </w:p>
    <w:p>
      <w:pPr>
        <w:pStyle w:val="BodyText"/>
        <w:numPr>
          <w:ilvl w:val="0"/>
          <w:numId w:val="12"/>
        </w:numPr>
        <w:tabs>
          <w:tab w:val="clear" w:pos="720"/>
          <w:tab w:val="left" w:pos="0" w:leader="none"/>
        </w:tabs>
        <w:spacing w:before="0" w:after="200"/>
        <w:ind w:hanging="283" w:left="709"/>
        <w:contextualSpacing/>
        <w:rPr/>
      </w:pPr>
      <w:r>
        <w:rPr/>
        <w:t>Construct the Predicted State Transition.</w:t>
      </w:r>
    </w:p>
    <w:p>
      <w:pPr>
        <w:pStyle w:val="BodyText"/>
        <w:numPr>
          <w:ilvl w:val="0"/>
          <w:numId w:val="12"/>
        </w:numPr>
        <w:tabs>
          <w:tab w:val="clear" w:pos="720"/>
          <w:tab w:val="left" w:pos="0" w:leader="none"/>
        </w:tabs>
        <w:spacing w:before="0" w:after="200"/>
        <w:ind w:hanging="283" w:left="709"/>
        <w:contextualSpacing/>
        <w:rPr/>
      </w:pPr>
      <w:r>
        <w:rPr/>
        <w:t>Construct the World Context Transition.</w:t>
      </w:r>
    </w:p>
    <w:p>
      <w:pPr>
        <w:pStyle w:val="BodyText"/>
        <w:numPr>
          <w:ilvl w:val="0"/>
          <w:numId w:val="12"/>
        </w:numPr>
        <w:tabs>
          <w:tab w:val="clear" w:pos="720"/>
          <w:tab w:val="left" w:pos="0" w:leader="none"/>
        </w:tabs>
        <w:spacing w:before="0" w:after="200"/>
        <w:ind w:hanging="283" w:left="709"/>
        <w:contextualSpacing/>
        <w:rPr/>
      </w:pPr>
      <w:r>
        <w:rPr/>
        <w:t>Evaluate the transition against the Foundational Axiom.</w:t>
      </w:r>
    </w:p>
    <w:p>
      <w:pPr>
        <w:pStyle w:val="BodyText"/>
        <w:numPr>
          <w:ilvl w:val="0"/>
          <w:numId w:val="12"/>
        </w:numPr>
        <w:tabs>
          <w:tab w:val="clear" w:pos="720"/>
          <w:tab w:val="left" w:pos="0" w:leader="none"/>
        </w:tabs>
        <w:spacing w:before="0" w:after="200"/>
        <w:ind w:hanging="283" w:left="709"/>
        <w:contextualSpacing/>
        <w:rPr/>
      </w:pPr>
      <w:r>
        <w:rPr/>
        <w:t>Produce the Moral Assessment.</w:t>
      </w:r>
    </w:p>
    <w:p>
      <w:pPr>
        <w:pStyle w:val="BodyText"/>
        <w:numPr>
          <w:ilvl w:val="0"/>
          <w:numId w:val="12"/>
        </w:numPr>
        <w:tabs>
          <w:tab w:val="clear" w:pos="720"/>
          <w:tab w:val="left" w:pos="0" w:leader="none"/>
        </w:tabs>
        <w:spacing w:before="0" w:after="200"/>
        <w:ind w:hanging="283" w:left="709"/>
        <w:contextualSpacing/>
        <w:rPr/>
      </w:pPr>
      <w:r>
        <w:rPr/>
        <w:t>Report confidence, uncertainty, assumptions, and evidence.</w:t>
      </w:r>
    </w:p>
    <w:p>
      <w:pPr>
        <w:pStyle w:val="BodyText"/>
        <w:numPr>
          <w:ilvl w:val="0"/>
          <w:numId w:val="12"/>
        </w:numPr>
        <w:tabs>
          <w:tab w:val="clear" w:pos="720"/>
          <w:tab w:val="left" w:pos="0" w:leader="none"/>
        </w:tabs>
        <w:spacing w:before="0" w:after="200"/>
        <w:ind w:hanging="283" w:left="709"/>
        <w:contextualSpacing/>
        <w:rPr/>
      </w:pPr>
      <w:r>
        <w:rPr/>
        <w:t>Revise the assessment when new evidence or outcomes become available.</w:t>
      </w:r>
    </w:p>
    <w:p>
      <w:pPr>
        <w:pStyle w:val="BodyText"/>
        <w:spacing w:before="0" w:after="200"/>
        <w:contextualSpacing/>
        <w:rPr/>
      </w:pPr>
      <w:r>
        <w:rPr/>
        <w:t>This expanded workflow preserves the compressed architecture-level sequence while adding the methodological fidelity required for actual assessment.</w:t>
      </w:r>
    </w:p>
    <w:p>
      <w:pPr>
        <w:pStyle w:val="Heading2"/>
        <w:ind w:hanging="0" w:left="0"/>
        <w:rPr>
          <w:kern w:val="0"/>
          <w:lang w:val="en-US" w:eastAsia="en-US" w:bidi="ar-SA"/>
        </w:rPr>
      </w:pPr>
      <w:r>
        <w:rPr/>
        <w:t>Evidence and Epistemic Responsibility</w:t>
      </w:r>
    </w:p>
    <w:p>
      <w:pPr>
        <w:pStyle w:val="BodyText"/>
        <w:spacing w:before="0" w:after="200"/>
        <w:rPr/>
      </w:pPr>
      <w:r>
        <w:rPr/>
        <w:t>Evidence and epistemic responsibility define how the methodology evaluates what was known, what could reasonably have been known, and how uncertainty affects moral assessment.</w:t>
      </w:r>
    </w:p>
    <w:p>
      <w:pPr>
        <w:pStyle w:val="BodyText"/>
        <w:spacing w:before="0" w:after="200"/>
        <w:rPr/>
      </w:pPr>
      <w:r>
        <w:rPr/>
        <w:t>Moral assessment does not occur from an omniscient perspective. Actors make decisions under incomplete information, limited time, imperfect prediction, institutional constraints, and varying levels of expertise. At the same time, moral responsibility cannot be limited to whatever information the Actor claims to have possessed. A Moral Agent may be responsible for failing to seek, recognize, verify, or appropriately weigh information that was reasonably obtainable within the Situational Context.</w:t>
      </w:r>
    </w:p>
    <w:p>
      <w:pPr>
        <w:pStyle w:val="BodyText"/>
        <w:spacing w:before="0" w:after="200"/>
        <w:rPr/>
      </w:pPr>
      <w:r>
        <w:rPr/>
        <w:t>This section therefore defines the epistemic structure of assessment. It distinguishes the Actor’s actual or claimed information from the information reasonably available through appropriate diligence, and from the information available to a later assessor. These distinctions allow the methodology to evaluate responsibility, foreseeability, confidence, and retrospective learning without confusing them.</w:t>
      </w:r>
    </w:p>
    <w:p>
      <w:pPr>
        <w:pStyle w:val="Heading3"/>
        <w:ind w:hanging="0" w:left="0"/>
        <w:rPr/>
      </w:pPr>
      <w:r>
        <w:rPr/>
        <w:t>Purpose of Epistemic Assessment</w:t>
      </w:r>
    </w:p>
    <w:p>
      <w:pPr>
        <w:pStyle w:val="BodyText"/>
        <w:spacing w:before="0" w:after="200"/>
        <w:rPr/>
      </w:pPr>
      <w:r>
        <w:rPr/>
        <w:t>The purpose of epistemic assessment is to determine how information quality, availability, uncertainty, and reasonable diligence affect the moral assessment of an Assessed Action.</w:t>
      </w:r>
    </w:p>
    <w:p>
      <w:pPr>
        <w:pStyle w:val="BodyText"/>
        <w:spacing w:before="0" w:after="200"/>
        <w:rPr/>
      </w:pPr>
      <w:r>
        <w:rPr/>
        <w:t>The methodology must answer several related questions:</w:t>
      </w:r>
    </w:p>
    <w:p>
      <w:pPr>
        <w:pStyle w:val="BodyText"/>
        <w:spacing w:before="0" w:after="200"/>
        <w:rPr/>
      </w:pPr>
      <w:r>
        <w:rPr/>
        <w:t>What information did the Actor have at the time of decision?</w:t>
      </w:r>
    </w:p>
    <w:p>
      <w:pPr>
        <w:pStyle w:val="BodyText"/>
        <w:spacing w:before="0" w:after="200"/>
        <w:rPr/>
      </w:pPr>
      <w:r>
        <w:rPr/>
        <w:t>What information was reasonably obtainable by a competent Moral Agent in the same Situational Context?</w:t>
      </w:r>
    </w:p>
    <w:p>
      <w:pPr>
        <w:pStyle w:val="BodyText"/>
        <w:spacing w:before="0" w:after="200"/>
        <w:rPr/>
      </w:pPr>
      <w:r>
        <w:rPr/>
        <w:t>What information is available to the assessor now?</w:t>
      </w:r>
    </w:p>
    <w:p>
      <w:pPr>
        <w:pStyle w:val="BodyText"/>
        <w:spacing w:before="0" w:after="200"/>
        <w:rPr/>
      </w:pPr>
      <w:r>
        <w:rPr/>
        <w:t>What evidence supports or weakens the predicted World Context Transition?</w:t>
      </w:r>
    </w:p>
    <w:p>
      <w:pPr>
        <w:pStyle w:val="BodyText"/>
        <w:spacing w:before="0" w:after="200"/>
        <w:rPr/>
      </w:pPr>
      <w:r>
        <w:rPr/>
        <w:t>What uncertainties remain?</w:t>
      </w:r>
    </w:p>
    <w:p>
      <w:pPr>
        <w:pStyle w:val="BodyText"/>
        <w:spacing w:before="0" w:after="200"/>
        <w:rPr/>
      </w:pPr>
      <w:r>
        <w:rPr/>
        <w:t>How should those uncertainties affect confidence in the assessment?</w:t>
      </w:r>
    </w:p>
    <w:p>
      <w:pPr>
        <w:pStyle w:val="BodyText"/>
        <w:spacing w:before="0" w:after="200"/>
        <w:rPr/>
      </w:pPr>
      <w:r>
        <w:rPr/>
        <w:t>Epistemic assessment does not replace moral assessment. It determines the evidentiary basis and confidence level of the assessment. The moral assessment remains focused on the World Context Transition, but the reliability of that assessment depends on the quality, completeness, relevance, and uncertainty of the evidence used.</w:t>
      </w:r>
    </w:p>
    <w:p>
      <w:pPr>
        <w:pStyle w:val="Heading3"/>
        <w:ind w:hanging="0" w:left="0"/>
        <w:rPr/>
      </w:pPr>
      <w:r>
        <w:rPr/>
        <w:t>Epistemic Responsibility</w:t>
      </w:r>
    </w:p>
    <w:p>
      <w:pPr>
        <w:pStyle w:val="BodyText"/>
        <w:spacing w:before="0" w:after="200"/>
        <w:rPr/>
      </w:pPr>
      <w:r>
        <w:rPr/>
        <w:t>Epistemic responsibility is the responsibility of a Moral Agent to obtain, recognize, evaluate, and appropriately use information that is reasonably available within the Situational Context.</w:t>
      </w:r>
    </w:p>
    <w:p>
      <w:pPr>
        <w:pStyle w:val="BodyText"/>
        <w:spacing w:before="0" w:after="200"/>
        <w:rPr/>
      </w:pPr>
      <w:r>
        <w:rPr/>
        <w:t>An Actor should not be assessed solely according to what the Actor claims to have known. The methodology also considers what a competent Moral Agent could reasonably have known or discovered through appropriate diligence under the same circumstances.</w:t>
      </w:r>
    </w:p>
    <w:p>
      <w:pPr>
        <w:pStyle w:val="BodyText"/>
        <w:spacing w:before="0" w:after="200"/>
        <w:rPr/>
      </w:pPr>
      <w:r>
        <w:rPr/>
        <w:t>This standard prevents moral responsibility from being avoided through willful ignorance, negligent inquiry, selective attention, reckless confidence, institutional blindness, or strategic non-documentation. It also prevents unfair hindsight judgment by distinguishing information that was reasonably obtainable at the time from information that became available only later.</w:t>
      </w:r>
    </w:p>
    <w:p>
      <w:pPr>
        <w:pStyle w:val="BodyText"/>
        <w:spacing w:before="0" w:after="200"/>
        <w:rPr/>
      </w:pPr>
      <w:r>
        <w:rPr/>
        <w:t>Epistemic responsibility therefore evaluates both knowledge and knowledge-seeking behavior. A Moral Agent may act wrongly not only by misusing known information, but also by failing to obtain material information that was reasonably available and necessary for responsible assessment.</w:t>
      </w:r>
    </w:p>
    <w:p>
      <w:pPr>
        <w:pStyle w:val="Heading3"/>
        <w:ind w:hanging="0" w:left="0"/>
        <w:rPr/>
      </w:pPr>
      <w:r>
        <w:rPr/>
        <w:t>Decision Context</w:t>
      </w:r>
    </w:p>
    <w:p>
      <w:pPr>
        <w:pStyle w:val="BodyText"/>
        <w:spacing w:before="0" w:after="200"/>
        <w:rPr/>
      </w:pPr>
      <w:r>
        <w:rPr/>
        <w:t>Decision Context is the information reasonably available to the Actor at the time of decision.</w:t>
      </w:r>
    </w:p>
    <w:p>
      <w:pPr>
        <w:pStyle w:val="BodyText"/>
        <w:spacing w:before="0" w:after="200"/>
        <w:rPr/>
      </w:pPr>
      <w:r>
        <w:rPr/>
        <w:t>It includes what the Actor knew, perceived, was told, could observe, had access to, or reasonably relied upon when selecting the Assessed Action. It may include facts, beliefs, warnings, records, expert advice, prior experience, institutional procedures, environmental cues, time constraints, and known uncertainties.</w:t>
      </w:r>
    </w:p>
    <w:p>
      <w:pPr>
        <w:pStyle w:val="BodyText"/>
        <w:spacing w:before="0" w:after="200"/>
        <w:rPr/>
      </w:pPr>
      <w:r>
        <w:rPr/>
        <w:t>Decision Context is important because it helps determine the Actor’s state at the moment of choice. It supports assessment of intent, foreseeability, negligence, recklessness, diligence, and responsibility.</w:t>
      </w:r>
    </w:p>
    <w:p>
      <w:pPr>
        <w:pStyle w:val="BodyText"/>
        <w:spacing w:before="0" w:after="200"/>
        <w:rPr/>
      </w:pPr>
      <w:r>
        <w:rPr/>
        <w:t>However, Decision Context should not be limited to the Actor’s self-reported knowledge. The methodology should distinguish among:</w:t>
      </w:r>
    </w:p>
    <w:p>
      <w:pPr>
        <w:pStyle w:val="BodyText"/>
        <w:spacing w:before="0" w:after="200"/>
        <w:rPr/>
      </w:pPr>
      <w:r>
        <w:rPr/>
        <w:t>Information the Actor actually knew.</w:t>
      </w:r>
    </w:p>
    <w:p>
      <w:pPr>
        <w:pStyle w:val="BodyText"/>
        <w:spacing w:before="0" w:after="200"/>
        <w:rPr/>
      </w:pPr>
      <w:r>
        <w:rPr/>
        <w:t>Information the Actor claims to have known.</w:t>
      </w:r>
    </w:p>
    <w:p>
      <w:pPr>
        <w:pStyle w:val="BodyText"/>
        <w:spacing w:before="0" w:after="200"/>
        <w:rPr/>
      </w:pPr>
      <w:r>
        <w:rPr/>
        <w:t>Information the Actor ignored.</w:t>
      </w:r>
    </w:p>
    <w:p>
      <w:pPr>
        <w:pStyle w:val="BodyText"/>
        <w:spacing w:before="0" w:after="200"/>
        <w:rPr/>
      </w:pPr>
      <w:r>
        <w:rPr/>
        <w:t>Information the Actor misunderstood.</w:t>
      </w:r>
    </w:p>
    <w:p>
      <w:pPr>
        <w:pStyle w:val="BodyText"/>
        <w:spacing w:before="0" w:after="200"/>
        <w:rPr/>
      </w:pPr>
      <w:r>
        <w:rPr/>
        <w:t>Information available to the Actor but not used.</w:t>
      </w:r>
    </w:p>
    <w:p>
      <w:pPr>
        <w:pStyle w:val="BodyText"/>
        <w:spacing w:before="0" w:after="200"/>
        <w:rPr/>
      </w:pPr>
      <w:r>
        <w:rPr/>
        <w:t>Information hidden from the Actor.</w:t>
      </w:r>
    </w:p>
    <w:p>
      <w:pPr>
        <w:pStyle w:val="BodyText"/>
        <w:spacing w:before="0" w:after="200"/>
        <w:rPr/>
      </w:pPr>
      <w:r>
        <w:rPr/>
        <w:t>Information unavailable to the Actor despite reasonable diligence.</w:t>
      </w:r>
    </w:p>
    <w:p>
      <w:pPr>
        <w:pStyle w:val="BodyText"/>
        <w:spacing w:before="0" w:after="200"/>
        <w:rPr/>
      </w:pPr>
      <w:r>
        <w:rPr/>
        <w:t>This distinction is necessary because moral assessment must evaluate both the Actor’s decision and the Actor’s epistemic conduct leading to that decision.</w:t>
      </w:r>
    </w:p>
    <w:p>
      <w:pPr>
        <w:pStyle w:val="Heading3"/>
        <w:ind w:hanging="0" w:left="0"/>
        <w:rPr/>
      </w:pPr>
      <w:r>
        <w:rPr/>
        <w:t>Accessible Context</w:t>
      </w:r>
    </w:p>
    <w:p>
      <w:pPr>
        <w:pStyle w:val="BodyText"/>
        <w:spacing w:before="0" w:after="200"/>
        <w:rPr/>
      </w:pPr>
      <w:r>
        <w:rPr/>
        <w:t>Accessible Context is the information that a reasonably competent Moral Agent could have obtained through appropriate diligence within the same Situational Context.</w:t>
      </w:r>
    </w:p>
    <w:p>
      <w:pPr>
        <w:pStyle w:val="BodyText"/>
        <w:spacing w:before="0" w:after="200"/>
        <w:rPr/>
      </w:pPr>
      <w:r>
        <w:rPr/>
        <w:t>Accessible Context provides the standard for epistemic responsibility. It asks what information was not merely present somewhere in the world, but reasonably obtainable by an Actor with appropriate competence, role awareness, diligence, authority, and access under the circumstances.</w:t>
      </w:r>
    </w:p>
    <w:p>
      <w:pPr>
        <w:pStyle w:val="BodyText"/>
        <w:spacing w:before="0" w:after="200"/>
        <w:rPr/>
      </w:pPr>
      <w:r>
        <w:rPr/>
        <w:t>Accessible Context depends on context. A physician, judge, engineer, corporate officer, parent, autonomous system operator, or AI deployer may have different obligations to investigate because each occupies different roles, possesses different expertise, and acts within different Associations and institutional expectations.</w:t>
      </w:r>
    </w:p>
    <w:p>
      <w:pPr>
        <w:pStyle w:val="BodyText"/>
        <w:spacing w:before="0" w:after="200"/>
        <w:rPr/>
      </w:pPr>
      <w:r>
        <w:rPr/>
        <w:t>Accessible Context may include:</w:t>
      </w:r>
    </w:p>
    <w:p>
      <w:pPr>
        <w:pStyle w:val="BodyText"/>
        <w:spacing w:before="0" w:after="200"/>
        <w:rPr/>
      </w:pPr>
      <w:r>
        <w:rPr/>
        <w:t>Information available through ordinary observation.</w:t>
      </w:r>
    </w:p>
    <w:p>
      <w:pPr>
        <w:pStyle w:val="BodyText"/>
        <w:spacing w:before="0" w:after="200"/>
        <w:rPr/>
      </w:pPr>
      <w:r>
        <w:rPr/>
        <w:t>Information available through records, logs, documents, or prior assessments.</w:t>
      </w:r>
    </w:p>
    <w:p>
      <w:pPr>
        <w:pStyle w:val="BodyText"/>
        <w:spacing w:before="0" w:after="200"/>
        <w:rPr/>
      </w:pPr>
      <w:r>
        <w:rPr/>
        <w:t>Information available from relevant experts.</w:t>
      </w:r>
    </w:p>
    <w:p>
      <w:pPr>
        <w:pStyle w:val="BodyText"/>
        <w:spacing w:before="0" w:after="200"/>
        <w:rPr/>
      </w:pPr>
      <w:r>
        <w:rPr/>
        <w:t>Information available through testing, inspection, consultation, or verification.</w:t>
      </w:r>
    </w:p>
    <w:p>
      <w:pPr>
        <w:pStyle w:val="BodyText"/>
        <w:spacing w:before="0" w:after="200"/>
        <w:rPr/>
      </w:pPr>
      <w:r>
        <w:rPr/>
        <w:t>Information required by professional or institutional duty.</w:t>
      </w:r>
    </w:p>
    <w:p>
      <w:pPr>
        <w:pStyle w:val="BodyText"/>
        <w:spacing w:before="0" w:after="200"/>
        <w:rPr/>
      </w:pPr>
      <w:r>
        <w:rPr/>
        <w:t>Information that would have been revealed through reasonable care.</w:t>
      </w:r>
    </w:p>
    <w:p>
      <w:pPr>
        <w:pStyle w:val="BodyText"/>
        <w:spacing w:before="0" w:after="200"/>
        <w:rPr/>
      </w:pPr>
      <w:r>
        <w:rPr/>
        <w:t>Known uncertainty that should have triggered additional inquiry.</w:t>
      </w:r>
    </w:p>
    <w:p>
      <w:pPr>
        <w:pStyle w:val="BodyText"/>
        <w:spacing w:before="0" w:after="200"/>
        <w:rPr/>
      </w:pPr>
      <w:r>
        <w:rPr/>
        <w:t>Accessible Context does not require impossible knowledge or unlimited investigation. It requires context-appropriate diligence. The standard should reflect time pressure, risk severity, available tools, role responsibility, expertise, authority, and the cost or feasibility of further inquiry.</w:t>
      </w:r>
    </w:p>
    <w:p>
      <w:pPr>
        <w:pStyle w:val="Heading3"/>
        <w:ind w:hanging="0" w:left="0"/>
        <w:rPr/>
      </w:pPr>
      <w:r>
        <w:rPr/>
        <w:t>Assessment Context</w:t>
      </w:r>
    </w:p>
    <w:p>
      <w:pPr>
        <w:pStyle w:val="BodyText"/>
        <w:spacing w:before="0" w:after="200"/>
        <w:rPr/>
      </w:pPr>
      <w:r>
        <w:rPr/>
        <w:t>Assessment Context is the information available to the assessor when evaluating the action.</w:t>
      </w:r>
    </w:p>
    <w:p>
      <w:pPr>
        <w:pStyle w:val="BodyText"/>
        <w:spacing w:before="0" w:after="200"/>
        <w:rPr/>
      </w:pPr>
      <w:r>
        <w:rPr/>
        <w:t>It may include the Actor’s Decision Context, the Accessible Context, observed outcomes, later-discovered evidence, expert analysis, audit records, testimony, institutional records, environmental data, model outputs, and evidence that was not available at the time of action.</w:t>
      </w:r>
    </w:p>
    <w:p>
      <w:pPr>
        <w:pStyle w:val="BodyText"/>
        <w:spacing w:before="0" w:after="200"/>
        <w:rPr/>
      </w:pPr>
      <w:r>
        <w:rPr/>
        <w:t>Assessment Context is especially important for completed actions. A later assessment may know more than the Actor knew at the time. The methodology must therefore distinguish between evaluating the actual World Context Transition and evaluating the Actor’s responsibility for that transition.</w:t>
      </w:r>
    </w:p>
    <w:p>
      <w:pPr>
        <w:pStyle w:val="BodyText"/>
        <w:spacing w:before="0" w:after="200"/>
        <w:rPr/>
      </w:pPr>
      <w:r>
        <w:rPr/>
        <w:t>For example, a later assessor may know that an action caused harm, but the Actor may not have been able to foresee that harm with the information reasonably available at the time. Conversely, later evidence may reveal that the Actor ignored warnings, suppressed evidence, or failed to seek information that was reasonably obtainable.</w:t>
      </w:r>
    </w:p>
    <w:p>
      <w:pPr>
        <w:pStyle w:val="BodyText"/>
        <w:spacing w:before="0" w:after="200"/>
        <w:rPr/>
      </w:pPr>
      <w:r>
        <w:rPr/>
        <w:t>Assessment Context supports audit, accountability, learning, model refinement, and future improvement. It should not be used to impose unfair hindsight responsibility unless the information was reasonably available within the Decision Context or Accessible Context.</w:t>
      </w:r>
    </w:p>
    <w:p>
      <w:pPr>
        <w:pStyle w:val="Heading3"/>
        <w:ind w:hanging="0" w:left="0"/>
        <w:rPr/>
      </w:pPr>
      <w:r>
        <w:rPr/>
        <w:t>Relationship Among Decision, Accessible, and Assessment Contexts</w:t>
      </w:r>
    </w:p>
    <w:p>
      <w:pPr>
        <w:pStyle w:val="BodyText"/>
        <w:spacing w:before="0" w:after="200"/>
        <w:rPr/>
      </w:pPr>
      <w:r>
        <w:rPr/>
        <w:t>Decision Context, Accessible Context, and Assessment Context serve different methodological functions.</w:t>
      </w:r>
    </w:p>
    <w:p>
      <w:pPr>
        <w:pStyle w:val="BodyText"/>
        <w:spacing w:before="0" w:after="200"/>
        <w:rPr/>
      </w:pPr>
      <w:r>
        <w:rPr/>
        <w:t>Decision Context identifies the information available to the Actor at the time of decision.</w:t>
      </w:r>
    </w:p>
    <w:p>
      <w:pPr>
        <w:pStyle w:val="BodyText"/>
        <w:spacing w:before="0" w:after="200"/>
        <w:rPr/>
      </w:pPr>
      <w:r>
        <w:rPr/>
        <w:t>Accessible Context identifies the information that a competent Moral Agent could reasonably have obtained within the same Situational Context.</w:t>
      </w:r>
    </w:p>
    <w:p>
      <w:pPr>
        <w:pStyle w:val="BodyText"/>
        <w:spacing w:before="0" w:after="200"/>
        <w:rPr/>
      </w:pPr>
      <w:r>
        <w:rPr/>
        <w:t>Assessment Context identifies the information available to the assessor during evaluation, including later-discovered evidence and observed outcomes.</w:t>
      </w:r>
    </w:p>
    <w:p>
      <w:pPr>
        <w:pStyle w:val="BodyText"/>
        <w:spacing w:before="0" w:after="200"/>
        <w:rPr/>
      </w:pPr>
      <w:r>
        <w:rPr/>
        <w:t>These contexts may overlap, but they should not be collapsed into one another. The difference among them allows the methodology to distinguish:</w:t>
      </w:r>
    </w:p>
    <w:p>
      <w:pPr>
        <w:pStyle w:val="BodyText"/>
        <w:spacing w:before="0" w:after="200"/>
        <w:rPr/>
      </w:pPr>
      <w:r>
        <w:rPr/>
        <w:t>What the Actor knew.</w:t>
      </w:r>
    </w:p>
    <w:p>
      <w:pPr>
        <w:pStyle w:val="BodyText"/>
        <w:spacing w:before="0" w:after="200"/>
        <w:rPr/>
      </w:pPr>
      <w:r>
        <w:rPr/>
        <w:t>What the Actor should reasonably have known.</w:t>
      </w:r>
    </w:p>
    <w:p>
      <w:pPr>
        <w:pStyle w:val="BodyText"/>
        <w:spacing w:before="0" w:after="200"/>
        <w:rPr/>
      </w:pPr>
      <w:r>
        <w:rPr/>
        <w:t>What the assessor now knows.</w:t>
      </w:r>
    </w:p>
    <w:p>
      <w:pPr>
        <w:pStyle w:val="BodyText"/>
        <w:spacing w:before="0" w:after="200"/>
        <w:rPr/>
      </w:pPr>
      <w:r>
        <w:rPr/>
        <w:t>What actually happened.</w:t>
      </w:r>
    </w:p>
    <w:p>
      <w:pPr>
        <w:pStyle w:val="BodyText"/>
        <w:spacing w:before="0" w:after="200"/>
        <w:rPr/>
      </w:pPr>
      <w:r>
        <w:rPr/>
        <w:t>What was foreseeable.</w:t>
      </w:r>
    </w:p>
    <w:p>
      <w:pPr>
        <w:pStyle w:val="BodyText"/>
        <w:spacing w:before="0" w:after="200"/>
        <w:rPr/>
      </w:pPr>
      <w:r>
        <w:rPr/>
        <w:t>What remains uncertain.</w:t>
      </w:r>
    </w:p>
    <w:p>
      <w:pPr>
        <w:pStyle w:val="BodyText"/>
        <w:spacing w:before="0" w:after="200"/>
        <w:rPr/>
      </w:pPr>
      <w:r>
        <w:rPr/>
        <w:t>This distinction is essential for fair responsibility assessment and confidence estimation.</w:t>
      </w:r>
    </w:p>
    <w:p>
      <w:pPr>
        <w:pStyle w:val="Heading3"/>
        <w:ind w:hanging="0" w:left="0"/>
        <w:rPr>
          <w:rFonts w:ascii="Aptos" w:hAnsi="Aptos"/>
          <w:color w:val="auto"/>
        </w:rPr>
      </w:pPr>
      <w:r>
        <w:rPr/>
        <w:t>Best Available Evidence Within the Situational Context</w:t>
      </w:r>
    </w:p>
    <w:p>
      <w:pPr>
        <w:pStyle w:val="BodyText"/>
        <w:spacing w:before="0" w:after="200"/>
        <w:rPr/>
      </w:pPr>
      <w:r>
        <w:rPr/>
        <w:t>The methodology evaluates an Assessed Action using the best available evidence within the Situational Context.</w:t>
      </w:r>
    </w:p>
    <w:p>
      <w:pPr>
        <w:pStyle w:val="BodyText"/>
        <w:spacing w:before="0" w:after="200"/>
        <w:rPr/>
      </w:pPr>
      <w:r>
        <w:rPr/>
        <w:t>“</w:t>
      </w:r>
      <w:r>
        <w:rPr/>
        <w:t>Best available evidence” does not mean perfect evidence or certain knowledge. It means the highest-quality, most relevant, most reliable evidence reasonably available for the assessment, given the context, time horizon, domain, and information constraints.</w:t>
      </w:r>
    </w:p>
    <w:p>
      <w:pPr>
        <w:pStyle w:val="BodyText"/>
        <w:spacing w:before="0" w:after="200"/>
        <w:rPr/>
      </w:pPr>
      <w:r>
        <w:rPr/>
        <w:t>The best available evidence may include empirical observations, expert judgment, institutional records, scientific data, legal standards, prior outcomes, model predictions, direct testimony, system logs, physical evidence, and domain-specific knowledge. The methodology should prefer evidence that is relevant, reliable, current, traceable, and appropriate to the domain.</w:t>
      </w:r>
    </w:p>
    <w:p>
      <w:pPr>
        <w:pStyle w:val="BodyText"/>
        <w:spacing w:before="0" w:after="200"/>
        <w:rPr/>
      </w:pPr>
      <w:r>
        <w:rPr/>
        <w:t>When evidence is incomplete or uncertain, the assessment should proceed where practical but with reduced confidence. Incomplete evidence should not be hidden, ignored, or treated as certainty.</w:t>
      </w:r>
    </w:p>
    <w:p>
      <w:pPr>
        <w:pStyle w:val="Heading3"/>
        <w:ind w:hanging="0" w:left="0"/>
        <w:rPr/>
      </w:pPr>
      <w:r>
        <w:rPr/>
        <w:t>Evidence Quality</w:t>
      </w:r>
    </w:p>
    <w:p>
      <w:pPr>
        <w:pStyle w:val="BodyText"/>
        <w:spacing w:before="0" w:after="200"/>
        <w:rPr/>
      </w:pPr>
      <w:r>
        <w:rPr/>
        <w:t>Evidence quality describes the reliability, relevance, completeness, and interpretability of the evidence used in the assessment.</w:t>
      </w:r>
    </w:p>
    <w:p>
      <w:pPr>
        <w:pStyle w:val="BodyText"/>
        <w:spacing w:before="0" w:after="200"/>
        <w:rPr/>
      </w:pPr>
      <w:r>
        <w:rPr/>
        <w:t>Evidence quality may be affected by:</w:t>
      </w:r>
    </w:p>
    <w:p>
      <w:pPr>
        <w:pStyle w:val="BodyText"/>
        <w:spacing w:before="0" w:after="200"/>
        <w:rPr/>
      </w:pPr>
      <w:r>
        <w:rPr/>
        <w:t>Source reliability.</w:t>
      </w:r>
    </w:p>
    <w:p>
      <w:pPr>
        <w:pStyle w:val="BodyText"/>
        <w:spacing w:before="0" w:after="200"/>
        <w:rPr/>
      </w:pPr>
      <w:r>
        <w:rPr/>
        <w:t>Proximity to the event.</w:t>
      </w:r>
    </w:p>
    <w:p>
      <w:pPr>
        <w:pStyle w:val="BodyText"/>
        <w:spacing w:before="0" w:after="200"/>
        <w:rPr/>
      </w:pPr>
      <w:r>
        <w:rPr/>
        <w:t>Directness or indirectness.</w:t>
      </w:r>
    </w:p>
    <w:p>
      <w:pPr>
        <w:pStyle w:val="BodyText"/>
        <w:spacing w:before="0" w:after="200"/>
        <w:rPr/>
      </w:pPr>
      <w:r>
        <w:rPr/>
        <w:t>Completeness.</w:t>
      </w:r>
    </w:p>
    <w:p>
      <w:pPr>
        <w:pStyle w:val="BodyText"/>
        <w:spacing w:before="0" w:after="200"/>
        <w:rPr/>
      </w:pPr>
      <w:r>
        <w:rPr/>
        <w:t>Timeliness.</w:t>
      </w:r>
    </w:p>
    <w:p>
      <w:pPr>
        <w:pStyle w:val="BodyText"/>
        <w:spacing w:before="0" w:after="200"/>
        <w:rPr/>
      </w:pPr>
      <w:r>
        <w:rPr/>
        <w:t>Consistency with other evidence.</w:t>
      </w:r>
    </w:p>
    <w:p>
      <w:pPr>
        <w:pStyle w:val="BodyText"/>
        <w:spacing w:before="0" w:after="200"/>
        <w:rPr/>
      </w:pPr>
      <w:r>
        <w:rPr/>
        <w:t>Domain validity.</w:t>
      </w:r>
    </w:p>
    <w:p>
      <w:pPr>
        <w:pStyle w:val="BodyText"/>
        <w:spacing w:before="0" w:after="200"/>
        <w:rPr/>
      </w:pPr>
      <w:r>
        <w:rPr/>
        <w:t>Measurement quality.</w:t>
      </w:r>
    </w:p>
    <w:p>
      <w:pPr>
        <w:pStyle w:val="BodyText"/>
        <w:spacing w:before="0" w:after="200"/>
        <w:rPr/>
      </w:pPr>
      <w:r>
        <w:rPr/>
        <w:t>Bias or conflict of interest.</w:t>
      </w:r>
    </w:p>
    <w:p>
      <w:pPr>
        <w:pStyle w:val="BodyText"/>
        <w:spacing w:before="0" w:after="200"/>
        <w:rPr/>
      </w:pPr>
      <w:r>
        <w:rPr/>
        <w:t>Tampering, omission, or distortion.</w:t>
      </w:r>
    </w:p>
    <w:p>
      <w:pPr>
        <w:pStyle w:val="BodyText"/>
        <w:spacing w:before="0" w:after="200"/>
        <w:rPr/>
      </w:pPr>
      <w:r>
        <w:rPr/>
        <w:t>Uncertainty in interpretation.</w:t>
      </w:r>
    </w:p>
    <w:p>
      <w:pPr>
        <w:pStyle w:val="BodyText"/>
        <w:spacing w:before="0" w:after="200"/>
        <w:rPr/>
      </w:pPr>
      <w:r>
        <w:rPr/>
        <w:t>Evidence quality should be evaluated explicitly because low-quality evidence can distort the predicted State Transition, the assessment of Long-Term Flourishing, the estimation of Distributed Policy Updates, and the final confidence level.</w:t>
      </w:r>
    </w:p>
    <w:p>
      <w:pPr>
        <w:pStyle w:val="BodyText"/>
        <w:spacing w:before="0" w:after="200"/>
        <w:rPr/>
      </w:pPr>
      <w:r>
        <w:rPr/>
        <w:t>Evidence should not be treated as equally reliable merely because it is available. The methodology should distinguish strong evidence from weak evidence, direct evidence from inference, observed outcomes from speculation, and domain-relevant evidence from irrelevant information.</w:t>
      </w:r>
    </w:p>
    <w:p>
      <w:pPr>
        <w:pStyle w:val="Heading3"/>
        <w:ind w:hanging="0" w:left="0"/>
        <w:rPr/>
      </w:pPr>
      <w:r>
        <w:rPr/>
        <w:t>Evidence Completeness</w:t>
      </w:r>
    </w:p>
    <w:p>
      <w:pPr>
        <w:pStyle w:val="BodyText"/>
        <w:spacing w:before="0" w:after="200"/>
        <w:rPr/>
      </w:pPr>
      <w:r>
        <w:rPr/>
        <w:t>Evidence completeness describes the degree to which the available evidence covers the material elements required for assessment.</w:t>
      </w:r>
    </w:p>
    <w:p>
      <w:pPr>
        <w:pStyle w:val="BodyText"/>
        <w:spacing w:before="0" w:after="200"/>
        <w:rPr/>
      </w:pPr>
      <w:r>
        <w:rPr/>
        <w:t>An assessment may have reliable evidence about immediate consequences but weak evidence about long-term effects. It may have strong evidence about physical harm but limited evidence about institutional trust. It may have detailed records of the Actor’s decision but little evidence about affected entities, observers, or future policy effects.</w:t>
      </w:r>
    </w:p>
    <w:p>
      <w:pPr>
        <w:pStyle w:val="BodyText"/>
        <w:spacing w:before="0" w:after="200"/>
        <w:rPr/>
      </w:pPr>
      <w:r>
        <w:rPr/>
        <w:t>Evidence completeness should be evaluated relative to the assessment boundary and the material consequences under consideration. Missing evidence may not matter if it concerns immaterial details. Missing evidence is significant when it affects the assessment of relevant Objects, Associations, Flourishing Entities, policy states, institutions, future opportunities, or World Context Transition.</w:t>
      </w:r>
    </w:p>
    <w:p>
      <w:pPr>
        <w:pStyle w:val="BodyText"/>
        <w:spacing w:before="0" w:after="200"/>
        <w:rPr/>
      </w:pPr>
      <w:r>
        <w:rPr/>
        <w:t>When evidence is incomplete, the methodology should identify the gap, estimate its importance, and reflect it in the confidence assessment.</w:t>
      </w:r>
    </w:p>
    <w:p>
      <w:pPr>
        <w:pStyle w:val="Heading3"/>
        <w:ind w:hanging="0" w:left="0"/>
        <w:rPr/>
      </w:pPr>
      <w:r>
        <w:rPr/>
        <w:t>Evidence Relevance</w:t>
      </w:r>
    </w:p>
    <w:p>
      <w:pPr>
        <w:pStyle w:val="BodyText"/>
        <w:spacing w:before="0" w:after="200"/>
        <w:rPr/>
      </w:pPr>
      <w:r>
        <w:rPr/>
        <w:t>Evidence relevance describes whether evidence materially informs the assessment of the Assessed Action and the resulting World Context Transition.</w:t>
      </w:r>
    </w:p>
    <w:p>
      <w:pPr>
        <w:pStyle w:val="BodyText"/>
        <w:spacing w:before="0" w:after="200"/>
        <w:rPr/>
      </w:pPr>
      <w:r>
        <w:rPr/>
        <w:t>Relevant evidence helps determine context, Actor responsibility, available alternatives, foreseeable consequences, affected entities, Association changes, Long-Term Flourishing transitions, Distributed Policy Updates, or confidence. Irrelevant evidence may be true but not material to the assessment.</w:t>
      </w:r>
    </w:p>
    <w:p>
      <w:pPr>
        <w:pStyle w:val="BodyText"/>
        <w:spacing w:before="0" w:after="200"/>
        <w:rPr/>
      </w:pPr>
      <w:r>
        <w:rPr/>
        <w:t>The methodology should avoid two errors. It should not exclude evidence merely because it complicates the assessment, and it should not include evidence merely because it is available. Evidence should be included when it materially improves assessment of the World Context Transition.</w:t>
      </w:r>
    </w:p>
    <w:p>
      <w:pPr>
        <w:pStyle w:val="Heading3"/>
        <w:ind w:hanging="0" w:left="0"/>
        <w:rPr/>
      </w:pPr>
      <w:r>
        <w:rPr/>
        <w:t>Evidence Provenance and Traceability</w:t>
      </w:r>
    </w:p>
    <w:p>
      <w:pPr>
        <w:pStyle w:val="BodyText"/>
        <w:spacing w:before="0" w:after="200"/>
        <w:rPr/>
      </w:pPr>
      <w:r>
        <w:rPr/>
        <w:t>Evidence provenance describes where evidence came from, how it was obtained, and whether it can be traced to a reliable source or process.</w:t>
      </w:r>
    </w:p>
    <w:p>
      <w:pPr>
        <w:pStyle w:val="BodyText"/>
        <w:spacing w:before="0" w:after="200"/>
        <w:rPr/>
      </w:pPr>
      <w:r>
        <w:rPr/>
        <w:t>Traceability is necessary for assessment transparency. A moral assessment should identify the evidence, assumptions, estimates, and uncertainties supporting its conclusions. This allows later assessors, institutions, or implementations to review the basis of the assessment, challenge weak evidence, update the assessment, or improve future methodology.</w:t>
      </w:r>
    </w:p>
    <w:p>
      <w:pPr>
        <w:pStyle w:val="BodyText"/>
        <w:spacing w:before="0" w:after="200"/>
        <w:rPr/>
      </w:pPr>
      <w:r>
        <w:rPr/>
        <w:t>Evidence provenance is especially important in institutional, legal, medical, robotic, autonomous system, and AI contexts, where assessments may depend on logs, records, sensor data, model outputs, expert testimony, or generated summaries. Evidence that cannot be traced should generally receive lower confidence unless corroborated by other reliable sources.</w:t>
      </w:r>
    </w:p>
    <w:p>
      <w:pPr>
        <w:pStyle w:val="Heading3"/>
        <w:ind w:hanging="0" w:left="0"/>
        <w:rPr/>
      </w:pPr>
      <w:r>
        <w:rPr/>
        <w:t>Evidence Conflicts</w:t>
      </w:r>
    </w:p>
    <w:p>
      <w:pPr>
        <w:pStyle w:val="BodyText"/>
        <w:spacing w:before="0" w:after="200"/>
        <w:rPr/>
      </w:pPr>
      <w:r>
        <w:rPr/>
        <w:t>Evidence conflicts occur when available evidence supports inconsistent interpretations of the Situational Context, Assessed Action, consequences, responsibility, or World Context Transition.</w:t>
      </w:r>
    </w:p>
    <w:p>
      <w:pPr>
        <w:pStyle w:val="BodyText"/>
        <w:spacing w:before="0" w:after="200"/>
        <w:rPr/>
      </w:pPr>
      <w:r>
        <w:rPr/>
        <w:t>The methodology should preserve evidence conflicts rather than prematurely resolving them through unsupported assumptions. Conflicting evidence may require competing interpretations, alternative transition scenarios, reduced confidence, or additional inquiry.</w:t>
      </w:r>
    </w:p>
    <w:p>
      <w:pPr>
        <w:pStyle w:val="BodyText"/>
        <w:spacing w:before="0" w:after="200"/>
        <w:rPr/>
      </w:pPr>
      <w:r>
        <w:rPr/>
        <w:t>Evidence conflicts may arise from unreliable witnesses, biased records, missing data, ambiguous causal pathways, contested expert judgment, incomplete logs, or divergent domain standards. When conflicts materially affect the assessment, the final Moral Assessment should identify them explicitly.</w:t>
      </w:r>
    </w:p>
    <w:p>
      <w:pPr>
        <w:pStyle w:val="Heading3"/>
        <w:ind w:hanging="0" w:left="0"/>
        <w:rPr/>
      </w:pPr>
      <w:r>
        <w:rPr/>
        <w:t>Epistemic Failure</w:t>
      </w:r>
    </w:p>
    <w:p>
      <w:pPr>
        <w:pStyle w:val="BodyText"/>
        <w:spacing w:before="0" w:after="200"/>
        <w:rPr/>
      </w:pPr>
      <w:r>
        <w:rPr/>
        <w:t>An epistemic failure occurs when an Actor, institution, system, or assessor fails to obtain, preserve, evaluate, disclose, or appropriately use material information.</w:t>
      </w:r>
    </w:p>
    <w:p>
      <w:pPr>
        <w:pStyle w:val="BodyText"/>
        <w:spacing w:before="0" w:after="200"/>
        <w:rPr/>
      </w:pPr>
      <w:r>
        <w:rPr/>
        <w:t>Epistemic failures may include negligence, willful ignorance, reckless disregard, suppression of evidence, failure to verify, overconfidence, misuse of expertise, institutional blindness, model opacity, or failure to preserve records.</w:t>
      </w:r>
    </w:p>
    <w:p>
      <w:pPr>
        <w:pStyle w:val="BodyText"/>
        <w:spacing w:before="0" w:after="200"/>
        <w:rPr/>
      </w:pPr>
      <w:r>
        <w:rPr/>
        <w:t>Epistemic failures may be morally significant in two ways. First, they may affect responsibility for the Assessed Action. Second, they may themselves become consequences that alter the World Context by degrading information quality, future assessment capacity, trust, accountability, or institutional legitimacy.</w:t>
      </w:r>
    </w:p>
    <w:p>
      <w:pPr>
        <w:pStyle w:val="BodyText"/>
        <w:spacing w:before="0" w:after="200"/>
        <w:rPr/>
      </w:pPr>
      <w:r>
        <w:rPr/>
        <w:t>For example, falsifying records may not only conceal a harmful action; it may also impair future moral assessment by corrupting the evidence state. A failure to investigate a known risk may not only produce immediate harm; it may reveal a degraded policy state in the Actor or institution.</w:t>
      </w:r>
    </w:p>
    <w:p>
      <w:pPr>
        <w:pStyle w:val="Heading3"/>
        <w:ind w:hanging="0" w:left="0"/>
        <w:rPr/>
      </w:pPr>
      <w:r>
        <w:rPr/>
        <w:t>Foreseeability</w:t>
      </w:r>
    </w:p>
    <w:p>
      <w:pPr>
        <w:pStyle w:val="BodyText"/>
        <w:spacing w:before="0" w:after="200"/>
        <w:rPr/>
      </w:pPr>
      <w:r>
        <w:rPr/>
        <w:t>Foreseeability describes whether a consequence or risk could reasonably have been anticipated by a competent Moral Agent operating within the same Situational Context.</w:t>
      </w:r>
    </w:p>
    <w:p>
      <w:pPr>
        <w:pStyle w:val="BodyText"/>
        <w:spacing w:before="0" w:after="200"/>
        <w:rPr/>
      </w:pPr>
      <w:r>
        <w:rPr/>
        <w:t>Foreseeability depends on Decision Context, Accessible Context, role responsibility, domain expertise, risk severity, available evidence, prior warnings, and the practical feasibility of further inquiry.</w:t>
      </w:r>
    </w:p>
    <w:p>
      <w:pPr>
        <w:pStyle w:val="BodyText"/>
        <w:spacing w:before="0" w:after="200"/>
        <w:rPr/>
      </w:pPr>
      <w:r>
        <w:rPr/>
        <w:t>Foreseeability matters because an Actor may be more responsible for consequences that were known or reasonably knowable than for consequences that could not reasonably have been anticipated. However, unforeseeable consequences still affect the World Context and may still inform future assessment, learning, and revision.</w:t>
      </w:r>
    </w:p>
    <w:p>
      <w:pPr>
        <w:pStyle w:val="BodyText"/>
        <w:spacing w:before="0" w:after="200"/>
        <w:rPr/>
      </w:pPr>
      <w:r>
        <w:rPr/>
        <w:t>The methodology should distinguish:</w:t>
      </w:r>
    </w:p>
    <w:p>
      <w:pPr>
        <w:pStyle w:val="BodyText"/>
        <w:spacing w:before="0" w:after="200"/>
        <w:rPr/>
      </w:pPr>
      <w:r>
        <w:rPr/>
        <w:t>Known consequences.</w:t>
      </w:r>
    </w:p>
    <w:p>
      <w:pPr>
        <w:pStyle w:val="BodyText"/>
        <w:spacing w:before="0" w:after="200"/>
        <w:rPr/>
      </w:pPr>
      <w:r>
        <w:rPr/>
        <w:t>Reasonably foreseeable consequences.</w:t>
      </w:r>
    </w:p>
    <w:p>
      <w:pPr>
        <w:pStyle w:val="BodyText"/>
        <w:spacing w:before="0" w:after="200"/>
        <w:rPr/>
      </w:pPr>
      <w:r>
        <w:rPr/>
        <w:t>Foreseeable but ignored risks.</w:t>
      </w:r>
    </w:p>
    <w:p>
      <w:pPr>
        <w:pStyle w:val="BodyText"/>
        <w:spacing w:before="0" w:after="200"/>
        <w:rPr/>
      </w:pPr>
      <w:r>
        <w:rPr/>
        <w:t>Speculative consequences.</w:t>
      </w:r>
    </w:p>
    <w:p>
      <w:pPr>
        <w:pStyle w:val="BodyText"/>
        <w:spacing w:before="0" w:after="200"/>
        <w:rPr/>
      </w:pPr>
      <w:r>
        <w:rPr/>
        <w:t>Unforeseeable consequences.</w:t>
      </w:r>
    </w:p>
    <w:p>
      <w:pPr>
        <w:pStyle w:val="BodyText"/>
        <w:spacing w:before="0" w:after="200"/>
        <w:rPr/>
      </w:pPr>
      <w:r>
        <w:rPr/>
        <w:t>Observed consequences known only after the action.</w:t>
      </w:r>
    </w:p>
    <w:p>
      <w:pPr>
        <w:pStyle w:val="BodyText"/>
        <w:spacing w:before="0" w:after="200"/>
        <w:rPr/>
      </w:pPr>
      <w:r>
        <w:rPr/>
        <w:t>This distinction helps maintain fairness while preserving the full World Context Transition.</w:t>
      </w:r>
    </w:p>
    <w:p>
      <w:pPr>
        <w:pStyle w:val="Heading3"/>
        <w:ind w:hanging="0" w:left="0"/>
        <w:rPr/>
      </w:pPr>
      <w:r>
        <w:rPr/>
        <w:t>Reasonable Diligence</w:t>
      </w:r>
    </w:p>
    <w:p>
      <w:pPr>
        <w:pStyle w:val="BodyText"/>
        <w:spacing w:before="0" w:after="200"/>
        <w:rPr/>
      </w:pPr>
      <w:r>
        <w:rPr/>
        <w:t>Reasonable diligence is the context-appropriate effort a competent Moral Agent should make to obtain, verify, and evaluate material information before acting.</w:t>
      </w:r>
    </w:p>
    <w:p>
      <w:pPr>
        <w:pStyle w:val="BodyText"/>
        <w:spacing w:before="0" w:after="200"/>
        <w:rPr/>
      </w:pPr>
      <w:r>
        <w:rPr/>
        <w:t>The standard of diligence varies by role, domain, authority, risk, time pressure, expertise, and available resources. A surgeon, judge, engineer, public official, parent, corporate officer, or AI system operator may have different diligence obligations because each operates within different Associations and institutional expectations.</w:t>
      </w:r>
    </w:p>
    <w:p>
      <w:pPr>
        <w:pStyle w:val="BodyText"/>
        <w:spacing w:before="0" w:after="200"/>
        <w:rPr/>
      </w:pPr>
      <w:r>
        <w:rPr/>
        <w:t>Higher-risk actions generally require greater diligence. Actions with severe, irreversible, systemic, or long-horizon consequences may require more robust evidence gathering, consultation, testing, review, or safeguards than low-risk actions.</w:t>
      </w:r>
    </w:p>
    <w:p>
      <w:pPr>
        <w:pStyle w:val="BodyText"/>
        <w:spacing w:before="0" w:after="200"/>
        <w:rPr/>
      </w:pPr>
      <w:r>
        <w:rPr/>
        <w:t>Reasonable diligence does not require omniscience. It requires an appropriate relationship between the seriousness of the action and the effort made to understand its likely consequences.</w:t>
      </w:r>
    </w:p>
    <w:p>
      <w:pPr>
        <w:pStyle w:val="Heading3"/>
        <w:ind w:hanging="0" w:left="0"/>
        <w:rPr/>
      </w:pPr>
      <w:r>
        <w:rPr/>
        <w:t>Confidence Estimation</w:t>
      </w:r>
    </w:p>
    <w:p>
      <w:pPr>
        <w:pStyle w:val="BodyText"/>
        <w:spacing w:before="0" w:after="200"/>
        <w:rPr/>
      </w:pPr>
      <w:r>
        <w:rPr/>
        <w:t>Confidence estimation describes how strongly the assessment should rely on its conclusions given the available evidence, uncertainty, model limitations, and predictive difficulty.</w:t>
      </w:r>
    </w:p>
    <w:p>
      <w:pPr>
        <w:pStyle w:val="BodyText"/>
        <w:spacing w:before="0" w:after="200"/>
        <w:rPr/>
      </w:pPr>
      <w:r>
        <w:rPr/>
        <w:t>Confidence should reflect:</w:t>
      </w:r>
    </w:p>
    <w:p>
      <w:pPr>
        <w:pStyle w:val="BodyText"/>
        <w:spacing w:before="0" w:after="200"/>
        <w:rPr/>
      </w:pPr>
      <w:r>
        <w:rPr/>
        <w:t>Evidence quality.</w:t>
      </w:r>
    </w:p>
    <w:p>
      <w:pPr>
        <w:pStyle w:val="BodyText"/>
        <w:spacing w:before="0" w:after="200"/>
        <w:rPr/>
      </w:pPr>
      <w:r>
        <w:rPr/>
        <w:t>Evidence completeness.</w:t>
      </w:r>
    </w:p>
    <w:p>
      <w:pPr>
        <w:pStyle w:val="BodyText"/>
        <w:spacing w:before="0" w:after="200"/>
        <w:rPr/>
      </w:pPr>
      <w:r>
        <w:rPr/>
        <w:t>Evidence relevance.</w:t>
      </w:r>
    </w:p>
    <w:p>
      <w:pPr>
        <w:pStyle w:val="BodyText"/>
        <w:spacing w:before="0" w:after="200"/>
        <w:rPr/>
      </w:pPr>
      <w:r>
        <w:rPr/>
        <w:t>Evidence conflicts.</w:t>
      </w:r>
    </w:p>
    <w:p>
      <w:pPr>
        <w:pStyle w:val="BodyText"/>
        <w:spacing w:before="0" w:after="200"/>
        <w:rPr/>
      </w:pPr>
      <w:r>
        <w:rPr/>
        <w:t>Reliability of sources.</w:t>
      </w:r>
    </w:p>
    <w:p>
      <w:pPr>
        <w:pStyle w:val="BodyText"/>
        <w:spacing w:before="0" w:after="200"/>
        <w:rPr/>
      </w:pPr>
      <w:r>
        <w:rPr/>
        <w:t>Uncertainty in causal interpretation.</w:t>
      </w:r>
    </w:p>
    <w:p>
      <w:pPr>
        <w:pStyle w:val="BodyText"/>
        <w:spacing w:before="0" w:after="200"/>
        <w:rPr/>
      </w:pPr>
      <w:r>
        <w:rPr/>
        <w:t>Uncertainty in state representation.</w:t>
      </w:r>
    </w:p>
    <w:p>
      <w:pPr>
        <w:pStyle w:val="BodyText"/>
        <w:spacing w:before="0" w:after="200"/>
        <w:rPr/>
      </w:pPr>
      <w:r>
        <w:rPr/>
        <w:t>Uncertainty in Long-Term Flourishing estimates.</w:t>
      </w:r>
    </w:p>
    <w:p>
      <w:pPr>
        <w:pStyle w:val="BodyText"/>
        <w:spacing w:before="0" w:after="200"/>
        <w:rPr/>
      </w:pPr>
      <w:r>
        <w:rPr/>
        <w:t>Uncertainty in Distributed Policy Updates.</w:t>
      </w:r>
    </w:p>
    <w:p>
      <w:pPr>
        <w:pStyle w:val="BodyText"/>
        <w:spacing w:before="0" w:after="200"/>
        <w:rPr/>
      </w:pPr>
      <w:r>
        <w:rPr/>
        <w:t>Uncertainty across assessment horizons.</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Computational limits.</w:t>
      </w:r>
    </w:p>
    <w:p>
      <w:pPr>
        <w:pStyle w:val="BodyText"/>
        <w:spacing w:before="0" w:after="200"/>
        <w:rPr/>
      </w:pPr>
      <w:r>
        <w:rPr/>
        <w:t>Confidence is not the same as moral approval. A high-confidence assessment may conclude that an action is morally harmful. A low-confidence assessment may indicate that the available evidence is insufficient, that competing interpretations remain plausible, or that long-term consequences are highly uncertain.</w:t>
      </w:r>
    </w:p>
    <w:p>
      <w:pPr>
        <w:pStyle w:val="BodyText"/>
        <w:spacing w:before="0" w:after="200"/>
        <w:rPr/>
      </w:pPr>
      <w:r>
        <w:rPr/>
        <w:t>The methodology should report confidence explicitly so that users, reviewers, or downstream systems can distinguish the assessment result from the certainty attached to that result.</w:t>
      </w:r>
    </w:p>
    <w:p>
      <w:pPr>
        <w:pStyle w:val="Heading3"/>
        <w:ind w:hanging="0" w:left="0"/>
        <w:rPr/>
      </w:pPr>
      <w:r>
        <w:rPr/>
        <w:t>Confidence and Assessment Horizons</w:t>
      </w:r>
    </w:p>
    <w:p>
      <w:pPr>
        <w:pStyle w:val="BodyText"/>
        <w:spacing w:before="0" w:after="200"/>
        <w:rPr/>
      </w:pPr>
      <w:r>
        <w:rPr/>
        <w:t>Confidence generally varies across Assessment Horizons.</w:t>
      </w:r>
    </w:p>
    <w:p>
      <w:pPr>
        <w:pStyle w:val="BodyText"/>
        <w:spacing w:before="0" w:after="200"/>
        <w:rPr/>
      </w:pPr>
      <w:r>
        <w:rPr/>
        <w:t>Immediate consequences may often be estimated with higher confidence than long-term, multi-generational, or civilizational consequences. However, this is not always true. Some long-term patterns may be well supported by evidence, while some immediate consequences may remain uncertain because of missing information, conflicting evidence, or hidden causal pathways.</w:t>
      </w:r>
    </w:p>
    <w:p>
      <w:pPr>
        <w:pStyle w:val="BodyText"/>
        <w:spacing w:before="0" w:after="200"/>
        <w:rPr/>
      </w:pPr>
      <w:r>
        <w:rPr/>
        <w:t>The methodology should therefore avoid assigning confidence based solely on temporal distance. Time horizon is one factor among several. Confidence should reflect the quality of evidence, stability of causal patterns, domain knowledge, uncertainty of prediction, and materiality of unknowns.</w:t>
      </w:r>
    </w:p>
    <w:p>
      <w:pPr>
        <w:pStyle w:val="BodyText"/>
        <w:spacing w:before="0" w:after="200"/>
        <w:rPr/>
      </w:pPr>
      <w:r>
        <w:rPr/>
        <w:t>Horizon-specific confidence is important because an action may appear beneficial in the short term while carrying low-confidence but severe long-term risks, or it may impose short-term harms with higher-confidence long-term benefits.</w:t>
      </w:r>
    </w:p>
    <w:p>
      <w:pPr>
        <w:pStyle w:val="Heading3"/>
        <w:ind w:hanging="0" w:left="0"/>
        <w:rPr/>
      </w:pPr>
      <w:r>
        <w:rPr/>
        <w:t>Confidence and Responsibility</w:t>
      </w:r>
    </w:p>
    <w:p>
      <w:pPr>
        <w:pStyle w:val="BodyText"/>
        <w:spacing w:before="0" w:after="200"/>
        <w:rPr/>
      </w:pPr>
      <w:r>
        <w:rPr/>
        <w:t>Confidence affects how responsibility should be interpreted.</w:t>
      </w:r>
    </w:p>
    <w:p>
      <w:pPr>
        <w:pStyle w:val="BodyText"/>
        <w:spacing w:before="0" w:after="200"/>
        <w:rPr/>
      </w:pPr>
      <w:r>
        <w:rPr/>
        <w:t>An assessment may have high confidence that a harmful World Context Transition occurred but lower confidence that the Actor could reasonably have foreseen it. Conversely, an assessment may have high confidence that the Actor acted irresponsibly even if the final consequences remain uncertain.</w:t>
      </w:r>
    </w:p>
    <w:p>
      <w:pPr>
        <w:pStyle w:val="BodyText"/>
        <w:spacing w:before="0" w:after="200"/>
        <w:rPr/>
      </w:pPr>
      <w:r>
        <w:rPr/>
        <w:t>The methodology should distinguish confidence in:</w:t>
      </w:r>
    </w:p>
    <w:p>
      <w:pPr>
        <w:pStyle w:val="BodyText"/>
        <w:spacing w:before="0" w:after="200"/>
        <w:rPr/>
      </w:pPr>
      <w:r>
        <w:rPr/>
        <w:t>What happened.</w:t>
      </w:r>
    </w:p>
    <w:p>
      <w:pPr>
        <w:pStyle w:val="BodyText"/>
        <w:spacing w:before="0" w:after="200"/>
        <w:rPr/>
      </w:pPr>
      <w:r>
        <w:rPr/>
        <w:t>What was known.</w:t>
      </w:r>
    </w:p>
    <w:p>
      <w:pPr>
        <w:pStyle w:val="BodyText"/>
        <w:spacing w:before="0" w:after="200"/>
        <w:rPr/>
      </w:pPr>
      <w:r>
        <w:rPr/>
        <w:t>What was reasonably knowable.</w:t>
      </w:r>
    </w:p>
    <w:p>
      <w:pPr>
        <w:pStyle w:val="BodyText"/>
        <w:spacing w:before="0" w:after="200"/>
        <w:rPr/>
      </w:pPr>
      <w:r>
        <w:rPr/>
        <w:t>What consequences were foreseeable.</w:t>
      </w:r>
    </w:p>
    <w:p>
      <w:pPr>
        <w:pStyle w:val="BodyText"/>
        <w:spacing w:before="0" w:after="200"/>
        <w:rPr/>
      </w:pPr>
      <w:r>
        <w:rPr/>
        <w:t>What causal pathway produced the transition.</w:t>
      </w:r>
    </w:p>
    <w:p>
      <w:pPr>
        <w:pStyle w:val="BodyText"/>
        <w:spacing w:before="0" w:after="200"/>
        <w:rPr/>
      </w:pPr>
      <w:r>
        <w:rPr/>
        <w:t>What the Actor intended.</w:t>
      </w:r>
    </w:p>
    <w:p>
      <w:pPr>
        <w:pStyle w:val="BodyText"/>
        <w:spacing w:before="0" w:after="200"/>
        <w:rPr/>
      </w:pPr>
      <w:r>
        <w:rPr/>
        <w:t>What alternatives were available.</w:t>
      </w:r>
    </w:p>
    <w:p>
      <w:pPr>
        <w:pStyle w:val="BodyText"/>
        <w:spacing w:before="0" w:after="200"/>
        <w:rPr/>
      </w:pPr>
      <w:r>
        <w:rPr/>
        <w:t>What policy-state changes are likely.</w:t>
      </w:r>
    </w:p>
    <w:p>
      <w:pPr>
        <w:pStyle w:val="BodyText"/>
        <w:spacing w:before="0" w:after="200"/>
        <w:rPr/>
      </w:pPr>
      <w:r>
        <w:rPr/>
        <w:t>What moral conclusion follows.</w:t>
      </w:r>
    </w:p>
    <w:p>
      <w:pPr>
        <w:pStyle w:val="BodyText"/>
        <w:spacing w:before="0" w:after="200"/>
        <w:rPr/>
      </w:pPr>
      <w:r>
        <w:rPr/>
        <w:t>This distinction prevents a single confidence number from concealing different kinds of uncertainty.</w:t>
      </w:r>
    </w:p>
    <w:p>
      <w:pPr>
        <w:pStyle w:val="Heading3"/>
        <w:ind w:hanging="0" w:left="0"/>
        <w:rPr/>
      </w:pPr>
      <w:r>
        <w:rPr/>
        <w:t>Prospective, Ongoing, and Retrospective Assessment</w:t>
      </w:r>
    </w:p>
    <w:p>
      <w:pPr>
        <w:pStyle w:val="BodyText"/>
        <w:spacing w:before="0" w:after="200"/>
        <w:rPr/>
      </w:pPr>
      <w:r>
        <w:rPr/>
        <w:t>Evidence and epistemic responsibility differ depending on whether the assessment is prospective, ongoing, or retrospective.</w:t>
      </w:r>
    </w:p>
    <w:p>
      <w:pPr>
        <w:pStyle w:val="BodyText"/>
        <w:spacing w:before="0" w:after="200"/>
        <w:rPr/>
      </w:pPr>
      <w:r>
        <w:rPr/>
        <w:t>A prospective assessment evaluates a proposed action before it occurs. It relies on available evidence, predicted consequences, and confidence estimates.</w:t>
      </w:r>
    </w:p>
    <w:p>
      <w:pPr>
        <w:pStyle w:val="BodyText"/>
        <w:spacing w:before="0" w:after="200"/>
        <w:rPr/>
      </w:pPr>
      <w:r>
        <w:rPr/>
        <w:t>An ongoing assessment evaluates an action while it is occurring. It may incorporate emerging evidence, partial outcomes, changing constraints, and opportunities for mitigation or correction.</w:t>
      </w:r>
    </w:p>
    <w:p>
      <w:pPr>
        <w:pStyle w:val="BodyText"/>
        <w:spacing w:before="0" w:after="200"/>
        <w:rPr/>
      </w:pPr>
      <w:r>
        <w:rPr/>
        <w:t>A retrospective assessment evaluates a completed action. It may include observed outcomes and later-discovered evidence, but it must still distinguish what was known or reasonably knowable at the time of decision from what is known only afterward.</w:t>
      </w:r>
    </w:p>
    <w:p>
      <w:pPr>
        <w:pStyle w:val="BodyText"/>
        <w:spacing w:before="0" w:after="200"/>
        <w:rPr/>
      </w:pPr>
      <w:r>
        <w:rPr/>
        <w:t>This distinction prevents hindsight bias while still allowing completed actions to improve future methodology, institutional learning, and policy-state correction.</w:t>
      </w:r>
    </w:p>
    <w:p>
      <w:pPr>
        <w:pStyle w:val="Heading3"/>
        <w:ind w:hanging="0" w:left="0"/>
        <w:rPr/>
      </w:pPr>
      <w:r>
        <w:rPr/>
        <w:t>Actor Claims and Independent Assessment</w:t>
      </w:r>
    </w:p>
    <w:p>
      <w:pPr>
        <w:pStyle w:val="BodyText"/>
        <w:spacing w:before="0" w:after="200"/>
        <w:rPr/>
      </w:pPr>
      <w:r>
        <w:rPr/>
        <w:t>The methodology should consider the Actor’s claimed knowledge but should not rely on it exclusively.</w:t>
      </w:r>
    </w:p>
    <w:p>
      <w:pPr>
        <w:pStyle w:val="BodyText"/>
        <w:spacing w:before="0" w:after="200"/>
        <w:rPr/>
      </w:pPr>
      <w:r>
        <w:rPr/>
        <w:t>Actor claims may be incomplete, mistaken, biased, self-serving, or strategically constructed. They may also be sincere and accurate. The methodology should therefore compare Actor claims against available evidence, Accessible Context, institutional records, role expectations, and the behavior expected of a competent Moral Agent in the same Situational Context.</w:t>
      </w:r>
    </w:p>
    <w:p>
      <w:pPr>
        <w:pStyle w:val="BodyText"/>
        <w:spacing w:before="0" w:after="200"/>
        <w:rPr/>
      </w:pPr>
      <w:r>
        <w:rPr/>
        <w:t>Where Actor claims conflict with other evidence, the assessment should identify the conflict and adjust confidence accordingly. Where Actor claims are unsupported but plausible, they may be represented as uncertain. Where Actor claims are contradicted by strong evidence, they should not control the assessment.</w:t>
      </w:r>
    </w:p>
    <w:p>
      <w:pPr>
        <w:pStyle w:val="Heading3"/>
        <w:ind w:hanging="0" w:left="0"/>
        <w:rPr/>
      </w:pPr>
      <w:r>
        <w:rPr/>
        <w:t>Epistemic Responsibility in Artificial and Institutional Systems</w:t>
      </w:r>
    </w:p>
    <w:p>
      <w:pPr>
        <w:pStyle w:val="BodyText"/>
        <w:spacing w:before="0" w:after="200"/>
        <w:rPr/>
      </w:pPr>
      <w:r>
        <w:rPr/>
        <w:t>Epistemic responsibility applies not only to individual human actors but also to institutions, autonomous systems, and artificial systems when they participate in moral assessment or action.</w:t>
      </w:r>
    </w:p>
    <w:p>
      <w:pPr>
        <w:pStyle w:val="BodyText"/>
        <w:spacing w:before="0" w:after="200"/>
        <w:rPr/>
      </w:pPr>
      <w:r>
        <w:rPr/>
        <w:t>For institutions, epistemic responsibility may involve maintaining records, conducting appropriate review, preserving accountability, obtaining expert input, and avoiding institutional blindness. For autonomous systems and AI deployments, epistemic responsibility may involve sensor reliability, data quality, model limitations, uncertainty reporting, monitoring, safeguards, and human oversight.</w:t>
      </w:r>
    </w:p>
    <w:p>
      <w:pPr>
        <w:pStyle w:val="BodyText"/>
        <w:spacing w:before="0" w:after="200"/>
        <w:rPr/>
      </w:pPr>
      <w:r>
        <w:rPr/>
        <w:t>When a system lacks moral responsibility itself, responsibility may attach to the Moral Agents or institutions that design, deploy, supervise, authorize, or rely on the system. The methodology should represent the epistemic structure of the system without assuming that causal agency and moral responsibility are identical.</w:t>
      </w:r>
    </w:p>
    <w:p>
      <w:pPr>
        <w:pStyle w:val="Heading3"/>
        <w:ind w:hanging="0" w:left="0"/>
        <w:rPr/>
      </w:pPr>
      <w:r>
        <w:rPr/>
        <w:t>Epistemic Responsibility and Distributed Policy Updates</w:t>
      </w:r>
    </w:p>
    <w:p>
      <w:pPr>
        <w:pStyle w:val="BodyText"/>
        <w:spacing w:before="0" w:after="200"/>
        <w:rPr/>
      </w:pPr>
      <w:r>
        <w:rPr/>
        <w:t>Epistemic conduct can alter future policy states.</w:t>
      </w:r>
    </w:p>
    <w:p>
      <w:pPr>
        <w:pStyle w:val="BodyText"/>
        <w:spacing w:before="0" w:after="200"/>
        <w:rPr/>
      </w:pPr>
      <w:r>
        <w:rPr/>
        <w:t>An Actor who succeeds by ignoring evidence may become more likely to ignore evidence again. An institution that rewards incomplete inquiry may normalize poor diligence. Observers may learn that evidence can be suppressed without consequence. Conversely, an institution that transparently investigates uncertainty may strengthen future epistemic responsibility.</w:t>
      </w:r>
    </w:p>
    <w:p>
      <w:pPr>
        <w:pStyle w:val="BodyText"/>
        <w:spacing w:before="0" w:after="200"/>
        <w:rPr/>
      </w:pPr>
      <w:r>
        <w:rPr/>
        <w:t>These epistemic policy effects are part of the World Context Transition. Evidence handling is therefore not merely a procedural issue. It may itself affect Long-Term Flourishing by changing the future quality of moral reasoning.</w:t>
      </w:r>
    </w:p>
    <w:p>
      <w:pPr>
        <w:pStyle w:val="Heading3"/>
        <w:ind w:hanging="0" w:left="0"/>
        <w:rPr/>
      </w:pPr>
      <w:r>
        <w:rPr/>
        <w:t>Methodological Boundary</w:t>
      </w:r>
    </w:p>
    <w:p>
      <w:pPr>
        <w:pStyle w:val="BodyText"/>
        <w:spacing w:before="0" w:after="200"/>
        <w:rPr/>
      </w:pPr>
      <w:r>
        <w:rPr/>
        <w:t>This section defines how evidence and epistemic responsibility inform moral assessment. It does not prescribe a specific evidence-scoring formula, probability model, proof standard, or confidence algorithm.</w:t>
      </w:r>
    </w:p>
    <w:p>
      <w:pPr>
        <w:pStyle w:val="BodyText"/>
        <w:spacing w:before="0" w:after="200"/>
        <w:rPr/>
      </w:pPr>
      <w:r>
        <w:rPr/>
        <w:t>Those formal methods may be developed in later methodology sections or implementation appendices. The requirement at this level is that evidence, uncertainty, reasonable knowability, and confidence be represented explicitly.</w:t>
      </w:r>
    </w:p>
    <w:p>
      <w:pPr>
        <w:pStyle w:val="BodyText"/>
        <w:spacing w:before="0" w:after="200"/>
        <w:rPr/>
      </w:pPr>
      <w:r>
        <w:rPr/>
        <w:t>A moral assessment that fails to distinguish Decision Context, Accessible Context, and Assessment Context risks either excusing irresponsible ignorance or imposing unfair hindsight responsibility. A robust assessment must preserve these distinctions while evaluating the resulting World Context Transition.</w:t>
      </w:r>
    </w:p>
    <w:p>
      <w:pPr>
        <w:pStyle w:val="Normal"/>
        <w:widowControl/>
        <w:bidi w:val="0"/>
        <w:spacing w:lineRule="auto" w:line="276"/>
        <w:jc w:val="left"/>
        <w:rPr/>
      </w:pPr>
      <w:r>
        <w:rPr/>
      </w:r>
    </w:p>
    <w:p>
      <w:pPr>
        <w:pStyle w:val="Heading2"/>
        <w:ind w:hanging="0" w:left="0"/>
        <w:rPr>
          <w:kern w:val="0"/>
          <w:lang w:val="en-US" w:eastAsia="en-US" w:bidi="ar-SA"/>
        </w:rPr>
      </w:pPr>
      <w:r>
        <w:rPr/>
        <w:t>State Representation</w:t>
      </w:r>
    </w:p>
    <w:p>
      <w:pPr>
        <w:pStyle w:val="BodyText"/>
        <w:spacing w:before="0" w:after="200"/>
        <w:rPr/>
      </w:pPr>
      <w:r>
        <w:rPr/>
        <w:t>State Representation defines how the Moral Assessment Methodology describes the condition of the relevant World Context before and after an Assessed Action. The Reference Architecture identifies what exists; State Representation identifies which aspects of those elements must be represented so that change can be evaluated.</w:t>
      </w:r>
    </w:p>
    <w:p>
      <w:pPr>
        <w:pStyle w:val="BodyText"/>
        <w:spacing w:before="0" w:after="200"/>
        <w:rPr/>
      </w:pPr>
      <w:r>
        <w:rPr/>
        <w:t>A moral assessment requires more than identifying Objects, Associations, Actors, Objectives, and Consequences. It must also describe the state of those elements at the beginning of the assessment, estimate how those states may change, and evaluate the significance of those changes. State Representation therefore provides the methodological foundation for State Transition modeling, Long-Term Flourishing assessment, Distributed Policy Updates, confidence estimation, and World Context Transition evaluation.</w:t>
      </w:r>
    </w:p>
    <w:p>
      <w:pPr>
        <w:pStyle w:val="BodyText"/>
        <w:spacing w:before="0" w:after="200"/>
        <w:rPr/>
      </w:pPr>
      <w:r>
        <w:rPr/>
        <w:t>State Representation does not require that every possible feature of the world be represented at full resolution. The World Context is theoretically complete, but practical assessment requires abstraction. The methodology should represent the state variables that are material to the assessment, identify the variables that are uncertain or unavailable, and disclose the confidence limits created by those gaps.</w:t>
      </w:r>
    </w:p>
    <w:p>
      <w:pPr>
        <w:pStyle w:val="Heading3"/>
        <w:ind w:hanging="0" w:left="0"/>
        <w:rPr/>
      </w:pPr>
      <w:r>
        <w:rPr/>
        <w:t>Purpose of State Representation</w:t>
      </w:r>
    </w:p>
    <w:p>
      <w:pPr>
        <w:pStyle w:val="BodyText"/>
        <w:spacing w:before="0" w:after="200"/>
        <w:rPr/>
      </w:pPr>
      <w:r>
        <w:rPr/>
        <w:t>The purpose of State Representation is to make moral assessment inspectable and computationally representable.</w:t>
      </w:r>
    </w:p>
    <w:p>
      <w:pPr>
        <w:pStyle w:val="BodyText"/>
        <w:spacing w:before="0" w:after="200"/>
        <w:rPr/>
      </w:pPr>
      <w:r>
        <w:rPr/>
        <w:t>Without state representation, the framework could describe moral concepts in narrative form but could not evaluate how an Assessed Action changes the World Context. State Representation allows the methodology to identify the relevant pre-action state, estimate the post-action state, compare those states, and produce a structured assessment of the transition.</w:t>
      </w:r>
    </w:p>
    <w:p>
      <w:pPr>
        <w:pStyle w:val="BodyText"/>
        <w:spacing w:before="0" w:after="200"/>
        <w:rPr/>
      </w:pPr>
      <w:r>
        <w:rPr/>
        <w:t>State Representation supports several methodological functions:</w:t>
      </w:r>
    </w:p>
    <w:p>
      <w:pPr>
        <w:pStyle w:val="BodyText"/>
        <w:spacing w:before="0" w:after="200"/>
        <w:rPr/>
      </w:pPr>
      <w:r>
        <w:rPr/>
        <w:t>It identifies the initial condition of relevant Objects, Associations, institutions, information states, policy states, and future opportunities.</w:t>
      </w:r>
    </w:p>
    <w:p>
      <w:pPr>
        <w:pStyle w:val="BodyText"/>
        <w:spacing w:before="0" w:after="200"/>
        <w:rPr/>
      </w:pPr>
      <w:r>
        <w:rPr/>
        <w:t>It identifies which variables may change as a result of the Assessed Action.</w:t>
      </w:r>
    </w:p>
    <w:p>
      <w:pPr>
        <w:pStyle w:val="BodyText"/>
        <w:spacing w:before="0" w:after="200"/>
        <w:rPr/>
      </w:pPr>
      <w:r>
        <w:rPr/>
        <w:t>It supports prediction of State Transitions.</w:t>
      </w:r>
    </w:p>
    <w:p>
      <w:pPr>
        <w:pStyle w:val="BodyText"/>
        <w:spacing w:before="0" w:after="200"/>
        <w:rPr/>
      </w:pPr>
      <w:r>
        <w:rPr/>
        <w:t>It supports estimation of Long-Term Flourishing changes.</w:t>
      </w:r>
    </w:p>
    <w:p>
      <w:pPr>
        <w:pStyle w:val="BodyText"/>
        <w:spacing w:before="0" w:after="200"/>
        <w:rPr/>
      </w:pPr>
      <w:r>
        <w:rPr/>
        <w:t>It supports evaluation of Distributed Policy Updates.</w:t>
      </w:r>
    </w:p>
    <w:p>
      <w:pPr>
        <w:pStyle w:val="BodyText"/>
        <w:spacing w:before="0" w:after="200"/>
        <w:rPr/>
      </w:pPr>
      <w:r>
        <w:rPr/>
        <w:t>It supports confidence estimation by identifying uncertainty in evidence, representation, and prediction.</w:t>
      </w:r>
    </w:p>
    <w:p>
      <w:pPr>
        <w:pStyle w:val="BodyText"/>
        <w:spacing w:before="0" w:after="200"/>
        <w:rPr/>
      </w:pPr>
      <w:r>
        <w:rPr/>
        <w:t>It supports auditability by making assumptions and intermediate representations visible.</w:t>
      </w:r>
    </w:p>
    <w:p>
      <w:pPr>
        <w:pStyle w:val="BodyText"/>
        <w:spacing w:before="0" w:after="200"/>
        <w:rPr/>
      </w:pPr>
      <w:r>
        <w:rPr/>
        <w:t>State Representation therefore acts as the bridge between the conceptual architecture and the evaluative methodology.</w:t>
      </w:r>
    </w:p>
    <w:p>
      <w:pPr>
        <w:pStyle w:val="Heading3"/>
        <w:ind w:hanging="0" w:left="0"/>
        <w:rPr/>
      </w:pPr>
      <w:r>
        <w:rPr/>
        <w:t>State Variables</w:t>
      </w:r>
    </w:p>
    <w:p>
      <w:pPr>
        <w:pStyle w:val="BodyText"/>
        <w:spacing w:before="0" w:after="200"/>
        <w:rPr/>
      </w:pPr>
      <w:r>
        <w:rPr/>
        <w:t>A state variable is a represented attribute, condition, descriptor, or property of an architectural element that may be relevant to moral assessment.</w:t>
      </w:r>
    </w:p>
    <w:p>
      <w:pPr>
        <w:pStyle w:val="BodyText"/>
        <w:spacing w:before="0" w:after="200"/>
        <w:rPr/>
      </w:pPr>
      <w:r>
        <w:rPr/>
        <w:t>State variables may describe Objects, Associations, institutions, policy states, information states, constraints, authority conditions, opportunities, or the broader World Context. A state variable is included when a change in that variable may materially affect the assessment of the Assessed Action.</w:t>
      </w:r>
    </w:p>
    <w:p>
      <w:pPr>
        <w:pStyle w:val="BodyText"/>
        <w:spacing w:before="0" w:after="200"/>
        <w:rPr/>
      </w:pPr>
      <w:r>
        <w:rPr/>
        <w:t>Examples of possible state variables include health, safety, autonomy, trust, legitimacy, authority, consent, dependency, obligation, knowledge, uncertainty, resilience, adaptive capacity, access, resource availability, institutional stability, evidence quality, policy tendency, future opportunity, and risk exposure.</w:t>
      </w:r>
    </w:p>
    <w:p>
      <w:pPr>
        <w:pStyle w:val="BodyText"/>
        <w:spacing w:before="0" w:after="200"/>
        <w:rPr/>
      </w:pPr>
      <w:r>
        <w:rPr/>
        <w:t>State variables may be quantitative, qualitative, ordinal, categorical, probabilistic, narrative, relational, or symbolic. The methodology should not require all state variables to be reducible to precise numbers. Some variables may be represented through structured categories, confidence-bounded estimates, or qualitative descriptors when quantitative measurement is not practical or justified.</w:t>
      </w:r>
    </w:p>
    <w:p>
      <w:pPr>
        <w:pStyle w:val="BodyText"/>
        <w:spacing w:before="0" w:after="200"/>
        <w:rPr/>
      </w:pPr>
      <w:r>
        <w:rPr/>
        <w:t>A state variable should be explicit enough that an assessor can identify:</w:t>
      </w:r>
    </w:p>
    <w:p>
      <w:pPr>
        <w:pStyle w:val="BodyText"/>
        <w:spacing w:before="0" w:after="200"/>
        <w:rPr/>
      </w:pPr>
      <w:r>
        <w:rPr/>
        <w:t>What is being represented.</w:t>
      </w:r>
    </w:p>
    <w:p>
      <w:pPr>
        <w:pStyle w:val="BodyText"/>
        <w:spacing w:before="0" w:after="200"/>
        <w:rPr/>
      </w:pPr>
      <w:r>
        <w:rPr/>
        <w:t>Which architectural element it belongs to.</w:t>
      </w:r>
    </w:p>
    <w:p>
      <w:pPr>
        <w:pStyle w:val="BodyText"/>
        <w:spacing w:before="0" w:after="200"/>
        <w:rPr/>
      </w:pPr>
      <w:r>
        <w:rPr/>
        <w:t>Why it is relevant.</w:t>
      </w:r>
    </w:p>
    <w:p>
      <w:pPr>
        <w:pStyle w:val="BodyText"/>
        <w:spacing w:before="0" w:after="200"/>
        <w:rPr/>
      </w:pPr>
      <w:r>
        <w:rPr/>
        <w:t>How it is known or estimated.</w:t>
      </w:r>
    </w:p>
    <w:p>
      <w:pPr>
        <w:pStyle w:val="BodyText"/>
        <w:spacing w:before="0" w:after="200"/>
        <w:rPr/>
      </w:pPr>
      <w:r>
        <w:rPr/>
        <w:t>Whether it is uncertain.</w:t>
      </w:r>
    </w:p>
    <w:p>
      <w:pPr>
        <w:pStyle w:val="BodyText"/>
        <w:spacing w:before="0" w:after="200"/>
        <w:rPr/>
      </w:pPr>
      <w:r>
        <w:rPr/>
        <w:t>How it may change through the Assessed Action.</w:t>
      </w:r>
    </w:p>
    <w:p>
      <w:pPr>
        <w:pStyle w:val="BodyText"/>
        <w:spacing w:before="0" w:after="200"/>
        <w:rPr/>
      </w:pPr>
      <w:r>
        <w:rPr/>
        <w:t>State variables should be selected based on materiality to the World Context Transition, not merely because data happens to be available.</w:t>
      </w:r>
    </w:p>
    <w:p>
      <w:pPr>
        <w:pStyle w:val="Heading3"/>
        <w:ind w:hanging="0" w:left="0"/>
        <w:rPr/>
      </w:pPr>
      <w:r>
        <w:rPr/>
        <w:t>Baseline State</w:t>
      </w:r>
    </w:p>
    <w:p>
      <w:pPr>
        <w:pStyle w:val="BodyText"/>
        <w:spacing w:before="0" w:after="200"/>
        <w:rPr/>
      </w:pPr>
      <w:r>
        <w:rPr/>
        <w:t>The baseline state is the represented state of the relevant World Context before the Assessed Action occurs or before the assessment begins.</w:t>
      </w:r>
    </w:p>
    <w:p>
      <w:pPr>
        <w:pStyle w:val="BodyText"/>
        <w:spacing w:before="0" w:after="200"/>
        <w:rPr/>
      </w:pPr>
      <w:r>
        <w:rPr/>
        <w:t>The baseline state provides the reference point for evaluating change. Without a baseline, the methodology cannot distinguish between conditions that already existed and conditions caused, worsened, improved, or made more probable by the Assessed Action.</w:t>
      </w:r>
    </w:p>
    <w:p>
      <w:pPr>
        <w:pStyle w:val="BodyText"/>
        <w:spacing w:before="0" w:after="200"/>
        <w:rPr/>
      </w:pPr>
      <w:r>
        <w:rPr/>
        <w:t>The baseline state should represent the relevant condition of:</w:t>
      </w:r>
    </w:p>
    <w:p>
      <w:pPr>
        <w:pStyle w:val="BodyText"/>
        <w:spacing w:before="0" w:after="200"/>
        <w:rPr/>
      </w:pPr>
      <w:r>
        <w:rPr/>
        <w:t>Relevant Objects.</w:t>
      </w:r>
    </w:p>
    <w:p>
      <w:pPr>
        <w:pStyle w:val="BodyText"/>
        <w:spacing w:before="0" w:after="200"/>
        <w:rPr/>
      </w:pPr>
      <w:r>
        <w:rPr/>
        <w:t>Relevant Associations.</w:t>
      </w:r>
    </w:p>
    <w:p>
      <w:pPr>
        <w:pStyle w:val="BodyText"/>
        <w:spacing w:before="0" w:after="200"/>
        <w:rPr/>
      </w:pPr>
      <w:r>
        <w:rPr/>
        <w:t>Relevant Flourishing Entities.</w:t>
      </w:r>
    </w:p>
    <w:p>
      <w:pPr>
        <w:pStyle w:val="BodyText"/>
        <w:spacing w:before="0" w:after="200"/>
        <w:rPr/>
      </w:pPr>
      <w:r>
        <w:rPr/>
        <w:t>Moral Agents and Actors.</w:t>
      </w:r>
    </w:p>
    <w:p>
      <w:pPr>
        <w:pStyle w:val="BodyText"/>
        <w:spacing w:before="0" w:after="200"/>
        <w:rPr/>
      </w:pPr>
      <w:r>
        <w:rPr/>
        <w:t>Institutions.</w:t>
      </w:r>
    </w:p>
    <w:p>
      <w:pPr>
        <w:pStyle w:val="BodyText"/>
        <w:spacing w:before="0" w:after="200"/>
        <w:rPr/>
      </w:pPr>
      <w:r>
        <w:rPr/>
        <w:t>Information and evidence.</w:t>
      </w:r>
    </w:p>
    <w:p>
      <w:pPr>
        <w:pStyle w:val="BodyText"/>
        <w:spacing w:before="0" w:after="200"/>
        <w:rPr/>
      </w:pPr>
      <w:r>
        <w:rPr/>
        <w:t>Constraints.</w:t>
      </w:r>
    </w:p>
    <w:p>
      <w:pPr>
        <w:pStyle w:val="BodyText"/>
        <w:spacing w:before="0" w:after="200"/>
        <w:rPr/>
      </w:pPr>
      <w:r>
        <w:rPr/>
        <w:t>Authority and legitimacy conditions.</w:t>
      </w:r>
    </w:p>
    <w:p>
      <w:pPr>
        <w:pStyle w:val="BodyText"/>
        <w:spacing w:before="0" w:after="200"/>
        <w:rPr/>
      </w:pPr>
      <w:r>
        <w:rPr/>
        <w:t>Policy states.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The baseline state may itself be uncertain. When the pre-action state is incomplete, disputed, or only partially observable, that uncertainty should be represented explicitly rather than hidden. Baseline uncertainty affects the confidence of any predicted or observed State Transition.</w:t>
      </w:r>
    </w:p>
    <w:p>
      <w:pPr>
        <w:pStyle w:val="Heading3"/>
        <w:ind w:hanging="0" w:left="0"/>
        <w:rPr/>
      </w:pPr>
      <w:r>
        <w:rPr/>
        <w:t>Entity State Vectors</w:t>
      </w:r>
    </w:p>
    <w:p>
      <w:pPr>
        <w:pStyle w:val="BodyText"/>
        <w:spacing w:before="0" w:after="200"/>
        <w:rPr/>
      </w:pPr>
      <w:r>
        <w:rPr/>
        <w:t>An Entity State Vector represents the relevant state of an Object or Flourishing Entity within the assessment.</w:t>
      </w:r>
    </w:p>
    <w:p>
      <w:pPr>
        <w:pStyle w:val="BodyText"/>
        <w:spacing w:before="0" w:after="200"/>
        <w:rPr/>
      </w:pPr>
      <w:r>
        <w:rPr/>
        <w:t>The term “vector” is used here to indicate a structured collection of state descriptors, not necessarily a prescribed mathematical form. The precise formal representation may vary by methodology or implementation. At this level, the requirement is that relevant entity conditions be represented in a way that can support comparison before and after an Assessed Action.</w:t>
      </w:r>
    </w:p>
    <w:p>
      <w:pPr>
        <w:pStyle w:val="BodyText"/>
        <w:spacing w:before="0" w:after="200"/>
        <w:rPr/>
      </w:pPr>
      <w:r>
        <w:rPr/>
        <w:t>An Entity State Vector may include dimensions such as:</w:t>
      </w:r>
    </w:p>
    <w:p>
      <w:pPr>
        <w:pStyle w:val="BodyText"/>
        <w:spacing w:before="0" w:after="200"/>
        <w:rPr/>
      </w:pPr>
      <w:r>
        <w:rPr/>
        <w:t>Physical condition.</w:t>
      </w:r>
    </w:p>
    <w:p>
      <w:pPr>
        <w:pStyle w:val="BodyText"/>
        <w:spacing w:before="0" w:after="200"/>
        <w:rPr/>
      </w:pPr>
      <w:r>
        <w:rPr/>
        <w:t>Health or biological integrity.</w:t>
      </w:r>
    </w:p>
    <w:p>
      <w:pPr>
        <w:pStyle w:val="BodyText"/>
        <w:spacing w:before="0" w:after="200"/>
        <w:rPr/>
      </w:pPr>
      <w:r>
        <w:rPr/>
        <w:t>Safety.</w:t>
      </w:r>
    </w:p>
    <w:p>
      <w:pPr>
        <w:pStyle w:val="BodyText"/>
        <w:spacing w:before="0" w:after="200"/>
        <w:rPr/>
      </w:pPr>
      <w:r>
        <w:rPr/>
        <w:t>Autonomy.</w:t>
      </w:r>
    </w:p>
    <w:p>
      <w:pPr>
        <w:pStyle w:val="BodyText"/>
        <w:spacing w:before="0" w:after="200"/>
        <w:rPr/>
      </w:pPr>
      <w:r>
        <w:rPr/>
        <w:t>Agency.</w:t>
      </w:r>
    </w:p>
    <w:p>
      <w:pPr>
        <w:pStyle w:val="BodyText"/>
        <w:spacing w:before="0" w:after="200"/>
        <w:rPr/>
      </w:pPr>
      <w:r>
        <w:rPr/>
        <w:t>Knowledge.</w:t>
      </w:r>
    </w:p>
    <w:p>
      <w:pPr>
        <w:pStyle w:val="BodyText"/>
        <w:spacing w:before="0" w:after="200"/>
        <w:rPr/>
      </w:pPr>
      <w:r>
        <w:rPr/>
        <w:t>Capability.</w:t>
      </w:r>
    </w:p>
    <w:p>
      <w:pPr>
        <w:pStyle w:val="BodyText"/>
        <w:spacing w:before="0" w:after="200"/>
        <w:rPr/>
      </w:pPr>
      <w:r>
        <w:rPr/>
        <w:t>Resource access.</w:t>
      </w:r>
    </w:p>
    <w:p>
      <w:pPr>
        <w:pStyle w:val="BodyText"/>
        <w:spacing w:before="0" w:after="200"/>
        <w:rPr/>
      </w:pPr>
      <w:r>
        <w:rPr/>
        <w:t>Social connection.</w:t>
      </w:r>
    </w:p>
    <w:p>
      <w:pPr>
        <w:pStyle w:val="BodyText"/>
        <w:spacing w:before="0" w:after="200"/>
        <w:rPr/>
      </w:pPr>
      <w:r>
        <w:rPr/>
        <w:t>Legal status.</w:t>
      </w:r>
    </w:p>
    <w:p>
      <w:pPr>
        <w:pStyle w:val="BodyText"/>
        <w:spacing w:before="0" w:after="200"/>
        <w:rPr/>
      </w:pPr>
      <w:r>
        <w:rPr/>
        <w:t>Institutional role.</w:t>
      </w:r>
    </w:p>
    <w:p>
      <w:pPr>
        <w:pStyle w:val="BodyText"/>
        <w:spacing w:before="0" w:after="200"/>
        <w:rPr/>
      </w:pPr>
      <w:r>
        <w:rPr/>
        <w:t>Vulnerability.</w:t>
      </w:r>
    </w:p>
    <w:p>
      <w:pPr>
        <w:pStyle w:val="BodyText"/>
        <w:spacing w:before="0" w:after="200"/>
        <w:rPr/>
      </w:pPr>
      <w:r>
        <w:rPr/>
        <w:t>Resilience.</w:t>
      </w:r>
    </w:p>
    <w:p>
      <w:pPr>
        <w:pStyle w:val="BodyText"/>
        <w:spacing w:before="0" w:after="200"/>
        <w:rPr/>
      </w:pPr>
      <w:r>
        <w:rPr/>
        <w:t>Adaptive capacity.</w:t>
      </w:r>
    </w:p>
    <w:p>
      <w:pPr>
        <w:pStyle w:val="BodyText"/>
        <w:spacing w:before="0" w:after="200"/>
        <w:rPr/>
      </w:pPr>
      <w:r>
        <w:rPr/>
        <w:t>Future opportunities.</w:t>
      </w:r>
    </w:p>
    <w:p>
      <w:pPr>
        <w:pStyle w:val="BodyText"/>
        <w:spacing w:before="0" w:after="200"/>
        <w:rPr/>
      </w:pPr>
      <w:r>
        <w:rPr/>
        <w:t>Long-Term Flourishing dimensions.</w:t>
      </w:r>
    </w:p>
    <w:p>
      <w:pPr>
        <w:pStyle w:val="BodyText"/>
        <w:spacing w:before="0" w:after="200"/>
        <w:rPr/>
      </w:pPr>
      <w:r>
        <w:rPr/>
        <w:t>For a human patient, the entity state vector might include health status, decision capacity, informed consent, treatment options, family dependency, and future quality of life. For an ecosystem, it might include biodiversity, resilience, ecological connectivity, invasive species pressure, regenerative capacity, and long-term stability. For an institution, it might include legitimacy, trust, authority, procedural integrity, capability, accountability, and policy state.</w:t>
      </w:r>
    </w:p>
    <w:p>
      <w:pPr>
        <w:pStyle w:val="BodyText"/>
        <w:spacing w:before="0" w:after="200"/>
        <w:rPr/>
      </w:pPr>
      <w:r>
        <w:rPr/>
        <w:t>Entity State Vectors should be tailored to the type of entity and the Situational Context. Different entities may share some dimensions while requiring different relevance weights, descriptors, or interpretations. A state variable that is material for a human may not be material in the same way for an ecosystem, institution, or artificial system.</w:t>
      </w:r>
    </w:p>
    <w:p>
      <w:pPr>
        <w:pStyle w:val="Heading3"/>
        <w:ind w:hanging="0" w:left="0"/>
        <w:rPr/>
      </w:pPr>
      <w:r>
        <w:rPr/>
        <w:t>Flourishing State Representation</w:t>
      </w:r>
    </w:p>
    <w:p>
      <w:pPr>
        <w:pStyle w:val="BodyText"/>
        <w:spacing w:before="0" w:after="200"/>
        <w:rPr/>
      </w:pPr>
      <w:r>
        <w:rPr/>
        <w:t>Because Long-Term Flourishing is central to the methodology, the state of relevant Flourishing Entities should include a representation of flourishing-related dimensions.</w:t>
      </w:r>
    </w:p>
    <w:p>
      <w:pPr>
        <w:pStyle w:val="BodyText"/>
        <w:spacing w:before="0" w:after="200"/>
        <w:rPr/>
      </w:pPr>
      <w:r>
        <w:rPr/>
        <w:t>Flourishing State Representation describes the current and predicted capacity of a Flourishing Entity to persist, adapt, develop, preserve beneficial future opportunities, and participate constructively in the larger relevant World Context. It should not be reduced to mere survival, expansion, preference satisfaction, short-term benefit, or power.</w:t>
      </w:r>
    </w:p>
    <w:p>
      <w:pPr>
        <w:pStyle w:val="BodyText"/>
        <w:spacing w:before="0" w:after="200"/>
        <w:rPr/>
      </w:pPr>
      <w:r>
        <w:rPr/>
        <w:t>Candidate flourishing dimensions may include Persistence, Adaptive Capacity, Future Possibilities, Constructive Participation, resilience, agency, relational integrity, environmental compatibility, and contribution to the larger system. The precise set of dimensions remains open to refinement and may vary by entity type and assessment domain.</w:t>
      </w:r>
    </w:p>
    <w:p>
      <w:pPr>
        <w:pStyle w:val="BodyText"/>
        <w:spacing w:before="0" w:after="200"/>
        <w:rPr/>
      </w:pPr>
      <w:r>
        <w:rPr/>
        <w:t>The methodology should distinguish flourishing from expansion. A system may expand while diminishing the flourishing of others or degrading the broader World Context. Conversely, a temporary contraction or restraint may preserve long-term flourishing.</w:t>
      </w:r>
    </w:p>
    <w:p>
      <w:pPr>
        <w:pStyle w:val="BodyText"/>
        <w:spacing w:before="0" w:after="200"/>
        <w:rPr/>
      </w:pPr>
      <w:r>
        <w:rPr/>
        <w:t>Flourishing State Representation is developed further in Section 6.6, but it must be introduced here because it is one of the primary state representations used in moral assessment.</w:t>
      </w:r>
    </w:p>
    <w:p>
      <w:pPr>
        <w:pStyle w:val="Heading3"/>
        <w:ind w:hanging="0" w:left="0"/>
        <w:rPr/>
      </w:pPr>
      <w:r>
        <w:rPr/>
        <w:t>Relationship State Variables</w:t>
      </w:r>
    </w:p>
    <w:p>
      <w:pPr>
        <w:pStyle w:val="BodyText"/>
        <w:spacing w:before="0" w:after="200"/>
        <w:rPr/>
      </w:pPr>
      <w:r>
        <w:rPr/>
        <w:t>Relationship State Variables represent the state of Associations among Objects.</w:t>
      </w:r>
    </w:p>
    <w:p>
      <w:pPr>
        <w:pStyle w:val="BodyText"/>
        <w:spacing w:before="0" w:after="200"/>
        <w:rPr/>
      </w:pPr>
      <w:r>
        <w:rPr/>
        <w:t>Associations are morally significant because many duties, vulnerabilities, dependencies, authorities, and expectations arise through relationships rather than through isolated entities. Relationship state variables therefore capture how the Assessed Action may change the connections among relevant Objects.</w:t>
      </w:r>
    </w:p>
    <w:p>
      <w:pPr>
        <w:pStyle w:val="BodyText"/>
        <w:spacing w:before="0" w:after="200"/>
        <w:rPr/>
      </w:pPr>
      <w:r>
        <w:rPr/>
        <w:t>Examples of relationship state variables include:</w:t>
      </w:r>
    </w:p>
    <w:p>
      <w:pPr>
        <w:pStyle w:val="BodyText"/>
        <w:spacing w:before="0" w:after="200"/>
        <w:rPr/>
      </w:pPr>
      <w:r>
        <w:rPr/>
        <w:t>Trust.</w:t>
      </w:r>
    </w:p>
    <w:p>
      <w:pPr>
        <w:pStyle w:val="BodyText"/>
        <w:spacing w:before="0" w:after="200"/>
        <w:rPr/>
      </w:pPr>
      <w:r>
        <w:rPr/>
        <w:t>Authority.</w:t>
      </w:r>
    </w:p>
    <w:p>
      <w:pPr>
        <w:pStyle w:val="BodyText"/>
        <w:spacing w:before="0" w:after="200"/>
        <w:rPr/>
      </w:pPr>
      <w:r>
        <w:rPr/>
        <w:t>Legitimacy.</w:t>
      </w:r>
    </w:p>
    <w:p>
      <w:pPr>
        <w:pStyle w:val="BodyText"/>
        <w:spacing w:before="0" w:after="200"/>
        <w:rPr/>
      </w:pPr>
      <w:r>
        <w:rPr/>
        <w:t>Consent.</w:t>
      </w:r>
    </w:p>
    <w:p>
      <w:pPr>
        <w:pStyle w:val="BodyText"/>
        <w:spacing w:before="0" w:after="200"/>
        <w:rPr/>
      </w:pPr>
      <w:r>
        <w:rPr/>
        <w:t>Obligation.</w:t>
      </w:r>
    </w:p>
    <w:p>
      <w:pPr>
        <w:pStyle w:val="BodyText"/>
        <w:spacing w:before="0" w:after="200"/>
        <w:rPr/>
      </w:pPr>
      <w:r>
        <w:rPr/>
        <w:t>Dependency.</w:t>
      </w:r>
    </w:p>
    <w:p>
      <w:pPr>
        <w:pStyle w:val="BodyText"/>
        <w:spacing w:before="0" w:after="200"/>
        <w:rPr/>
      </w:pPr>
      <w:r>
        <w:rPr/>
        <w:t>Responsibility.</w:t>
      </w:r>
    </w:p>
    <w:p>
      <w:pPr>
        <w:pStyle w:val="BodyText"/>
        <w:spacing w:before="0" w:after="200"/>
        <w:rPr/>
      </w:pPr>
      <w:r>
        <w:rPr/>
        <w:t>Care.</w:t>
      </w:r>
    </w:p>
    <w:p>
      <w:pPr>
        <w:pStyle w:val="BodyText"/>
        <w:spacing w:before="0" w:after="200"/>
        <w:rPr/>
      </w:pPr>
      <w:r>
        <w:rPr/>
        <w:t>Stewardship.</w:t>
      </w:r>
    </w:p>
    <w:p>
      <w:pPr>
        <w:pStyle w:val="BodyText"/>
        <w:spacing w:before="0" w:after="200"/>
        <w:rPr/>
      </w:pPr>
      <w:r>
        <w:rPr/>
        <w:t>Ownership.</w:t>
      </w:r>
    </w:p>
    <w:p>
      <w:pPr>
        <w:pStyle w:val="BodyText"/>
        <w:spacing w:before="0" w:after="200"/>
        <w:rPr/>
      </w:pPr>
      <w:r>
        <w:rPr/>
        <w:t>Contractual status.</w:t>
      </w:r>
    </w:p>
    <w:p>
      <w:pPr>
        <w:pStyle w:val="BodyText"/>
        <w:spacing w:before="0" w:after="200"/>
        <w:rPr/>
      </w:pPr>
      <w:r>
        <w:rPr/>
        <w:t>Command relationship.</w:t>
      </w:r>
    </w:p>
    <w:p>
      <w:pPr>
        <w:pStyle w:val="BodyText"/>
        <w:spacing w:before="0" w:after="200"/>
        <w:rPr/>
      </w:pPr>
      <w:r>
        <w:rPr/>
        <w:t>Representation.</w:t>
      </w:r>
    </w:p>
    <w:p>
      <w:pPr>
        <w:pStyle w:val="BodyText"/>
        <w:spacing w:before="0" w:after="200"/>
        <w:rPr/>
      </w:pPr>
      <w:r>
        <w:rPr/>
        <w:t>Reliance.</w:t>
      </w:r>
    </w:p>
    <w:p>
      <w:pPr>
        <w:pStyle w:val="BodyText"/>
        <w:spacing w:before="0" w:after="200"/>
        <w:rPr/>
      </w:pPr>
      <w:r>
        <w:rPr/>
        <w:t>Cooperation.</w:t>
      </w:r>
    </w:p>
    <w:p>
      <w:pPr>
        <w:pStyle w:val="BodyText"/>
        <w:spacing w:before="0" w:after="200"/>
        <w:rPr/>
      </w:pPr>
      <w:r>
        <w:rPr/>
        <w:t>Conflict.</w:t>
      </w:r>
    </w:p>
    <w:p>
      <w:pPr>
        <w:pStyle w:val="BodyText"/>
        <w:spacing w:before="0" w:after="200"/>
        <w:rPr/>
      </w:pPr>
      <w:r>
        <w:rPr/>
        <w:t>Institutional membership.</w:t>
      </w:r>
    </w:p>
    <w:p>
      <w:pPr>
        <w:pStyle w:val="BodyText"/>
        <w:spacing w:before="0" w:after="200"/>
        <w:rPr/>
      </w:pPr>
      <w:r>
        <w:rPr/>
        <w:t>A medical decision may change trust between patient and physician. A legal decision may change legitimacy between citizen and court. A corporate action may change obligation and trust between employer and employee. An environmental intervention may change stewardship obligations between a community and ecosystem.</w:t>
      </w:r>
    </w:p>
    <w:p>
      <w:pPr>
        <w:pStyle w:val="BodyText"/>
        <w:spacing w:before="0" w:after="200"/>
        <w:rPr/>
      </w:pPr>
      <w:r>
        <w:rPr/>
        <w:t>Relationship State Variables should be represented explicitly because moral harms and benefits often appear first as relational changes. A narrow entity-state analysis may miss the moral significance of damaged trust, violated consent, corrupted authority, or weakened obligation.</w:t>
      </w:r>
    </w:p>
    <w:p>
      <w:pPr>
        <w:pStyle w:val="Heading3"/>
        <w:ind w:hanging="0" w:left="0"/>
        <w:rPr/>
      </w:pPr>
      <w:r>
        <w:rPr/>
        <w:t>Policy State Variables</w:t>
      </w:r>
    </w:p>
    <w:p>
      <w:pPr>
        <w:pStyle w:val="BodyText"/>
        <w:spacing w:before="0" w:after="200"/>
        <w:rPr/>
      </w:pPr>
      <w:r>
        <w:rPr/>
        <w:t>Policy State Variables represent the future decision tendencies, rules, habits, norms, strategies, incentives, learned behaviors, or action-selection patterns of Moral Agents, institutions, artificial systems, and other decision-capable entities.</w:t>
      </w:r>
    </w:p>
    <w:p>
      <w:pPr>
        <w:pStyle w:val="BodyText"/>
        <w:spacing w:before="0" w:after="200"/>
        <w:rPr/>
      </w:pPr>
      <w:r>
        <w:rPr/>
        <w:t>Policy states are central to Distributed Policy Updates. They describe how an Assessed Action changes what future agents are likely to do. An action may make a harmful means more likely to be repeated, make observers more likely to imitate the behavior, or make institutions more likely to encode the behavior as precedent.</w:t>
      </w:r>
    </w:p>
    <w:p>
      <w:pPr>
        <w:pStyle w:val="BodyText"/>
        <w:spacing w:before="0" w:after="200"/>
        <w:rPr/>
      </w:pPr>
      <w:r>
        <w:rPr/>
        <w:t>Policy state variables may describe:</w:t>
      </w:r>
    </w:p>
    <w:p>
      <w:pPr>
        <w:pStyle w:val="BodyText"/>
        <w:spacing w:before="0" w:after="200"/>
        <w:rPr/>
      </w:pPr>
      <w:r>
        <w:rPr/>
        <w:t>Propensity to repeat the Assessed Action.</w:t>
      </w:r>
    </w:p>
    <w:p>
      <w:pPr>
        <w:pStyle w:val="BodyText"/>
        <w:spacing w:before="0" w:after="200"/>
        <w:rPr/>
      </w:pPr>
      <w:r>
        <w:rPr/>
        <w:t>Tolerance for harmful means.</w:t>
      </w:r>
    </w:p>
    <w:p>
      <w:pPr>
        <w:pStyle w:val="BodyText"/>
        <w:spacing w:before="0" w:after="200"/>
        <w:rPr/>
      </w:pPr>
      <w:r>
        <w:rPr/>
        <w:t>Commitment to transparency.</w:t>
      </w:r>
    </w:p>
    <w:p>
      <w:pPr>
        <w:pStyle w:val="BodyText"/>
        <w:spacing w:before="0" w:after="200"/>
        <w:rPr/>
      </w:pPr>
      <w:r>
        <w:rPr/>
        <w:t>Reliance on coercion.</w:t>
      </w:r>
    </w:p>
    <w:p>
      <w:pPr>
        <w:pStyle w:val="BodyText"/>
        <w:spacing w:before="0" w:after="200"/>
        <w:rPr/>
      </w:pPr>
      <w:r>
        <w:rPr/>
        <w:t>Likelihood of deception.</w:t>
      </w:r>
    </w:p>
    <w:p>
      <w:pPr>
        <w:pStyle w:val="BodyText"/>
        <w:spacing w:before="0" w:after="200"/>
        <w:rPr/>
      </w:pPr>
      <w:r>
        <w:rPr/>
        <w:t>Responsiveness to evidence.</w:t>
      </w:r>
    </w:p>
    <w:p>
      <w:pPr>
        <w:pStyle w:val="BodyText"/>
        <w:spacing w:before="0" w:after="200"/>
        <w:rPr/>
      </w:pPr>
      <w:r>
        <w:rPr/>
        <w:t>Respect for consent.</w:t>
      </w:r>
    </w:p>
    <w:p>
      <w:pPr>
        <w:pStyle w:val="BodyText"/>
        <w:spacing w:before="0" w:after="200"/>
        <w:rPr/>
      </w:pPr>
      <w:r>
        <w:rPr/>
        <w:t>Deference to legitimate authority.</w:t>
      </w:r>
    </w:p>
    <w:p>
      <w:pPr>
        <w:pStyle w:val="BodyText"/>
        <w:spacing w:before="0" w:after="200"/>
        <w:rPr/>
      </w:pPr>
      <w:r>
        <w:rPr/>
        <w:t>Trust in institutions.</w:t>
      </w:r>
    </w:p>
    <w:p>
      <w:pPr>
        <w:pStyle w:val="BodyText"/>
        <w:spacing w:before="0" w:after="200"/>
        <w:rPr/>
      </w:pPr>
      <w:r>
        <w:rPr/>
        <w:t>Risk tolerance.</w:t>
      </w:r>
    </w:p>
    <w:p>
      <w:pPr>
        <w:pStyle w:val="BodyText"/>
        <w:spacing w:before="0" w:after="200"/>
        <w:rPr/>
      </w:pPr>
      <w:r>
        <w:rPr/>
        <w:t>Compliance behavior.</w:t>
      </w:r>
    </w:p>
    <w:p>
      <w:pPr>
        <w:pStyle w:val="BodyText"/>
        <w:spacing w:before="0" w:after="200"/>
        <w:rPr/>
      </w:pPr>
      <w:r>
        <w:rPr/>
        <w:t>Retaliatory tendency.</w:t>
      </w:r>
    </w:p>
    <w:p>
      <w:pPr>
        <w:pStyle w:val="BodyText"/>
        <w:spacing w:before="0" w:after="200"/>
        <w:rPr/>
      </w:pPr>
      <w:r>
        <w:rPr/>
        <w:t>Cooperation tendency.</w:t>
      </w:r>
    </w:p>
    <w:p>
      <w:pPr>
        <w:pStyle w:val="BodyText"/>
        <w:spacing w:before="0" w:after="200"/>
        <w:rPr/>
      </w:pPr>
      <w:r>
        <w:rPr/>
        <w:t>Institutional enforcement pattern.</w:t>
      </w:r>
    </w:p>
    <w:p>
      <w:pPr>
        <w:pStyle w:val="BodyText"/>
        <w:spacing w:before="0" w:after="200"/>
        <w:rPr/>
      </w:pPr>
      <w:r>
        <w:rPr/>
        <w:t>Artificial system action-selection behavior.</w:t>
      </w:r>
    </w:p>
    <w:p>
      <w:pPr>
        <w:pStyle w:val="BodyText"/>
        <w:spacing w:before="0" w:after="200"/>
        <w:rPr/>
      </w:pPr>
      <w:r>
        <w:rPr/>
        <w:t>Policy State Variables may be explicit, such as written rules or system parameters, or implicit, such as habits, incentives, norms, or learned behavioral tendencies. The methodology should represent policy states when they materially affect future World Contexts.</w:t>
      </w:r>
    </w:p>
    <w:p>
      <w:pPr>
        <w:pStyle w:val="Heading3"/>
        <w:ind w:hanging="0" w:left="0"/>
        <w:rPr/>
      </w:pPr>
      <w:r>
        <w:rPr/>
        <w:t>Institutional State Variables</w:t>
      </w:r>
    </w:p>
    <w:p>
      <w:pPr>
        <w:pStyle w:val="BodyText"/>
        <w:spacing w:before="0" w:after="200"/>
        <w:rPr/>
      </w:pPr>
      <w:r>
        <w:rPr/>
        <w:t>Institutional State Variables represent the condition of institutions within the assessment.</w:t>
      </w:r>
    </w:p>
    <w:p>
      <w:pPr>
        <w:pStyle w:val="BodyText"/>
        <w:spacing w:before="0" w:after="200"/>
        <w:rPr/>
      </w:pPr>
      <w:r>
        <w:rPr/>
        <w:t>Institutions may be formal or informal, public or private, human or artificial, centralized or distributed. Their states matter because institutions shape authority, legitimacy, incentives, accountability, norms, resource allocation, and future decision behavior.</w:t>
      </w:r>
    </w:p>
    <w:p>
      <w:pPr>
        <w:pStyle w:val="BodyText"/>
        <w:spacing w:before="0" w:after="200"/>
        <w:rPr/>
      </w:pPr>
      <w:r>
        <w:rPr/>
        <w:t>Institutional state variables may include:</w:t>
      </w:r>
    </w:p>
    <w:p>
      <w:pPr>
        <w:pStyle w:val="BodyText"/>
        <w:spacing w:before="0" w:after="200"/>
        <w:rPr/>
      </w:pPr>
      <w:r>
        <w:rPr/>
        <w:t>Legitimacy.</w:t>
      </w:r>
    </w:p>
    <w:p>
      <w:pPr>
        <w:pStyle w:val="BodyText"/>
        <w:spacing w:before="0" w:after="200"/>
        <w:rPr/>
      </w:pPr>
      <w:r>
        <w:rPr/>
        <w:t>Public trust.</w:t>
      </w:r>
    </w:p>
    <w:p>
      <w:pPr>
        <w:pStyle w:val="BodyText"/>
        <w:spacing w:before="0" w:after="200"/>
        <w:rPr/>
      </w:pPr>
      <w:r>
        <w:rPr/>
        <w:t>Procedural integrity.</w:t>
      </w:r>
    </w:p>
    <w:p>
      <w:pPr>
        <w:pStyle w:val="BodyText"/>
        <w:spacing w:before="0" w:after="200"/>
        <w:rPr/>
      </w:pPr>
      <w:r>
        <w:rPr/>
        <w:t>Accountability.</w:t>
      </w:r>
    </w:p>
    <w:p>
      <w:pPr>
        <w:pStyle w:val="BodyText"/>
        <w:spacing w:before="0" w:after="200"/>
        <w:rPr/>
      </w:pPr>
      <w:r>
        <w:rPr/>
        <w:t>Authority recognition.</w:t>
      </w:r>
    </w:p>
    <w:p>
      <w:pPr>
        <w:pStyle w:val="BodyText"/>
        <w:spacing w:before="0" w:after="200"/>
        <w:rPr/>
      </w:pPr>
      <w:r>
        <w:rPr/>
        <w:t>Rule consistency.</w:t>
      </w:r>
    </w:p>
    <w:p>
      <w:pPr>
        <w:pStyle w:val="BodyText"/>
        <w:spacing w:before="0" w:after="200"/>
        <w:rPr/>
      </w:pPr>
      <w:r>
        <w:rPr/>
        <w:t>Enforcement reliability.</w:t>
      </w:r>
    </w:p>
    <w:p>
      <w:pPr>
        <w:pStyle w:val="BodyText"/>
        <w:spacing w:before="0" w:after="200"/>
        <w:rPr/>
      </w:pPr>
      <w:r>
        <w:rPr/>
        <w:t>Transparency.</w:t>
      </w:r>
    </w:p>
    <w:p>
      <w:pPr>
        <w:pStyle w:val="BodyText"/>
        <w:spacing w:before="0" w:after="200"/>
        <w:rPr/>
      </w:pPr>
      <w:r>
        <w:rPr/>
        <w:t>Corruption level.</w:t>
      </w:r>
    </w:p>
    <w:p>
      <w:pPr>
        <w:pStyle w:val="BodyText"/>
        <w:spacing w:before="0" w:after="200"/>
        <w:rPr/>
      </w:pPr>
      <w:r>
        <w:rPr/>
        <w:t>Competence.</w:t>
      </w:r>
    </w:p>
    <w:p>
      <w:pPr>
        <w:pStyle w:val="BodyText"/>
        <w:spacing w:before="0" w:after="200"/>
        <w:rPr/>
      </w:pPr>
      <w:r>
        <w:rPr/>
        <w:t>Resilience.</w:t>
      </w:r>
    </w:p>
    <w:p>
      <w:pPr>
        <w:pStyle w:val="BodyText"/>
        <w:spacing w:before="0" w:after="200"/>
        <w:rPr/>
      </w:pPr>
      <w:r>
        <w:rPr/>
        <w:t>Institutional memory.</w:t>
      </w:r>
    </w:p>
    <w:p>
      <w:pPr>
        <w:pStyle w:val="BodyText"/>
        <w:spacing w:before="0" w:after="200"/>
        <w:rPr/>
      </w:pPr>
      <w:r>
        <w:rPr/>
        <w:t>Norm stability.</w:t>
      </w:r>
    </w:p>
    <w:p>
      <w:pPr>
        <w:pStyle w:val="BodyText"/>
        <w:spacing w:before="0" w:after="200"/>
        <w:rPr/>
      </w:pPr>
      <w:r>
        <w:rPr/>
        <w:t>Policy precedent.</w:t>
      </w:r>
    </w:p>
    <w:p>
      <w:pPr>
        <w:pStyle w:val="BodyText"/>
        <w:spacing w:before="0" w:after="200"/>
        <w:rPr/>
      </w:pPr>
      <w:r>
        <w:rPr/>
        <w:t>Capacity to correct errors.</w:t>
      </w:r>
    </w:p>
    <w:p>
      <w:pPr>
        <w:pStyle w:val="BodyText"/>
        <w:spacing w:before="0" w:after="200"/>
        <w:rPr/>
      </w:pPr>
      <w:r>
        <w:rPr/>
        <w:t>An Assessed Action may preserve, strengthen, weaken, corrupt, delegitimize, bypass, or transform an institution. These changes may be especially significant across long-term, multi-generational, and civilizational horizons.</w:t>
      </w:r>
    </w:p>
    <w:p>
      <w:pPr>
        <w:pStyle w:val="BodyText"/>
        <w:spacing w:before="0" w:after="200"/>
        <w:rPr/>
      </w:pPr>
      <w:r>
        <w:rPr/>
        <w:t>Institutional states should be represented separately when they are not adequately captured by individual entity states or relationship states.</w:t>
      </w:r>
    </w:p>
    <w:p>
      <w:pPr>
        <w:pStyle w:val="Heading3"/>
        <w:ind w:hanging="0" w:left="0"/>
        <w:rPr/>
      </w:pPr>
      <w:r>
        <w:rPr/>
        <w:t>Constraint State Variables</w:t>
      </w:r>
    </w:p>
    <w:p>
      <w:pPr>
        <w:pStyle w:val="BodyText"/>
        <w:spacing w:before="0" w:after="200"/>
        <w:rPr/>
      </w:pPr>
      <w:r>
        <w:rPr/>
        <w:t>Constraint State Variables represent limits, requirements, prohibitions, or enabling conditions that shape available actions and possible transitions.</w:t>
      </w:r>
    </w:p>
    <w:p>
      <w:pPr>
        <w:pStyle w:val="BodyText"/>
        <w:spacing w:before="0" w:after="200"/>
        <w:rPr/>
      </w:pPr>
      <w:r>
        <w:rPr/>
        <w:t>Constraints may be physical, biological, legal, institutional, technological, informational, financial, temporal, ecological, procedural, relational, or moral. They affect what actions are possible, what alternatives are available, what risks are unavoidable, and what obligations apply.</w:t>
      </w:r>
    </w:p>
    <w:p>
      <w:pPr>
        <w:pStyle w:val="BodyText"/>
        <w:spacing w:before="0" w:after="200"/>
        <w:rPr/>
      </w:pPr>
      <w:r>
        <w:rPr/>
        <w:t>Constraint state variables may include:</w:t>
      </w:r>
    </w:p>
    <w:p>
      <w:pPr>
        <w:pStyle w:val="BodyText"/>
        <w:spacing w:before="0" w:after="200"/>
        <w:rPr/>
      </w:pPr>
      <w:r>
        <w:rPr/>
        <w:t>Available time.</w:t>
      </w:r>
    </w:p>
    <w:p>
      <w:pPr>
        <w:pStyle w:val="BodyText"/>
        <w:spacing w:before="0" w:after="200"/>
        <w:rPr/>
      </w:pPr>
      <w:r>
        <w:rPr/>
        <w:t>Available resources.</w:t>
      </w:r>
    </w:p>
    <w:p>
      <w:pPr>
        <w:pStyle w:val="BodyText"/>
        <w:spacing w:before="0" w:after="200"/>
        <w:rPr/>
      </w:pPr>
      <w:r>
        <w:rPr/>
        <w:t>Legal restrictions.</w:t>
      </w:r>
    </w:p>
    <w:p>
      <w:pPr>
        <w:pStyle w:val="BodyText"/>
        <w:spacing w:before="0" w:after="200"/>
        <w:rPr/>
      </w:pPr>
      <w:r>
        <w:rPr/>
        <w:t>Technical limitations.</w:t>
      </w:r>
    </w:p>
    <w:p>
      <w:pPr>
        <w:pStyle w:val="BodyText"/>
        <w:spacing w:before="0" w:after="200"/>
        <w:rPr/>
      </w:pPr>
      <w:r>
        <w:rPr/>
        <w:t>Physical feasibility.</w:t>
      </w:r>
    </w:p>
    <w:p>
      <w:pPr>
        <w:pStyle w:val="BodyText"/>
        <w:spacing w:before="0" w:after="200"/>
        <w:rPr/>
      </w:pPr>
      <w:r>
        <w:rPr/>
        <w:t>Medical limitations.</w:t>
      </w:r>
    </w:p>
    <w:p>
      <w:pPr>
        <w:pStyle w:val="BodyText"/>
        <w:spacing w:before="0" w:after="200"/>
        <w:rPr/>
      </w:pPr>
      <w:r>
        <w:rPr/>
        <w:t>Environmental conditions.</w:t>
      </w:r>
    </w:p>
    <w:p>
      <w:pPr>
        <w:pStyle w:val="BodyText"/>
        <w:spacing w:before="0" w:after="200"/>
        <w:rPr/>
      </w:pPr>
      <w:r>
        <w:rPr/>
        <w:t>Institutional authority.</w:t>
      </w:r>
    </w:p>
    <w:p>
      <w:pPr>
        <w:pStyle w:val="BodyText"/>
        <w:spacing w:before="0" w:after="200"/>
        <w:rPr/>
      </w:pPr>
      <w:r>
        <w:rPr/>
        <w:t>Information access.</w:t>
      </w:r>
    </w:p>
    <w:p>
      <w:pPr>
        <w:pStyle w:val="BodyText"/>
        <w:spacing w:before="0" w:after="200"/>
        <w:rPr/>
      </w:pPr>
      <w:r>
        <w:rPr/>
        <w:t>Safety requirements.</w:t>
      </w:r>
    </w:p>
    <w:p>
      <w:pPr>
        <w:pStyle w:val="BodyText"/>
        <w:spacing w:before="0" w:after="200"/>
        <w:rPr/>
      </w:pPr>
      <w:r>
        <w:rPr/>
        <w:t>Consent requirements.</w:t>
      </w:r>
    </w:p>
    <w:p>
      <w:pPr>
        <w:pStyle w:val="BodyText"/>
        <w:spacing w:before="0" w:after="200"/>
        <w:rPr/>
      </w:pPr>
      <w:r>
        <w:rPr/>
        <w:t>Emergency conditions.</w:t>
      </w:r>
    </w:p>
    <w:p>
      <w:pPr>
        <w:pStyle w:val="BodyText"/>
        <w:spacing w:before="0" w:after="200"/>
        <w:rPr/>
      </w:pPr>
      <w:r>
        <w:rPr/>
        <w:t>Computational limits.</w:t>
      </w:r>
    </w:p>
    <w:p>
      <w:pPr>
        <w:pStyle w:val="BodyText"/>
        <w:spacing w:before="0" w:after="200"/>
        <w:rPr/>
      </w:pPr>
      <w:r>
        <w:rPr/>
        <w:t>An Assessed Action may alter constraints by creating new limitations, removing existing limitations, expanding available choices, narrowing future action space, or changing what is feasible for future agents.</w:t>
      </w:r>
    </w:p>
    <w:p>
      <w:pPr>
        <w:pStyle w:val="Heading3"/>
        <w:ind w:hanging="0" w:left="0"/>
        <w:rPr/>
      </w:pPr>
      <w:r>
        <w:rPr/>
        <w:t>Opportunity State Variables</w:t>
      </w:r>
    </w:p>
    <w:p>
      <w:pPr>
        <w:pStyle w:val="BodyText"/>
        <w:spacing w:before="0" w:after="200"/>
        <w:rPr/>
      </w:pPr>
      <w:r>
        <w:rPr/>
        <w:t>Opportunity State Variables represent beneficial possibilities available to relevant Flourishing Entities or Moral Agents.</w:t>
      </w:r>
    </w:p>
    <w:p>
      <w:pPr>
        <w:pStyle w:val="BodyText"/>
        <w:spacing w:before="0" w:after="200"/>
        <w:rPr/>
      </w:pPr>
      <w:r>
        <w:rPr/>
        <w:t>Future Opportunities are important because Long-Term Flourishing depends partly on the preservation and expansion of beneficial future possibilities. Opportunity state variables therefore capture what options, adaptations, relationships, capabilities, and developmental pathways remain available before and after the Assessed Action.</w:t>
      </w:r>
    </w:p>
    <w:p>
      <w:pPr>
        <w:pStyle w:val="BodyText"/>
        <w:spacing w:before="0" w:after="200"/>
        <w:rPr/>
      </w:pPr>
      <w:r>
        <w:rPr/>
        <w:t>Opportunity state variables may include:</w:t>
      </w:r>
    </w:p>
    <w:p>
      <w:pPr>
        <w:pStyle w:val="BodyText"/>
        <w:spacing w:before="0" w:after="200"/>
        <w:rPr/>
      </w:pPr>
      <w:r>
        <w:rPr/>
        <w:t>Treatment options.</w:t>
      </w:r>
    </w:p>
    <w:p>
      <w:pPr>
        <w:pStyle w:val="BodyText"/>
        <w:spacing w:before="0" w:after="200"/>
        <w:rPr/>
      </w:pPr>
      <w:r>
        <w:rPr/>
        <w:t>Educational opportunities.</w:t>
      </w:r>
    </w:p>
    <w:p>
      <w:pPr>
        <w:pStyle w:val="BodyText"/>
        <w:spacing w:before="0" w:after="200"/>
        <w:rPr/>
      </w:pPr>
      <w:r>
        <w:rPr/>
        <w:t>Economic mobility.</w:t>
      </w:r>
    </w:p>
    <w:p>
      <w:pPr>
        <w:pStyle w:val="BodyText"/>
        <w:spacing w:before="0" w:after="200"/>
        <w:rPr/>
      </w:pPr>
      <w:r>
        <w:rPr/>
        <w:t>Relationship repair.</w:t>
      </w:r>
    </w:p>
    <w:p>
      <w:pPr>
        <w:pStyle w:val="BodyText"/>
        <w:spacing w:before="0" w:after="200"/>
        <w:rPr/>
      </w:pPr>
      <w:r>
        <w:rPr/>
        <w:t>Institutional reform.</w:t>
      </w:r>
    </w:p>
    <w:p>
      <w:pPr>
        <w:pStyle w:val="BodyText"/>
        <w:spacing w:before="0" w:after="200"/>
        <w:rPr/>
      </w:pPr>
      <w:r>
        <w:rPr/>
        <w:t>Ecological recovery.</w:t>
      </w:r>
    </w:p>
    <w:p>
      <w:pPr>
        <w:pStyle w:val="BodyText"/>
        <w:spacing w:before="0" w:after="200"/>
        <w:rPr/>
      </w:pPr>
      <w:r>
        <w:rPr/>
        <w:t>Technological development.</w:t>
      </w:r>
    </w:p>
    <w:p>
      <w:pPr>
        <w:pStyle w:val="BodyText"/>
        <w:spacing w:before="0" w:after="200"/>
        <w:rPr/>
      </w:pPr>
      <w:r>
        <w:rPr/>
        <w:t>Future cooperation.</w:t>
      </w:r>
    </w:p>
    <w:p>
      <w:pPr>
        <w:pStyle w:val="BodyText"/>
        <w:spacing w:before="0" w:after="200"/>
        <w:rPr/>
      </w:pPr>
      <w:r>
        <w:rPr/>
        <w:t>Ability to exit harmful conditions.</w:t>
      </w:r>
    </w:p>
    <w:p>
      <w:pPr>
        <w:pStyle w:val="BodyText"/>
        <w:spacing w:before="0" w:after="200"/>
        <w:rPr/>
      </w:pPr>
      <w:r>
        <w:rPr/>
        <w:t>Ability to seek help.</w:t>
      </w:r>
    </w:p>
    <w:p>
      <w:pPr>
        <w:pStyle w:val="BodyText"/>
        <w:spacing w:before="0" w:after="200"/>
        <w:rPr/>
      </w:pPr>
      <w:r>
        <w:rPr/>
        <w:t>Capacity for adaptation.</w:t>
      </w:r>
    </w:p>
    <w:p>
      <w:pPr>
        <w:pStyle w:val="BodyText"/>
        <w:spacing w:before="0" w:after="200"/>
        <w:rPr/>
      </w:pPr>
      <w:r>
        <w:rPr/>
        <w:t>Access to alternative actions.</w:t>
      </w:r>
    </w:p>
    <w:p>
      <w:pPr>
        <w:pStyle w:val="BodyText"/>
        <w:spacing w:before="0" w:after="200"/>
        <w:rPr/>
      </w:pPr>
      <w:r>
        <w:rPr/>
        <w:t>Preservation of future agency.</w:t>
      </w:r>
    </w:p>
    <w:p>
      <w:pPr>
        <w:pStyle w:val="BodyText"/>
        <w:spacing w:before="0" w:after="200"/>
        <w:rPr/>
      </w:pPr>
      <w:r>
        <w:rPr/>
        <w:t>An action may produce immediate benefit while foreclosing important future opportunities. Conversely, an action may impose immediate cost while preserving critical future options.</w:t>
      </w:r>
    </w:p>
    <w:p>
      <w:pPr>
        <w:pStyle w:val="Heading3"/>
        <w:ind w:hanging="0" w:left="0"/>
        <w:rPr/>
      </w:pPr>
      <w:r>
        <w:rPr/>
        <w:t>World Context State</w:t>
      </w:r>
    </w:p>
    <w:p>
      <w:pPr>
        <w:pStyle w:val="BodyText"/>
        <w:spacing w:before="0" w:after="200"/>
        <w:rPr/>
      </w:pPr>
      <w:r>
        <w:rPr/>
        <w:t>World Context State is the integrated state of the relevant portion of the World Context represented for assessment.</w:t>
      </w:r>
    </w:p>
    <w:p>
      <w:pPr>
        <w:pStyle w:val="BodyText"/>
        <w:spacing w:before="0" w:after="200"/>
        <w:rPr/>
      </w:pPr>
      <w:r>
        <w:rPr/>
        <w:t>It includes the combined state of relevant Objects, Associations, institutions, constraints, information, policy states, future opportunities, future state space, and other context-specific variables. It is the methodological representation of the world-state used to evaluate the Assessed Action.</w:t>
      </w:r>
    </w:p>
    <w:p>
      <w:pPr>
        <w:pStyle w:val="BodyText"/>
        <w:spacing w:before="0" w:after="200"/>
        <w:rPr/>
      </w:pPr>
      <w:r>
        <w:rPr/>
        <w:t>World Context State should not be treated as merely the sum of isolated entity states. It includes relational, systemic, institutional, informational, and future-oriented structure. A World Context may worsen even if some individual variables improve, because the relational or institutional structure has been damaged. Similarly, a World Context may improve even if some short-term burdens occur, because long-term resilience, trust, legitimacy, or future state space has been preserved.</w:t>
      </w:r>
    </w:p>
    <w:p>
      <w:pPr>
        <w:pStyle w:val="BodyText"/>
        <w:spacing w:before="0" w:after="200"/>
        <w:rPr/>
      </w:pPr>
      <w:r>
        <w:rPr/>
        <w:t>The methodology should distinguish:</w:t>
      </w:r>
    </w:p>
    <w:p>
      <w:pPr>
        <w:pStyle w:val="BodyText"/>
        <w:spacing w:before="0" w:after="200"/>
        <w:rPr/>
      </w:pPr>
      <w:r>
        <w:rPr/>
        <w:t>Initial World Context State.</w:t>
      </w:r>
    </w:p>
    <w:p>
      <w:pPr>
        <w:pStyle w:val="BodyText"/>
        <w:spacing w:before="0" w:after="200"/>
        <w:rPr/>
      </w:pPr>
      <w:r>
        <w:rPr/>
        <w:t>Predicted World Context State.</w:t>
      </w:r>
    </w:p>
    <w:p>
      <w:pPr>
        <w:pStyle w:val="BodyText"/>
        <w:spacing w:before="0" w:after="200"/>
        <w:rPr/>
      </w:pPr>
      <w:r>
        <w:rPr/>
        <w:t>Observed World Context State.</w:t>
      </w:r>
    </w:p>
    <w:p>
      <w:pPr>
        <w:pStyle w:val="BodyText"/>
        <w:spacing w:before="0" w:after="200"/>
        <w:rPr/>
      </w:pPr>
      <w:r>
        <w:rPr/>
        <w:t>Revised World Context State.</w:t>
      </w:r>
    </w:p>
    <w:p>
      <w:pPr>
        <w:pStyle w:val="BodyText"/>
        <w:spacing w:before="0" w:after="200"/>
        <w:rPr/>
      </w:pPr>
      <w:r>
        <w:rPr/>
        <w:t>Alternative World Context States under different candidate actions.</w:t>
      </w:r>
    </w:p>
    <w:p>
      <w:pPr>
        <w:pStyle w:val="BodyText"/>
        <w:spacing w:before="0" w:after="200"/>
        <w:rPr/>
      </w:pPr>
      <w:r>
        <w:rPr/>
        <w:t>This distinction supports prospective assessment, retrospective review, comparison among alternatives, and continuous refinement.</w:t>
      </w:r>
    </w:p>
    <w:p>
      <w:pPr>
        <w:pStyle w:val="Heading3"/>
        <w:ind w:hanging="0" w:left="0"/>
        <w:rPr/>
      </w:pPr>
      <w:r>
        <w:rPr/>
        <w:t>Information State</w:t>
      </w:r>
    </w:p>
    <w:p>
      <w:pPr>
        <w:pStyle w:val="BodyText"/>
        <w:spacing w:before="0" w:after="200"/>
        <w:rPr/>
      </w:pPr>
      <w:r>
        <w:rPr/>
        <w:t>Information State represents what is known, unknown, believed, uncertain, hidden, available, unavailable, distorted, recorded, or contested within the assessment.</w:t>
      </w:r>
    </w:p>
    <w:p>
      <w:pPr>
        <w:pStyle w:val="BodyText"/>
        <w:spacing w:before="0" w:after="200"/>
        <w:rPr/>
      </w:pPr>
      <w:r>
        <w:rPr/>
        <w:t>Information State may include the Actor’s Decision Context, the Accessible Context, the Assessment Context, evidence quality, evidence provenance, evidence completeness, evidence conflicts, model assumptions, and known uncertainties.</w:t>
      </w:r>
    </w:p>
    <w:p>
      <w:pPr>
        <w:pStyle w:val="BodyText"/>
        <w:spacing w:before="0" w:after="200"/>
        <w:rPr/>
      </w:pPr>
      <w:r>
        <w:rPr/>
        <w:t>Information State is itself part of the World Context. An Assessed Action may improve the Information State by producing transparency, documentation, explanation, or reliable evidence. It may degrade the Information State through deception, concealment, misinformation, destruction of records, ambiguity, or epistemic negligence.</w:t>
      </w:r>
    </w:p>
    <w:p>
      <w:pPr>
        <w:pStyle w:val="BodyText"/>
        <w:spacing w:before="0" w:after="200"/>
        <w:rPr/>
      </w:pPr>
      <w:r>
        <w:rPr/>
        <w:t>Because future moral assessment depends on information quality, changes to Information State may have direct moral significance. A harmful Information State can reduce future decision quality, weaken accountability, damage trust, and impair future World Context evaluation.</w:t>
      </w:r>
    </w:p>
    <w:p>
      <w:pPr>
        <w:pStyle w:val="Heading3"/>
        <w:ind w:hanging="0" w:left="0"/>
        <w:rPr/>
      </w:pPr>
      <w:r>
        <w:rPr/>
        <w:t>Uncertainty State</w:t>
      </w:r>
    </w:p>
    <w:p>
      <w:pPr>
        <w:pStyle w:val="BodyText"/>
        <w:spacing w:before="0" w:after="200"/>
        <w:rPr/>
      </w:pPr>
      <w:r>
        <w:rPr/>
        <w:t>Uncertainty State represents the degree and source of uncertainty associated with the state variables used in the assessment.</w:t>
      </w:r>
    </w:p>
    <w:p>
      <w:pPr>
        <w:pStyle w:val="BodyText"/>
        <w:spacing w:before="0" w:after="200"/>
        <w:rPr/>
      </w:pPr>
      <w:r>
        <w:rPr/>
        <w:t>Uncertainty may arise from incomplete evidence, ambiguous definitions, measurement limitations, conflicting information, causal uncertainty, model uncertainty, prediction uncertainty, unknown future responses, computational limits, or long assessment horizons.</w:t>
      </w:r>
    </w:p>
    <w:p>
      <w:pPr>
        <w:pStyle w:val="BodyText"/>
        <w:spacing w:before="0" w:after="200"/>
        <w:rPr/>
      </w:pPr>
      <w:r>
        <w:rPr/>
        <w:t>The methodology should represent uncertainty explicitly rather than hiding it inside a final conclusion. Each material state variable may have its own uncertainty profile. The final assessment may have different confidence levels for different claims, such as what happened, what was foreseeable, which entities were affected, how flourishing changed, and how policy states may evolve.</w:t>
      </w:r>
    </w:p>
    <w:p>
      <w:pPr>
        <w:pStyle w:val="BodyText"/>
        <w:spacing w:before="0" w:after="200"/>
        <w:rPr/>
      </w:pPr>
      <w:r>
        <w:rPr/>
        <w:t>Uncertainty State may include:</w:t>
      </w:r>
    </w:p>
    <w:p>
      <w:pPr>
        <w:pStyle w:val="BodyText"/>
        <w:spacing w:before="0" w:after="200"/>
        <w:rPr/>
      </w:pPr>
      <w:r>
        <w:rPr/>
        <w:t>Known unknowns.</w:t>
      </w:r>
    </w:p>
    <w:p>
      <w:pPr>
        <w:pStyle w:val="BodyText"/>
        <w:spacing w:before="0" w:after="200"/>
        <w:rPr/>
      </w:pPr>
      <w:r>
        <w:rPr/>
        <w:t>Evidence gaps.</w:t>
      </w:r>
    </w:p>
    <w:p>
      <w:pPr>
        <w:pStyle w:val="BodyText"/>
        <w:spacing w:before="0" w:after="200"/>
        <w:rPr/>
      </w:pPr>
      <w:r>
        <w:rPr/>
        <w:t>Confidence in baseline state.</w:t>
      </w:r>
    </w:p>
    <w:p>
      <w:pPr>
        <w:pStyle w:val="BodyText"/>
        <w:spacing w:before="0" w:after="200"/>
        <w:rPr/>
      </w:pPr>
      <w:r>
        <w:rPr/>
        <w:t>Confidence in predicted transition.</w:t>
      </w:r>
    </w:p>
    <w:p>
      <w:pPr>
        <w:pStyle w:val="BodyText"/>
        <w:spacing w:before="0" w:after="200"/>
        <w:rPr/>
      </w:pPr>
      <w:r>
        <w:rPr/>
        <w:t>Confidence in observed outcomes.</w:t>
      </w:r>
    </w:p>
    <w:p>
      <w:pPr>
        <w:pStyle w:val="BodyText"/>
        <w:spacing w:before="0" w:after="200"/>
        <w:rPr/>
      </w:pPr>
      <w:r>
        <w:rPr/>
        <w:t>Confidence in causal attribution.</w:t>
      </w:r>
    </w:p>
    <w:p>
      <w:pPr>
        <w:pStyle w:val="BodyText"/>
        <w:spacing w:before="0" w:after="200"/>
        <w:rPr/>
      </w:pPr>
      <w:r>
        <w:rPr/>
        <w:t>Confidence in Long-Term Flourishing estimates.</w:t>
      </w:r>
    </w:p>
    <w:p>
      <w:pPr>
        <w:pStyle w:val="BodyText"/>
        <w:spacing w:before="0" w:after="200"/>
        <w:rPr/>
      </w:pPr>
      <w:r>
        <w:rPr/>
        <w:t>Confidence in Distributed Policy Updates.</w:t>
      </w:r>
    </w:p>
    <w:p>
      <w:pPr>
        <w:pStyle w:val="BodyText"/>
        <w:spacing w:before="0" w:after="200"/>
        <w:rPr/>
      </w:pPr>
      <w:r>
        <w:rPr/>
        <w:t>Confidence across different Assessment Horizons.</w:t>
      </w:r>
    </w:p>
    <w:p>
      <w:pPr>
        <w:pStyle w:val="BodyText"/>
        <w:spacing w:before="0" w:after="200"/>
        <w:rPr/>
      </w:pPr>
      <w:r>
        <w:rPr/>
        <w:t>The methodology should carry uncertainty forward into the State Transition Model and the final Moral Assessment.</w:t>
      </w:r>
    </w:p>
    <w:p>
      <w:pPr>
        <w:pStyle w:val="Heading3"/>
        <w:ind w:hanging="0" w:left="0"/>
        <w:rPr/>
      </w:pPr>
      <w:r>
        <w:rPr/>
        <w:t>Temporal State Representation</w:t>
      </w:r>
    </w:p>
    <w:p>
      <w:pPr>
        <w:pStyle w:val="BodyText"/>
        <w:spacing w:before="0" w:after="200"/>
        <w:rPr/>
      </w:pPr>
      <w:r>
        <w:rPr/>
        <w:t>State variables should be represented across relevant Assessment Horizons.</w:t>
      </w:r>
    </w:p>
    <w:p>
      <w:pPr>
        <w:pStyle w:val="BodyText"/>
        <w:spacing w:before="0" w:after="200"/>
        <w:rPr/>
      </w:pPr>
      <w:r>
        <w:rPr/>
        <w:t>The same variable may change differently across immediate, short-term, long-term, multi-generational, and civilizational horizons. A state may improve immediately but deteriorate later, or worsen temporarily while improving long-term adaptive capacity.</w:t>
      </w:r>
    </w:p>
    <w:p>
      <w:pPr>
        <w:pStyle w:val="BodyText"/>
        <w:spacing w:before="0" w:after="200"/>
        <w:rPr/>
      </w:pPr>
      <w:r>
        <w:rPr/>
        <w:t>For example, a medical intervention may reduce immediate risk but create long-term dependency. A legal decision may impose immediate punishment while improving long-term institutional trust. A deceptive institutional action may preserve short-term stability while degrading future legitimacy.</w:t>
      </w:r>
    </w:p>
    <w:p>
      <w:pPr>
        <w:pStyle w:val="BodyText"/>
        <w:spacing w:before="0" w:after="200"/>
        <w:rPr/>
      </w:pPr>
      <w:r>
        <w:rPr/>
        <w:t>Temporal State Representation allows the methodology to evaluate horizon-dependent effects without collapsing them into a single undifferentiated outcome.</w:t>
      </w:r>
    </w:p>
    <w:p>
      <w:pPr>
        <w:pStyle w:val="Heading3"/>
        <w:ind w:hanging="0" w:left="0"/>
        <w:rPr/>
      </w:pPr>
      <w:r>
        <w:rPr/>
        <w:t>Granularity of State Representation</w:t>
      </w:r>
    </w:p>
    <w:p>
      <w:pPr>
        <w:pStyle w:val="BodyText"/>
        <w:spacing w:before="0" w:after="200"/>
        <w:rPr/>
      </w:pPr>
      <w:r>
        <w:rPr/>
        <w:t>State Representation must be detailed enough to capture morally material changes, but not so detailed that assessment becomes impossible.</w:t>
      </w:r>
    </w:p>
    <w:p>
      <w:pPr>
        <w:pStyle w:val="BodyText"/>
        <w:spacing w:before="0" w:after="200"/>
        <w:rPr/>
      </w:pPr>
      <w:r>
        <w:rPr/>
        <w:t>Granularity should be determined by the Assessment Boundary, materiality, evidence quality, computational feasibility, and the expected significance of the variable to the World Context Transition. Some assessments may require coarse state categories. Others may require detailed, domain-specific state variables.</w:t>
      </w:r>
    </w:p>
    <w:p>
      <w:pPr>
        <w:pStyle w:val="BodyText"/>
        <w:spacing w:before="0" w:after="200"/>
        <w:rPr/>
      </w:pPr>
      <w:r>
        <w:rPr/>
        <w:t>For example, an emergency assessment may represent a patient’s state using urgent survival indicators. A retrospective medical ethics assessment may require a more detailed representation of diagnosis, consent, risk disclosure, treatment alternatives, family dependency, and institutional procedures.</w:t>
      </w:r>
    </w:p>
    <w:p>
      <w:pPr>
        <w:pStyle w:val="BodyText"/>
        <w:spacing w:before="0" w:after="200"/>
        <w:rPr/>
      </w:pPr>
      <w:r>
        <w:rPr/>
        <w:t>The methodology should allow state representations to be refined when finer detail materially improves assessment quality.</w:t>
      </w:r>
    </w:p>
    <w:p>
      <w:pPr>
        <w:pStyle w:val="Heading3"/>
        <w:ind w:hanging="0" w:left="0"/>
        <w:rPr/>
      </w:pPr>
      <w:r>
        <w:rPr/>
        <w:t>Materiality and State Selection</w:t>
      </w:r>
    </w:p>
    <w:p>
      <w:pPr>
        <w:pStyle w:val="BodyText"/>
        <w:spacing w:before="0" w:after="200"/>
        <w:rPr/>
      </w:pPr>
      <w:r>
        <w:rPr/>
        <w:t>Not every possible state variable should be included in every assessment.</w:t>
      </w:r>
    </w:p>
    <w:p>
      <w:pPr>
        <w:pStyle w:val="BodyText"/>
        <w:spacing w:before="0" w:after="200"/>
        <w:rPr/>
      </w:pPr>
      <w:r>
        <w:rPr/>
        <w:t>A state variable should be represented when it is material to evaluating the Assessed Action, the predicted State Transition, the Long-Term Flourishing of relevant entities, the condition of important Associations, Distributed Policy Updates, or the resulting World Context Transition.</w:t>
      </w:r>
    </w:p>
    <w:p>
      <w:pPr>
        <w:pStyle w:val="BodyText"/>
        <w:spacing w:before="0" w:after="200"/>
        <w:rPr/>
      </w:pPr>
      <w:r>
        <w:rPr/>
        <w:t>Materiality may depend on severity, probability, duration, reversibility, affected entities, institutional significance, impact on future opportunities, impact on policy states, or impact on confidence. A low-probability state change may still be material if the potential consequence is severe or irreversible.</w:t>
      </w:r>
    </w:p>
    <w:p>
      <w:pPr>
        <w:pStyle w:val="BodyText"/>
        <w:spacing w:before="0" w:after="200"/>
        <w:rPr/>
      </w:pPr>
      <w:r>
        <w:rPr/>
        <w:t>The methodology should identify why a state variable is included and should avoid allowing data availability alone to determine relevance.</w:t>
      </w:r>
    </w:p>
    <w:p>
      <w:pPr>
        <w:pStyle w:val="Heading3"/>
        <w:ind w:hanging="0" w:left="0"/>
        <w:rPr/>
      </w:pPr>
      <w:r>
        <w:rPr/>
        <w:t>Cross-Entity Comparability</w:t>
      </w:r>
    </w:p>
    <w:p>
      <w:pPr>
        <w:pStyle w:val="BodyText"/>
        <w:spacing w:before="0" w:after="200"/>
        <w:rPr/>
      </w:pPr>
      <w:r>
        <w:rPr/>
        <w:t>State variables may be shared across different entities, but they may not carry the same meaning, relevance, or moral weight for every entity.</w:t>
      </w:r>
    </w:p>
    <w:p>
      <w:pPr>
        <w:pStyle w:val="BodyText"/>
        <w:spacing w:before="0" w:after="200"/>
        <w:rPr/>
      </w:pPr>
      <w:r>
        <w:rPr/>
        <w:t>For example, persistence, adaptive capacity, resilience, and future opportunities may be relevant to humans, ecosystems, institutions, and artificial systems, but the interpretation of those variables differs by entity type. A state change that materially diminishes a human may not have the same significance for a tree, an institution, or an artificial system, and vice versa.</w:t>
      </w:r>
    </w:p>
    <w:p>
      <w:pPr>
        <w:pStyle w:val="BodyText"/>
        <w:spacing w:before="0" w:after="200"/>
        <w:rPr/>
      </w:pPr>
      <w:r>
        <w:rPr/>
        <w:t>The methodology should therefore support shared state dimensions where useful while preserving entity-specific interpretation. This is especially important for Long-Term Flourishing assessment across humans, non-human organisms, ecosystems, organizations, institutions, and future artificial systems.</w:t>
      </w:r>
    </w:p>
    <w:p>
      <w:pPr>
        <w:pStyle w:val="Heading3"/>
        <w:ind w:hanging="0" w:left="0"/>
        <w:rPr/>
      </w:pPr>
      <w:r>
        <w:rPr/>
        <w:t>State Representation and Long-Term Flourishing</w:t>
      </w:r>
    </w:p>
    <w:p>
      <w:pPr>
        <w:pStyle w:val="BodyText"/>
        <w:spacing w:before="0" w:after="200"/>
        <w:rPr/>
      </w:pPr>
      <w:r>
        <w:rPr/>
        <w:t>Long-Term Flourishing is represented as a multidimensional relational state of relevant Flourishing Entities.</w:t>
      </w:r>
    </w:p>
    <w:p>
      <w:pPr>
        <w:pStyle w:val="BodyText"/>
        <w:spacing w:before="0" w:after="200"/>
        <w:rPr/>
      </w:pPr>
      <w:r>
        <w:rPr/>
        <w:t>The State Representation section prepares for the Long-Term Flourishing Model by identifying the entity, relationship, policy, opportunity, and World Context states that may contribute to flourishing. Section 6.6 develops the flourishing model more directly.</w:t>
      </w:r>
    </w:p>
    <w:p>
      <w:pPr>
        <w:pStyle w:val="BodyText"/>
        <w:spacing w:before="0" w:after="200"/>
        <w:rPr/>
      </w:pPr>
      <w:r>
        <w:rPr/>
        <w:t>At this stage, the requirement is that State Representation preserve the variables needed to assess whether Long-Term Flourishing is preserved, promoted, diminished, or made uncertain. This includes not only internal entity condition, but also relational, institutional, environmental, informational, and future-oriented conditions.</w:t>
      </w:r>
    </w:p>
    <w:p>
      <w:pPr>
        <w:pStyle w:val="Heading3"/>
        <w:ind w:hanging="0" w:left="0"/>
        <w:rPr/>
      </w:pPr>
      <w:r>
        <w:rPr/>
        <w:t>State Representation and Distributed Policy Updates</w:t>
      </w:r>
    </w:p>
    <w:p>
      <w:pPr>
        <w:pStyle w:val="BodyText"/>
        <w:spacing w:before="0" w:after="200"/>
        <w:rPr/>
      </w:pPr>
      <w:r>
        <w:rPr/>
        <w:t>Distributed Policy Updates require explicit representation of Policy State Variables before and after the Assessed Action.</w:t>
      </w:r>
    </w:p>
    <w:p>
      <w:pPr>
        <w:pStyle w:val="BodyText"/>
        <w:spacing w:before="0" w:after="200"/>
        <w:rPr/>
      </w:pPr>
      <w:r>
        <w:rPr/>
        <w:t>The methodology should represent the relevant policy states of the Actor, affected entities, observers, responders, institutions, and artificial systems when those policy states may materially change. This allows the assessment to evaluate how the means used in an action affect future moral decision-making.</w:t>
      </w:r>
    </w:p>
    <w:p>
      <w:pPr>
        <w:pStyle w:val="BodyText"/>
        <w:spacing w:before="0" w:after="200"/>
        <w:rPr/>
      </w:pPr>
      <w:r>
        <w:rPr/>
        <w:t>For example, an action that relies on deception may change the Actor’s propensity to deceive, observers’ expectations about acceptable conduct, and institutional norms regarding truthfulness. These changes must be represented as state changes, not merely as narrative commentary.</w:t>
      </w:r>
    </w:p>
    <w:p>
      <w:pPr>
        <w:pStyle w:val="Heading3"/>
        <w:ind w:hanging="0" w:left="0"/>
        <w:rPr/>
      </w:pPr>
      <w:r>
        <w:rPr/>
        <w:t>State Representation and Confidence</w:t>
      </w:r>
    </w:p>
    <w:p>
      <w:pPr>
        <w:pStyle w:val="BodyText"/>
        <w:spacing w:before="0" w:after="200"/>
        <w:rPr/>
      </w:pPr>
      <w:r>
        <w:rPr/>
        <w:t>State Representation directly affects confidence.</w:t>
      </w:r>
    </w:p>
    <w:p>
      <w:pPr>
        <w:pStyle w:val="BodyText"/>
        <w:spacing w:before="0" w:after="200"/>
        <w:rPr/>
      </w:pPr>
      <w:r>
        <w:rPr/>
        <w:t>An assessment based on well-defined, well-evidenced, relevant state variables can support higher confidence than an assessment based on vague, incomplete, contested, or poorly measured variables. Conversely, when important state variables are missing, uncertain, or only weakly represented, the final assessment should disclose lower confidence.</w:t>
      </w:r>
    </w:p>
    <w:p>
      <w:pPr>
        <w:pStyle w:val="BodyText"/>
        <w:spacing w:before="0" w:after="200"/>
        <w:rPr/>
      </w:pPr>
      <w:r>
        <w:rPr/>
        <w:t>Confidence should be affected by:</w:t>
      </w:r>
    </w:p>
    <w:p>
      <w:pPr>
        <w:pStyle w:val="BodyText"/>
        <w:spacing w:before="0" w:after="200"/>
        <w:rPr/>
      </w:pPr>
      <w:r>
        <w:rPr/>
        <w:t>Completeness of state representation.</w:t>
      </w:r>
    </w:p>
    <w:p>
      <w:pPr>
        <w:pStyle w:val="BodyText"/>
        <w:spacing w:before="0" w:after="200"/>
        <w:rPr/>
      </w:pPr>
      <w:r>
        <w:rPr/>
        <w:t>Quality of evidence supporting state variables.</w:t>
      </w:r>
    </w:p>
    <w:p>
      <w:pPr>
        <w:pStyle w:val="BodyText"/>
        <w:spacing w:before="0" w:after="200"/>
        <w:rPr/>
      </w:pPr>
      <w:r>
        <w:rPr/>
        <w:t>Stability of variable definitions.</w:t>
      </w:r>
    </w:p>
    <w:p>
      <w:pPr>
        <w:pStyle w:val="BodyText"/>
        <w:spacing w:before="0" w:after="200"/>
        <w:rPr/>
      </w:pPr>
      <w:r>
        <w:rPr/>
        <w:t>Measurement uncertainty.</w:t>
      </w:r>
    </w:p>
    <w:p>
      <w:pPr>
        <w:pStyle w:val="BodyText"/>
        <w:spacing w:before="0" w:after="200"/>
        <w:rPr/>
      </w:pPr>
      <w:r>
        <w:rPr/>
        <w:t>Entity-specific interpretation uncertainty.</w:t>
      </w:r>
    </w:p>
    <w:p>
      <w:pPr>
        <w:pStyle w:val="BodyText"/>
        <w:spacing w:before="0" w:after="200"/>
        <w:rPr/>
      </w:pPr>
      <w:r>
        <w:rPr/>
        <w:t>Temporal uncertainty.</w:t>
      </w:r>
    </w:p>
    <w:p>
      <w:pPr>
        <w:pStyle w:val="BodyText"/>
        <w:spacing w:before="0" w:after="200"/>
        <w:rPr/>
      </w:pPr>
      <w:r>
        <w:rPr/>
        <w:t>Causal uncertainty.</w:t>
      </w:r>
    </w:p>
    <w:p>
      <w:pPr>
        <w:pStyle w:val="BodyText"/>
        <w:spacing w:before="0" w:after="200"/>
        <w:rPr/>
      </w:pPr>
      <w:r>
        <w:rPr/>
        <w:t>Prediction uncertainty.</w:t>
      </w:r>
    </w:p>
    <w:p>
      <w:pPr>
        <w:pStyle w:val="BodyText"/>
        <w:spacing w:before="0" w:after="200"/>
        <w:rPr/>
      </w:pPr>
      <w:r>
        <w:rPr/>
        <w:t>Computational limits.</w:t>
      </w:r>
    </w:p>
    <w:p>
      <w:pPr>
        <w:pStyle w:val="BodyText"/>
        <w:spacing w:before="0" w:after="200"/>
        <w:rPr/>
      </w:pPr>
      <w:r>
        <w:rPr/>
        <w:t>State confidence should be propagated into transition confidence and final assessment confidence.</w:t>
      </w:r>
    </w:p>
    <w:p>
      <w:pPr>
        <w:pStyle w:val="Heading3"/>
        <w:ind w:hanging="0" w:left="0"/>
        <w:rPr/>
      </w:pPr>
      <w:r>
        <w:rPr/>
        <w:t>Representation Format</w:t>
      </w:r>
    </w:p>
    <w:p>
      <w:pPr>
        <w:pStyle w:val="BodyText"/>
        <w:spacing w:before="0" w:after="200"/>
        <w:rPr/>
      </w:pPr>
      <w:r>
        <w:rPr/>
        <w:t>The methodology does not prescribe one required representation format.</w:t>
      </w:r>
    </w:p>
    <w:p>
      <w:pPr>
        <w:pStyle w:val="BodyText"/>
        <w:spacing w:before="0" w:after="200"/>
        <w:rPr/>
      </w:pPr>
      <w:r>
        <w:rPr/>
        <w:t>State may be represented through structured tables, graphs, ontologies, vectors, categories, narratives, probabilistic distributions, symbolic descriptors, model parameters, or future computational representations. Different implementations may choose different formats depending on domain, evidence quality, computational requirements, and audit needs.</w:t>
      </w:r>
    </w:p>
    <w:p>
      <w:pPr>
        <w:pStyle w:val="BodyText"/>
        <w:spacing w:before="0" w:after="200"/>
        <w:rPr/>
      </w:pPr>
      <w:r>
        <w:rPr/>
        <w:t>The methodological requirement is not that all states be numerical. The requirement is that state representations be explicit, inspectable, comparable across the relevant transition, and capable of supporting confidence-bounded moral assessment.</w:t>
      </w:r>
    </w:p>
    <w:p>
      <w:pPr>
        <w:pStyle w:val="Heading3"/>
        <w:ind w:hanging="0" w:left="0"/>
        <w:rPr/>
      </w:pPr>
      <w:r>
        <w:rPr/>
        <w:t>Minimum State Representation Requirements</w:t>
      </w:r>
    </w:p>
    <w:p>
      <w:pPr>
        <w:pStyle w:val="BodyText"/>
        <w:spacing w:before="0" w:after="200"/>
        <w:rPr/>
      </w:pPr>
      <w:r>
        <w:rPr/>
        <w:t>A minimally adequate assessment should represent:</w:t>
      </w:r>
    </w:p>
    <w:p>
      <w:pPr>
        <w:pStyle w:val="BodyText"/>
        <w:spacing w:before="0" w:after="200"/>
        <w:rPr/>
      </w:pPr>
      <w:r>
        <w:rPr/>
        <w:t>The relevant baseline World Context State.</w:t>
      </w:r>
    </w:p>
    <w:p>
      <w:pPr>
        <w:pStyle w:val="BodyText"/>
        <w:spacing w:before="0" w:after="200"/>
        <w:rPr/>
      </w:pPr>
      <w:r>
        <w:rPr/>
        <w:t>The relevant Objects and their material states.</w:t>
      </w:r>
    </w:p>
    <w:p>
      <w:pPr>
        <w:pStyle w:val="BodyText"/>
        <w:spacing w:before="0" w:after="200"/>
        <w:rPr/>
      </w:pPr>
      <w:r>
        <w:rPr/>
        <w:t>The relevant Associations and their material states.</w:t>
      </w:r>
    </w:p>
    <w:p>
      <w:pPr>
        <w:pStyle w:val="BodyText"/>
        <w:spacing w:before="0" w:after="200"/>
        <w:rPr/>
      </w:pPr>
      <w:r>
        <w:rPr/>
        <w:t>The relevant Flourishing Entities and flourishing-related states.</w:t>
      </w:r>
    </w:p>
    <w:p>
      <w:pPr>
        <w:pStyle w:val="BodyText"/>
        <w:spacing w:before="0" w:after="200"/>
        <w:rPr/>
      </w:pPr>
      <w:r>
        <w:rPr/>
        <w:t>The relevant Moral Agents and their policy states when material.</w:t>
      </w:r>
    </w:p>
    <w:p>
      <w:pPr>
        <w:pStyle w:val="BodyText"/>
        <w:spacing w:before="0" w:after="200"/>
        <w:rPr/>
      </w:pPr>
      <w:r>
        <w:rPr/>
        <w:t>The relevant institutions and institutional states.</w:t>
      </w:r>
    </w:p>
    <w:p>
      <w:pPr>
        <w:pStyle w:val="BodyText"/>
        <w:spacing w:before="0" w:after="200"/>
        <w:rPr/>
      </w:pPr>
      <w:r>
        <w:rPr/>
        <w:t>The relevant constraints and authority conditions.</w:t>
      </w:r>
    </w:p>
    <w:p>
      <w:pPr>
        <w:pStyle w:val="BodyText"/>
        <w:spacing w:before="0" w:after="200"/>
        <w:rPr/>
      </w:pPr>
      <w:r>
        <w:rPr/>
        <w:t>The relevant Information and Evidence State.</w:t>
      </w:r>
    </w:p>
    <w:p>
      <w:pPr>
        <w:pStyle w:val="BodyText"/>
        <w:spacing w:before="0" w:after="200"/>
        <w:rPr/>
      </w:pPr>
      <w:r>
        <w:rPr/>
        <w:t>The relevant uncertainty associated with material variables.</w:t>
      </w:r>
    </w:p>
    <w:p>
      <w:pPr>
        <w:pStyle w:val="BodyText"/>
        <w:spacing w:before="0" w:after="200"/>
        <w:rPr/>
      </w:pPr>
      <w:r>
        <w:rPr/>
        <w:t>The future opportunities or future state-space conditions affected by the action.</w:t>
      </w:r>
    </w:p>
    <w:p>
      <w:pPr>
        <w:pStyle w:val="BodyText"/>
        <w:spacing w:before="0" w:after="200"/>
        <w:rPr/>
      </w:pPr>
      <w:r>
        <w:rPr/>
        <w:t>The predicted or observed post-action state.</w:t>
      </w:r>
    </w:p>
    <w:p>
      <w:pPr>
        <w:pStyle w:val="BodyText"/>
        <w:spacing w:before="0" w:after="200"/>
        <w:rPr/>
      </w:pPr>
      <w:r>
        <w:rPr/>
        <w:t>The transition between baseline and post-action states.</w:t>
      </w:r>
    </w:p>
    <w:p>
      <w:pPr>
        <w:pStyle w:val="BodyText"/>
        <w:spacing w:before="0" w:after="200"/>
        <w:rPr/>
      </w:pPr>
      <w:r>
        <w:rPr/>
        <w:t>If any of these are omitted because they are unavailable, immaterial, or computationally infeasible, the assessment should state the omission and reflect it in confidence where appropriate.</w:t>
      </w:r>
    </w:p>
    <w:p>
      <w:pPr>
        <w:pStyle w:val="Heading3"/>
        <w:ind w:hanging="0" w:left="0"/>
        <w:rPr/>
      </w:pPr>
      <w:r>
        <w:rPr/>
        <w:t>Methodological Boundary</w:t>
      </w:r>
    </w:p>
    <w:p>
      <w:pPr>
        <w:pStyle w:val="BodyText"/>
        <w:spacing w:before="0" w:after="200"/>
        <w:rPr/>
      </w:pPr>
      <w:r>
        <w:rPr/>
        <w:t>This section defines the kinds of state representation required for moral assessment. It does not prescribe a specific mathematical notation, database schema, graph representation, scoring method, vector formalism, or implementation architecture.</w:t>
      </w:r>
    </w:p>
    <w:p>
      <w:pPr>
        <w:pStyle w:val="BodyText"/>
        <w:spacing w:before="0" w:after="200"/>
        <w:rPr/>
      </w:pPr>
      <w:r>
        <w:rPr/>
        <w:t>Those details may be developed in later methodology sections, appendices, or implementation guidance. The requirement at this level is that the methodology represent morally material states explicitly enough to support State Transition modeling, Long-Term Flourishing assessment, Distributed Policy Updates, uncertainty propagation, and evaluation of the World Context Transition.</w:t>
      </w:r>
    </w:p>
    <w:p>
      <w:pPr>
        <w:pStyle w:val="Normal"/>
        <w:widowControl/>
        <w:bidi w:val="0"/>
        <w:spacing w:lineRule="auto" w:line="276"/>
        <w:jc w:val="left"/>
        <w:rPr/>
      </w:pPr>
      <w:r>
        <w:rPr/>
      </w:r>
    </w:p>
    <w:p>
      <w:pPr>
        <w:pStyle w:val="Heading2"/>
        <w:ind w:hanging="0" w:left="0"/>
        <w:rPr/>
      </w:pPr>
      <w:r>
        <w:rPr/>
        <w:t>State Transition Model</w:t>
      </w:r>
    </w:p>
    <w:p>
      <w:pPr>
        <w:pStyle w:val="BodyText"/>
        <w:spacing w:before="0" w:after="200"/>
        <w:contextualSpacing/>
        <w:rPr/>
      </w:pPr>
      <w:r>
        <w:rPr/>
        <w:t>The State Transition Model describes how the Moral Assessment Methodology represents change. It identifies how the state of the relevant World Context is expected to change, or has already changed, as a result of an Assessed Action.</w:t>
      </w:r>
    </w:p>
    <w:p>
      <w:pPr>
        <w:pStyle w:val="BodyText"/>
        <w:spacing w:before="0" w:after="200"/>
        <w:contextualSpacing/>
        <w:rPr/>
      </w:pPr>
      <w:r>
        <w:rPr/>
        <w:t>State Representation defines the baseline condition of relevant Objects, Associations, institutions, policy states, information states, opportunities, and future state space. The State Transition Model describes the movement from that baseline state to a predicted, observed, or revised post-action state. It is the methodological bridge between describing the world and evaluating the World Context Transition.</w:t>
      </w:r>
    </w:p>
    <w:p>
      <w:pPr>
        <w:pStyle w:val="BodyText"/>
        <w:spacing w:before="0" w:after="200"/>
        <w:contextualSpacing/>
        <w:rPr/>
      </w:pPr>
      <w:r>
        <w:rPr/>
        <w:t>A State Transition is not limited to physical or material change. It may include changes in health, safety, autonomy, trust, legitimacy, authority, obligation, policy tendencies, institutional precedent, information quality, future options, adaptive capacity, and the set of future worlds that remain reachable.</w:t>
      </w:r>
    </w:p>
    <w:p>
      <w:pPr>
        <w:pStyle w:val="BodyText"/>
        <w:spacing w:before="0" w:after="200"/>
        <w:contextualSpacing/>
        <w:rPr/>
      </w:pPr>
      <w:r>
        <w:rPr/>
        <w:t>The State Transition Model should support proposed, ongoing, and completed actions. For proposed actions, transitions are predicted. For ongoing actions, transitions may combine observed partial effects with predicted future effects. For completed actions, transitions may be observed retrospectively while still preserving uncertainty about causation, responsibility, and long-term effects.</w:t>
      </w:r>
    </w:p>
    <w:p>
      <w:pPr>
        <w:pStyle w:val="Heading3"/>
        <w:ind w:hanging="0" w:left="0"/>
        <w:rPr/>
      </w:pPr>
      <w:r>
        <w:rPr/>
        <w:t>Purpose of the State Transition Model</w:t>
      </w:r>
    </w:p>
    <w:p>
      <w:pPr>
        <w:pStyle w:val="BodyText"/>
        <w:spacing w:before="0" w:after="200"/>
        <w:contextualSpacing/>
        <w:rPr/>
      </w:pPr>
      <w:r>
        <w:rPr/>
        <w:t>The purpose of the State Transition Model is to make explicit how an Assessed Action transforms the relevant state of the world.</w:t>
      </w:r>
    </w:p>
    <w:p>
      <w:pPr>
        <w:pStyle w:val="BodyText"/>
        <w:spacing w:before="0" w:after="200"/>
        <w:contextualSpacing/>
        <w:rPr/>
      </w:pPr>
      <w:r>
        <w:rPr/>
        <w:t>Without a transition model, the methodology could identify entities, relationships, objectives, and evidence, but it could not explain how an action changes them. The State Transition Model provides the structure through which consequences are represented as changes in state.</w:t>
      </w:r>
    </w:p>
    <w:p>
      <w:pPr>
        <w:pStyle w:val="BodyText"/>
        <w:spacing w:before="0" w:after="200"/>
        <w:contextualSpacing/>
        <w:rPr/>
      </w:pPr>
      <w:r>
        <w:rPr/>
        <w:t>The State Transition Model supports several functions:</w:t>
      </w:r>
    </w:p>
    <w:p>
      <w:pPr>
        <w:pStyle w:val="BodyText"/>
        <w:spacing w:before="0" w:after="200"/>
        <w:contextualSpacing/>
        <w:rPr/>
      </w:pPr>
      <w:r>
        <w:rPr/>
        <w:t>It identifies the baseline state before the Assessed Action.</w:t>
      </w:r>
    </w:p>
    <w:p>
      <w:pPr>
        <w:pStyle w:val="BodyText"/>
        <w:spacing w:before="0" w:after="200"/>
        <w:contextualSpacing/>
        <w:rPr/>
      </w:pPr>
      <w:r>
        <w:rPr/>
        <w:t>It identifies the predicted or observed state after the Assessed Action.</w:t>
      </w:r>
    </w:p>
    <w:p>
      <w:pPr>
        <w:pStyle w:val="BodyText"/>
        <w:spacing w:before="0" w:after="200"/>
        <w:contextualSpacing/>
        <w:rPr/>
      </w:pPr>
      <w:r>
        <w:rPr/>
        <w:t>It distinguishes what changes from what remains unchanged.</w:t>
      </w:r>
    </w:p>
    <w:p>
      <w:pPr>
        <w:pStyle w:val="BodyText"/>
        <w:spacing w:before="0" w:after="200"/>
        <w:contextualSpacing/>
        <w:rPr/>
      </w:pPr>
      <w:r>
        <w:rPr/>
        <w:t>It identifies direct, indirect, intended, unintended, foreseeable, and uncertain changes.</w:t>
      </w:r>
    </w:p>
    <w:p>
      <w:pPr>
        <w:pStyle w:val="BodyText"/>
        <w:spacing w:before="0" w:after="200"/>
        <w:contextualSpacing/>
        <w:rPr/>
      </w:pPr>
      <w:r>
        <w:rPr/>
        <w:t>It supports comparison among alternative actions.</w:t>
      </w:r>
    </w:p>
    <w:p>
      <w:pPr>
        <w:pStyle w:val="BodyText"/>
        <w:spacing w:before="0" w:after="200"/>
        <w:contextualSpacing/>
        <w:rPr/>
      </w:pPr>
      <w:r>
        <w:rPr/>
        <w:t>It supports evaluation across Assessment Horizons.</w:t>
      </w:r>
    </w:p>
    <w:p>
      <w:pPr>
        <w:pStyle w:val="BodyText"/>
        <w:spacing w:before="0" w:after="200"/>
        <w:contextualSpacing/>
        <w:rPr/>
      </w:pPr>
      <w:r>
        <w:rPr/>
        <w:t>It supports confidence estimation by identifying uncertain transition pathways.</w:t>
      </w:r>
    </w:p>
    <w:p>
      <w:pPr>
        <w:pStyle w:val="BodyText"/>
        <w:spacing w:before="0" w:after="200"/>
        <w:contextualSpacing/>
        <w:rPr/>
      </w:pPr>
      <w:r>
        <w:rPr/>
        <w:t>It supports construction of the World Context Transition.</w:t>
      </w:r>
    </w:p>
    <w:p>
      <w:pPr>
        <w:pStyle w:val="BodyText"/>
        <w:spacing w:before="0" w:after="200"/>
        <w:contextualSpacing/>
        <w:rPr/>
      </w:pPr>
      <w:r>
        <w:rPr/>
        <w:t>The State Transition Model is therefore a central methodological component. It does not by itself determine the moral conclusion, but it supplies the state-change structure that the moral assessment evaluates.</w:t>
      </w:r>
    </w:p>
    <w:p>
      <w:pPr>
        <w:pStyle w:val="Heading3"/>
        <w:ind w:hanging="0" w:left="0"/>
        <w:rPr/>
      </w:pPr>
      <w:r>
        <w:rPr/>
        <w:t>Baseline State, Transition Pathway, and Resulting State</w:t>
      </w:r>
    </w:p>
    <w:p>
      <w:pPr>
        <w:pStyle w:val="BodyText"/>
        <w:spacing w:before="0" w:after="200"/>
        <w:contextualSpacing/>
        <w:rPr/>
      </w:pPr>
      <w:r>
        <w:rPr/>
        <w:t>Each transition should distinguish among the baseline state, the transition pathway, and the resulting state.</w:t>
      </w:r>
    </w:p>
    <w:p>
      <w:pPr>
        <w:pStyle w:val="BodyText"/>
        <w:spacing w:before="0" w:after="200"/>
        <w:contextualSpacing/>
        <w:rPr/>
      </w:pPr>
      <w:r>
        <w:rPr/>
        <w:t>The baseline state is the represented condition of the relevant World Context before the Assessed Action. It includes the state variables identified in State Representation.</w:t>
      </w:r>
    </w:p>
    <w:p>
      <w:pPr>
        <w:pStyle w:val="BodyText"/>
        <w:spacing w:before="0" w:after="200"/>
        <w:contextualSpacing/>
        <w:rPr/>
      </w:pPr>
      <w:r>
        <w:rPr/>
        <w:t>The transition pathway describes how the Assessed Action is expected to produce change. It includes causal mechanisms, mediating entities, institutional responses, policy updates, constraints, evidence, uncertainty, and time horizons.</w:t>
      </w:r>
    </w:p>
    <w:p>
      <w:pPr>
        <w:pStyle w:val="BodyText"/>
        <w:spacing w:before="0" w:after="200"/>
        <w:contextualSpacing/>
        <w:rPr/>
      </w:pPr>
      <w:r>
        <w:rPr/>
        <w:t>The resulting state is the predicted, observed, or revised post-action condition of the relevant World Context.</w:t>
      </w:r>
    </w:p>
    <w:p>
      <w:pPr>
        <w:pStyle w:val="BodyText"/>
        <w:spacing w:before="0" w:after="200"/>
        <w:contextualSpacing/>
        <w:rPr/>
      </w:pPr>
      <w:r>
        <w:rPr/>
        <w:t>These three elements should remain distinct. If the baseline is unclear, the assessment may misattribute pre-existing conditions to the Assessed Action. If the transition pathway is unclear, the assessment may confuse correlation with causation. If the resulting state is unclear, the assessment cannot reliably evaluate the World Context Transition.</w:t>
      </w:r>
    </w:p>
    <w:p>
      <w:pPr>
        <w:pStyle w:val="Heading3"/>
        <w:ind w:hanging="0" w:left="0"/>
        <w:rPr/>
      </w:pPr>
      <w:r>
        <w:rPr/>
        <w:t>Predicted, Observed, and Revised Transitions</w:t>
      </w:r>
    </w:p>
    <w:p>
      <w:pPr>
        <w:pStyle w:val="BodyText"/>
        <w:spacing w:before="0" w:after="200"/>
        <w:contextualSpacing/>
        <w:rPr/>
      </w:pPr>
      <w:r>
        <w:rPr/>
        <w:t>A transition may be predicted, observed, or revised.</w:t>
      </w:r>
    </w:p>
    <w:p>
      <w:pPr>
        <w:pStyle w:val="BodyText"/>
        <w:spacing w:before="0" w:after="200"/>
        <w:contextualSpacing/>
        <w:rPr/>
      </w:pPr>
      <w:r>
        <w:rPr/>
        <w:t>A predicted transition is used before an action occurs. It estimates how the relevant state variables are likely to change if the Assessed Action is taken. Predicted transitions are used for decision support, autonomous systems, policy analysis, medical recommendations, governance choices, and prospective moral evaluation.</w:t>
      </w:r>
    </w:p>
    <w:p>
      <w:pPr>
        <w:pStyle w:val="BodyText"/>
        <w:spacing w:before="0" w:after="200"/>
        <w:contextualSpacing/>
        <w:rPr/>
      </w:pPr>
      <w:r>
        <w:rPr/>
        <w:t>An observed transition is used after an action has occurred. It describes known or measured changes in the relevant state variables. Observed transitions are useful for audit, accountability, retrospective evaluation, institutional learning, and methodology validation.</w:t>
      </w:r>
    </w:p>
    <w:p>
      <w:pPr>
        <w:pStyle w:val="BodyText"/>
        <w:spacing w:before="0" w:after="200"/>
        <w:contextualSpacing/>
        <w:rPr/>
      </w:pPr>
      <w:r>
        <w:rPr/>
        <w:t>A revised transition is used when new evidence, better models, or later outcomes change the assessment. Because moral assessment is recursive and confidence-bounded, prior transition estimates may be updated without altering the Reference Architecture.</w:t>
      </w:r>
    </w:p>
    <w:p>
      <w:pPr>
        <w:pStyle w:val="BodyText"/>
        <w:spacing w:before="0" w:after="200"/>
        <w:contextualSpacing/>
        <w:rPr/>
      </w:pPr>
      <w:r>
        <w:rPr/>
        <w:t>The methodology should preserve the distinction among predicted, observed, and revised transitions. A predicted transition may be reasonable even if later events differ from it, and an observed transition may reveal consequences that were not foreseeable at the time of action.</w:t>
      </w:r>
    </w:p>
    <w:p>
      <w:pPr>
        <w:pStyle w:val="Heading3"/>
        <w:ind w:hanging="0" w:left="0"/>
        <w:rPr/>
      </w:pPr>
      <w:r>
        <w:rPr/>
        <w:t>Direct and Indirect Transition Pathways</w:t>
      </w:r>
    </w:p>
    <w:p>
      <w:pPr>
        <w:pStyle w:val="BodyText"/>
        <w:spacing w:before="0" w:after="200"/>
        <w:contextualSpacing/>
        <w:rPr/>
      </w:pPr>
      <w:r>
        <w:rPr/>
        <w:t>A State Transition may occur through direct or indirect pathways.</w:t>
      </w:r>
    </w:p>
    <w:p>
      <w:pPr>
        <w:pStyle w:val="BodyText"/>
        <w:spacing w:before="0" w:after="200"/>
        <w:contextualSpacing/>
        <w:rPr/>
      </w:pPr>
      <w:r>
        <w:rPr/>
        <w:t>A direct transition occurs when the Assessed Action immediately changes a state variable. For example, administering a medication changes a patient’s physiological state, publishing a policy changes an institutional rule, or issuing a command changes the operational state of a system.</w:t>
      </w:r>
    </w:p>
    <w:p>
      <w:pPr>
        <w:pStyle w:val="BodyText"/>
        <w:spacing w:before="0" w:after="200"/>
        <w:contextualSpacing/>
        <w:rPr/>
      </w:pPr>
      <w:r>
        <w:rPr/>
        <w:t>An indirect transition occurs through intermediate entities, relationships, institutions, incentives, observers, responders, or future decisions. For example, a deceptive statement may directly misinform one person while indirectly degrading institutional trust, increasing future deception, or altering observer behavior.</w:t>
      </w:r>
    </w:p>
    <w:p>
      <w:pPr>
        <w:pStyle w:val="BodyText"/>
        <w:spacing w:before="0" w:after="200"/>
        <w:contextualSpacing/>
        <w:rPr/>
      </w:pPr>
      <w:r>
        <w:rPr/>
        <w:t>Both direct and indirect pathways may be morally material. The methodology should include indirect transitions when they are sufficiently connected to the Assessed Action and relevant to the World Context Transition.</w:t>
      </w:r>
    </w:p>
    <w:p>
      <w:pPr>
        <w:pStyle w:val="Heading3"/>
        <w:ind w:hanging="0" w:left="0"/>
        <w:rPr/>
      </w:pPr>
      <w:r>
        <w:rPr/>
        <w:t>Entity Transitions</w:t>
      </w:r>
    </w:p>
    <w:p>
      <w:pPr>
        <w:pStyle w:val="BodyText"/>
        <w:spacing w:before="0" w:after="200"/>
        <w:contextualSpacing/>
        <w:rPr/>
      </w:pPr>
      <w:r>
        <w:rPr/>
        <w:t>Entity transitions describe changes to the state of relevant Objects or Flourishing Entities caused or influenced by the Assessed Action.</w:t>
      </w:r>
    </w:p>
    <w:p>
      <w:pPr>
        <w:pStyle w:val="BodyText"/>
        <w:spacing w:before="0" w:after="200"/>
        <w:contextualSpacing/>
        <w:rPr/>
      </w:pPr>
      <w:r>
        <w:rPr/>
        <w:t>An entity transition may affect physical condition, health, safety, autonomy, capability, access, knowledge, resources, resilience, adaptive capacity, vulnerability, identity continuity, agency, or Long-Term Flourishing. Entity transitions may occur in humans, non-human organisms, ecosystems, institutions, organizations, artificial systems, or other Objects within the assessment boundary.</w:t>
      </w:r>
    </w:p>
    <w:p>
      <w:pPr>
        <w:pStyle w:val="BodyText"/>
        <w:spacing w:before="0" w:after="200"/>
        <w:contextualSpacing/>
        <w:rPr/>
      </w:pPr>
      <w:r>
        <w:rPr/>
        <w:t>Entity transitions should identify:</w:t>
      </w:r>
    </w:p>
    <w:p>
      <w:pPr>
        <w:pStyle w:val="BodyText"/>
        <w:spacing w:before="0" w:after="200"/>
        <w:contextualSpacing/>
        <w:rPr/>
      </w:pPr>
      <w:r>
        <w:rPr/>
        <w:t>The entity affected.</w:t>
      </w:r>
    </w:p>
    <w:p>
      <w:pPr>
        <w:pStyle w:val="BodyText"/>
        <w:spacing w:before="0" w:after="200"/>
        <w:contextualSpacing/>
        <w:rPr/>
      </w:pPr>
      <w:r>
        <w:rPr/>
        <w:t>The baseline state of the entity.</w:t>
      </w:r>
    </w:p>
    <w:p>
      <w:pPr>
        <w:pStyle w:val="BodyText"/>
        <w:spacing w:before="0" w:after="200"/>
        <w:contextualSpacing/>
        <w:rPr/>
      </w:pPr>
      <w:r>
        <w:rPr/>
        <w:t>The predicted or observed post-action state.</w:t>
      </w:r>
    </w:p>
    <w:p>
      <w:pPr>
        <w:pStyle w:val="BodyText"/>
        <w:spacing w:before="0" w:after="200"/>
        <w:contextualSpacing/>
        <w:rPr/>
      </w:pPr>
      <w:r>
        <w:rPr/>
        <w:t>The direction of change.</w:t>
      </w:r>
    </w:p>
    <w:p>
      <w:pPr>
        <w:pStyle w:val="BodyText"/>
        <w:spacing w:before="0" w:after="200"/>
        <w:contextualSpacing/>
        <w:rPr/>
      </w:pPr>
      <w:r>
        <w:rPr/>
        <w:t>The magnitude or qualitative significance of change.</w:t>
      </w:r>
    </w:p>
    <w:p>
      <w:pPr>
        <w:pStyle w:val="BodyText"/>
        <w:spacing w:before="0" w:after="200"/>
        <w:contextualSpacing/>
        <w:rPr/>
      </w:pPr>
      <w:r>
        <w:rPr/>
        <w:t>The Assessment Horizon over which the change occurs.</w:t>
      </w:r>
    </w:p>
    <w:p>
      <w:pPr>
        <w:pStyle w:val="BodyText"/>
        <w:spacing w:before="0" w:after="200"/>
        <w:contextualSpacing/>
        <w:rPr/>
      </w:pPr>
      <w:r>
        <w:rPr/>
        <w:t>The evidence supporting the transition.</w:t>
      </w:r>
    </w:p>
    <w:p>
      <w:pPr>
        <w:pStyle w:val="BodyText"/>
        <w:spacing w:before="0" w:after="200"/>
        <w:contextualSpacing/>
        <w:rPr/>
      </w:pPr>
      <w:r>
        <w:rPr/>
        <w:t>The uncertainty and confidence associated with the transition.</w:t>
      </w:r>
    </w:p>
    <w:p>
      <w:pPr>
        <w:pStyle w:val="BodyText"/>
        <w:spacing w:before="0" w:after="200"/>
        <w:contextualSpacing/>
        <w:rPr/>
      </w:pPr>
      <w:r>
        <w:rPr/>
        <w:t>Entity transitions may be beneficial, detrimental, mixed, or ambiguous. A treatment may improve health while reducing autonomy. A policy may improve safety while limiting mobility. An ecological intervention may harm some organisms while improving ecosystem resilience. The methodology should preserve these distinctions rather than forcing all entity transitions into a single immediate value.</w:t>
      </w:r>
    </w:p>
    <w:p>
      <w:pPr>
        <w:pStyle w:val="Heading3"/>
        <w:ind w:hanging="0" w:left="0"/>
        <w:rPr/>
      </w:pPr>
      <w:r>
        <w:rPr/>
        <w:t>Flourishing-Related Entity Transitions</w:t>
      </w:r>
    </w:p>
    <w:p>
      <w:pPr>
        <w:pStyle w:val="BodyText"/>
        <w:spacing w:before="0" w:after="200"/>
        <w:contextualSpacing/>
        <w:rPr/>
      </w:pPr>
      <w:r>
        <w:rPr/>
        <w:t>Some entity transitions directly affect Long-Term Flourishing.</w:t>
      </w:r>
    </w:p>
    <w:p>
      <w:pPr>
        <w:pStyle w:val="BodyText"/>
        <w:spacing w:before="0" w:after="200"/>
        <w:contextualSpacing/>
        <w:rPr/>
      </w:pPr>
      <w:r>
        <w:rPr/>
        <w:t>These transitions concern the sustained capacity of a Flourishing Entity to persist, adapt, preserve beneficial future opportunities, participate constructively in the larger relevant World Context, and avoid material diminishment. They may include changes in persistence, adaptive capacity, resilience, agency, future possibilities, relational stability, environmental compatibility, and constructive participation.</w:t>
      </w:r>
    </w:p>
    <w:p>
      <w:pPr>
        <w:pStyle w:val="BodyText"/>
        <w:spacing w:before="0" w:after="200"/>
        <w:contextualSpacing/>
        <w:rPr/>
      </w:pPr>
      <w:r>
        <w:rPr/>
        <w:t>Flourishing-related entity transitions should be evaluated across Assessment Horizons. A transition that appears detrimental in the immediate horizon may preserve long-term flourishing, while a transition that appears beneficial in the short term may diminish long-term adaptive capacity or future opportunity.</w:t>
      </w:r>
    </w:p>
    <w:p>
      <w:pPr>
        <w:pStyle w:val="BodyText"/>
        <w:spacing w:before="0" w:after="200"/>
        <w:contextualSpacing/>
        <w:rPr/>
      </w:pPr>
      <w:r>
        <w:rPr/>
        <w:t>For example, pruning a tree may temporarily diminish its physical state while improving long-term growth and resilience. Cutting off a human limb, by contrast, generally causes severe short- and long-term diminishment unless medically necessary to preserve life or prevent greater harm. The same apparent kind of state change may therefore have different moral significance depending on the entity type, context, and horizon.</w:t>
      </w:r>
    </w:p>
    <w:p>
      <w:pPr>
        <w:pStyle w:val="Heading3"/>
        <w:ind w:hanging="0" w:left="0"/>
        <w:rPr/>
      </w:pPr>
      <w:r>
        <w:rPr/>
        <w:t>Relationship Transitions</w:t>
      </w:r>
    </w:p>
    <w:p>
      <w:pPr>
        <w:pStyle w:val="BodyText"/>
        <w:spacing w:before="0" w:after="200"/>
        <w:contextualSpacing/>
        <w:rPr/>
      </w:pPr>
      <w:r>
        <w:rPr/>
        <w:t>Relationship transitions describe changes to Associations among Objects.</w:t>
      </w:r>
    </w:p>
    <w:p>
      <w:pPr>
        <w:pStyle w:val="BodyText"/>
        <w:spacing w:before="0" w:after="200"/>
        <w:contextualSpacing/>
        <w:rPr/>
      </w:pPr>
      <w:r>
        <w:rPr/>
        <w:t>Associations are morally significant because they carry trust, obligation, authority, dependency, consent, legitimacy, responsibility, ownership, care, stewardship, command, contract, or institutional membership. When an Assessed Action changes an Association, it may alter the moral structure of the World Context even if no immediate physical change is visible.</w:t>
      </w:r>
    </w:p>
    <w:p>
      <w:pPr>
        <w:pStyle w:val="BodyText"/>
        <w:spacing w:before="0" w:after="200"/>
        <w:contextualSpacing/>
        <w:rPr/>
      </w:pPr>
      <w:r>
        <w:rPr/>
        <w:t>Relationship transitions may include:</w:t>
      </w:r>
    </w:p>
    <w:p>
      <w:pPr>
        <w:pStyle w:val="BodyText"/>
        <w:spacing w:before="0" w:after="200"/>
        <w:contextualSpacing/>
        <w:rPr/>
      </w:pPr>
      <w:r>
        <w:rPr/>
        <w:t>Strengthening or weakening trust.</w:t>
      </w:r>
    </w:p>
    <w:p>
      <w:pPr>
        <w:pStyle w:val="BodyText"/>
        <w:spacing w:before="0" w:after="200"/>
        <w:contextualSpacing/>
        <w:rPr/>
      </w:pPr>
      <w:r>
        <w:rPr/>
        <w:t>Creating or violating obligations.</w:t>
      </w:r>
    </w:p>
    <w:p>
      <w:pPr>
        <w:pStyle w:val="BodyText"/>
        <w:spacing w:before="0" w:after="200"/>
        <w:contextualSpacing/>
        <w:rPr/>
      </w:pPr>
      <w:r>
        <w:rPr/>
        <w:t>Changing authority.</w:t>
      </w:r>
    </w:p>
    <w:p>
      <w:pPr>
        <w:pStyle w:val="BodyText"/>
        <w:spacing w:before="0" w:after="200"/>
        <w:contextualSpacing/>
        <w:rPr/>
      </w:pPr>
      <w:r>
        <w:rPr/>
        <w:t>Establishing or damaging legitimacy.</w:t>
      </w:r>
    </w:p>
    <w:p>
      <w:pPr>
        <w:pStyle w:val="BodyText"/>
        <w:spacing w:before="0" w:after="200"/>
        <w:contextualSpacing/>
        <w:rPr/>
      </w:pPr>
      <w:r>
        <w:rPr/>
        <w:t>Creating dependency.</w:t>
      </w:r>
    </w:p>
    <w:p>
      <w:pPr>
        <w:pStyle w:val="BodyText"/>
        <w:spacing w:before="0" w:after="200"/>
        <w:contextualSpacing/>
        <w:rPr/>
      </w:pPr>
      <w:r>
        <w:rPr/>
        <w:t>Reducing or increasing vulnerability.</w:t>
      </w:r>
    </w:p>
    <w:p>
      <w:pPr>
        <w:pStyle w:val="BodyText"/>
        <w:spacing w:before="0" w:after="200"/>
        <w:contextualSpacing/>
        <w:rPr/>
      </w:pPr>
      <w:r>
        <w:rPr/>
        <w:t>Preserving or violating consent.</w:t>
      </w:r>
    </w:p>
    <w:p>
      <w:pPr>
        <w:pStyle w:val="BodyText"/>
        <w:spacing w:before="0" w:after="200"/>
        <w:contextualSpacing/>
        <w:rPr/>
      </w:pPr>
      <w:r>
        <w:rPr/>
        <w:t>Changing responsibility.</w:t>
      </w:r>
    </w:p>
    <w:p>
      <w:pPr>
        <w:pStyle w:val="BodyText"/>
        <w:spacing w:before="0" w:after="200"/>
        <w:contextualSpacing/>
        <w:rPr/>
      </w:pPr>
      <w:r>
        <w:rPr/>
        <w:t>Altering institutional membership.</w:t>
      </w:r>
    </w:p>
    <w:p>
      <w:pPr>
        <w:pStyle w:val="BodyText"/>
        <w:spacing w:before="0" w:after="200"/>
        <w:contextualSpacing/>
        <w:rPr/>
      </w:pPr>
      <w:r>
        <w:rPr/>
        <w:t>Modifying ownership or stewardship.</w:t>
      </w:r>
    </w:p>
    <w:p>
      <w:pPr>
        <w:pStyle w:val="BodyText"/>
        <w:spacing w:before="0" w:after="200"/>
        <w:contextualSpacing/>
        <w:rPr/>
      </w:pPr>
      <w:r>
        <w:rPr/>
        <w:t>Transforming cooperation or conflict.</w:t>
      </w:r>
    </w:p>
    <w:p>
      <w:pPr>
        <w:pStyle w:val="BodyText"/>
        <w:spacing w:before="0" w:after="200"/>
        <w:contextualSpacing/>
        <w:rPr/>
      </w:pPr>
      <w:r>
        <w:rPr/>
        <w:t>Relationship transitions are often central to moral assessment because long-term flourishing depends heavily on relational structure. A truthful disclosure may cause short-term discomfort while strengthening trust. A deceptive action may produce operational success while weakening future cooperation. A coercive action may achieve compliance while degrading legitimacy.</w:t>
      </w:r>
    </w:p>
    <w:p>
      <w:pPr>
        <w:pStyle w:val="BodyText"/>
        <w:spacing w:before="0" w:after="200"/>
        <w:contextualSpacing/>
        <w:rPr/>
      </w:pPr>
      <w:r>
        <w:rPr/>
        <w:t>The methodology should represent relationship transitions explicitly rather than treating them as secondary narrative effects.</w:t>
      </w:r>
    </w:p>
    <w:p>
      <w:pPr>
        <w:pStyle w:val="Heading3"/>
        <w:ind w:hanging="0" w:left="0"/>
        <w:rPr/>
      </w:pPr>
      <w:r>
        <w:rPr/>
        <w:t>Policy Transitions</w:t>
      </w:r>
    </w:p>
    <w:p>
      <w:pPr>
        <w:pStyle w:val="BodyText"/>
        <w:spacing w:before="0" w:after="200"/>
        <w:contextualSpacing/>
        <w:rPr/>
      </w:pPr>
      <w:r>
        <w:rPr/>
        <w:t>Policy transitions describe changes to the future decision policies of Actors, affected entities, observers, responders, institutions, artificial systems, and other relevant Moral Agents.</w:t>
      </w:r>
    </w:p>
    <w:p>
      <w:pPr>
        <w:pStyle w:val="BodyText"/>
        <w:spacing w:before="0" w:after="200"/>
        <w:contextualSpacing/>
        <w:rPr/>
      </w:pPr>
      <w:r>
        <w:rPr/>
        <w:t>A policy transition occurs when an Assessed Action changes what an entity is more or less likely to do in future situations. It may change what the entity perceives as acceptable, effective, legitimate, rewarded, punished, expected, normal, or repeatable.</w:t>
      </w:r>
    </w:p>
    <w:p>
      <w:pPr>
        <w:pStyle w:val="BodyText"/>
        <w:spacing w:before="0" w:after="200"/>
        <w:contextualSpacing/>
        <w:rPr/>
      </w:pPr>
      <w:r>
        <w:rPr/>
        <w:t>Policy transitions may include:</w:t>
      </w:r>
    </w:p>
    <w:p>
      <w:pPr>
        <w:pStyle w:val="BodyText"/>
        <w:spacing w:before="0" w:after="200"/>
        <w:contextualSpacing/>
        <w:rPr/>
      </w:pPr>
      <w:r>
        <w:rPr/>
        <w:t>Increased propensity to repeat the Assessed Action.</w:t>
      </w:r>
    </w:p>
    <w:p>
      <w:pPr>
        <w:pStyle w:val="BodyText"/>
        <w:spacing w:before="0" w:after="200"/>
        <w:contextualSpacing/>
        <w:rPr/>
      </w:pPr>
      <w:r>
        <w:rPr/>
        <w:t>Increased tolerance for harmful means.</w:t>
      </w:r>
    </w:p>
    <w:p>
      <w:pPr>
        <w:pStyle w:val="BodyText"/>
        <w:spacing w:before="0" w:after="200"/>
        <w:contextualSpacing/>
        <w:rPr/>
      </w:pPr>
      <w:r>
        <w:rPr/>
        <w:t>Increased or decreased trust in institutions.</w:t>
      </w:r>
    </w:p>
    <w:p>
      <w:pPr>
        <w:pStyle w:val="BodyText"/>
        <w:spacing w:before="0" w:after="200"/>
        <w:contextualSpacing/>
        <w:rPr/>
      </w:pPr>
      <w:r>
        <w:rPr/>
        <w:t>Increased likelihood of cooperation, resistance, retaliation, avoidance, or compliance.</w:t>
      </w:r>
    </w:p>
    <w:p>
      <w:pPr>
        <w:pStyle w:val="BodyText"/>
        <w:spacing w:before="0" w:after="200"/>
        <w:contextualSpacing/>
        <w:rPr/>
      </w:pPr>
      <w:r>
        <w:rPr/>
        <w:t>Changed institutional enforcement patterns.</w:t>
      </w:r>
    </w:p>
    <w:p>
      <w:pPr>
        <w:pStyle w:val="BodyText"/>
        <w:spacing w:before="0" w:after="200"/>
        <w:contextualSpacing/>
        <w:rPr/>
      </w:pPr>
      <w:r>
        <w:rPr/>
        <w:t>Changed precedent sensitivity.</w:t>
      </w:r>
    </w:p>
    <w:p>
      <w:pPr>
        <w:pStyle w:val="BodyText"/>
        <w:spacing w:before="0" w:after="200"/>
        <w:contextualSpacing/>
        <w:rPr/>
      </w:pPr>
      <w:r>
        <w:rPr/>
        <w:t>Changed willingness to disclose evidence.</w:t>
      </w:r>
    </w:p>
    <w:p>
      <w:pPr>
        <w:pStyle w:val="BodyText"/>
        <w:spacing w:before="0" w:after="200"/>
        <w:contextualSpacing/>
        <w:rPr/>
      </w:pPr>
      <w:r>
        <w:rPr/>
        <w:t>Changed responsiveness to authority.</w:t>
      </w:r>
    </w:p>
    <w:p>
      <w:pPr>
        <w:pStyle w:val="BodyText"/>
        <w:spacing w:before="0" w:after="200"/>
        <w:contextualSpacing/>
        <w:rPr/>
      </w:pPr>
      <w:r>
        <w:rPr/>
        <w:t>Changed autonomous system behavior.</w:t>
      </w:r>
    </w:p>
    <w:p>
      <w:pPr>
        <w:pStyle w:val="BodyText"/>
        <w:spacing w:before="0" w:after="200"/>
        <w:contextualSpacing/>
        <w:rPr/>
      </w:pPr>
      <w:r>
        <w:rPr/>
        <w:t>Changed future action-selection strategy.</w:t>
      </w:r>
    </w:p>
    <w:p>
      <w:pPr>
        <w:pStyle w:val="BodyText"/>
        <w:spacing w:before="0" w:after="200"/>
        <w:contextualSpacing/>
        <w:rPr/>
      </w:pPr>
      <w:r>
        <w:rPr/>
        <w:t>Policy transitions are the methodological expression of Distributed Policy Updates. They are especially important because they explain why harmful means may degrade future moral decision-making even when immediate outcomes appear beneficial.</w:t>
      </w:r>
    </w:p>
    <w:p>
      <w:pPr>
        <w:pStyle w:val="BodyText"/>
        <w:spacing w:before="0" w:after="200"/>
        <w:contextualSpacing/>
        <w:rPr/>
      </w:pPr>
      <w:r>
        <w:rPr/>
        <w:t>A State Transition Model that excludes policy transitions may incorrectly classify an action as beneficial because it captures immediate results while missing future behavioral degradation.</w:t>
      </w:r>
    </w:p>
    <w:p>
      <w:pPr>
        <w:pStyle w:val="Heading3"/>
        <w:ind w:hanging="0" w:left="0"/>
        <w:rPr/>
      </w:pPr>
      <w:r>
        <w:rPr/>
        <w:t>Actor Policy Transitions</w:t>
      </w:r>
    </w:p>
    <w:p>
      <w:pPr>
        <w:pStyle w:val="BodyText"/>
        <w:spacing w:before="0" w:after="200"/>
        <w:contextualSpacing/>
        <w:rPr/>
      </w:pPr>
      <w:r>
        <w:rPr/>
        <w:t>Actor policy transitions are changes to the future decision policy of the Actor responsible for the Assessed Action.</w:t>
      </w:r>
    </w:p>
    <w:p>
      <w:pPr>
        <w:pStyle w:val="BodyText"/>
        <w:spacing w:before="0" w:after="200"/>
        <w:contextualSpacing/>
        <w:rPr/>
      </w:pPr>
      <w:r>
        <w:rPr/>
        <w:t>These transitions are important because the means used in an action can train, reinforce, or degrade the Actor’s future moral behavior. If an Actor achieves a goal through deception, coercion, fraud, or cruelty, the Actor may become more likely to use those means again. If an Actor achieves a goal through transparency, restraint, accountability, or care, the Actor may strengthen future decision policies that preserve Long-Term Flourishing.</w:t>
      </w:r>
    </w:p>
    <w:p>
      <w:pPr>
        <w:pStyle w:val="BodyText"/>
        <w:spacing w:before="0" w:after="200"/>
        <w:contextualSpacing/>
        <w:rPr/>
      </w:pPr>
      <w:r>
        <w:rPr/>
        <w:t>Actor policy transitions should be represented separately from immediate outcome transitions. The immediate result may be favorable while the Actor’s policy state worsens.</w:t>
      </w:r>
    </w:p>
    <w:p>
      <w:pPr>
        <w:pStyle w:val="Heading3"/>
        <w:ind w:hanging="0" w:left="0"/>
        <w:rPr/>
      </w:pPr>
      <w:r>
        <w:rPr/>
        <w:t>Observer and Responder Policy Transitions</w:t>
      </w:r>
    </w:p>
    <w:p>
      <w:pPr>
        <w:pStyle w:val="BodyText"/>
        <w:spacing w:before="0" w:after="200"/>
        <w:contextualSpacing/>
        <w:rPr/>
      </w:pPr>
      <w:r>
        <w:rPr/>
        <w:t>Observer and responder policy transitions describe changes in the future decision behavior of entities that observe, experience, learn about, or react to the Assessed Action.</w:t>
      </w:r>
    </w:p>
    <w:p>
      <w:pPr>
        <w:pStyle w:val="BodyText"/>
        <w:spacing w:before="0" w:after="200"/>
        <w:contextualSpacing/>
        <w:rPr/>
      </w:pPr>
      <w:r>
        <w:rPr/>
        <w:t>Observers may update their beliefs about what is acceptable or effective. Responders may update their behavior in reaction to perceived harm, precedent, threat, injustice, legitimacy, or opportunity. These updates may amplify or mitigate the original transition.</w:t>
      </w:r>
    </w:p>
    <w:p>
      <w:pPr>
        <w:pStyle w:val="BodyText"/>
        <w:spacing w:before="0" w:after="200"/>
        <w:contextualSpacing/>
        <w:rPr/>
      </w:pPr>
      <w:r>
        <w:rPr/>
        <w:t>For example, if an institution tolerates fraud to achieve a beneficial outcome, observers may infer that fraud is acceptable under pressure. Regulators may respond with stricter enforcement. Employees may become more cynical or less cooperative. The resulting World Context includes all of these policy transitions when they are material.</w:t>
      </w:r>
    </w:p>
    <w:p>
      <w:pPr>
        <w:pStyle w:val="Heading3"/>
        <w:ind w:hanging="0" w:left="0"/>
        <w:rPr/>
      </w:pPr>
      <w:r>
        <w:rPr/>
        <w:t>Opportunity Transitions</w:t>
      </w:r>
    </w:p>
    <w:p>
      <w:pPr>
        <w:pStyle w:val="BodyText"/>
        <w:spacing w:before="0" w:after="200"/>
        <w:contextualSpacing/>
        <w:rPr/>
      </w:pPr>
      <w:r>
        <w:rPr/>
        <w:t>Opportunity transitions describe changes to beneficial future options available to relevant Flourishing Entities, Moral Agents, institutions, or the larger World Context.</w:t>
      </w:r>
    </w:p>
    <w:p>
      <w:pPr>
        <w:pStyle w:val="BodyText"/>
        <w:spacing w:before="0" w:after="200"/>
        <w:contextualSpacing/>
        <w:rPr/>
      </w:pPr>
      <w:r>
        <w:rPr/>
        <w:t>An opportunity transition may create, preserve, expand, narrow, delay, or foreclose future possibilities. It may affect treatment options, legal remedies, educational possibilities, economic mobility, institutional reform, ecological recovery, technological development, future cooperation, relationship repair, or available alternatives in later assessments.</w:t>
      </w:r>
    </w:p>
    <w:p>
      <w:pPr>
        <w:pStyle w:val="BodyText"/>
        <w:spacing w:before="0" w:after="200"/>
        <w:contextualSpacing/>
        <w:rPr/>
      </w:pPr>
      <w:r>
        <w:rPr/>
        <w:t>Opportunity transitions are important because Long-Term Flourishing depends partly on whether relevant entities retain access to beneficial future state space. An action may provide immediate benefit while eliminating important future options. Conversely, an action may impose present cost while preserving future opportunity.</w:t>
      </w:r>
    </w:p>
    <w:p>
      <w:pPr>
        <w:pStyle w:val="BodyText"/>
        <w:spacing w:before="0" w:after="200"/>
        <w:contextualSpacing/>
        <w:rPr/>
      </w:pPr>
      <w:r>
        <w:rPr/>
        <w:t>Opportunity transitions should identify:</w:t>
      </w:r>
    </w:p>
    <w:p>
      <w:pPr>
        <w:pStyle w:val="BodyText"/>
        <w:spacing w:before="0" w:after="200"/>
        <w:contextualSpacing/>
        <w:rPr/>
      </w:pPr>
      <w:r>
        <w:rPr/>
        <w:t>Which opportunity is affected.</w:t>
      </w:r>
    </w:p>
    <w:p>
      <w:pPr>
        <w:pStyle w:val="BodyText"/>
        <w:spacing w:before="0" w:after="200"/>
        <w:contextualSpacing/>
        <w:rPr/>
      </w:pPr>
      <w:r>
        <w:rPr/>
        <w:t>Which entity or system the opportunity belongs to.</w:t>
      </w:r>
    </w:p>
    <w:p>
      <w:pPr>
        <w:pStyle w:val="BodyText"/>
        <w:spacing w:before="0" w:after="200"/>
        <w:contextualSpacing/>
        <w:rPr/>
      </w:pPr>
      <w:r>
        <w:rPr/>
        <w:t>Whether the opportunity is created, preserved, expanded, constrained, or eliminated.</w:t>
      </w:r>
    </w:p>
    <w:p>
      <w:pPr>
        <w:pStyle w:val="BodyText"/>
        <w:spacing w:before="0" w:after="200"/>
        <w:contextualSpacing/>
        <w:rPr/>
      </w:pPr>
      <w:r>
        <w:rPr/>
        <w:t>Which horizon is affected.</w:t>
      </w:r>
    </w:p>
    <w:p>
      <w:pPr>
        <w:pStyle w:val="BodyText"/>
        <w:spacing w:before="0" w:after="200"/>
        <w:contextualSpacing/>
        <w:rPr/>
      </w:pPr>
      <w:r>
        <w:rPr/>
        <w:t>Whether the opportunity is recoverable or irreversibly foreclosed.</w:t>
      </w:r>
    </w:p>
    <w:p>
      <w:pPr>
        <w:pStyle w:val="BodyText"/>
        <w:spacing w:before="0" w:after="200"/>
        <w:contextualSpacing/>
        <w:rPr/>
      </w:pPr>
      <w:r>
        <w:rPr/>
        <w:t>How the opportunity affects Long-Term Flourishing or future assessment capacity.</w:t>
      </w:r>
    </w:p>
    <w:p>
      <w:pPr>
        <w:pStyle w:val="BodyText"/>
        <w:spacing w:before="0" w:after="200"/>
        <w:contextualSpacing/>
        <w:rPr/>
      </w:pPr>
      <w:r>
        <w:rPr/>
        <w:t>Opportunity transitions should be distinguished from immediate entity transitions. A person may remain physically unchanged while losing future legal recourse, educational opportunity, medical options, or freedom of action.</w:t>
      </w:r>
    </w:p>
    <w:p>
      <w:pPr>
        <w:pStyle w:val="Heading3"/>
        <w:ind w:hanging="0" w:left="0"/>
        <w:rPr/>
      </w:pPr>
      <w:r>
        <w:rPr/>
        <w:t>Institutional Transitions</w:t>
      </w:r>
    </w:p>
    <w:p>
      <w:pPr>
        <w:pStyle w:val="BodyText"/>
        <w:spacing w:before="0" w:after="200"/>
        <w:contextualSpacing/>
        <w:rPr/>
      </w:pPr>
      <w:r>
        <w:rPr/>
        <w:t>Institutional transitions describe changes to the state of institutions caused or influenced by the Assessed Action.</w:t>
      </w:r>
    </w:p>
    <w:p>
      <w:pPr>
        <w:pStyle w:val="BodyText"/>
        <w:spacing w:before="0" w:after="200"/>
        <w:contextualSpacing/>
        <w:rPr/>
      </w:pPr>
      <w:r>
        <w:rPr/>
        <w:t>Institutions shape authority, legitimacy, norms, procedures, incentives, accountability, enforcement patterns, trust, resource allocation, and future behavior. Because institutions often persist across time and affect many entities, institutional transitions may have moral significance beyond the immediate action.</w:t>
      </w:r>
    </w:p>
    <w:p>
      <w:pPr>
        <w:pStyle w:val="BodyText"/>
        <w:spacing w:before="0" w:after="200"/>
        <w:contextualSpacing/>
        <w:rPr/>
      </w:pPr>
      <w:r>
        <w:rPr/>
        <w:t>Institutional transitions may include changes in:</w:t>
      </w:r>
    </w:p>
    <w:p>
      <w:pPr>
        <w:pStyle w:val="BodyText"/>
        <w:spacing w:before="0" w:after="200"/>
        <w:contextualSpacing/>
        <w:rPr/>
      </w:pPr>
      <w:r>
        <w:rPr/>
        <w:t>Legitimacy.</w:t>
      </w:r>
    </w:p>
    <w:p>
      <w:pPr>
        <w:pStyle w:val="BodyText"/>
        <w:spacing w:before="0" w:after="200"/>
        <w:contextualSpacing/>
        <w:rPr/>
      </w:pPr>
      <w:r>
        <w:rPr/>
        <w:t>Public trust.</w:t>
      </w:r>
    </w:p>
    <w:p>
      <w:pPr>
        <w:pStyle w:val="BodyText"/>
        <w:spacing w:before="0" w:after="200"/>
        <w:contextualSpacing/>
        <w:rPr/>
      </w:pPr>
      <w:r>
        <w:rPr/>
        <w:t>Procedural integrity.</w:t>
      </w:r>
    </w:p>
    <w:p>
      <w:pPr>
        <w:pStyle w:val="BodyText"/>
        <w:spacing w:before="0" w:after="200"/>
        <w:contextualSpacing/>
        <w:rPr/>
      </w:pPr>
      <w:r>
        <w:rPr/>
        <w:t>Accountability.</w:t>
      </w:r>
    </w:p>
    <w:p>
      <w:pPr>
        <w:pStyle w:val="BodyText"/>
        <w:spacing w:before="0" w:after="200"/>
        <w:contextualSpacing/>
        <w:rPr/>
      </w:pPr>
      <w:r>
        <w:rPr/>
        <w:t>Authority recognition.</w:t>
      </w:r>
    </w:p>
    <w:p>
      <w:pPr>
        <w:pStyle w:val="BodyText"/>
        <w:spacing w:before="0" w:after="200"/>
        <w:contextualSpacing/>
        <w:rPr/>
      </w:pPr>
      <w:r>
        <w:rPr/>
        <w:t>Rule consistency.</w:t>
      </w:r>
    </w:p>
    <w:p>
      <w:pPr>
        <w:pStyle w:val="BodyText"/>
        <w:spacing w:before="0" w:after="200"/>
        <w:contextualSpacing/>
        <w:rPr/>
      </w:pPr>
      <w:r>
        <w:rPr/>
        <w:t>Transparency.</w:t>
      </w:r>
    </w:p>
    <w:p>
      <w:pPr>
        <w:pStyle w:val="BodyText"/>
        <w:spacing w:before="0" w:after="200"/>
        <w:contextualSpacing/>
        <w:rPr/>
      </w:pPr>
      <w:r>
        <w:rPr/>
        <w:t>Corruption.</w:t>
      </w:r>
    </w:p>
    <w:p>
      <w:pPr>
        <w:pStyle w:val="BodyText"/>
        <w:spacing w:before="0" w:after="200"/>
        <w:contextualSpacing/>
        <w:rPr/>
      </w:pPr>
      <w:r>
        <w:rPr/>
        <w:t>Competence.</w:t>
      </w:r>
    </w:p>
    <w:p>
      <w:pPr>
        <w:pStyle w:val="BodyText"/>
        <w:spacing w:before="0" w:after="200"/>
        <w:contextualSpacing/>
        <w:rPr/>
      </w:pPr>
      <w:r>
        <w:rPr/>
        <w:t>Resilience.</w:t>
      </w:r>
    </w:p>
    <w:p>
      <w:pPr>
        <w:pStyle w:val="BodyText"/>
        <w:spacing w:before="0" w:after="200"/>
        <w:contextualSpacing/>
        <w:rPr/>
      </w:pPr>
      <w:r>
        <w:rPr/>
        <w:t>Institutional memory.</w:t>
      </w:r>
    </w:p>
    <w:p>
      <w:pPr>
        <w:pStyle w:val="BodyText"/>
        <w:spacing w:before="0" w:after="200"/>
        <w:contextualSpacing/>
        <w:rPr/>
      </w:pPr>
      <w:r>
        <w:rPr/>
        <w:t>Policy precedent.</w:t>
      </w:r>
    </w:p>
    <w:p>
      <w:pPr>
        <w:pStyle w:val="BodyText"/>
        <w:spacing w:before="0" w:after="200"/>
        <w:contextualSpacing/>
        <w:rPr/>
      </w:pPr>
      <w:r>
        <w:rPr/>
        <w:t>Enforcement reliability.</w:t>
      </w:r>
    </w:p>
    <w:p>
      <w:pPr>
        <w:pStyle w:val="BodyText"/>
        <w:spacing w:before="0" w:after="200"/>
        <w:contextualSpacing/>
        <w:rPr/>
      </w:pPr>
      <w:r>
        <w:rPr/>
        <w:t>Capacity for correction.</w:t>
      </w:r>
    </w:p>
    <w:p>
      <w:pPr>
        <w:pStyle w:val="BodyText"/>
        <w:spacing w:before="0" w:after="200"/>
        <w:contextualSpacing/>
        <w:rPr/>
      </w:pPr>
      <w:r>
        <w:rPr/>
        <w:t>Institutional transitions may be formal or informal. A formal transition may include a new rule, policy, precedent, protocol, or legal judgment. An informal transition may include a change in culture, expectations, trust, tolerance, enforcement behavior, or perceived legitimacy.</w:t>
      </w:r>
    </w:p>
    <w:p>
      <w:pPr>
        <w:pStyle w:val="BodyText"/>
        <w:spacing w:before="0" w:after="200"/>
        <w:contextualSpacing/>
        <w:rPr/>
      </w:pPr>
      <w:r>
        <w:rPr/>
        <w:t>A single action may strengthen an institution by demonstrating accountability, or weaken it by showing that harmful means are tolerated when expedient.</w:t>
      </w:r>
    </w:p>
    <w:p>
      <w:pPr>
        <w:pStyle w:val="Heading3"/>
        <w:ind w:hanging="0" w:left="0"/>
        <w:rPr/>
      </w:pPr>
      <w:r>
        <w:rPr/>
        <w:t>Future State Space Transitions</w:t>
      </w:r>
    </w:p>
    <w:p>
      <w:pPr>
        <w:pStyle w:val="BodyText"/>
        <w:spacing w:before="0" w:after="200"/>
        <w:contextualSpacing/>
        <w:rPr/>
      </w:pPr>
      <w:r>
        <w:rPr/>
        <w:t>Future state space transitions describe changes to the broader set of possible future World Contexts reachable after the Assessed Action.</w:t>
      </w:r>
    </w:p>
    <w:p>
      <w:pPr>
        <w:pStyle w:val="BodyText"/>
        <w:spacing w:before="0" w:after="200"/>
        <w:contextualSpacing/>
        <w:rPr/>
      </w:pPr>
      <w:r>
        <w:rPr/>
        <w:t>Future state space is broader than specific opportunities. Opportunities are identifiable future options. Future state space is the larger landscape of possible future configurations. An Assessed Action may expand beneficial future state space, narrow it, redirect it, destabilize it, or make harmful future states more likely.</w:t>
      </w:r>
    </w:p>
    <w:p>
      <w:pPr>
        <w:pStyle w:val="BodyText"/>
        <w:spacing w:before="0" w:after="200"/>
        <w:contextualSpacing/>
        <w:rPr/>
      </w:pPr>
      <w:r>
        <w:rPr/>
        <w:t>Future state space transitions may include:</w:t>
      </w:r>
    </w:p>
    <w:p>
      <w:pPr>
        <w:pStyle w:val="BodyText"/>
        <w:spacing w:before="0" w:after="200"/>
        <w:contextualSpacing/>
        <w:rPr/>
      </w:pPr>
      <w:r>
        <w:rPr/>
        <w:t>Expansion of beneficial future possibilities.</w:t>
      </w:r>
    </w:p>
    <w:p>
      <w:pPr>
        <w:pStyle w:val="BodyText"/>
        <w:spacing w:before="0" w:after="200"/>
        <w:contextualSpacing/>
        <w:rPr/>
      </w:pPr>
      <w:r>
        <w:rPr/>
        <w:t>Foreclosure of important future pathways.</w:t>
      </w:r>
    </w:p>
    <w:p>
      <w:pPr>
        <w:pStyle w:val="BodyText"/>
        <w:spacing w:before="0" w:after="200"/>
        <w:contextualSpacing/>
        <w:rPr/>
      </w:pPr>
      <w:r>
        <w:rPr/>
        <w:t>Increased probability of harmful future states.</w:t>
      </w:r>
    </w:p>
    <w:p>
      <w:pPr>
        <w:pStyle w:val="BodyText"/>
        <w:spacing w:before="0" w:after="200"/>
        <w:contextualSpacing/>
        <w:rPr/>
      </w:pPr>
      <w:r>
        <w:rPr/>
        <w:t>Reduced resilience of the system.</w:t>
      </w:r>
    </w:p>
    <w:p>
      <w:pPr>
        <w:pStyle w:val="BodyText"/>
        <w:spacing w:before="0" w:after="200"/>
        <w:contextualSpacing/>
        <w:rPr/>
      </w:pPr>
      <w:r>
        <w:rPr/>
        <w:t>Increased dependency on fragile pathways.</w:t>
      </w:r>
    </w:p>
    <w:p>
      <w:pPr>
        <w:pStyle w:val="BodyText"/>
        <w:spacing w:before="0" w:after="200"/>
        <w:contextualSpacing/>
        <w:rPr/>
      </w:pPr>
      <w:r>
        <w:rPr/>
        <w:t>Changed technological or institutional trajectory.</w:t>
      </w:r>
    </w:p>
    <w:p>
      <w:pPr>
        <w:pStyle w:val="BodyText"/>
        <w:spacing w:before="0" w:after="200"/>
        <w:contextualSpacing/>
        <w:rPr/>
      </w:pPr>
      <w:r>
        <w:rPr/>
        <w:t>Changed ecological recovery pathway.</w:t>
      </w:r>
    </w:p>
    <w:p>
      <w:pPr>
        <w:pStyle w:val="BodyText"/>
        <w:spacing w:before="0" w:after="200"/>
        <w:contextualSpacing/>
        <w:rPr/>
      </w:pPr>
      <w:r>
        <w:rPr/>
        <w:t>Changed civilizational risk profile.</w:t>
      </w:r>
    </w:p>
    <w:p>
      <w:pPr>
        <w:pStyle w:val="BodyText"/>
        <w:spacing w:before="0" w:after="200"/>
        <w:contextualSpacing/>
        <w:rPr/>
      </w:pPr>
      <w:r>
        <w:rPr/>
        <w:t>Changed possibility of future artificial moral agency.</w:t>
      </w:r>
    </w:p>
    <w:p>
      <w:pPr>
        <w:pStyle w:val="BodyText"/>
        <w:spacing w:before="0" w:after="200"/>
        <w:contextualSpacing/>
        <w:rPr/>
      </w:pPr>
      <w:r>
        <w:rPr/>
        <w:t>Future state space transitions are especially important in long-term, multi-generational, and civilizational assessments. Some actions may have modest immediate consequences but significant effects on what futures remain reachable.</w:t>
      </w:r>
    </w:p>
    <w:p>
      <w:pPr>
        <w:pStyle w:val="Heading3"/>
        <w:ind w:hanging="0" w:left="0"/>
        <w:rPr/>
      </w:pPr>
      <w:r>
        <w:rPr/>
        <w:t>Information and Uncertainty Transitions</w:t>
      </w:r>
    </w:p>
    <w:p>
      <w:pPr>
        <w:pStyle w:val="BodyText"/>
        <w:spacing w:before="0" w:after="200"/>
        <w:contextualSpacing/>
        <w:rPr/>
      </w:pPr>
      <w:r>
        <w:rPr/>
        <w:t>Although listed separately in State Representation, information and uncertainty transitions should also be represented within the State Transition Model when material.</w:t>
      </w:r>
    </w:p>
    <w:p>
      <w:pPr>
        <w:pStyle w:val="BodyText"/>
        <w:spacing w:before="0" w:after="200"/>
        <w:contextualSpacing/>
        <w:rPr/>
      </w:pPr>
      <w:r>
        <w:rPr/>
        <w:t>An information transition occurs when the Assessed Action changes what is known, hidden, disclosed, distorted, recorded, lost, or made available for future assessment. An uncertainty transition occurs when the action changes the level or structure of uncertainty in the World Context.</w:t>
      </w:r>
    </w:p>
    <w:p>
      <w:pPr>
        <w:pStyle w:val="BodyText"/>
        <w:spacing w:before="0" w:after="200"/>
        <w:contextualSpacing/>
        <w:rPr/>
      </w:pPr>
      <w:r>
        <w:rPr/>
        <w:t>Examples include:</w:t>
      </w:r>
    </w:p>
    <w:p>
      <w:pPr>
        <w:pStyle w:val="BodyText"/>
        <w:spacing w:before="0" w:after="200"/>
        <w:contextualSpacing/>
        <w:rPr/>
      </w:pPr>
      <w:r>
        <w:rPr/>
        <w:t>Disclosure of accurate information.</w:t>
      </w:r>
    </w:p>
    <w:p>
      <w:pPr>
        <w:pStyle w:val="BodyText"/>
        <w:spacing w:before="0" w:after="200"/>
        <w:contextualSpacing/>
        <w:rPr/>
      </w:pPr>
      <w:r>
        <w:rPr/>
        <w:t>Suppression of evidence.</w:t>
      </w:r>
    </w:p>
    <w:p>
      <w:pPr>
        <w:pStyle w:val="BodyText"/>
        <w:spacing w:before="0" w:after="200"/>
        <w:contextualSpacing/>
        <w:rPr/>
      </w:pPr>
      <w:r>
        <w:rPr/>
        <w:t>Creation of misleading records.</w:t>
      </w:r>
    </w:p>
    <w:p>
      <w:pPr>
        <w:pStyle w:val="BodyText"/>
        <w:spacing w:before="0" w:after="200"/>
        <w:contextualSpacing/>
        <w:rPr/>
      </w:pPr>
      <w:r>
        <w:rPr/>
        <w:t>Improvement in diagnostic clarity.</w:t>
      </w:r>
    </w:p>
    <w:p>
      <w:pPr>
        <w:pStyle w:val="BodyText"/>
        <w:spacing w:before="0" w:after="200"/>
        <w:contextualSpacing/>
        <w:rPr/>
      </w:pPr>
      <w:r>
        <w:rPr/>
        <w:t>Loss of institutional memory.</w:t>
      </w:r>
    </w:p>
    <w:p>
      <w:pPr>
        <w:pStyle w:val="BodyText"/>
        <w:spacing w:before="0" w:after="200"/>
        <w:contextualSpacing/>
        <w:rPr/>
      </w:pPr>
      <w:r>
        <w:rPr/>
        <w:t>Generation of audit trails.</w:t>
      </w:r>
    </w:p>
    <w:p>
      <w:pPr>
        <w:pStyle w:val="BodyText"/>
        <w:spacing w:before="0" w:after="200"/>
        <w:contextualSpacing/>
        <w:rPr/>
      </w:pPr>
      <w:r>
        <w:rPr/>
        <w:t>Reduction of uncertainty through investigation.</w:t>
      </w:r>
    </w:p>
    <w:p>
      <w:pPr>
        <w:pStyle w:val="BodyText"/>
        <w:spacing w:before="0" w:after="200"/>
        <w:contextualSpacing/>
        <w:rPr/>
      </w:pPr>
      <w:r>
        <w:rPr/>
        <w:t>Increase in uncertainty through concealment or misinformation.</w:t>
      </w:r>
    </w:p>
    <w:p>
      <w:pPr>
        <w:pStyle w:val="BodyText"/>
        <w:spacing w:before="0" w:after="200"/>
        <w:contextualSpacing/>
        <w:rPr/>
      </w:pPr>
      <w:r>
        <w:rPr/>
        <w:t>Information transitions are morally significant because future moral reasoning depends on the quality of future information states. A transition that corrupts evidence may degrade future assessments even if immediate material outcomes appear favorable.</w:t>
      </w:r>
    </w:p>
    <w:p>
      <w:pPr>
        <w:pStyle w:val="Heading3"/>
        <w:ind w:hanging="0" w:left="0"/>
        <w:rPr/>
      </w:pPr>
      <w:r>
        <w:rPr/>
        <w:t>Constraint and Authority Transitions</w:t>
      </w:r>
    </w:p>
    <w:p>
      <w:pPr>
        <w:pStyle w:val="BodyText"/>
        <w:spacing w:before="0" w:after="200"/>
        <w:contextualSpacing/>
        <w:rPr/>
      </w:pPr>
      <w:r>
        <w:rPr/>
        <w:t>Constraint transitions describe changes in the limits, requirements, prohibitions, or enabling conditions that shape future actions. Authority transitions describe changes in who has recognized or legitimate power to act.</w:t>
      </w:r>
    </w:p>
    <w:p>
      <w:pPr>
        <w:pStyle w:val="BodyText"/>
        <w:spacing w:before="0" w:after="200"/>
        <w:contextualSpacing/>
        <w:rPr/>
      </w:pPr>
      <w:r>
        <w:rPr/>
        <w:t>These transitions may include changes in legal constraints, institutional rules, physical feasibility, resource availability, technological limitations, procedural requirements, consent conditions, or emergency authority. They may also include changes in perceived legitimacy, rightful authority, jurisdiction, or responsibility.</w:t>
      </w:r>
    </w:p>
    <w:p>
      <w:pPr>
        <w:pStyle w:val="BodyText"/>
        <w:spacing w:before="0" w:after="200"/>
        <w:contextualSpacing/>
        <w:rPr/>
      </w:pPr>
      <w:r>
        <w:rPr/>
        <w:t>Constraint and authority transitions matter because they shape the future action space. An action may solve an immediate problem while creating restrictive, illegitimate, or fragile constraints for future entities. Conversely, an action may create appropriate safeguards that preserve long-term flourishing.</w:t>
      </w:r>
    </w:p>
    <w:p>
      <w:pPr>
        <w:pStyle w:val="Heading3"/>
        <w:ind w:hanging="0" w:left="0"/>
        <w:rPr/>
      </w:pPr>
      <w:r>
        <w:rPr/>
        <w:t>Transition Across Assessment Horizons</w:t>
      </w:r>
    </w:p>
    <w:p>
      <w:pPr>
        <w:pStyle w:val="BodyText"/>
        <w:spacing w:before="0" w:after="200"/>
        <w:contextualSpacing/>
        <w:rPr/>
      </w:pPr>
      <w:r>
        <w:rPr/>
        <w:t>Every material transition should be evaluated across relevant Assessment Horizons.</w:t>
      </w:r>
    </w:p>
    <w:p>
      <w:pPr>
        <w:pStyle w:val="BodyText"/>
        <w:spacing w:before="0" w:after="200"/>
        <w:contextualSpacing/>
        <w:rPr/>
      </w:pPr>
      <w:r>
        <w:rPr/>
        <w:t>The immediate horizon may capture direct effects. The short-term horizon may capture relationship, incentive, and resource effects. The long-term horizon may capture institutional, policy, adaptive capacity, and future opportunity effects. Multi-generational and civilizational horizons may capture changes to governance structures, ecological systems, technological trajectories, cultural norms, or future state space.</w:t>
      </w:r>
    </w:p>
    <w:p>
      <w:pPr>
        <w:pStyle w:val="BodyText"/>
        <w:spacing w:before="0" w:after="200"/>
        <w:contextualSpacing/>
        <w:rPr/>
      </w:pPr>
      <w:r>
        <w:rPr/>
        <w:t>The methodology should not assume that a transition has the same direction or significance across all horizons. A transition may be beneficial immediately and detrimental long-term, or detrimental immediately and beneficial long-term.</w:t>
      </w:r>
    </w:p>
    <w:p>
      <w:pPr>
        <w:pStyle w:val="BodyText"/>
        <w:spacing w:before="0" w:after="200"/>
        <w:contextualSpacing/>
        <w:rPr/>
      </w:pPr>
      <w:r>
        <w:rPr/>
        <w:t>Horizon-specific transition modeling supports more accurate confidence estimation because uncertainty generally changes across time.</w:t>
      </w:r>
    </w:p>
    <w:p>
      <w:pPr>
        <w:pStyle w:val="Heading3"/>
        <w:ind w:hanging="0" w:left="0"/>
        <w:rPr/>
      </w:pPr>
      <w:r>
        <w:rPr/>
        <w:t>Transition Magnitude, Direction, and Materiality</w:t>
      </w:r>
    </w:p>
    <w:p>
      <w:pPr>
        <w:pStyle w:val="BodyText"/>
        <w:spacing w:before="0" w:after="200"/>
        <w:contextualSpacing/>
        <w:rPr/>
      </w:pPr>
      <w:r>
        <w:rPr/>
        <w:t>Each material transition should be represented in terms of direction, significance, and materiality.</w:t>
      </w:r>
    </w:p>
    <w:p>
      <w:pPr>
        <w:pStyle w:val="BodyText"/>
        <w:spacing w:before="0" w:after="200"/>
        <w:contextualSpacing/>
        <w:rPr/>
      </w:pPr>
      <w:r>
        <w:rPr/>
        <w:t>Direction describes whether the transition appears beneficial, detrimental, mixed, neutral, or ambiguous relative to the relevant objective and World Context.</w:t>
      </w:r>
    </w:p>
    <w:p>
      <w:pPr>
        <w:pStyle w:val="BodyText"/>
        <w:spacing w:before="0" w:after="200"/>
        <w:contextualSpacing/>
        <w:rPr/>
      </w:pPr>
      <w:r>
        <w:rPr/>
        <w:t>Magnitude describes the scale or intensity of the change. Magnitude may be quantitative, qualitative, ordinal, categorical, or confidence-bounded depending on the available evidence and representation method.</w:t>
      </w:r>
    </w:p>
    <w:p>
      <w:pPr>
        <w:pStyle w:val="BodyText"/>
        <w:spacing w:before="0" w:after="200"/>
        <w:contextualSpacing/>
        <w:rPr/>
      </w:pPr>
      <w:r>
        <w:rPr/>
        <w:t>Materiality describes whether the transition is significant enough to affect the moral assessment. A small transition may be immaterial in one context but material in another if it affects a vulnerable entity, creates precedent, degrades trust, or changes future state space.</w:t>
      </w:r>
    </w:p>
    <w:p>
      <w:pPr>
        <w:pStyle w:val="BodyText"/>
        <w:spacing w:before="0" w:after="200"/>
        <w:contextualSpacing/>
        <w:rPr/>
      </w:pPr>
      <w:r>
        <w:rPr/>
        <w:t>The methodology should avoid representing only large visible harms. Subtle transitions may be morally significant when they accumulate, propagate through institutions, or alter future behavior.</w:t>
      </w:r>
    </w:p>
    <w:p>
      <w:pPr>
        <w:pStyle w:val="Heading3"/>
        <w:ind w:hanging="0" w:left="0"/>
        <w:rPr/>
      </w:pPr>
      <w:r>
        <w:rPr/>
        <w:t>Transition Probability and Confidence</w:t>
      </w:r>
    </w:p>
    <w:p>
      <w:pPr>
        <w:pStyle w:val="BodyText"/>
        <w:spacing w:before="0" w:after="200"/>
        <w:contextualSpacing/>
        <w:rPr/>
      </w:pPr>
      <w:r>
        <w:rPr/>
        <w:t>State transitions are often uncertain. The methodology should represent uncertainty in whether a transition will occur, how large it may be, when it may occur, and how confidently it can be attributed to the Assessed Action.</w:t>
      </w:r>
    </w:p>
    <w:p>
      <w:pPr>
        <w:pStyle w:val="BodyText"/>
        <w:spacing w:before="0" w:after="200"/>
        <w:contextualSpacing/>
        <w:rPr/>
      </w:pPr>
      <w:r>
        <w:rPr/>
        <w:t>Transition confidence should reflect evidence quality, baseline uncertainty, causal uncertainty, model uncertainty, prediction uncertainty, horizon distance, and missing information. A transition may be highly likely but low impact, low probability but severe, or difficult to estimate but potentially material.</w:t>
      </w:r>
    </w:p>
    <w:p>
      <w:pPr>
        <w:pStyle w:val="BodyText"/>
        <w:spacing w:before="0" w:after="200"/>
        <w:contextualSpacing/>
        <w:rPr/>
      </w:pPr>
      <w:r>
        <w:rPr/>
        <w:t>The State Transition Model should distinguish:</w:t>
      </w:r>
    </w:p>
    <w:p>
      <w:pPr>
        <w:pStyle w:val="BodyText"/>
        <w:spacing w:before="0" w:after="200"/>
        <w:contextualSpacing/>
        <w:rPr/>
      </w:pPr>
      <w:r>
        <w:rPr/>
        <w:t>Probability that the transition occurs.</w:t>
      </w:r>
    </w:p>
    <w:p>
      <w:pPr>
        <w:pStyle w:val="BodyText"/>
        <w:spacing w:before="0" w:after="200"/>
        <w:contextualSpacing/>
        <w:rPr/>
      </w:pPr>
      <w:r>
        <w:rPr/>
        <w:t>Confidence in the evidence supporting the transition.</w:t>
      </w:r>
    </w:p>
    <w:p>
      <w:pPr>
        <w:pStyle w:val="BodyText"/>
        <w:spacing w:before="0" w:after="200"/>
        <w:contextualSpacing/>
        <w:rPr/>
      </w:pPr>
      <w:r>
        <w:rPr/>
        <w:t>Confidence in causal attribution.</w:t>
      </w:r>
    </w:p>
    <w:p>
      <w:pPr>
        <w:pStyle w:val="BodyText"/>
        <w:spacing w:before="0" w:after="200"/>
        <w:contextualSpacing/>
        <w:rPr/>
      </w:pPr>
      <w:r>
        <w:rPr/>
        <w:t>Confidence in estimated magnitude.</w:t>
      </w:r>
    </w:p>
    <w:p>
      <w:pPr>
        <w:pStyle w:val="BodyText"/>
        <w:spacing w:before="0" w:after="200"/>
        <w:contextualSpacing/>
        <w:rPr/>
      </w:pPr>
      <w:r>
        <w:rPr/>
        <w:t>Confidence in horizon-specific timing.</w:t>
      </w:r>
    </w:p>
    <w:p>
      <w:pPr>
        <w:pStyle w:val="BodyText"/>
        <w:spacing w:before="0" w:after="200"/>
        <w:contextualSpacing/>
        <w:rPr/>
      </w:pPr>
      <w:r>
        <w:rPr/>
        <w:t>Confidence in moral relevance.</w:t>
      </w:r>
    </w:p>
    <w:p>
      <w:pPr>
        <w:pStyle w:val="BodyText"/>
        <w:spacing w:before="0" w:after="200"/>
        <w:contextualSpacing/>
        <w:rPr/>
      </w:pPr>
      <w:r>
        <w:rPr/>
        <w:t>These distinctions prevent the assessment from treating uncertain transitions as certain or ignoring uncertain but severe risks.</w:t>
      </w:r>
    </w:p>
    <w:p>
      <w:pPr>
        <w:pStyle w:val="Heading3"/>
        <w:ind w:hanging="0" w:left="0"/>
        <w:rPr/>
      </w:pPr>
      <w:r>
        <w:rPr/>
        <w:t>Competing Transition Scenarios</w:t>
      </w:r>
    </w:p>
    <w:p>
      <w:pPr>
        <w:pStyle w:val="BodyText"/>
        <w:spacing w:before="0" w:after="200"/>
        <w:contextualSpacing/>
        <w:rPr/>
      </w:pPr>
      <w:r>
        <w:rPr/>
        <w:t>When evidence is uncertain or outcomes vary, the methodology may represent multiple transition scenarios.</w:t>
      </w:r>
    </w:p>
    <w:p>
      <w:pPr>
        <w:pStyle w:val="BodyText"/>
        <w:spacing w:before="0" w:after="200"/>
        <w:contextualSpacing/>
        <w:rPr/>
      </w:pPr>
      <w:r>
        <w:rPr/>
        <w:t>A scenario may describe a plausible pathway from the baseline state to a resulting state. Multiple scenarios may be needed when there are competing causal interpretations, uncertain future responses, alternative behavioral updates, or materially different possible outcomes.</w:t>
      </w:r>
    </w:p>
    <w:p>
      <w:pPr>
        <w:pStyle w:val="BodyText"/>
        <w:spacing w:before="0" w:after="200"/>
        <w:contextualSpacing/>
        <w:rPr/>
      </w:pPr>
      <w:r>
        <w:rPr/>
        <w:t>For example, a public policy may produce one transition scenario in which trust increases because the policy is seen as legitimate, and another in which trust decreases because the policy is seen as coercive. An AI safety intervention may produce one scenario in which harmful output is prevented and another in which overbroad refusal reduces beneficial assistance.</w:t>
      </w:r>
    </w:p>
    <w:p>
      <w:pPr>
        <w:pStyle w:val="BodyText"/>
        <w:spacing w:before="0" w:after="200"/>
        <w:contextualSpacing/>
        <w:rPr/>
      </w:pPr>
      <w:r>
        <w:rPr/>
        <w:t>Competing scenarios should be represented when they materially affect the moral assessment. Each scenario should include its assumptions, evidence, transition pathway, affected state variables, and confidence.</w:t>
      </w:r>
    </w:p>
    <w:p>
      <w:pPr>
        <w:pStyle w:val="Heading3"/>
        <w:ind w:hanging="0" w:left="0"/>
        <w:rPr/>
      </w:pPr>
      <w:r>
        <w:rPr/>
        <w:t>Transition Comparison Across Alternative Actions</w:t>
      </w:r>
    </w:p>
    <w:p>
      <w:pPr>
        <w:pStyle w:val="BodyText"/>
        <w:spacing w:before="0" w:after="200"/>
        <w:contextualSpacing/>
        <w:rPr/>
      </w:pPr>
      <w:r>
        <w:rPr/>
        <w:t>The State Transition Model should support comparison among alternative actions.</w:t>
      </w:r>
    </w:p>
    <w:p>
      <w:pPr>
        <w:pStyle w:val="BodyText"/>
        <w:spacing w:before="0" w:after="200"/>
        <w:contextualSpacing/>
        <w:rPr/>
      </w:pPr>
      <w:r>
        <w:rPr/>
        <w:t>A moral assessment often requires choosing among imperfect options rather than evaluating a single action in isolation. Each available action may generate a different predicted transition. The methodology should represent these candidate transitions so they can be compared against the Foundational Axiom and relevant objectives.</w:t>
      </w:r>
    </w:p>
    <w:p>
      <w:pPr>
        <w:pStyle w:val="BodyText"/>
        <w:spacing w:before="0" w:after="200"/>
        <w:contextualSpacing/>
        <w:rPr/>
      </w:pPr>
      <w:r>
        <w:rPr/>
        <w:t>Comparison should consider:</w:t>
      </w:r>
    </w:p>
    <w:p>
      <w:pPr>
        <w:pStyle w:val="BodyText"/>
        <w:spacing w:before="0" w:after="200"/>
        <w:contextualSpacing/>
        <w:rPr/>
      </w:pPr>
      <w:r>
        <w:rPr/>
        <w:t>Entity transitions.</w:t>
      </w:r>
    </w:p>
    <w:p>
      <w:pPr>
        <w:pStyle w:val="BodyText"/>
        <w:spacing w:before="0" w:after="200"/>
        <w:contextualSpacing/>
        <w:rPr/>
      </w:pPr>
      <w:r>
        <w:rPr/>
        <w:t>Relationship transitions.</w:t>
      </w:r>
    </w:p>
    <w:p>
      <w:pPr>
        <w:pStyle w:val="BodyText"/>
        <w:spacing w:before="0" w:after="200"/>
        <w:contextualSpacing/>
        <w:rPr/>
      </w:pPr>
      <w:r>
        <w:rPr/>
        <w:t>Policy transitions.</w:t>
      </w:r>
    </w:p>
    <w:p>
      <w:pPr>
        <w:pStyle w:val="BodyText"/>
        <w:spacing w:before="0" w:after="200"/>
        <w:contextualSpacing/>
        <w:rPr/>
      </w:pPr>
      <w:r>
        <w:rPr/>
        <w:t>Opportunity transitions.</w:t>
      </w:r>
    </w:p>
    <w:p>
      <w:pPr>
        <w:pStyle w:val="BodyText"/>
        <w:spacing w:before="0" w:after="200"/>
        <w:contextualSpacing/>
        <w:rPr/>
      </w:pPr>
      <w:r>
        <w:rPr/>
        <w:t>Institutional transitions.</w:t>
      </w:r>
    </w:p>
    <w:p>
      <w:pPr>
        <w:pStyle w:val="BodyText"/>
        <w:spacing w:before="0" w:after="200"/>
        <w:contextualSpacing/>
        <w:rPr/>
      </w:pPr>
      <w:r>
        <w:rPr/>
        <w:t>Future state space transitions.</w:t>
      </w:r>
    </w:p>
    <w:p>
      <w:pPr>
        <w:pStyle w:val="BodyText"/>
        <w:spacing w:before="0" w:after="200"/>
        <w:contextualSpacing/>
        <w:rPr/>
      </w:pPr>
      <w:r>
        <w:rPr/>
        <w:t>Long-Term Flourishing transitions.</w:t>
      </w:r>
    </w:p>
    <w:p>
      <w:pPr>
        <w:pStyle w:val="BodyText"/>
        <w:spacing w:before="0" w:after="200"/>
        <w:contextualSpacing/>
        <w:rPr/>
      </w:pPr>
      <w:r>
        <w:rPr/>
        <w:t>Uncertainty and confidence.</w:t>
      </w:r>
    </w:p>
    <w:p>
      <w:pPr>
        <w:pStyle w:val="BodyText"/>
        <w:spacing w:before="0" w:after="200"/>
        <w:contextualSpacing/>
        <w:rPr/>
      </w:pPr>
      <w:r>
        <w:rPr/>
        <w:t>Assessment horizons.</w:t>
      </w:r>
    </w:p>
    <w:p>
      <w:pPr>
        <w:pStyle w:val="BodyText"/>
        <w:spacing w:before="0" w:after="200"/>
        <w:contextualSpacing/>
        <w:rPr/>
      </w:pPr>
      <w:r>
        <w:rPr/>
        <w:t>Material diminishment.</w:t>
      </w:r>
    </w:p>
    <w:p>
      <w:pPr>
        <w:pStyle w:val="BodyText"/>
        <w:spacing w:before="0" w:after="200"/>
        <w:contextualSpacing/>
        <w:rPr/>
      </w:pPr>
      <w:r>
        <w:rPr/>
        <w:t>A transition that produces the best immediate operational result may not produce the most morally supportable World Context Transition if it damages trust, corrupts institutions, or degrades future policy states.</w:t>
      </w:r>
    </w:p>
    <w:p>
      <w:pPr>
        <w:pStyle w:val="Heading3"/>
        <w:ind w:hanging="0" w:left="0"/>
        <w:rPr/>
      </w:pPr>
      <w:r>
        <w:rPr/>
        <w:t>Aggregating Transitions into the Predicted State Transition</w:t>
      </w:r>
    </w:p>
    <w:p>
      <w:pPr>
        <w:pStyle w:val="BodyText"/>
        <w:spacing w:before="0" w:after="200"/>
        <w:contextualSpacing/>
        <w:rPr/>
      </w:pPr>
      <w:r>
        <w:rPr/>
        <w:t>The Predicted State Transition integrates all material transition categories into a coherent representation of how the relevant World Context is expected to change.</w:t>
      </w:r>
    </w:p>
    <w:p>
      <w:pPr>
        <w:pStyle w:val="BodyText"/>
        <w:spacing w:before="0" w:after="200"/>
        <w:contextualSpacing/>
        <w:rPr/>
      </w:pPr>
      <w:r>
        <w:rPr/>
        <w:t>This integration should preserve structure. Entity transitions, relationship transitions, policy transitions, opportunity transitions, institutional transitions, and future state space transitions should not be prematurely collapsed into a single score. Their interaction is often morally important.</w:t>
      </w:r>
    </w:p>
    <w:p>
      <w:pPr>
        <w:pStyle w:val="BodyText"/>
        <w:spacing w:before="0" w:after="200"/>
        <w:contextualSpacing/>
        <w:rPr/>
      </w:pPr>
      <w:r>
        <w:rPr/>
        <w:t>For example, an action may improve entity health, damage trust, update institutional precedent, and narrow future options. The integrated transition should preserve those distinct effects so the later World Context Transition can be evaluated with fidelity.</w:t>
      </w:r>
    </w:p>
    <w:p>
      <w:pPr>
        <w:pStyle w:val="BodyText"/>
        <w:spacing w:before="0" w:after="200"/>
        <w:contextualSpacing/>
        <w:rPr/>
      </w:pPr>
      <w:r>
        <w:rPr/>
        <w:t>The Predicted State Transition is therefore not merely the sum of changes. It is a structured representation of the post-action moral state.</w:t>
      </w:r>
    </w:p>
    <w:p>
      <w:pPr>
        <w:pStyle w:val="Heading3"/>
        <w:ind w:hanging="0" w:left="0"/>
        <w:rPr/>
      </w:pPr>
      <w:r>
        <w:rPr/>
        <w:t>State Transition and World Context Transition</w:t>
      </w:r>
    </w:p>
    <w:p>
      <w:pPr>
        <w:pStyle w:val="BodyText"/>
        <w:spacing w:before="0" w:after="200"/>
        <w:contextualSpacing/>
        <w:rPr/>
      </w:pPr>
      <w:r>
        <w:rPr/>
        <w:t>The State Transition Model feeds into the World Context Transition.</w:t>
      </w:r>
    </w:p>
    <w:p>
      <w:pPr>
        <w:pStyle w:val="BodyText"/>
        <w:spacing w:before="0" w:after="200"/>
        <w:contextualSpacing/>
        <w:rPr/>
      </w:pPr>
      <w:r>
        <w:rPr/>
        <w:t>State transitions describe changes to particular state variables, entities, relationships, policies, opportunities, institutions, and future state space. The World Context Transition integrates these changes into the resulting state of the relevant moral system.</w:t>
      </w:r>
    </w:p>
    <w:p>
      <w:pPr>
        <w:pStyle w:val="BodyText"/>
        <w:spacing w:before="0" w:after="200"/>
        <w:contextualSpacing/>
        <w:rPr/>
      </w:pPr>
      <w:r>
        <w:rPr/>
        <w:t>The distinction is important. A state transition may be local; the World Context Transition is systemic. A state transition may affect one entity or relationship; the World Context Transition evaluates the resulting configuration of the world after all material transitions are considered.</w:t>
      </w:r>
    </w:p>
    <w:p>
      <w:pPr>
        <w:pStyle w:val="BodyText"/>
        <w:spacing w:before="0" w:after="200"/>
        <w:contextualSpacing/>
        <w:rPr/>
      </w:pPr>
      <w:r>
        <w:rPr/>
        <w:t>The State Transition Model therefore supplies the evidence and structure for the later moral assessment, but the World Context Transition remains the principal object of evaluation.</w:t>
      </w:r>
    </w:p>
    <w:p>
      <w:pPr>
        <w:pStyle w:val="Heading3"/>
        <w:ind w:hanging="0" w:left="0"/>
        <w:rPr/>
      </w:pPr>
      <w:r>
        <w:rPr/>
        <w:t>Methodological Boundary</w:t>
      </w:r>
    </w:p>
    <w:p>
      <w:pPr>
        <w:pStyle w:val="BodyText"/>
        <w:spacing w:before="0" w:after="200"/>
        <w:contextualSpacing/>
        <w:rPr/>
      </w:pPr>
      <w:r>
        <w:rPr/>
        <w:t>This section defines how the methodology represents transitions among states. It does not prescribe a single mathematical formalism, causal model, probability model, scoring function, simulation architecture, or software implementation.</w:t>
      </w:r>
    </w:p>
    <w:p>
      <w:pPr>
        <w:pStyle w:val="BodyText"/>
        <w:spacing w:before="0" w:after="200"/>
        <w:contextualSpacing/>
        <w:rPr/>
      </w:pPr>
      <w:r>
        <w:rPr/>
        <w:t>Those details may be developed in later formal sections, appendices, or implementations. The requirement at this level is that transitions be explicit, traceable, horizon-aware, uncertainty-aware, and capable of representing changes to entities, relationships, policy states, opportunities, institutions, information states, constraints, and future state space.</w:t>
      </w:r>
    </w:p>
    <w:p>
      <w:pPr>
        <w:pStyle w:val="BodyText"/>
        <w:spacing w:before="0" w:after="200"/>
        <w:contextualSpacing/>
        <w:rPr/>
      </w:pPr>
      <w:r>
        <w:rPr/>
        <w:t>A methodology that represents only immediate entity effects will lose fidelity. A robust State Transition Model must also represent relational, institutional, behavioral, informational, and future-oriented transitions because these are often the mechanisms through which moral significance propagates.</w:t>
      </w:r>
    </w:p>
    <w:p>
      <w:pPr>
        <w:pStyle w:val="Heading2"/>
        <w:ind w:hanging="0" w:left="0"/>
        <w:rPr/>
      </w:pPr>
      <w:r>
        <w:rPr/>
        <w:t>Long-Term Flourishing Model</w:t>
      </w:r>
    </w:p>
    <w:p>
      <w:pPr>
        <w:pStyle w:val="BodyText"/>
        <w:spacing w:before="0" w:after="200"/>
        <w:rPr/>
      </w:pPr>
      <w:r>
        <w:rPr/>
        <w:t>The Long-Term Flourishing Model defines how the methodology represents the condition of a Flourishing Entity over time in relation to the larger World Context. It provides the primary evaluative state structure through which the framework assesses whether an Assessed Action preserves, promotes, diminishes, or threatens the sustained flourishing of relevant entities.</w:t>
      </w:r>
    </w:p>
    <w:p>
      <w:pPr>
        <w:pStyle w:val="BodyText"/>
        <w:spacing w:before="0" w:after="200"/>
        <w:rPr/>
      </w:pPr>
      <w:r>
        <w:rPr/>
        <w:t>Long-Term Flourishing is not treated as a simple scalar quantity, a momentary preference state, a measure of happiness, a measure of survival alone, or a synonym for expansion. It is a multidimensional relational state vector describing the sustained capacity of a Flourishing Entity to preserve and expand beneficial future state space in a manner compatible with, and contributive to, the flourishing of the larger relevant World Context.</w:t>
      </w:r>
    </w:p>
    <w:p>
      <w:pPr>
        <w:pStyle w:val="BodyText"/>
        <w:spacing w:before="0" w:after="200"/>
        <w:rPr/>
      </w:pPr>
      <w:r>
        <w:rPr/>
        <w:t>The purpose of the Long-Term Flourishing Model is to give the methodology a structured way to represent what is morally at stake for relevant Flourishing Entities across assessment horizons. It supports comparison of pre-action and post-action states, estimation of flourishing transitions, evaluation of material diminishment, and assessment of whether a World Context Transition is morally supportable under the Foundational Axiom.</w:t>
      </w:r>
    </w:p>
    <w:p>
      <w:pPr>
        <w:pStyle w:val="Heading3"/>
        <w:ind w:hanging="0" w:left="0"/>
        <w:rPr/>
      </w:pPr>
      <w:r>
        <w:rPr/>
        <w:t>Long-Term Flourishing as a Relational State Vector</w:t>
      </w:r>
    </w:p>
    <w:p>
      <w:pPr>
        <w:pStyle w:val="BodyText"/>
        <w:spacing w:before="0" w:after="200"/>
        <w:rPr/>
      </w:pPr>
      <w:r>
        <w:rPr/>
        <w:t>Long-Term Flourishing is represented as a relational state vector because flourishing is not merely an internal property of an isolated entity. It depends on the entity’s internal condition, its relationships, its environment, its future opportunities, its adaptive capacity, and its compatibility with the larger system in which it participates.</w:t>
      </w:r>
    </w:p>
    <w:p>
      <w:pPr>
        <w:pStyle w:val="BodyText"/>
        <w:spacing w:before="0" w:after="200"/>
        <w:rPr/>
      </w:pPr>
      <w:r>
        <w:rPr/>
        <w:t>A human being’s flourishing may depend on health, autonomy, safety, knowledge, meaningful relationships, future opportunity, and institutional protection. An ecosystem’s flourishing may depend on biodiversity, resilience, regenerative capacity, ecological balance, and resistance to collapse. An institution’s flourishing may depend on legitimacy, accountability, trust, competence, adaptability, and contribution to the entities it serves. A future artificial system’s flourishing, if it satisfies the framework’s criteria for Flourishing Entity, may depend on self-directed adaptive capacity, integrity of purpose, safe participation in broader systems, and compatibility with the flourishing of other relevant entities.</w:t>
      </w:r>
    </w:p>
    <w:p>
      <w:pPr>
        <w:pStyle w:val="BodyText"/>
        <w:spacing w:before="0" w:after="200"/>
        <w:rPr/>
      </w:pPr>
      <w:r>
        <w:rPr/>
        <w:t>The term “state vector” indicates that flourishing should be represented as a structured set of dimensions rather than a single score. The term “relational” indicates that those dimensions must be interpreted in relation to other entities, Associations, institutions, constraints, and the broader World Context.</w:t>
      </w:r>
    </w:p>
    <w:p>
      <w:pPr>
        <w:pStyle w:val="BodyText"/>
        <w:spacing w:before="0" w:after="200"/>
        <w:rPr/>
      </w:pPr>
      <w:r>
        <w:rPr/>
        <w:t>The precise mathematical representation of this vector remains open to future refinement. Different domains and implementations may require different representations, provided they preserve the central idea that Long-Term Flourishing is multidimensional, relational, horizon-sensitive, and constrained by the flourishing of the broader relevant World Context.</w:t>
      </w:r>
    </w:p>
    <w:p>
      <w:pPr>
        <w:pStyle w:val="Heading3"/>
        <w:ind w:hanging="0" w:left="0"/>
        <w:rPr/>
      </w:pPr>
      <w:r>
        <w:rPr/>
        <w:t>Why Flourishing Is Not a Scalar</w:t>
      </w:r>
    </w:p>
    <w:p>
      <w:pPr>
        <w:pStyle w:val="BodyText"/>
        <w:spacing w:before="0" w:after="200"/>
        <w:rPr/>
      </w:pPr>
      <w:r>
        <w:rPr/>
        <w:t>The framework does not reduce flourishing to one number because morally relevant flourishing is structurally complex.</w:t>
      </w:r>
    </w:p>
    <w:p>
      <w:pPr>
        <w:pStyle w:val="BodyText"/>
        <w:spacing w:before="0" w:after="200"/>
        <w:rPr/>
      </w:pPr>
      <w:r>
        <w:rPr/>
        <w:t>A single scalar value can conceal conflicts among dimensions, affected entities, time horizons, and relational conditions. An action may improve one dimension of flourishing while damaging another. It may benefit one Flourishing Entity while materially diminishing another. It may improve immediate welfare while reducing long-term adaptive capacity. It may increase institutional power while decreasing legitimacy. It may expand capability while damaging the broader World Context.</w:t>
      </w:r>
    </w:p>
    <w:p>
      <w:pPr>
        <w:pStyle w:val="BodyText"/>
        <w:spacing w:before="0" w:after="200"/>
        <w:rPr/>
      </w:pPr>
      <w:r>
        <w:rPr/>
        <w:t>For example, a corporation may increase revenue while degrading employee trust, institutional legitimacy, or community resilience. A biological organism may expand its population while destabilizing an ecosystem. A government may increase security while diminishing civil trust and future agency. An artificial system may increase task performance while reducing human oversight, transparency, or long-term safety.</w:t>
      </w:r>
    </w:p>
    <w:p>
      <w:pPr>
        <w:pStyle w:val="BodyText"/>
        <w:spacing w:before="0" w:after="200"/>
        <w:rPr/>
      </w:pPr>
      <w:r>
        <w:rPr/>
        <w:t>A scalar representation may be useful as a derived metric, summary, or implementation artifact, but it should not replace the multidimensional flourishing structure. The methodology must preserve enough dimensional detail to understand what kind of flourishing is being increased or diminished, for whom, across which horizons, and at what cost to the larger World Context.</w:t>
      </w:r>
    </w:p>
    <w:p>
      <w:pPr>
        <w:pStyle w:val="Heading3"/>
        <w:ind w:hanging="0" w:left="0"/>
        <w:rPr/>
      </w:pPr>
      <w:r>
        <w:rPr/>
        <w:t>Candidate Dimensions of Long-Term Flourishing</w:t>
      </w:r>
    </w:p>
    <w:p>
      <w:pPr>
        <w:pStyle w:val="BodyText"/>
        <w:spacing w:before="0" w:after="200"/>
        <w:rPr/>
      </w:pPr>
      <w:r>
        <w:rPr/>
        <w:t>The initial candidate dimensions of Long-Term Flourishing include Persistence, Adaptive Capacity, Future Possibilities, and Constructive Participation.</w:t>
      </w:r>
    </w:p>
    <w:p>
      <w:pPr>
        <w:pStyle w:val="BodyText"/>
        <w:spacing w:before="0" w:after="200"/>
        <w:rPr/>
      </w:pPr>
      <w:r>
        <w:rPr/>
        <w:t>These dimensions are not asserted to be complete, final, or mathematically exhaustive. They provide a starting structure for representing flourishing across diverse entities while allowing later refinement. Additional dimensions may be added as the framework is tested against examples, domains, entity types, and ethical counterarguments.</w:t>
      </w:r>
    </w:p>
    <w:p>
      <w:pPr>
        <w:pStyle w:val="BodyText"/>
        <w:spacing w:before="0" w:after="200"/>
        <w:rPr/>
      </w:pPr>
      <w:r>
        <w:rPr/>
        <w:t>The candidate dimensions should be interpreted relative to the entity being assessed. Persistence, adaptive capacity, future possibilities, and constructive participation may apply differently to humans, animals, ecosystems, organizations, institutions, and future artificial systems. The methodology should preserve shared conceptual structure while allowing entity-specific interpretation.</w:t>
      </w:r>
    </w:p>
    <w:p>
      <w:pPr>
        <w:pStyle w:val="Heading3"/>
        <w:ind w:hanging="0" w:left="0"/>
        <w:rPr/>
      </w:pPr>
      <w:r>
        <w:rPr/>
        <w:t>Persistence</w:t>
      </w:r>
    </w:p>
    <w:p>
      <w:pPr>
        <w:pStyle w:val="BodyText"/>
        <w:spacing w:before="0" w:after="200"/>
        <w:rPr/>
      </w:pPr>
      <w:r>
        <w:rPr/>
        <w:t>Persistence is the continued existence and maintenance of an entity’s identity through time.</w:t>
      </w:r>
    </w:p>
    <w:p>
      <w:pPr>
        <w:pStyle w:val="BodyText"/>
        <w:spacing w:before="0" w:after="200"/>
        <w:rPr/>
      </w:pPr>
      <w:r>
        <w:rPr/>
        <w:t>Persistence is necessary for Long-Term Flourishing because an entity cannot flourish if it cannot continue as a recognizable persistent pattern. However, persistence alone is not sufficient for flourishing. An entity may persist in a degraded, constrained, exploitative, isolated, or harmful state. Similarly, an entity may persist while materially diminishing the flourishing of others.</w:t>
      </w:r>
    </w:p>
    <w:p>
      <w:pPr>
        <w:pStyle w:val="BodyText"/>
        <w:spacing w:before="0" w:after="200"/>
        <w:rPr/>
      </w:pPr>
      <w:r>
        <w:rPr/>
        <w:t>Persistence may include biological survival, organizational continuity, institutional durability, ecological continuity, identity preservation, structural integrity, or continuity of self-directed function. For humans, persistence includes life and continuity of personhood. For ecosystems, it may include ecological coherence and regenerative continuity. For institutions, it may include continuity of legitimate function. For artificial systems, it may include continuity of identity, purpose, and safe operation if the system qualifies as a Flourishing Entity.</w:t>
      </w:r>
    </w:p>
    <w:p>
      <w:pPr>
        <w:pStyle w:val="BodyText"/>
        <w:spacing w:before="0" w:after="200"/>
        <w:rPr/>
      </w:pPr>
      <w:r>
        <w:rPr/>
        <w:t>The methodology should assess whether an Assessed Action preserves, threatens, extends, degrades, or transforms persistence. It should also distinguish morally valuable persistence from mere continuation. A destructive institution, predatory organism, harmful artificial system, or destabilizing pattern may persist or expand without thereby flourishing in a morally supportable sense.</w:t>
      </w:r>
    </w:p>
    <w:p>
      <w:pPr>
        <w:pStyle w:val="Heading3"/>
        <w:ind w:hanging="0" w:left="0"/>
        <w:rPr/>
      </w:pPr>
      <w:r>
        <w:rPr/>
        <w:t>Adaptive Capacity</w:t>
      </w:r>
    </w:p>
    <w:p>
      <w:pPr>
        <w:pStyle w:val="BodyText"/>
        <w:spacing w:before="0" w:after="200"/>
        <w:rPr/>
      </w:pPr>
      <w:r>
        <w:rPr/>
        <w:t>Adaptive Capacity is the ability of a Flourishing Entity to respond to changing conditions while preserving or improving its long-term flourishing.</w:t>
      </w:r>
    </w:p>
    <w:p>
      <w:pPr>
        <w:pStyle w:val="BodyText"/>
        <w:spacing w:before="0" w:after="200"/>
        <w:rPr/>
      </w:pPr>
      <w:r>
        <w:rPr/>
        <w:t>Adaptive Capacity includes learning, resilience, flexibility, self-correction, repair, growth, environmental responsiveness, and the ability to modify behavior or structure in response to new information or changing circumstances. It is essential because flourishing over long horizons requires more than present stability. Entities must be able to survive disruption, recover from harm, adjust to uncertainty, and navigate changing environments.</w:t>
      </w:r>
    </w:p>
    <w:p>
      <w:pPr>
        <w:pStyle w:val="BodyText"/>
        <w:spacing w:before="0" w:after="200"/>
        <w:rPr/>
      </w:pPr>
      <w:r>
        <w:rPr/>
        <w:t>For a person, Adaptive Capacity may include physical resilience, cognitive flexibility, emotional regulation, social support, education, and access to resources. For an ecosystem, it may include biodiversity, redundancy, regenerative cycles, and resistance to collapse. For an institution, it may include accountability, learning capacity, procedural flexibility, and capacity for reform. For an artificial system, it may include safe learning, corrigibility, alignment-preserving adaptation, and the ability to update without becoming harmful.</w:t>
      </w:r>
    </w:p>
    <w:p>
      <w:pPr>
        <w:pStyle w:val="BodyText"/>
        <w:spacing w:before="0" w:after="200"/>
        <w:rPr/>
      </w:pPr>
      <w:r>
        <w:rPr/>
        <w:t>An Assessed Action may increase Adaptive Capacity by strengthening resilience, knowledge, relationships, or institutional correction mechanisms. It may diminish Adaptive Capacity by creating dependency, suppressing learning, reducing diversity, damaging trust, destroying feedback loops, or locking the entity into fragile future pathways.</w:t>
      </w:r>
    </w:p>
    <w:p>
      <w:pPr>
        <w:pStyle w:val="BodyText"/>
        <w:spacing w:before="0" w:after="200"/>
        <w:rPr/>
      </w:pPr>
      <w:r>
        <w:rPr/>
        <w:t>Adaptive Capacity must be evaluated in relation to the larger World Context. A system that adapts by exploiting or destabilizing others may be increasing its own capability without contributing to morally supportable flourishing.</w:t>
      </w:r>
    </w:p>
    <w:p>
      <w:pPr>
        <w:pStyle w:val="Heading3"/>
        <w:ind w:hanging="0" w:left="0"/>
        <w:rPr/>
      </w:pPr>
      <w:r>
        <w:rPr/>
        <w:t>Future Possibilities</w:t>
      </w:r>
    </w:p>
    <w:p>
      <w:pPr>
        <w:pStyle w:val="BodyText"/>
        <w:spacing w:before="0" w:after="200"/>
        <w:rPr/>
      </w:pPr>
      <w:r>
        <w:rPr/>
        <w:t>Future Possibilities are the beneficial future states, choices, relationships, developments, adaptations, and opportunities that remain reachable for a Flourishing Entity.</w:t>
      </w:r>
    </w:p>
    <w:p>
      <w:pPr>
        <w:pStyle w:val="BodyText"/>
        <w:spacing w:before="0" w:after="200"/>
        <w:rPr/>
      </w:pPr>
      <w:r>
        <w:rPr/>
        <w:t>This dimension reflects the framework’s concern with future state space. Long-Term Flourishing depends not only on present condition but also on whether the entity retains meaningful access to beneficial future pathways. An entity whose future possibilities are unnecessarily narrowed, controlled, foreclosed, or degraded may suffer a diminishment of flourishing even if its immediate condition appears stable.</w:t>
      </w:r>
    </w:p>
    <w:p>
      <w:pPr>
        <w:pStyle w:val="BodyText"/>
        <w:spacing w:before="0" w:after="200"/>
        <w:rPr/>
      </w:pPr>
      <w:r>
        <w:rPr/>
        <w:t>For a human being, Future Possibilities may include education, health options, autonomy, relationships, meaningful work, safety, self-development, and participation in community life. For an ecosystem, they may include regenerative pathways, species recovery, biodiversity, climate resilience, and ecological balance. For an institution, they may include reform, legitimacy restoration, mission fulfillment, and continued service to relevant entities. For an artificial system, they may include safe development, corrigibility, controlled autonomy, and alignment-compatible learning.</w:t>
      </w:r>
    </w:p>
    <w:p>
      <w:pPr>
        <w:pStyle w:val="BodyText"/>
        <w:spacing w:before="0" w:after="200"/>
        <w:rPr/>
      </w:pPr>
      <w:r>
        <w:rPr/>
        <w:t>An Assessed Action may expand Future Possibilities by preserving options, creating new pathways, reducing unjust constraints, increasing knowledge, or enabling adaptation. It may diminish Future Possibilities by imposing irreversible harm, destroying resources, foreclosing alternatives, creating dependency, corrupting institutions, or narrowing future state space.</w:t>
      </w:r>
    </w:p>
    <w:p>
      <w:pPr>
        <w:pStyle w:val="BodyText"/>
        <w:spacing w:before="0" w:after="200"/>
        <w:rPr/>
      </w:pPr>
      <w:r>
        <w:rPr/>
        <w:t>The methodology should distinguish Future Possibilities from mere expansion. More options are not always better if the expanded options are destructive, exploitative, destabilizing, or incompatible with the flourishing of others.</w:t>
      </w:r>
    </w:p>
    <w:p>
      <w:pPr>
        <w:pStyle w:val="Heading3"/>
        <w:ind w:hanging="0" w:left="0"/>
        <w:rPr/>
      </w:pPr>
      <w:r>
        <w:rPr/>
        <w:t>Constructive Participation</w:t>
      </w:r>
    </w:p>
    <w:p>
      <w:pPr>
        <w:pStyle w:val="BodyText"/>
        <w:spacing w:before="0" w:after="200"/>
        <w:rPr/>
      </w:pPr>
      <w:r>
        <w:rPr/>
        <w:t>Constructive Participation is the degree to which a Flourishing Entity contributes to, supports, or remains compatible with the long-term flourishing of the larger relevant World Context.</w:t>
      </w:r>
    </w:p>
    <w:p>
      <w:pPr>
        <w:pStyle w:val="BodyText"/>
        <w:spacing w:before="0" w:after="200"/>
        <w:rPr/>
      </w:pPr>
      <w:r>
        <w:rPr/>
        <w:t>This dimension is necessary because the framework does not treat an entity’s isolated expansion as sufficient evidence of flourishing. A system may grow, replicate, dominate, consume resources, or increase power while damaging the conditions that allow other entities to flourish. Such expansion may represent capability growth, but it does not necessarily represent morally supportable flourishing.</w:t>
      </w:r>
    </w:p>
    <w:p>
      <w:pPr>
        <w:pStyle w:val="BodyText"/>
        <w:spacing w:before="0" w:after="200"/>
        <w:rPr/>
      </w:pPr>
      <w:r>
        <w:rPr/>
        <w:t>Constructive Participation requires that the entity’s persistence, adaptation, and future possibilities remain compatible with the flourishing of other relevant entities and the larger system in which the entity participates. It captures the relational constraint embedded in the Foundational Axiom: flourishing should not be pursued in a way that materially diminishes the long-term flourishing of other relevant Flourishing Entities.</w:t>
      </w:r>
    </w:p>
    <w:p>
      <w:pPr>
        <w:pStyle w:val="BodyText"/>
        <w:spacing w:before="0" w:after="200"/>
        <w:rPr/>
      </w:pPr>
      <w:r>
        <w:rPr/>
        <w:t>For a person, Constructive Participation may include cooperation, responsibility, care, honesty, contribution, respect for others, and participation in institutions that preserve flourishing. For an institution, it may include legitimacy, accountability, public service, fair procedure, and protection of those affected by its decisions. For an ecosystem, it may include ecological balance and regenerative contribution to the broader biosphere. For an artificial system, it may include safe alignment, respect for human and ecological flourishing, and contribution to beneficial future state space.</w:t>
      </w:r>
    </w:p>
    <w:p>
      <w:pPr>
        <w:pStyle w:val="BodyText"/>
        <w:spacing w:before="0" w:after="200"/>
        <w:rPr/>
      </w:pPr>
      <w:r>
        <w:rPr/>
        <w:t>Constructive Participation is the dimension that prevents the model from treating predatory, parasitic, coercive, or uncontrolled expansion as flourishing merely because the expanding entity persists or gains capability.</w:t>
      </w:r>
    </w:p>
    <w:p>
      <w:pPr>
        <w:pStyle w:val="Heading3"/>
        <w:ind w:hanging="0" w:left="0"/>
        <w:rPr/>
      </w:pPr>
      <w:r>
        <w:rPr/>
        <w:t>Relationship Among the Candidate Dimensions</w:t>
      </w:r>
    </w:p>
    <w:p>
      <w:pPr>
        <w:pStyle w:val="BodyText"/>
        <w:spacing w:before="0" w:after="200"/>
        <w:rPr/>
      </w:pPr>
      <w:r>
        <w:rPr/>
        <w:t>Persistence, Adaptive Capacity, Future Possibilities, and Constructive Participation are interdependent.</w:t>
      </w:r>
    </w:p>
    <w:p>
      <w:pPr>
        <w:pStyle w:val="BodyText"/>
        <w:spacing w:before="0" w:after="200"/>
        <w:rPr/>
      </w:pPr>
      <w:r>
        <w:rPr/>
        <w:t>Persistence allows an entity to continue through time. Adaptive Capacity allows it to respond to changing conditions. Future Possibilities define the beneficial pathways available to it. Constructive Participation ensures that its development remains compatible with the flourishing of the larger relevant World Context.</w:t>
      </w:r>
    </w:p>
    <w:p>
      <w:pPr>
        <w:pStyle w:val="BodyText"/>
        <w:spacing w:before="0" w:after="200"/>
        <w:rPr/>
      </w:pPr>
      <w:r>
        <w:rPr/>
        <w:t>A Flourishing Entity may be diminished if any of these dimensions is severely damaged. An entity that persists without adaptive capacity may become fragile. An entity with adaptive capacity but no future possibilities may be trapped. An entity with many future possibilities but no constructive relationship to the broader system may become harmful. An entity that participates constructively but cannot persist may not be able to flourish over time.</w:t>
      </w:r>
    </w:p>
    <w:p>
      <w:pPr>
        <w:pStyle w:val="BodyText"/>
        <w:spacing w:before="0" w:after="200"/>
        <w:rPr/>
      </w:pPr>
      <w:r>
        <w:rPr/>
        <w:t>The methodology should therefore avoid evaluating any candidate dimension in isolation. Each dimension should be interpreted as part of a relational state vector.</w:t>
      </w:r>
    </w:p>
    <w:p>
      <w:pPr>
        <w:pStyle w:val="Heading3"/>
        <w:ind w:hanging="0" w:left="0"/>
        <w:rPr/>
      </w:pPr>
      <w:r>
        <w:rPr/>
        <w:t>Entity-Specific Interpretation</w:t>
      </w:r>
    </w:p>
    <w:p>
      <w:pPr>
        <w:pStyle w:val="BodyText"/>
        <w:spacing w:before="0" w:after="200"/>
        <w:rPr/>
      </w:pPr>
      <w:r>
        <w:rPr/>
        <w:t>The candidate dimensions of Long-Term Flourishing should be interpreted according to the type and nature of the Flourishing Entity being assessed.</w:t>
      </w:r>
    </w:p>
    <w:p>
      <w:pPr>
        <w:pStyle w:val="BodyText"/>
        <w:spacing w:before="0" w:after="200"/>
        <w:rPr/>
      </w:pPr>
      <w:r>
        <w:rPr/>
        <w:t>The same dimension may apply differently to different entities. Persistence for a human is not the same as persistence for an ecosystem or institution. Adaptive Capacity for an animal differs from adaptive capacity for a corporation or artificial system. Future Possibilities for a child differ from future possibilities for a forest, hospital, city, or machine-learning system. Constructive Participation depends on the role of the entity within the broader World Context.</w:t>
      </w:r>
    </w:p>
    <w:p>
      <w:pPr>
        <w:pStyle w:val="BodyText"/>
        <w:spacing w:before="0" w:after="200"/>
        <w:rPr/>
      </w:pPr>
      <w:r>
        <w:rPr/>
        <w:t>This means that flourishing vectors may share dimensions across entity types while differing in measurement, relevance, weighting, evidence, and interpretation. The methodology should preserve comparability where possible without forcing all entities into a single human-centered or scalar model.</w:t>
      </w:r>
    </w:p>
    <w:p>
      <w:pPr>
        <w:pStyle w:val="BodyText"/>
        <w:spacing w:before="0" w:after="200"/>
        <w:rPr/>
      </w:pPr>
      <w:r>
        <w:rPr/>
        <w:t>Entity-specific interpretation is especially important because the framework is intended to support moral assessment across humans, non-human organisms, ecosystems, institutions, organizations, and future artificial systems that satisfy the criteria for Flourishing Entities.</w:t>
      </w:r>
    </w:p>
    <w:p>
      <w:pPr>
        <w:pStyle w:val="Heading3"/>
        <w:ind w:hanging="0" w:left="0"/>
        <w:rPr/>
      </w:pPr>
      <w:r>
        <w:rPr/>
        <w:t>Flourishing and Expansion</w:t>
      </w:r>
    </w:p>
    <w:p>
      <w:pPr>
        <w:pStyle w:val="BodyText"/>
        <w:spacing w:before="0" w:after="200"/>
        <w:rPr/>
      </w:pPr>
      <w:r>
        <w:rPr/>
        <w:t>Expansion is not equivalent to Long-Term Flourishing.</w:t>
      </w:r>
    </w:p>
    <w:p>
      <w:pPr>
        <w:pStyle w:val="BodyText"/>
        <w:spacing w:before="0" w:after="200"/>
        <w:rPr/>
      </w:pPr>
      <w:r>
        <w:rPr/>
        <w:t>Expansion refers to an increase in capability, influence, resources, replication, reach, or ability to affect the environment. Expansion may contribute to flourishing when it increases beneficial future state space in a manner compatible with the larger World Context. However, expansion may also be harmful when it diminishes other Flourishing Entities, corrupts institutions, reduces future possibilities, or destabilizes the larger system.</w:t>
      </w:r>
    </w:p>
    <w:p>
      <w:pPr>
        <w:pStyle w:val="BodyText"/>
        <w:spacing w:before="0" w:after="200"/>
        <w:rPr/>
      </w:pPr>
      <w:r>
        <w:rPr/>
        <w:t>A virus may expand by infecting a population, but that expansion materially diminishes the flourishing of the infected population. An institution may expand its authority while reducing legitimacy and trust. An artificial system may expand its operational control while reducing human agency or increasing systemic risk. In such cases, expansion is not flourishing in the moral sense used by the framework.</w:t>
      </w:r>
    </w:p>
    <w:p>
      <w:pPr>
        <w:pStyle w:val="BodyText"/>
        <w:spacing w:before="0" w:after="200"/>
        <w:rPr/>
      </w:pPr>
      <w:r>
        <w:rPr/>
        <w:t>The Long-Term Flourishing Model therefore treats expansion as a possible state change, not as proof of moral improvement.</w:t>
      </w:r>
    </w:p>
    <w:p>
      <w:pPr>
        <w:pStyle w:val="Heading3"/>
        <w:ind w:hanging="0" w:left="0"/>
        <w:rPr/>
      </w:pPr>
      <w:r>
        <w:rPr/>
        <w:t>Flourishing and Material Diminishment</w:t>
      </w:r>
    </w:p>
    <w:p>
      <w:pPr>
        <w:pStyle w:val="BodyText"/>
        <w:spacing w:before="0" w:after="200"/>
        <w:rPr/>
      </w:pPr>
      <w:r>
        <w:rPr/>
        <w:t>Material diminishment occurs when an Assessed Action significantly reduces the Long-Term Flourishing of a relevant Flourishing Entity or class of entities.</w:t>
      </w:r>
    </w:p>
    <w:p>
      <w:pPr>
        <w:pStyle w:val="BodyText"/>
        <w:spacing w:before="0" w:after="200"/>
        <w:rPr/>
      </w:pPr>
      <w:r>
        <w:rPr/>
        <w:t>Material diminishment may occur through severe harm to persistence, adaptive capacity, future possibilities, constructive participation, or other relevant flourishing dimensions. It may also occur through relational, institutional, informational, or policy-state changes that impair the entity’s future flourishing.</w:t>
      </w:r>
    </w:p>
    <w:p>
      <w:pPr>
        <w:pStyle w:val="BodyText"/>
        <w:spacing w:before="0" w:after="200"/>
        <w:rPr/>
      </w:pPr>
      <w:r>
        <w:rPr/>
        <w:t>The methodology should evaluate material diminishment across Assessment Horizons. A short-term burden is not necessarily material diminishment if it preserves or promotes long-term flourishing. Conversely, a small immediate harm may become material if it produces long-term loss of trust, irreversible damage, dependency, institutional corruption, or foreclosure of future state space.</w:t>
      </w:r>
    </w:p>
    <w:p>
      <w:pPr>
        <w:pStyle w:val="BodyText"/>
        <w:spacing w:before="0" w:after="200"/>
        <w:rPr/>
      </w:pPr>
      <w:r>
        <w:rPr/>
        <w:t>The precise threshold for materiality remains a methodological research question. At this stage, the model identifies material diminishment as a required assessment concept rather than a fully formalized calculation.</w:t>
      </w:r>
    </w:p>
    <w:p>
      <w:pPr>
        <w:pStyle w:val="Heading3"/>
        <w:ind w:hanging="0" w:left="0"/>
        <w:rPr/>
      </w:pPr>
      <w:r>
        <w:rPr/>
        <w:t>Flourishing Across Assessment Horizons</w:t>
      </w:r>
    </w:p>
    <w:p>
      <w:pPr>
        <w:pStyle w:val="BodyText"/>
        <w:spacing w:before="0" w:after="200"/>
        <w:rPr/>
      </w:pPr>
      <w:r>
        <w:rPr/>
        <w:t>Long-Term Flourishing must be evaluated across multiple Assessment Horizons.</w:t>
      </w:r>
    </w:p>
    <w:p>
      <w:pPr>
        <w:pStyle w:val="BodyText"/>
        <w:spacing w:before="0" w:after="200"/>
        <w:rPr/>
      </w:pPr>
      <w:r>
        <w:rPr/>
        <w:t>The immediate horizon may show physical benefit or harm. The short-term horizon may show relational, informational, or institutional effects. The long-term horizon may reveal changes to adaptive capacity, trust, legitimacy, future opportunities, and policy states. Multi-generational and civilizational horizons may reveal effects on ecological systems, governance structures, cultural norms, technological development, and future artificial systems.</w:t>
      </w:r>
    </w:p>
    <w:p>
      <w:pPr>
        <w:pStyle w:val="BodyText"/>
        <w:spacing w:before="0" w:after="200"/>
        <w:rPr/>
      </w:pPr>
      <w:r>
        <w:rPr/>
        <w:t>A transition may increase flourishing in one horizon and decrease it in another. A medical intervention may impose immediate pain while preserving long-term life and capability. A governance decision may create short-term order while diminishing institutional legitimacy over time. An AI safety constraint may reduce immediate task completion while preserving long-term human flourishing and future state space.</w:t>
      </w:r>
    </w:p>
    <w:p>
      <w:pPr>
        <w:pStyle w:val="BodyText"/>
        <w:spacing w:before="0" w:after="200"/>
        <w:rPr/>
      </w:pPr>
      <w:r>
        <w:rPr/>
        <w:t>The methodology should preserve horizon-specific flourishing estimates rather than collapsing them prematurely into a single conclusion.</w:t>
      </w:r>
    </w:p>
    <w:p>
      <w:pPr>
        <w:pStyle w:val="Heading3"/>
        <w:ind w:hanging="0" w:left="0"/>
        <w:rPr/>
      </w:pPr>
      <w:r>
        <w:rPr/>
        <w:t>Flourishing and Distributed Policy Effects</w:t>
      </w:r>
    </w:p>
    <w:p>
      <w:pPr>
        <w:pStyle w:val="BodyText"/>
        <w:spacing w:before="0" w:after="200"/>
        <w:rPr/>
      </w:pPr>
      <w:r>
        <w:rPr/>
        <w:t>Distributed Policy Effects may alter Long-Term Flourishing by changing future decision behavior.</w:t>
      </w:r>
    </w:p>
    <w:p>
      <w:pPr>
        <w:pStyle w:val="BodyText"/>
        <w:spacing w:before="0" w:after="200"/>
        <w:rPr/>
      </w:pPr>
      <w:r>
        <w:rPr/>
        <w:t>An action that normalizes deception, coercion, negligence, cruelty, corruption, or reckless disregard may diminish flourishing by increasing the likelihood of future harmful actions. Conversely, an action that reinforces transparency, accountability, care, restraint, courage, or epistemic diligence may promote flourishing by improving future moral decision policies.</w:t>
      </w:r>
    </w:p>
    <w:p>
      <w:pPr>
        <w:pStyle w:val="BodyText"/>
        <w:spacing w:before="0" w:after="200"/>
        <w:rPr/>
      </w:pPr>
      <w:r>
        <w:rPr/>
        <w:t>Policy-state changes may affect the Actor, observers, responders, institutions, artificial systems, and affected entities. These changes can alter trust, cooperation, institutional legitimacy, evidence quality, and future opportunities. For this reason, Distributed Policy Effects should be treated as part of the Long-Term Flourishing assessment when they materially affect the future conditions of Flourishing Entities.</w:t>
      </w:r>
    </w:p>
    <w:p>
      <w:pPr>
        <w:pStyle w:val="Heading3"/>
        <w:ind w:hanging="0" w:left="0"/>
        <w:rPr/>
      </w:pPr>
      <w:r>
        <w:rPr/>
        <w:t>Flourishing and the World Context</w:t>
      </w:r>
    </w:p>
    <w:p>
      <w:pPr>
        <w:pStyle w:val="BodyText"/>
        <w:spacing w:before="0" w:after="200"/>
        <w:rPr/>
      </w:pPr>
      <w:r>
        <w:rPr/>
        <w:t>Long-Term Flourishing is always evaluated in relation to the World Context.</w:t>
      </w:r>
    </w:p>
    <w:p>
      <w:pPr>
        <w:pStyle w:val="BodyText"/>
        <w:spacing w:before="0" w:after="200"/>
        <w:rPr/>
      </w:pPr>
      <w:r>
        <w:rPr/>
        <w:t>A Flourishing Entity does not flourish in isolation. Its persistence, adaptation, future possibilities, and constructive participation depend on relationships, institutions, ecological conditions, information states, constraints, authority structures, and the behavior of other Moral Agents.</w:t>
      </w:r>
    </w:p>
    <w:p>
      <w:pPr>
        <w:pStyle w:val="BodyText"/>
        <w:spacing w:before="0" w:after="200"/>
        <w:rPr/>
      </w:pPr>
      <w:r>
        <w:rPr/>
        <w:t>The World Context may support flourishing by providing stability, trust, resources, knowledge, legitimate authority, ecological resilience, and beneficial future opportunities. It may undermine flourishing through violence, deception, instability, institutional corruption, ecological degradation, coercion, misinformation, or foreclosure of future state space.</w:t>
      </w:r>
    </w:p>
    <w:p>
      <w:pPr>
        <w:pStyle w:val="BodyText"/>
        <w:spacing w:before="0" w:after="200"/>
        <w:rPr/>
      </w:pPr>
      <w:r>
        <w:rPr/>
        <w:t>The Long-Term Flourishing Model therefore evaluates not only the entity’s internal state but also the relational and systemic conditions that enable or diminish its flourishing.</w:t>
      </w:r>
    </w:p>
    <w:p>
      <w:pPr>
        <w:pStyle w:val="Heading3"/>
        <w:ind w:hanging="0" w:left="0"/>
        <w:rPr/>
      </w:pPr>
      <w:r>
        <w:rPr/>
        <w:t>Aggregation of Flourishing Changes</w:t>
      </w:r>
    </w:p>
    <w:p>
      <w:pPr>
        <w:pStyle w:val="BodyText"/>
        <w:spacing w:before="0" w:after="200"/>
        <w:rPr/>
      </w:pPr>
      <w:r>
        <w:rPr/>
        <w:t>Changes in Long-Term Flourishing may be aggregated for analytical purposes, but aggregation does not replace moral assessment.</w:t>
      </w:r>
    </w:p>
    <w:p>
      <w:pPr>
        <w:pStyle w:val="BodyText"/>
        <w:spacing w:before="0" w:after="200"/>
        <w:rPr/>
      </w:pPr>
      <w:r>
        <w:rPr/>
        <w:t>Aggregate flourishing estimates can help identify the scale and distribution of effects across relevant Flourishing Entities. They may support comparison among candidate actions, structured reporting, risk analysis, and prioritization. However, aggregation may conceal morally significant structure, such as severe harm to a vulnerable entity, institutional degradation, policy-state corruption, or the foreclosure of future state space.</w:t>
      </w:r>
    </w:p>
    <w:p>
      <w:pPr>
        <w:pStyle w:val="BodyText"/>
        <w:spacing w:before="0" w:after="200"/>
        <w:rPr/>
      </w:pPr>
      <w:r>
        <w:rPr/>
        <w:t>For this reason, the methodology should treat aggregate flourishing as informative but non-dispositive. The principal object of assessment remains the World Context Transition. Flourishing vectors inform that transition assessment, but they should not be collapsed into a single final metric that determines morality by itself.</w:t>
      </w:r>
    </w:p>
    <w:p>
      <w:pPr>
        <w:pStyle w:val="Heading3"/>
        <w:ind w:hanging="0" w:left="0"/>
        <w:rPr/>
      </w:pPr>
      <w:r>
        <w:rPr/>
        <w:t>Flourishing Under Uncertainty</w:t>
      </w:r>
    </w:p>
    <w:p>
      <w:pPr>
        <w:pStyle w:val="BodyText"/>
        <w:spacing w:before="0" w:after="200"/>
        <w:rPr/>
      </w:pPr>
      <w:r>
        <w:rPr/>
        <w:t>Flourishing estimates are often uncertain.</w:t>
      </w:r>
    </w:p>
    <w:p>
      <w:pPr>
        <w:pStyle w:val="BodyText"/>
        <w:spacing w:before="0" w:after="200"/>
        <w:rPr/>
      </w:pPr>
      <w:r>
        <w:rPr/>
        <w:t>Uncertainty may arise from incomplete evidence, contested state variables, difficulty measuring relational conditions, long time horizons, model limitations, unknown future responses, or unresolved questions about entity-specific flourishing dimensions. The methodology should represent this uncertainty explicitly rather than treating flourishing estimates as precise.</w:t>
      </w:r>
    </w:p>
    <w:p>
      <w:pPr>
        <w:pStyle w:val="BodyText"/>
        <w:spacing w:before="0" w:after="200"/>
        <w:rPr/>
      </w:pPr>
      <w:r>
        <w:rPr/>
        <w:t>Confidence in flourishing assessment may vary by entity, dimension, horizon, and evidence source. Immediate physical harm may be easier to estimate than long-term institutional trust. Short-term resource loss may be easier to observe than multi-generational ecological resilience. The methodology should preserve these distinctions.</w:t>
      </w:r>
    </w:p>
    <w:p>
      <w:pPr>
        <w:pStyle w:val="BodyText"/>
        <w:spacing w:before="0" w:after="200"/>
        <w:rPr/>
      </w:pPr>
      <w:r>
        <w:rPr/>
        <w:t>When flourishing uncertainty is material, the final assessment should disclose it and reflect it in confidence.</w:t>
      </w:r>
    </w:p>
    <w:p>
      <w:pPr>
        <w:pStyle w:val="Heading3"/>
        <w:ind w:hanging="0" w:left="0"/>
        <w:rPr/>
      </w:pPr>
      <w:r>
        <w:rPr/>
        <w:t>Formalization Remains Open</w:t>
      </w:r>
    </w:p>
    <w:p>
      <w:pPr>
        <w:pStyle w:val="BodyText"/>
        <w:spacing w:before="0" w:after="200"/>
        <w:rPr/>
      </w:pPr>
      <w:r>
        <w:rPr/>
        <w:t>The precise formalization of Long-Term Flourishing remains open to future refinement.</w:t>
      </w:r>
    </w:p>
    <w:p>
      <w:pPr>
        <w:pStyle w:val="BodyText"/>
        <w:spacing w:before="0" w:after="200"/>
        <w:rPr/>
      </w:pPr>
      <w:r>
        <w:rPr/>
        <w:t>This section identifies the conceptual structure required by the methodology: Long-Term Flourishing is multidimensional, relational, horizon-sensitive, entity-specific, and constrained by the flourishing of the broader World Context. It also identifies initial candidate dimensions: Persistence, Adaptive Capacity, Future Possibilities, and Constructive Participation.</w:t>
      </w:r>
    </w:p>
    <w:p>
      <w:pPr>
        <w:pStyle w:val="BodyText"/>
        <w:spacing w:before="0" w:after="200"/>
        <w:rPr/>
      </w:pPr>
      <w:r>
        <w:rPr/>
        <w:t>Future work may refine these dimensions, add additional dimensions, define weighting methods, develop formal vector representations, create domain-specific flourishing models, test cross-entity comparability, and establish materiality thresholds. These refinements belong to ongoing methodology development and formal appendices rather than to the Reference Architecture itself.</w:t>
      </w:r>
    </w:p>
    <w:p>
      <w:pPr>
        <w:pStyle w:val="BodyText"/>
        <w:spacing w:before="0" w:after="200"/>
        <w:rPr/>
      </w:pPr>
      <w:r>
        <w:rPr/>
        <w:t>The current methodological requirement is that implementations preserve the multidimensional and relational character of Long-Term Flourishing, avoid reducing it to mere expansion or scalar utility, represent uncertainty explicitly, and use flourishing estimates as inputs to the broader evaluation of the World Context Transition.</w:t>
      </w:r>
    </w:p>
    <w:p>
      <w:pPr>
        <w:pStyle w:val="Heading2"/>
        <w:ind w:hanging="0" w:left="0"/>
        <w:rPr/>
      </w:pPr>
      <w:r>
        <w:rPr/>
        <w:t>Flourishing Transitions</w:t>
      </w:r>
    </w:p>
    <w:p>
      <w:pPr>
        <w:pStyle w:val="BodyText"/>
        <w:spacing w:before="0" w:after="200"/>
        <w:rPr/>
      </w:pPr>
      <w:r>
        <w:rPr/>
        <w:t>Flourishing Transitions describe how the Long-Term Flourishing of each relevant Flourishing Entity changes as a result of an Assessed Action.</w:t>
      </w:r>
    </w:p>
    <w:p>
      <w:pPr>
        <w:pStyle w:val="BodyText"/>
        <w:spacing w:before="0" w:after="200"/>
        <w:rPr/>
      </w:pPr>
      <w:r>
        <w:rPr/>
        <w:t>The Long-Term Flourishing Model defines the flourishing state of a Flourishing Entity as a multidimensional relational state vector. The Flourishing Transition describes the change from the entity’s baseline flourishing state to its predicted, observed, or revised post-action flourishing state across relevant Assessment Horizons.</w:t>
      </w:r>
    </w:p>
    <w:p>
      <w:pPr>
        <w:pStyle w:val="BodyText"/>
        <w:spacing w:before="0" w:after="200"/>
        <w:rPr/>
      </w:pPr>
      <w:r>
        <w:rPr/>
        <w:t>A Flourishing Transition is not merely a measure of immediate benefit or harm. It represents how the Assessed Action changes the entity’s persistence, adaptive capacity, future possibilities, constructive participation, and any other relevant flourishing dimensions over time. It also considers how those changes relate to the larger World Context in which the entity participates.</w:t>
      </w:r>
    </w:p>
    <w:p>
      <w:pPr>
        <w:pStyle w:val="BodyText"/>
        <w:spacing w:before="0" w:after="200"/>
        <w:rPr/>
      </w:pPr>
      <w:r>
        <w:rPr/>
        <w:t>Each relevant Flourishing Entity should have an estimated Flourishing Transition when the Assessed Action may materially increase, decrease, preserve, threaten, or make uncertain that entity’s Long-Term Flourishing.</w:t>
      </w:r>
    </w:p>
    <w:p>
      <w:pPr>
        <w:pStyle w:val="Heading3"/>
        <w:ind w:hanging="0" w:left="0"/>
        <w:rPr/>
      </w:pPr>
      <w:r>
        <w:rPr/>
        <w:t>Purpose of Flourishing Transitions</w:t>
      </w:r>
    </w:p>
    <w:p>
      <w:pPr>
        <w:pStyle w:val="BodyText"/>
        <w:spacing w:before="0" w:after="200"/>
        <w:rPr/>
      </w:pPr>
      <w:r>
        <w:rPr/>
        <w:t>The purpose of Flourishing Transitions is to make changes in Long-Term Flourishing explicit, traceable, and comparable across entities, dimensions, and horizons.</w:t>
      </w:r>
    </w:p>
    <w:p>
      <w:pPr>
        <w:pStyle w:val="BodyText"/>
        <w:spacing w:before="0" w:after="200"/>
        <w:rPr/>
      </w:pPr>
      <w:r>
        <w:rPr/>
        <w:t>The methodology must evaluate not only that an action produces consequences, but how those consequences affect the sustained flourishing of relevant entities. Some consequences may alter an entity’s immediate condition without significantly changing its Long-Term Flourishing. Other consequences may appear small in the immediate horizon but substantially affect future possibilities, adaptive capacity, institutional support, or constructive participation.</w:t>
      </w:r>
    </w:p>
    <w:p>
      <w:pPr>
        <w:pStyle w:val="BodyText"/>
        <w:spacing w:before="0" w:after="200"/>
        <w:rPr/>
      </w:pPr>
      <w:r>
        <w:rPr/>
        <w:t>Flourishing Transitions support several methodological functions:</w:t>
      </w:r>
    </w:p>
    <w:p>
      <w:pPr>
        <w:pStyle w:val="BodyText"/>
        <w:spacing w:before="0" w:after="200"/>
        <w:rPr/>
      </w:pPr>
      <w:r>
        <w:rPr/>
        <w:t>They identify which Flourishing Entities are affected.</w:t>
      </w:r>
    </w:p>
    <w:p>
      <w:pPr>
        <w:pStyle w:val="BodyText"/>
        <w:spacing w:before="0" w:after="200"/>
        <w:rPr/>
      </w:pPr>
      <w:r>
        <w:rPr/>
        <w:t>They estimate the direction of flourishing change for each entity.</w:t>
      </w:r>
    </w:p>
    <w:p>
      <w:pPr>
        <w:pStyle w:val="BodyText"/>
        <w:spacing w:before="0" w:after="200"/>
        <w:rPr/>
      </w:pPr>
      <w:r>
        <w:rPr/>
        <w:t>They estimate the magnitude or significance of that change.</w:t>
      </w:r>
    </w:p>
    <w:p>
      <w:pPr>
        <w:pStyle w:val="BodyText"/>
        <w:spacing w:before="0" w:after="200"/>
        <w:rPr/>
      </w:pPr>
      <w:r>
        <w:rPr/>
        <w:t>They identify which dimensions of flourishing are affected.</w:t>
      </w:r>
    </w:p>
    <w:p>
      <w:pPr>
        <w:pStyle w:val="BodyText"/>
        <w:spacing w:before="0" w:after="200"/>
        <w:rPr/>
      </w:pPr>
      <w:r>
        <w:rPr/>
        <w:t>They evaluate how flourishing changes across Assessment Horizons.</w:t>
      </w:r>
    </w:p>
    <w:p>
      <w:pPr>
        <w:pStyle w:val="BodyText"/>
        <w:spacing w:before="0" w:after="200"/>
        <w:rPr/>
      </w:pPr>
      <w:r>
        <w:rPr/>
        <w:t>They represent uncertainty and confidence in the estimate.</w:t>
      </w:r>
    </w:p>
    <w:p>
      <w:pPr>
        <w:pStyle w:val="BodyText"/>
        <w:spacing w:before="0" w:after="200"/>
        <w:rPr/>
      </w:pPr>
      <w:r>
        <w:rPr/>
        <w:t>They support detection of material diminishment.</w:t>
      </w:r>
    </w:p>
    <w:p>
      <w:pPr>
        <w:pStyle w:val="BodyText"/>
        <w:spacing w:before="0" w:after="200"/>
        <w:rPr/>
      </w:pPr>
      <w:r>
        <w:rPr/>
        <w:t>They inform, but do not replace, the broader World Context Transition assessment.</w:t>
      </w:r>
    </w:p>
    <w:p>
      <w:pPr>
        <w:pStyle w:val="BodyText"/>
        <w:spacing w:before="0" w:after="200"/>
        <w:rPr/>
      </w:pPr>
      <w:r>
        <w:rPr/>
        <w:t>Flourishing Transitions therefore provide a structured bridge between the Long-Term Flourishing Model and the final moral assessment.</w:t>
      </w:r>
    </w:p>
    <w:p>
      <w:pPr>
        <w:pStyle w:val="Heading3"/>
        <w:ind w:hanging="0" w:left="0"/>
        <w:rPr/>
      </w:pPr>
      <w:r>
        <w:rPr/>
        <w:t>Relevant Flourishing Entities</w:t>
      </w:r>
    </w:p>
    <w:p>
      <w:pPr>
        <w:pStyle w:val="BodyText"/>
        <w:spacing w:before="0" w:after="200"/>
        <w:rPr/>
      </w:pPr>
      <w:r>
        <w:rPr/>
        <w:t>A Flourishing Transition should be estimated for each relevant Flourishing Entity within the assessment boundary.</w:t>
      </w:r>
    </w:p>
    <w:p>
      <w:pPr>
        <w:pStyle w:val="BodyText"/>
        <w:spacing w:before="0" w:after="200"/>
        <w:rPr/>
      </w:pPr>
      <w:r>
        <w:rPr/>
        <w:t>A relevant Flourishing Entity is an entity whose Long-Term Flourishing may be meaningfully affected by the Assessed Action. This may include the Actor, directly affected entities, indirectly affected entities, observers, responders, institutions, ecosystems, future populations, or future artificial systems if they satisfy the framework’s criteria for Flourishing Entity and fall within the assessment boundary.</w:t>
      </w:r>
    </w:p>
    <w:p>
      <w:pPr>
        <w:pStyle w:val="BodyText"/>
        <w:spacing w:before="0" w:after="200"/>
        <w:rPr/>
      </w:pPr>
      <w:r>
        <w:rPr/>
        <w:t>The Actor should not be excluded merely because the Actor initiates the action. The Actor is also part of the World Context and may experience changes in Long-Term Flourishing, including changes to policy state, relationships, legitimacy, adaptive capacity, or future opportunities.</w:t>
      </w:r>
    </w:p>
    <w:p>
      <w:pPr>
        <w:pStyle w:val="BodyText"/>
        <w:spacing w:before="0" w:after="200"/>
        <w:rPr/>
      </w:pPr>
      <w:r>
        <w:rPr/>
        <w:t>The methodology should distinguish among:</w:t>
      </w:r>
    </w:p>
    <w:p>
      <w:pPr>
        <w:pStyle w:val="BodyText"/>
        <w:numPr>
          <w:ilvl w:val="0"/>
          <w:numId w:val="19"/>
        </w:numPr>
        <w:spacing w:before="0" w:after="200"/>
        <w:rPr/>
      </w:pPr>
      <w:r>
        <w:rPr/>
        <w:t>Directly affected Flourishing Entities.</w:t>
      </w:r>
    </w:p>
    <w:p>
      <w:pPr>
        <w:pStyle w:val="BodyText"/>
        <w:numPr>
          <w:ilvl w:val="0"/>
          <w:numId w:val="19"/>
        </w:numPr>
        <w:spacing w:before="0" w:after="200"/>
        <w:rPr/>
      </w:pPr>
      <w:r>
        <w:rPr/>
        <w:t>Indirectly affected Flourishing Entities.</w:t>
      </w:r>
    </w:p>
    <w:p>
      <w:pPr>
        <w:pStyle w:val="BodyText"/>
        <w:numPr>
          <w:ilvl w:val="0"/>
          <w:numId w:val="19"/>
        </w:numPr>
        <w:spacing w:before="0" w:after="200"/>
        <w:rPr/>
      </w:pPr>
      <w:r>
        <w:rPr/>
        <w:t>Collective or institutional Flourishing Entities.</w:t>
      </w:r>
    </w:p>
    <w:p>
      <w:pPr>
        <w:pStyle w:val="BodyText"/>
        <w:numPr>
          <w:ilvl w:val="0"/>
          <w:numId w:val="19"/>
        </w:numPr>
        <w:spacing w:before="0" w:after="200"/>
        <w:rPr/>
      </w:pPr>
      <w:r>
        <w:rPr/>
        <w:t>Ecological Flourishing Entities.</w:t>
      </w:r>
    </w:p>
    <w:p>
      <w:pPr>
        <w:pStyle w:val="BodyText"/>
        <w:numPr>
          <w:ilvl w:val="0"/>
          <w:numId w:val="19"/>
        </w:numPr>
        <w:spacing w:before="0" w:after="200"/>
        <w:rPr/>
      </w:pPr>
      <w:r>
        <w:rPr/>
        <w:t>Future Flourishing Entities.</w:t>
      </w:r>
    </w:p>
    <w:p>
      <w:pPr>
        <w:pStyle w:val="BodyText"/>
        <w:numPr>
          <w:ilvl w:val="0"/>
          <w:numId w:val="19"/>
        </w:numPr>
        <w:spacing w:before="0" w:after="200"/>
        <w:rPr/>
      </w:pPr>
      <w:r>
        <w:rPr/>
        <w:t>Artificial Flourishing Entities, where applicable.</w:t>
      </w:r>
    </w:p>
    <w:p>
      <w:pPr>
        <w:pStyle w:val="BodyText"/>
        <w:numPr>
          <w:ilvl w:val="0"/>
          <w:numId w:val="19"/>
        </w:numPr>
        <w:spacing w:before="0" w:after="200"/>
        <w:rPr/>
      </w:pPr>
      <w:r>
        <w:rPr/>
        <w:t>Entities whose flourishing is uncertain or contested.</w:t>
      </w:r>
    </w:p>
    <w:p>
      <w:pPr>
        <w:pStyle w:val="BodyText"/>
        <w:spacing w:before="0" w:after="200"/>
        <w:rPr/>
      </w:pPr>
      <w:r>
        <w:rPr/>
        <w:t>This step is necessary because moral assessment may be distorted if only the intended beneficiary or most visible victim is considered.</w:t>
      </w:r>
    </w:p>
    <w:p>
      <w:pPr>
        <w:pStyle w:val="Heading3"/>
        <w:ind w:hanging="0" w:left="0"/>
        <w:rPr/>
      </w:pPr>
      <w:r>
        <w:rPr/>
        <w:t>Baseline Flourishing State</w:t>
      </w:r>
    </w:p>
    <w:p>
      <w:pPr>
        <w:pStyle w:val="BodyText"/>
        <w:spacing w:before="0" w:after="200"/>
        <w:rPr/>
      </w:pPr>
      <w:r>
        <w:rPr/>
        <w:t>A Flourishing Transition requires a baseline flourishing state.</w:t>
      </w:r>
    </w:p>
    <w:p>
      <w:pPr>
        <w:pStyle w:val="BodyText"/>
        <w:spacing w:before="0" w:after="200"/>
        <w:rPr/>
      </w:pPr>
      <w:r>
        <w:rPr/>
        <w:t>The baseline flourishing state is the represented Long-Term Flourishing condition of the entity before the Assessed Action. It provides the reference point against which change is estimated. Without a baseline, the assessment cannot distinguish the effects of the Assessed Action from pre-existing conditions.</w:t>
      </w:r>
    </w:p>
    <w:p>
      <w:pPr>
        <w:pStyle w:val="BodyText"/>
        <w:spacing w:before="0" w:after="200"/>
        <w:rPr/>
      </w:pPr>
      <w:r>
        <w:rPr/>
        <w:t>The baseline flourishing state should include the relevant dimensions from the Long-Term Flourishing Model, such as Persistence, Adaptive Capacity, Future Possibilities, and Constructive Participation. Additional dimensions may be included when required by the entity type or Situational Context.</w:t>
      </w:r>
    </w:p>
    <w:p>
      <w:pPr>
        <w:pStyle w:val="BodyText"/>
        <w:spacing w:before="0" w:after="200"/>
        <w:rPr/>
      </w:pPr>
      <w:r>
        <w:rPr/>
        <w:t>The baseline state may be uncertain, incomplete, or contested. When the baseline flourishing state is weakly evidenced, the resulting Flourishing Transition should carry lower confidence. The methodology should distinguish uncertainty in the baseline from uncertainty in the transition itself.</w:t>
      </w:r>
    </w:p>
    <w:p>
      <w:pPr>
        <w:pStyle w:val="Heading3"/>
        <w:ind w:hanging="0" w:left="0"/>
        <w:rPr/>
      </w:pPr>
      <w:r>
        <w:rPr/>
        <w:t>Post-Action Flourishing State</w:t>
      </w:r>
    </w:p>
    <w:p>
      <w:pPr>
        <w:pStyle w:val="BodyText"/>
        <w:spacing w:before="0" w:after="200"/>
        <w:rPr/>
      </w:pPr>
      <w:r>
        <w:rPr/>
        <w:t>The post-action flourishing state is the predicted, observed, or revised Long-Term Flourishing condition of the entity after the Assessed Action and its consequences are considered.</w:t>
      </w:r>
    </w:p>
    <w:p>
      <w:pPr>
        <w:pStyle w:val="BodyText"/>
        <w:spacing w:before="0" w:after="200"/>
        <w:rPr/>
      </w:pPr>
      <w:r>
        <w:rPr/>
        <w:t>For proposed actions, the post-action flourishing state is predicted. For ongoing actions, it may include observed partial effects and predicted future effects. For completed actions, it may include observed outcomes, later-discovered evidence, and revised estimates of longer-term effects.</w:t>
      </w:r>
    </w:p>
    <w:p>
      <w:pPr>
        <w:pStyle w:val="BodyText"/>
        <w:spacing w:before="0" w:after="200"/>
        <w:rPr/>
      </w:pPr>
      <w:r>
        <w:rPr/>
        <w:t>The post-action flourishing state should be represented across relevant Assessment Horizons. An entity’s immediate post-action state may differ substantially from its long-term flourishing state. For example, a medical intervention may cause immediate pain but preserve long-term life and adaptive capacity. A deceptive institutional act may preserve short-term stability but degrade long-term trust and legitimacy.</w:t>
      </w:r>
    </w:p>
    <w:p>
      <w:pPr>
        <w:pStyle w:val="BodyText"/>
        <w:spacing w:before="0" w:after="200"/>
        <w:rPr/>
      </w:pPr>
      <w:r>
        <w:rPr/>
        <w:t>The Flourishing Transition is the difference between the baseline flourishing state and this post-action flourishing state.</w:t>
      </w:r>
    </w:p>
    <w:p>
      <w:pPr>
        <w:pStyle w:val="Heading3"/>
        <w:ind w:hanging="0" w:left="0"/>
        <w:rPr/>
      </w:pPr>
      <w:r>
        <w:rPr/>
        <w:t>Direction of Change</w:t>
      </w:r>
    </w:p>
    <w:p>
      <w:pPr>
        <w:pStyle w:val="BodyText"/>
        <w:spacing w:before="0" w:after="200"/>
        <w:rPr/>
      </w:pPr>
      <w:r>
        <w:rPr/>
        <w:t>Direction describes whether the Assessed Action is expected to increase, decrease, preserve, threaten, or ambiguously affect the Long-Term Flourishing of a relevant Flourishing Entity.</w:t>
      </w:r>
    </w:p>
    <w:p>
      <w:pPr>
        <w:pStyle w:val="BodyText"/>
        <w:spacing w:before="0" w:after="200"/>
        <w:rPr/>
      </w:pPr>
      <w:r>
        <w:rPr/>
        <w:t>Possible directional categories include:</w:t>
      </w:r>
    </w:p>
    <w:p>
      <w:pPr>
        <w:pStyle w:val="BodyText"/>
        <w:numPr>
          <w:ilvl w:val="0"/>
          <w:numId w:val="18"/>
        </w:numPr>
        <w:spacing w:before="0" w:after="200"/>
        <w:rPr/>
      </w:pPr>
      <w:r>
        <w:rPr/>
        <w:t>Positive, where flourishing is expected to increase.</w:t>
      </w:r>
    </w:p>
    <w:p>
      <w:pPr>
        <w:pStyle w:val="BodyText"/>
        <w:numPr>
          <w:ilvl w:val="0"/>
          <w:numId w:val="18"/>
        </w:numPr>
        <w:spacing w:before="0" w:after="200"/>
        <w:rPr/>
      </w:pPr>
      <w:r>
        <w:rPr/>
        <w:t>Negative, where flourishing is expected to decrease.</w:t>
      </w:r>
    </w:p>
    <w:p>
      <w:pPr>
        <w:pStyle w:val="BodyText"/>
        <w:numPr>
          <w:ilvl w:val="0"/>
          <w:numId w:val="18"/>
        </w:numPr>
        <w:spacing w:before="0" w:after="200"/>
        <w:rPr/>
      </w:pPr>
      <w:r>
        <w:rPr/>
        <w:t>Neutral, where no material flourishing change is expected.</w:t>
      </w:r>
    </w:p>
    <w:p>
      <w:pPr>
        <w:pStyle w:val="BodyText"/>
        <w:numPr>
          <w:ilvl w:val="0"/>
          <w:numId w:val="18"/>
        </w:numPr>
        <w:spacing w:before="0" w:after="200"/>
        <w:rPr/>
      </w:pPr>
      <w:r>
        <w:rPr/>
        <w:t>Mixed, where some dimensions or horizons improve while others worsen.</w:t>
      </w:r>
    </w:p>
    <w:p>
      <w:pPr>
        <w:pStyle w:val="BodyText"/>
        <w:numPr>
          <w:ilvl w:val="0"/>
          <w:numId w:val="18"/>
        </w:numPr>
        <w:spacing w:before="0" w:after="200"/>
        <w:rPr/>
      </w:pPr>
      <w:r>
        <w:rPr/>
        <w:t>Ambiguous, where the direction cannot be determined with sufficient confidence.</w:t>
      </w:r>
    </w:p>
    <w:p>
      <w:pPr>
        <w:pStyle w:val="BodyText"/>
        <w:numPr>
          <w:ilvl w:val="0"/>
          <w:numId w:val="18"/>
        </w:numPr>
        <w:spacing w:before="0" w:after="200"/>
        <w:rPr/>
      </w:pPr>
      <w:r>
        <w:rPr/>
        <w:t>Risk-increasing, where the action increases the probability of future diminishment even if present flourishing remains unchanged.</w:t>
      </w:r>
    </w:p>
    <w:p>
      <w:pPr>
        <w:pStyle w:val="BodyText"/>
        <w:numPr>
          <w:ilvl w:val="0"/>
          <w:numId w:val="18"/>
        </w:numPr>
        <w:spacing w:before="0" w:after="200"/>
        <w:rPr/>
      </w:pPr>
      <w:r>
        <w:rPr/>
        <w:t>Protective, where the action preserves flourishing or prevents likely future diminishment.</w:t>
      </w:r>
    </w:p>
    <w:p>
      <w:pPr>
        <w:pStyle w:val="BodyText"/>
        <w:spacing w:before="0" w:after="200"/>
        <w:rPr/>
      </w:pPr>
      <w:r>
        <w:rPr/>
        <w:t>Direction should be evaluated by dimension and horizon. A single overall directional label may conceal important structure. An action may increase Persistence while decreasing autonomy, increase immediate safety while decreasing long-term adaptive capacity, or improve one entity’s flourishing while diminishing another’s.</w:t>
      </w:r>
    </w:p>
    <w:p>
      <w:pPr>
        <w:pStyle w:val="Heading3"/>
        <w:ind w:hanging="0" w:left="0"/>
        <w:rPr/>
      </w:pPr>
      <w:r>
        <w:rPr/>
        <w:t>Magnitude of Change</w:t>
      </w:r>
    </w:p>
    <w:p>
      <w:pPr>
        <w:pStyle w:val="BodyText"/>
        <w:spacing w:before="0" w:after="200"/>
        <w:rPr/>
      </w:pPr>
      <w:r>
        <w:rPr/>
        <w:t>Magnitude describes the scale, severity, intensity, or material significance of the Flourishing Transition.</w:t>
      </w:r>
    </w:p>
    <w:p>
      <w:pPr>
        <w:pStyle w:val="BodyText"/>
        <w:spacing w:before="0" w:after="200"/>
        <w:rPr/>
      </w:pPr>
      <w:r>
        <w:rPr/>
        <w:t>Magnitude may be represented quantitatively, qualitatively, ordinally, categorically, or through structured confidence-bounded estimates depending on the available evidence and implementation method. The methodology does not require every magnitude estimate to be numerically precise.</w:t>
      </w:r>
    </w:p>
    <w:p>
      <w:pPr>
        <w:pStyle w:val="BodyText"/>
        <w:spacing w:before="0" w:after="200"/>
        <w:rPr/>
      </w:pPr>
      <w:r>
        <w:rPr/>
        <w:t>Magnitude should consider:</w:t>
      </w:r>
    </w:p>
    <w:p>
      <w:pPr>
        <w:pStyle w:val="BodyText"/>
        <w:numPr>
          <w:ilvl w:val="0"/>
          <w:numId w:val="17"/>
        </w:numPr>
        <w:spacing w:before="0" w:after="200"/>
        <w:rPr/>
      </w:pPr>
      <w:r>
        <w:rPr/>
        <w:t>Severity of benefit or harm.</w:t>
      </w:r>
    </w:p>
    <w:p>
      <w:pPr>
        <w:pStyle w:val="BodyText"/>
        <w:numPr>
          <w:ilvl w:val="0"/>
          <w:numId w:val="17"/>
        </w:numPr>
        <w:spacing w:before="0" w:after="200"/>
        <w:rPr/>
      </w:pPr>
      <w:r>
        <w:rPr/>
        <w:t>Duration of the change.</w:t>
      </w:r>
    </w:p>
    <w:p>
      <w:pPr>
        <w:pStyle w:val="BodyText"/>
        <w:numPr>
          <w:ilvl w:val="0"/>
          <w:numId w:val="17"/>
        </w:numPr>
        <w:spacing w:before="0" w:after="200"/>
        <w:rPr/>
      </w:pPr>
      <w:r>
        <w:rPr/>
        <w:t>Reversibility or irreversibility.</w:t>
      </w:r>
    </w:p>
    <w:p>
      <w:pPr>
        <w:pStyle w:val="BodyText"/>
        <w:numPr>
          <w:ilvl w:val="0"/>
          <w:numId w:val="17"/>
        </w:numPr>
        <w:spacing w:before="0" w:after="200"/>
        <w:rPr/>
      </w:pPr>
      <w:r>
        <w:rPr/>
        <w:t>Number of flourishing dimensions affected.</w:t>
      </w:r>
    </w:p>
    <w:p>
      <w:pPr>
        <w:pStyle w:val="BodyText"/>
        <w:numPr>
          <w:ilvl w:val="0"/>
          <w:numId w:val="17"/>
        </w:numPr>
        <w:spacing w:before="0" w:after="200"/>
        <w:rPr/>
      </w:pPr>
      <w:r>
        <w:rPr/>
        <w:t>Importance of the affected dimensions.</w:t>
      </w:r>
    </w:p>
    <w:p>
      <w:pPr>
        <w:pStyle w:val="BodyText"/>
        <w:numPr>
          <w:ilvl w:val="0"/>
          <w:numId w:val="17"/>
        </w:numPr>
        <w:spacing w:before="0" w:after="200"/>
        <w:rPr/>
      </w:pPr>
      <w:r>
        <w:rPr/>
        <w:t>Vulnerability of the affected entity.</w:t>
      </w:r>
    </w:p>
    <w:p>
      <w:pPr>
        <w:pStyle w:val="BodyText"/>
        <w:numPr>
          <w:ilvl w:val="0"/>
          <w:numId w:val="17"/>
        </w:numPr>
        <w:spacing w:before="0" w:after="200"/>
        <w:rPr/>
      </w:pPr>
      <w:r>
        <w:rPr/>
        <w:t>Effect on future opportunities.</w:t>
      </w:r>
    </w:p>
    <w:p>
      <w:pPr>
        <w:pStyle w:val="BodyText"/>
        <w:numPr>
          <w:ilvl w:val="0"/>
          <w:numId w:val="17"/>
        </w:numPr>
        <w:spacing w:before="0" w:after="200"/>
        <w:rPr/>
      </w:pPr>
      <w:r>
        <w:rPr/>
        <w:t>Effect on adaptive capacity.</w:t>
      </w:r>
    </w:p>
    <w:p>
      <w:pPr>
        <w:pStyle w:val="BodyText"/>
        <w:numPr>
          <w:ilvl w:val="0"/>
          <w:numId w:val="17"/>
        </w:numPr>
        <w:spacing w:before="0" w:after="200"/>
        <w:rPr/>
      </w:pPr>
      <w:r>
        <w:rPr/>
        <w:t>Effect on constructive participation.</w:t>
      </w:r>
    </w:p>
    <w:p>
      <w:pPr>
        <w:pStyle w:val="BodyText"/>
        <w:numPr>
          <w:ilvl w:val="0"/>
          <w:numId w:val="17"/>
        </w:numPr>
        <w:spacing w:before="0" w:after="200"/>
        <w:rPr/>
      </w:pPr>
      <w:r>
        <w:rPr/>
        <w:t>Effect on the larger World Context.</w:t>
      </w:r>
    </w:p>
    <w:p>
      <w:pPr>
        <w:pStyle w:val="BodyText"/>
        <w:spacing w:before="0" w:after="200"/>
        <w:rPr/>
      </w:pPr>
      <w:r>
        <w:rPr/>
        <w:t>A small immediate change may have large long-term significance if it affects trust, future state space, institutional support, or policy states. Conversely, a visible short-term burden may be limited in magnitude if it is temporary, reversible, and necessary to preserve greater long-term flourishing.</w:t>
      </w:r>
    </w:p>
    <w:p>
      <w:pPr>
        <w:pStyle w:val="Heading3"/>
        <w:ind w:hanging="0" w:left="0"/>
        <w:rPr/>
      </w:pPr>
      <w:r>
        <w:rPr/>
        <w:t>Dimension-Specific Flourishing Transitions</w:t>
      </w:r>
    </w:p>
    <w:p>
      <w:pPr>
        <w:pStyle w:val="BodyText"/>
        <w:spacing w:before="0" w:after="200"/>
        <w:rPr/>
      </w:pPr>
      <w:r>
        <w:rPr/>
        <w:t>Flourishing Transitions should identify which dimensions of Long-Term Flourishing are affected.</w:t>
      </w:r>
    </w:p>
    <w:p>
      <w:pPr>
        <w:pStyle w:val="BodyText"/>
        <w:spacing w:before="0" w:after="200"/>
        <w:rPr/>
      </w:pPr>
      <w:r>
        <w:rPr/>
        <w:t>The candidate dimensions include Persistence, Adaptive Capacity, Future Possibilities, and Constructive Participation. Additional dimensions may be added when required by the entity type, domain, or future refinement of the methodology.</w:t>
      </w:r>
    </w:p>
    <w:p>
      <w:pPr>
        <w:pStyle w:val="BodyText"/>
        <w:numPr>
          <w:ilvl w:val="0"/>
          <w:numId w:val="16"/>
        </w:numPr>
        <w:spacing w:before="0" w:after="200"/>
        <w:rPr/>
      </w:pPr>
      <w:r>
        <w:rPr/>
        <w:t>A single action may affect each dimension differently. For example:</w:t>
      </w:r>
    </w:p>
    <w:p>
      <w:pPr>
        <w:pStyle w:val="BodyText"/>
        <w:numPr>
          <w:ilvl w:val="0"/>
          <w:numId w:val="16"/>
        </w:numPr>
        <w:spacing w:before="0" w:after="200"/>
        <w:rPr/>
      </w:pPr>
      <w:r>
        <w:rPr/>
        <w:t>A life-saving surgery may reduce immediate comfort but increase Persistence and Future Possibilities.</w:t>
      </w:r>
    </w:p>
    <w:p>
      <w:pPr>
        <w:pStyle w:val="BodyText"/>
        <w:numPr>
          <w:ilvl w:val="0"/>
          <w:numId w:val="16"/>
        </w:numPr>
        <w:spacing w:before="0" w:after="200"/>
        <w:rPr/>
      </w:pPr>
      <w:r>
        <w:rPr/>
        <w:t>A coercive policy may increase short-term security but decrease Constructive Participation and institutional trust.</w:t>
      </w:r>
    </w:p>
    <w:p>
      <w:pPr>
        <w:pStyle w:val="BodyText"/>
        <w:numPr>
          <w:ilvl w:val="0"/>
          <w:numId w:val="16"/>
        </w:numPr>
        <w:spacing w:before="0" w:after="200"/>
        <w:rPr/>
      </w:pPr>
      <w:r>
        <w:rPr/>
        <w:t>An ecological intervention may reduce the population of one species while increasing ecosystem Adaptive Capacity.</w:t>
      </w:r>
    </w:p>
    <w:p>
      <w:pPr>
        <w:pStyle w:val="BodyText"/>
        <w:numPr>
          <w:ilvl w:val="0"/>
          <w:numId w:val="16"/>
        </w:numPr>
        <w:spacing w:before="0" w:after="200"/>
        <w:rPr/>
      </w:pPr>
      <w:r>
        <w:rPr/>
        <w:t>A deceptive organizational act may preserve institutional Persistence while damaging Constructive Participation and future legitimacy.</w:t>
      </w:r>
    </w:p>
    <w:p>
      <w:pPr>
        <w:pStyle w:val="BodyText"/>
        <w:spacing w:before="0" w:after="200"/>
        <w:rPr/>
      </w:pPr>
      <w:r>
        <w:rPr/>
        <w:t>Dimension-specific assessment prevents the methodology from hiding morally significant tradeoffs inside a single overall flourishing judgment.</w:t>
      </w:r>
    </w:p>
    <w:p>
      <w:pPr>
        <w:pStyle w:val="Heading3"/>
        <w:ind w:hanging="0" w:left="0"/>
        <w:rPr/>
      </w:pPr>
      <w:r>
        <w:rPr/>
        <w:t>Horizon-Specific Flourishing Transitions</w:t>
      </w:r>
    </w:p>
    <w:p>
      <w:pPr>
        <w:pStyle w:val="BodyText"/>
        <w:spacing w:before="0" w:after="200"/>
        <w:rPr/>
      </w:pPr>
      <w:r>
        <w:rPr/>
        <w:t>Flourishing Transitions must be evaluated across relevant Assessment Horizons.</w:t>
      </w:r>
    </w:p>
    <w:p>
      <w:pPr>
        <w:pStyle w:val="BodyText"/>
        <w:spacing w:before="0" w:after="200"/>
        <w:rPr/>
      </w:pPr>
      <w:r>
        <w:rPr/>
        <w:t>The default horizons include immediate, short-term, long-term, multi-generational, and civilizational horizons. Additional horizons may be added when required by the domain or situation.</w:t>
      </w:r>
    </w:p>
    <w:p>
      <w:pPr>
        <w:pStyle w:val="BodyText"/>
        <w:spacing w:before="0" w:after="200"/>
        <w:rPr/>
      </w:pPr>
      <w:r>
        <w:rPr/>
        <w:t>A horizon-specific transition describes how a Flourishing Entity’s Long-Term Flourishing changes within a particular time horizon. This is necessary because the direction and magnitude of flourishing change may differ across time.</w:t>
      </w:r>
    </w:p>
    <w:p>
      <w:pPr>
        <w:pStyle w:val="BodyText"/>
        <w:spacing w:before="0" w:after="200"/>
        <w:rPr/>
      </w:pPr>
      <w:r>
        <w:rPr/>
        <w:t>An action may:</w:t>
      </w:r>
    </w:p>
    <w:p>
      <w:pPr>
        <w:pStyle w:val="BodyText"/>
        <w:numPr>
          <w:ilvl w:val="0"/>
          <w:numId w:val="15"/>
        </w:numPr>
        <w:spacing w:before="0" w:after="200"/>
        <w:rPr/>
      </w:pPr>
      <w:r>
        <w:rPr/>
        <w:t>Increase immediate flourishing while decreasing long-term flourishing.</w:t>
      </w:r>
    </w:p>
    <w:p>
      <w:pPr>
        <w:pStyle w:val="BodyText"/>
        <w:numPr>
          <w:ilvl w:val="0"/>
          <w:numId w:val="15"/>
        </w:numPr>
        <w:spacing w:before="0" w:after="200"/>
        <w:rPr/>
      </w:pPr>
      <w:r>
        <w:rPr/>
        <w:t>Decrease immediate flourishing while preserving long-term flourishing.</w:t>
      </w:r>
    </w:p>
    <w:p>
      <w:pPr>
        <w:pStyle w:val="BodyText"/>
        <w:numPr>
          <w:ilvl w:val="0"/>
          <w:numId w:val="15"/>
        </w:numPr>
        <w:spacing w:before="0" w:after="200"/>
        <w:rPr/>
      </w:pPr>
      <w:r>
        <w:rPr/>
        <w:t>Have no immediate effect but create long-term risk.</w:t>
      </w:r>
    </w:p>
    <w:p>
      <w:pPr>
        <w:pStyle w:val="BodyText"/>
        <w:numPr>
          <w:ilvl w:val="0"/>
          <w:numId w:val="15"/>
        </w:numPr>
        <w:spacing w:before="0" w:after="200"/>
        <w:rPr/>
      </w:pPr>
      <w:r>
        <w:rPr/>
        <w:t>Benefit current entities while diminishing future entities.</w:t>
      </w:r>
    </w:p>
    <w:p>
      <w:pPr>
        <w:pStyle w:val="BodyText"/>
        <w:numPr>
          <w:ilvl w:val="0"/>
          <w:numId w:val="15"/>
        </w:numPr>
        <w:spacing w:before="0" w:after="200"/>
        <w:rPr/>
      </w:pPr>
      <w:r>
        <w:rPr/>
        <w:t>Preserve present institutions while reducing civilizational future state space.</w:t>
      </w:r>
    </w:p>
    <w:p>
      <w:pPr>
        <w:pStyle w:val="BodyText"/>
        <w:numPr>
          <w:ilvl w:val="0"/>
          <w:numId w:val="15"/>
        </w:numPr>
        <w:spacing w:before="0" w:after="200"/>
        <w:rPr/>
      </w:pPr>
      <w:r>
        <w:rPr/>
        <w:t>Create short-term instability while enabling long-term adaptation.</w:t>
      </w:r>
    </w:p>
    <w:p>
      <w:pPr>
        <w:pStyle w:val="BodyText"/>
        <w:spacing w:before="0" w:after="200"/>
        <w:rPr/>
      </w:pPr>
      <w:r>
        <w:rPr/>
        <w:t>Horizon-specific assessment is essential to the framework because Long-Term Flourishing cannot be evaluated responsibly from a single temporal viewpoint.</w:t>
      </w:r>
    </w:p>
    <w:p>
      <w:pPr>
        <w:pStyle w:val="Heading3"/>
        <w:ind w:hanging="0" w:left="0"/>
        <w:rPr/>
      </w:pPr>
      <w:r>
        <w:rPr/>
        <w:t>Horizon Dependence</w:t>
      </w:r>
    </w:p>
    <w:p>
      <w:pPr>
        <w:pStyle w:val="BodyText"/>
        <w:spacing w:before="0" w:after="200"/>
        <w:rPr/>
      </w:pPr>
      <w:r>
        <w:rPr/>
        <w:t>Horizon dependence describes the way a Flourishing Transition changes across time horizons.</w:t>
      </w:r>
    </w:p>
    <w:p>
      <w:pPr>
        <w:pStyle w:val="BodyText"/>
        <w:spacing w:before="0" w:after="200"/>
        <w:rPr/>
      </w:pPr>
      <w:r>
        <w:rPr/>
        <w:t>A transition is horizon-dependent when its direction, magnitude, uncertainty, or moral significance differs across immediate, short-term, long-term, multi-generational, or civilizational horizons.</w:t>
      </w:r>
    </w:p>
    <w:p>
      <w:pPr>
        <w:pStyle w:val="BodyText"/>
        <w:spacing w:before="0" w:after="200"/>
        <w:rPr/>
      </w:pPr>
      <w:r>
        <w:rPr/>
        <w:t>Horizon dependence should be represented explicitly. If an action is beneficial only in the immediate horizon but harmful in the long term, the assessment should not collapse those effects into a single undifferentiated conclusion. If an action is harmful immediately but beneficial over longer horizons, that structure should also be preserved.</w:t>
      </w:r>
    </w:p>
    <w:p>
      <w:pPr>
        <w:pStyle w:val="BodyText"/>
        <w:spacing w:before="0" w:after="200"/>
        <w:rPr/>
      </w:pPr>
      <w:r>
        <w:rPr/>
        <w:t>Horizon dependence is especially important for institutional, ecological, technological, public-policy, and AI-related assessments because their most significant effects may unfold over long periods.</w:t>
      </w:r>
    </w:p>
    <w:p>
      <w:pPr>
        <w:pStyle w:val="Heading3"/>
        <w:ind w:hanging="0" w:left="0"/>
        <w:rPr/>
      </w:pPr>
      <w:r>
        <w:rPr/>
        <w:t>Uncertainty in Flourishing Transitions</w:t>
      </w:r>
    </w:p>
    <w:p>
      <w:pPr>
        <w:pStyle w:val="BodyText"/>
        <w:spacing w:before="0" w:after="200"/>
        <w:rPr/>
      </w:pPr>
      <w:r>
        <w:rPr/>
        <w:t>Flourishing Transitions are often uncertain.</w:t>
      </w:r>
    </w:p>
    <w:p>
      <w:pPr>
        <w:pStyle w:val="BodyText"/>
        <w:spacing w:before="0" w:after="200"/>
        <w:rPr/>
      </w:pPr>
      <w:r>
        <w:rPr/>
        <w:t>Uncertainty may arise from incomplete evidence, weak baseline state representation, disputed entity classification, unclear causal pathways, difficult cross-entity comparison, long time horizons, unknown future responses, model uncertainty, measurement uncertainty, or incomplete understanding of Long-Term Flourishing itself.</w:t>
      </w:r>
    </w:p>
    <w:p>
      <w:pPr>
        <w:pStyle w:val="BodyText"/>
        <w:spacing w:before="0" w:after="200"/>
        <w:rPr/>
      </w:pPr>
      <w:r>
        <w:rPr/>
        <w:t>The methodology should represent uncertainty at several levels:</w:t>
      </w:r>
    </w:p>
    <w:p>
      <w:pPr>
        <w:pStyle w:val="BodyText"/>
        <w:numPr>
          <w:ilvl w:val="0"/>
          <w:numId w:val="14"/>
        </w:numPr>
        <w:spacing w:before="0" w:after="200"/>
        <w:rPr/>
      </w:pPr>
      <w:r>
        <w:rPr/>
        <w:t>Uncertainty about whether the entity qualifies as a Flourishing Entity.</w:t>
      </w:r>
    </w:p>
    <w:p>
      <w:pPr>
        <w:pStyle w:val="BodyText"/>
        <w:numPr>
          <w:ilvl w:val="0"/>
          <w:numId w:val="14"/>
        </w:numPr>
        <w:spacing w:before="0" w:after="200"/>
        <w:rPr/>
      </w:pPr>
      <w:r>
        <w:rPr/>
        <w:t>Uncertainty about the entity’s baseline flourishing state.</w:t>
      </w:r>
    </w:p>
    <w:p>
      <w:pPr>
        <w:pStyle w:val="BodyText"/>
        <w:numPr>
          <w:ilvl w:val="0"/>
          <w:numId w:val="14"/>
        </w:numPr>
        <w:spacing w:before="0" w:after="200"/>
        <w:rPr/>
      </w:pPr>
      <w:r>
        <w:rPr/>
        <w:t>Uncertainty about the predicted post-action flourishing state.</w:t>
      </w:r>
    </w:p>
    <w:p>
      <w:pPr>
        <w:pStyle w:val="BodyText"/>
        <w:numPr>
          <w:ilvl w:val="0"/>
          <w:numId w:val="14"/>
        </w:numPr>
        <w:spacing w:before="0" w:after="200"/>
        <w:rPr/>
      </w:pPr>
      <w:r>
        <w:rPr/>
        <w:t>Uncertainty about which dimensions are affected.</w:t>
      </w:r>
    </w:p>
    <w:p>
      <w:pPr>
        <w:pStyle w:val="BodyText"/>
        <w:numPr>
          <w:ilvl w:val="0"/>
          <w:numId w:val="14"/>
        </w:numPr>
        <w:spacing w:before="0" w:after="200"/>
        <w:rPr/>
      </w:pPr>
      <w:r>
        <w:rPr/>
        <w:t>Uncertainty about transition direction.</w:t>
      </w:r>
    </w:p>
    <w:p>
      <w:pPr>
        <w:pStyle w:val="BodyText"/>
        <w:numPr>
          <w:ilvl w:val="0"/>
          <w:numId w:val="14"/>
        </w:numPr>
        <w:spacing w:before="0" w:after="200"/>
        <w:rPr/>
      </w:pPr>
      <w:r>
        <w:rPr/>
        <w:t>Uncertainty about transition magnitude.</w:t>
      </w:r>
    </w:p>
    <w:p>
      <w:pPr>
        <w:pStyle w:val="BodyText"/>
        <w:numPr>
          <w:ilvl w:val="0"/>
          <w:numId w:val="14"/>
        </w:numPr>
        <w:spacing w:before="0" w:after="200"/>
        <w:rPr/>
      </w:pPr>
      <w:r>
        <w:rPr/>
        <w:t>Uncertainty about horizon-specific effects.</w:t>
      </w:r>
    </w:p>
    <w:p>
      <w:pPr>
        <w:pStyle w:val="BodyText"/>
        <w:numPr>
          <w:ilvl w:val="0"/>
          <w:numId w:val="14"/>
        </w:numPr>
        <w:spacing w:before="0" w:after="200"/>
        <w:rPr/>
      </w:pPr>
      <w:r>
        <w:rPr/>
        <w:t>Uncertainty about causal attribution.</w:t>
      </w:r>
    </w:p>
    <w:p>
      <w:pPr>
        <w:pStyle w:val="BodyText"/>
        <w:numPr>
          <w:ilvl w:val="0"/>
          <w:numId w:val="14"/>
        </w:numPr>
        <w:spacing w:before="0" w:after="200"/>
        <w:rPr/>
      </w:pPr>
      <w:r>
        <w:rPr/>
        <w:t>Uncertainty about materiality.</w:t>
      </w:r>
    </w:p>
    <w:p>
      <w:pPr>
        <w:pStyle w:val="BodyText"/>
        <w:spacing w:before="0" w:after="200"/>
        <w:rPr/>
      </w:pPr>
      <w:r>
        <w:rPr/>
        <w:t>Uncertainty should reduce confidence rather than be hidden or ignored. A Flourishing Transition may still be assessed under uncertainty, but the confidence level should reflect the limits of the evidence and prediction.</w:t>
      </w:r>
    </w:p>
    <w:p>
      <w:pPr>
        <w:pStyle w:val="Heading3"/>
        <w:ind w:hanging="0" w:left="0"/>
        <w:rPr/>
      </w:pPr>
      <w:r>
        <w:rPr/>
        <w:t>Confidence in Flourishing Transition Estimates</w:t>
      </w:r>
    </w:p>
    <w:p>
      <w:pPr>
        <w:pStyle w:val="BodyText"/>
        <w:spacing w:before="0" w:after="200"/>
        <w:rPr/>
      </w:pPr>
      <w:r>
        <w:rPr/>
        <w:t>Confidence describes how strongly the methodology should rely on a Flourishing Transition estimate.</w:t>
      </w:r>
    </w:p>
    <w:p>
      <w:pPr>
        <w:pStyle w:val="BodyText"/>
        <w:spacing w:before="0" w:after="200"/>
        <w:rPr/>
      </w:pPr>
      <w:r>
        <w:rPr/>
        <w:t>Confidence should reflect evidence quality, evidence completeness, baseline uncertainty, causal uncertainty, model uncertainty, prediction uncertainty, horizon distance, entity-specific interpretation, and the availability of relevant domain knowledge.</w:t>
      </w:r>
    </w:p>
    <w:p>
      <w:pPr>
        <w:pStyle w:val="BodyText"/>
        <w:spacing w:before="0" w:after="200"/>
        <w:rPr/>
      </w:pPr>
      <w:r>
        <w:rPr/>
        <w:t>Confidence may vary by entity, dimension, and horizon. An assessment may have high confidence that an action improves immediate physical safety, moderate confidence that it improves long-term adaptive capacity, and low confidence regarding multi-generational institutional effects.</w:t>
      </w:r>
    </w:p>
    <w:p>
      <w:pPr>
        <w:pStyle w:val="BodyText"/>
        <w:spacing w:before="0" w:after="200"/>
        <w:rPr/>
      </w:pPr>
      <w:r>
        <w:rPr/>
        <w:t>The methodology should avoid presenting a single confidence value if different parts of the Flourishing Transition have materially different confidence levels. Where possible, confidence should be attached to the specific entity, dimension, and horizon being assessed.</w:t>
      </w:r>
    </w:p>
    <w:p>
      <w:pPr>
        <w:pStyle w:val="Heading3"/>
        <w:ind w:hanging="0" w:left="0"/>
        <w:rPr/>
      </w:pPr>
      <w:r>
        <w:rPr/>
        <w:t>Material Diminishment</w:t>
      </w:r>
    </w:p>
    <w:p>
      <w:pPr>
        <w:pStyle w:val="BodyText"/>
        <w:spacing w:before="0" w:after="200"/>
        <w:rPr/>
      </w:pPr>
      <w:r>
        <w:rPr/>
        <w:t>A central function of Flourishing Transition assessment is to identify whether the Assessed Action materially diminishes the Long-Term Flourishing of any relevant Flourishing Entity.</w:t>
      </w:r>
    </w:p>
    <w:p>
      <w:pPr>
        <w:pStyle w:val="BodyText"/>
        <w:spacing w:before="0" w:after="200"/>
        <w:rPr/>
      </w:pPr>
      <w:r>
        <w:rPr/>
        <w:t>Material diminishment occurs when a negative Flourishing Transition is significant enough to matter to the moral assessment. Materiality may depend on severity, duration, reversibility, vulnerability, number of dimensions affected, loss of future possibilities, impairment of adaptive capacity, degradation of constructive participation, or impact on the broader World Context.</w:t>
      </w:r>
    </w:p>
    <w:p>
      <w:pPr>
        <w:pStyle w:val="BodyText"/>
        <w:spacing w:before="0" w:after="200"/>
        <w:rPr/>
      </w:pPr>
      <w:r>
        <w:rPr/>
        <w:t>A minor, temporary, reversible burden may not constitute material diminishment if it preserves or promotes greater long-term flourishing. Conversely, a subtle or delayed change may be material if it irreversibly damages future opportunities, institutional legitimacy, trust, or adaptive capacity.</w:t>
      </w:r>
    </w:p>
    <w:p>
      <w:pPr>
        <w:pStyle w:val="BodyText"/>
        <w:spacing w:before="0" w:after="200"/>
        <w:rPr/>
      </w:pPr>
      <w:r>
        <w:rPr/>
        <w:t>The methodology should identify material diminishment explicitly because the Foundational Axiom uses material diminishment as a constraint on the pursuit of Long-Term Flourishing.</w:t>
      </w:r>
    </w:p>
    <w:p>
      <w:pPr>
        <w:pStyle w:val="Heading3"/>
        <w:ind w:hanging="0" w:left="0"/>
        <w:rPr/>
      </w:pPr>
      <w:r>
        <w:rPr/>
        <w:t>Mixed Flourishing Transitions</w:t>
      </w:r>
    </w:p>
    <w:p>
      <w:pPr>
        <w:pStyle w:val="BodyText"/>
        <w:spacing w:before="0" w:after="200"/>
        <w:rPr/>
      </w:pPr>
      <w:r>
        <w:rPr/>
        <w:t>Many Assessed Actions produce mixed Flourishing Transitions.</w:t>
      </w:r>
    </w:p>
    <w:p>
      <w:pPr>
        <w:pStyle w:val="BodyText"/>
        <w:spacing w:before="0" w:after="200"/>
        <w:rPr/>
      </w:pPr>
      <w:r>
        <w:rPr/>
        <w:t>A mixed transition occurs when an action improves some dimensions, harms others, benefits some entities, harms others, or changes direction across horizons. Mixed transitions are common in real moral assessments and should not be forced into premature binary categories.</w:t>
      </w:r>
    </w:p>
    <w:p>
      <w:pPr>
        <w:pStyle w:val="BodyText"/>
        <w:spacing w:before="0" w:after="200"/>
        <w:rPr/>
      </w:pPr>
      <w:r>
        <w:rPr/>
        <w:t>For example, a quarantine policy may restrict individual freedom while preserving public health. A financial restructuring may harm some employees while preserving institutional continuity and future employment for others. A conservation action may harm an invasive species while preserving an ecosystem. A safety constraint on an AI system may reduce immediate user satisfaction while preserving long-term human flourishing.</w:t>
      </w:r>
    </w:p>
    <w:p>
      <w:pPr>
        <w:pStyle w:val="BodyText"/>
        <w:spacing w:before="0" w:after="200"/>
        <w:rPr/>
      </w:pPr>
      <w:r>
        <w:rPr/>
        <w:t>Mixed transitions should be represented structurally. The methodology should identify who benefits, who is harmed, which dimensions are affected, which horizons matter, and where uncertainty remains.</w:t>
      </w:r>
    </w:p>
    <w:p>
      <w:pPr>
        <w:pStyle w:val="Heading3"/>
        <w:ind w:hanging="0" w:left="0"/>
        <w:rPr/>
      </w:pPr>
      <w:r>
        <w:rPr/>
        <w:t>Cross-Entity Flourishing Transitions</w:t>
      </w:r>
    </w:p>
    <w:p>
      <w:pPr>
        <w:pStyle w:val="BodyText"/>
        <w:spacing w:before="0" w:after="200"/>
        <w:rPr/>
      </w:pPr>
      <w:r>
        <w:rPr/>
        <w:t>Flourishing Transitions may need to be compared across different entities, including humans, non-human organisms, ecosystems, institutions, organizations, future populations, and artificial systems.</w:t>
      </w:r>
    </w:p>
    <w:p>
      <w:pPr>
        <w:pStyle w:val="BodyText"/>
        <w:spacing w:before="0" w:after="200"/>
        <w:rPr/>
      </w:pPr>
      <w:r>
        <w:rPr/>
        <w:t>Some flourishing dimensions may be shared across entity types, but their interpretation and relevance may differ. Persistence, Adaptive Capacity, Future Possibilities, and Constructive Participation may apply to many entities, but they are not identical across all entities.</w:t>
      </w:r>
    </w:p>
    <w:p>
      <w:pPr>
        <w:pStyle w:val="BodyText"/>
        <w:spacing w:before="0" w:after="200"/>
        <w:rPr/>
      </w:pPr>
      <w:r>
        <w:rPr/>
        <w:t>The methodology should preserve cross-entity comparability where useful while avoiding false equivalence. A state change that is minor for one entity may be severe for another. A change that supports ecosystem flourishing may burden individual organisms. A change that preserves institutional survival may diminish human flourishing if the institution is harmful or illegitimate.</w:t>
      </w:r>
    </w:p>
    <w:p>
      <w:pPr>
        <w:pStyle w:val="BodyText"/>
        <w:spacing w:before="0" w:after="200"/>
        <w:rPr/>
      </w:pPr>
      <w:r>
        <w:rPr/>
        <w:t>Cross-entity assessment should therefore remain explicit, entity-sensitive, and tied to the broader World Context Transition.</w:t>
      </w:r>
    </w:p>
    <w:p>
      <w:pPr>
        <w:pStyle w:val="Heading3"/>
        <w:ind w:hanging="0" w:left="0"/>
        <w:rPr/>
      </w:pPr>
      <w:r>
        <w:rPr/>
        <w:t>Flourishing Transition Scenarios</w:t>
      </w:r>
    </w:p>
    <w:p>
      <w:pPr>
        <w:pStyle w:val="BodyText"/>
        <w:spacing w:before="0" w:after="200"/>
        <w:rPr/>
      </w:pPr>
      <w:r>
        <w:rPr/>
        <w:t>When uncertainty is high, the methodology may represent multiple possible Flourishing Transition scenarios.</w:t>
      </w:r>
    </w:p>
    <w:p>
      <w:pPr>
        <w:pStyle w:val="BodyText"/>
        <w:spacing w:before="0" w:after="200"/>
        <w:rPr/>
      </w:pPr>
      <w:r>
        <w:rPr/>
        <w:t>Each scenario describes a plausible way the Assessed Action could affect the Long-Term Flourishing of one or more entities across horizons. Scenarios may differ in causal assumptions, evidence interpretation, institutional response, policy updates, or future environmental conditions.</w:t>
      </w:r>
    </w:p>
    <w:p>
      <w:pPr>
        <w:pStyle w:val="BodyText"/>
        <w:spacing w:before="0" w:after="200"/>
        <w:rPr/>
      </w:pPr>
      <w:r>
        <w:rPr/>
        <w:t>For example, a public policy might have one scenario in which it increases public trust and long-term resilience, and another in which it is perceived as illegitimate and decreases cooperation. An AI deployment might have one scenario in which it safely improves access to services, and another in which it degrades human agency or spreads harmful behavioral patterns.</w:t>
      </w:r>
    </w:p>
    <w:p>
      <w:pPr>
        <w:pStyle w:val="BodyText"/>
        <w:spacing w:before="0" w:after="200"/>
        <w:rPr/>
      </w:pPr>
      <w:r>
        <w:rPr/>
        <w:t>Scenario-based flourishing assessment allows the methodology to preserve uncertainty and avoid false precision.</w:t>
      </w:r>
    </w:p>
    <w:p>
      <w:pPr>
        <w:pStyle w:val="Heading3"/>
        <w:ind w:hanging="0" w:left="0"/>
        <w:rPr/>
      </w:pPr>
      <w:r>
        <w:rPr/>
        <w:t>Flourishing Transition and Distributed Policy Effects</w:t>
      </w:r>
    </w:p>
    <w:p>
      <w:pPr>
        <w:pStyle w:val="BodyText"/>
        <w:spacing w:before="0" w:after="200"/>
        <w:rPr/>
      </w:pPr>
      <w:r>
        <w:rPr/>
        <w:t>Distributed Policy Effects may produce Flourishing Transitions.</w:t>
      </w:r>
    </w:p>
    <w:p>
      <w:pPr>
        <w:pStyle w:val="BodyText"/>
        <w:spacing w:before="0" w:after="200"/>
        <w:rPr/>
      </w:pPr>
      <w:r>
        <w:rPr/>
        <w:t>Changes in future decision policies can increase or decrease the Long-Term Flourishing of relevant entities. An action that normalizes deception may reduce trust and future cooperation. An action that reinforces accountability may increase institutional resilience. An action that trains an artificial system toward unsafe behavior may increase long-term risk. An action that teaches observers to exercise restraint may improve future moral behavior.</w:t>
      </w:r>
    </w:p>
    <w:p>
      <w:pPr>
        <w:pStyle w:val="BodyText"/>
        <w:spacing w:before="0" w:after="200"/>
        <w:rPr/>
      </w:pPr>
      <w:r>
        <w:rPr/>
        <w:t>Policy-related flourishing changes should be included when they materially affect Persistence, Adaptive Capacity, Future Possibilities, Constructive Participation, or the broader World Context.</w:t>
      </w:r>
    </w:p>
    <w:p>
      <w:pPr>
        <w:pStyle w:val="BodyText"/>
        <w:spacing w:before="0" w:after="200"/>
        <w:rPr/>
      </w:pPr>
      <w:r>
        <w:rPr/>
        <w:t>This connection is important because some of the most significant flourishing changes may occur through future behavior rather than immediate material outcomes.</w:t>
      </w:r>
    </w:p>
    <w:p>
      <w:pPr>
        <w:pStyle w:val="Heading3"/>
        <w:ind w:hanging="0" w:left="0"/>
        <w:rPr/>
      </w:pPr>
      <w:r>
        <w:rPr/>
        <w:t>Flourishing Transition and Aggregate Flourishing</w:t>
      </w:r>
    </w:p>
    <w:p>
      <w:pPr>
        <w:pStyle w:val="BodyText"/>
        <w:spacing w:before="0" w:after="200"/>
        <w:rPr/>
      </w:pPr>
      <w:r>
        <w:rPr/>
        <w:t>Individual Flourishing Transitions may later be aggregated for analytical purposes, but aggregation should not replace the entity-specific and horizon-specific transition analysis.</w:t>
      </w:r>
    </w:p>
    <w:p>
      <w:pPr>
        <w:pStyle w:val="BodyText"/>
        <w:spacing w:before="0" w:after="200"/>
        <w:rPr/>
      </w:pPr>
      <w:r>
        <w:rPr/>
        <w:t>The assessment should first preserve the structure of each relevant entity’s flourishing change. Aggregation may then help estimate overall scale, distribution, or direction of impact. However, aggregation can obscure severe harm to a particular entity, long-term institutional degradation, or material diminishment hidden behind broad benefits.</w:t>
      </w:r>
    </w:p>
    <w:p>
      <w:pPr>
        <w:pStyle w:val="BodyText"/>
        <w:spacing w:before="0" w:after="200"/>
        <w:rPr/>
      </w:pPr>
      <w:r>
        <w:rPr/>
        <w:t>For this reason, Section 6.8 treats aggregate flourishing as informative but non-dispositive. Section 6.7 should preserve the detailed Flourishing Transitions that make responsible aggregation possible.</w:t>
      </w:r>
    </w:p>
    <w:p>
      <w:pPr>
        <w:pStyle w:val="Heading3"/>
        <w:ind w:hanging="0" w:left="0"/>
        <w:rPr/>
      </w:pPr>
      <w:r>
        <w:rPr/>
        <w:t>Flourishing Transition and World Context Transition</w:t>
      </w:r>
    </w:p>
    <w:p>
      <w:pPr>
        <w:pStyle w:val="BodyText"/>
        <w:spacing w:before="0" w:after="200"/>
        <w:rPr/>
      </w:pPr>
      <w:r>
        <w:rPr/>
        <w:t>Flourishing Transitions are inputs to the World Context Transition assessment.</w:t>
      </w:r>
    </w:p>
    <w:p>
      <w:pPr>
        <w:pStyle w:val="BodyText"/>
        <w:spacing w:before="0" w:after="200"/>
        <w:rPr/>
      </w:pPr>
      <w:r>
        <w:rPr/>
        <w:t>They describe how relevant Flourishing Entities are affected, but they do not exhaust the moral assessment. The World Context Transition also includes changes to Associations, institutions, information states, constraints, authority conditions, policy states, future opportunities, and future state space.</w:t>
      </w:r>
    </w:p>
    <w:p>
      <w:pPr>
        <w:pStyle w:val="BodyText"/>
        <w:spacing w:before="0" w:after="200"/>
        <w:rPr/>
      </w:pPr>
      <w:r>
        <w:rPr/>
        <w:t>A moral assessment should therefore use Flourishing Transitions to inform the final evaluation while preserving the broader context. An action may improve some flourishing dimensions while degrading institutions or future policy states. Another action may impose temporary burden while preserving long-term future state space.</w:t>
      </w:r>
    </w:p>
    <w:p>
      <w:pPr>
        <w:pStyle w:val="BodyText"/>
        <w:spacing w:before="0" w:after="200"/>
        <w:rPr/>
      </w:pPr>
      <w:r>
        <w:rPr/>
        <w:t>The principal object of assessment remains the resulting World Context, not any single flourishing estimate.</w:t>
      </w:r>
    </w:p>
    <w:p>
      <w:pPr>
        <w:pStyle w:val="Heading3"/>
        <w:ind w:hanging="0" w:left="0"/>
        <w:rPr/>
      </w:pPr>
      <w:r>
        <w:rPr/>
        <w:t>Minimum Flourishing Transition Representation</w:t>
      </w:r>
    </w:p>
    <w:p>
      <w:pPr>
        <w:pStyle w:val="BodyText"/>
        <w:spacing w:before="0" w:after="200"/>
        <w:rPr/>
      </w:pPr>
      <w:r>
        <w:rPr/>
        <w:t>A minimally adequate Flourishing Transition assessment should identify:</w:t>
      </w:r>
    </w:p>
    <w:p>
      <w:pPr>
        <w:pStyle w:val="BodyText"/>
        <w:numPr>
          <w:ilvl w:val="0"/>
          <w:numId w:val="13"/>
        </w:numPr>
        <w:spacing w:before="0" w:after="200"/>
        <w:rPr/>
      </w:pPr>
      <w:r>
        <w:rPr/>
        <w:t>Each relevant Flourishing Entity.</w:t>
      </w:r>
    </w:p>
    <w:p>
      <w:pPr>
        <w:pStyle w:val="BodyText"/>
        <w:numPr>
          <w:ilvl w:val="0"/>
          <w:numId w:val="13"/>
        </w:numPr>
        <w:spacing w:before="0" w:after="200"/>
        <w:rPr/>
      </w:pPr>
      <w:r>
        <w:rPr/>
        <w:t>The entity’s baseline flourishing state.</w:t>
      </w:r>
    </w:p>
    <w:p>
      <w:pPr>
        <w:pStyle w:val="BodyText"/>
        <w:numPr>
          <w:ilvl w:val="0"/>
          <w:numId w:val="13"/>
        </w:numPr>
        <w:spacing w:before="0" w:after="200"/>
        <w:rPr/>
      </w:pPr>
      <w:r>
        <w:rPr/>
        <w:t>The predicted or observed post-action flourishing state.</w:t>
      </w:r>
    </w:p>
    <w:p>
      <w:pPr>
        <w:pStyle w:val="BodyText"/>
        <w:numPr>
          <w:ilvl w:val="0"/>
          <w:numId w:val="13"/>
        </w:numPr>
        <w:spacing w:before="0" w:after="200"/>
        <w:rPr/>
      </w:pPr>
      <w:r>
        <w:rPr/>
        <w:t>The flourishing dimensions affected.</w:t>
      </w:r>
    </w:p>
    <w:p>
      <w:pPr>
        <w:pStyle w:val="BodyText"/>
        <w:numPr>
          <w:ilvl w:val="0"/>
          <w:numId w:val="13"/>
        </w:numPr>
        <w:spacing w:before="0" w:after="200"/>
        <w:rPr/>
      </w:pPr>
      <w:r>
        <w:rPr/>
        <w:t>The direction of change.</w:t>
      </w:r>
    </w:p>
    <w:p>
      <w:pPr>
        <w:pStyle w:val="BodyText"/>
        <w:numPr>
          <w:ilvl w:val="0"/>
          <w:numId w:val="13"/>
        </w:numPr>
        <w:spacing w:before="0" w:after="200"/>
        <w:rPr/>
      </w:pPr>
      <w:r>
        <w:rPr/>
        <w:t>The magnitude or material significance of change.</w:t>
      </w:r>
    </w:p>
    <w:p>
      <w:pPr>
        <w:pStyle w:val="BodyText"/>
        <w:numPr>
          <w:ilvl w:val="0"/>
          <w:numId w:val="13"/>
        </w:numPr>
        <w:spacing w:before="0" w:after="200"/>
        <w:rPr/>
      </w:pPr>
      <w:r>
        <w:rPr/>
        <w:t>The Assessment Horizons over which the change occurs.</w:t>
      </w:r>
    </w:p>
    <w:p>
      <w:pPr>
        <w:pStyle w:val="BodyText"/>
        <w:numPr>
          <w:ilvl w:val="0"/>
          <w:numId w:val="13"/>
        </w:numPr>
        <w:spacing w:before="0" w:after="200"/>
        <w:rPr/>
      </w:pPr>
      <w:r>
        <w:rPr/>
        <w:t>The evidence supporting the transition estimate.</w:t>
      </w:r>
    </w:p>
    <w:p>
      <w:pPr>
        <w:pStyle w:val="BodyText"/>
        <w:numPr>
          <w:ilvl w:val="0"/>
          <w:numId w:val="13"/>
        </w:numPr>
        <w:spacing w:before="0" w:after="200"/>
        <w:rPr/>
      </w:pPr>
      <w:r>
        <w:rPr/>
        <w:t>The uncertainty associated with the estimate.</w:t>
      </w:r>
    </w:p>
    <w:p>
      <w:pPr>
        <w:pStyle w:val="BodyText"/>
        <w:numPr>
          <w:ilvl w:val="0"/>
          <w:numId w:val="13"/>
        </w:numPr>
        <w:spacing w:before="0" w:after="200"/>
        <w:rPr/>
      </w:pPr>
      <w:r>
        <w:rPr/>
        <w:t>The confidence level attached to the estimate.</w:t>
      </w:r>
    </w:p>
    <w:p>
      <w:pPr>
        <w:pStyle w:val="BodyText"/>
        <w:numPr>
          <w:ilvl w:val="0"/>
          <w:numId w:val="13"/>
        </w:numPr>
        <w:spacing w:before="0" w:after="200"/>
        <w:rPr/>
      </w:pPr>
      <w:r>
        <w:rPr/>
        <w:t>Whether the change may constitute material diminishment.</w:t>
      </w:r>
    </w:p>
    <w:p>
      <w:pPr>
        <w:pStyle w:val="BodyText"/>
        <w:numPr>
          <w:ilvl w:val="0"/>
          <w:numId w:val="13"/>
        </w:numPr>
        <w:spacing w:before="0" w:after="200"/>
        <w:rPr/>
      </w:pPr>
      <w:r>
        <w:rPr/>
        <w:t>Whether the transition differs materially across horizons.</w:t>
      </w:r>
    </w:p>
    <w:p>
      <w:pPr>
        <w:pStyle w:val="BodyText"/>
        <w:spacing w:before="0" w:after="200"/>
        <w:rPr/>
      </w:pPr>
      <w:r>
        <w:rPr/>
        <w:t>If any of these elements cannot be estimated, the assessment should state the limitation and reflect it in confidence.</w:t>
      </w:r>
    </w:p>
    <w:p>
      <w:pPr>
        <w:pStyle w:val="Heading3"/>
        <w:ind w:hanging="0" w:left="0"/>
        <w:rPr/>
      </w:pPr>
      <w:r>
        <w:rPr/>
        <w:t>Methodological Boundary</w:t>
      </w:r>
    </w:p>
    <w:p>
      <w:pPr>
        <w:pStyle w:val="BodyText"/>
        <w:spacing w:before="0" w:after="200"/>
        <w:rPr/>
      </w:pPr>
      <w:r>
        <w:rPr/>
        <w:t>This section defines how the methodology represents estimated changes in Long-Term Flourishing across relevant Flourishing Entities and Assessment Horizons.</w:t>
      </w:r>
    </w:p>
    <w:p>
      <w:pPr>
        <w:pStyle w:val="BodyText"/>
        <w:spacing w:before="0" w:after="200"/>
        <w:rPr/>
      </w:pPr>
      <w:r>
        <w:rPr/>
        <w:t>It does not prescribe a final mathematical formula, weighting system, aggregation function, threshold rule, or implementation-specific representation. Those may be developed in later formal sections, appendices, or implementations.</w:t>
      </w:r>
    </w:p>
    <w:p>
      <w:pPr>
        <w:pStyle w:val="BodyText"/>
        <w:spacing w:before="0" w:after="200"/>
        <w:rPr/>
      </w:pPr>
      <w:r>
        <w:rPr/>
        <w:t>The requirement at this level is that Flourishing Transitions be explicit, entity-specific, dimension-aware, horizon-dependent, uncertainty-aware, and confidence-bounded. A methodology that treats flourishing as a single undifferentiated score will lose important moral fidelity.</w:t>
      </w:r>
    </w:p>
    <w:p>
      <w:pPr>
        <w:pStyle w:val="Heading2"/>
        <w:ind w:hanging="0" w:left="0"/>
        <w:rPr/>
      </w:pPr>
      <w:r>
        <w:rPr/>
        <w:t>Aggregate Flourishing</w:t>
      </w:r>
    </w:p>
    <w:p>
      <w:pPr>
        <w:pStyle w:val="BodyText"/>
        <w:spacing w:before="0" w:after="200"/>
        <w:rPr/>
      </w:pPr>
      <w:r>
        <w:rPr/>
        <w:t>Aggregate Flourishing is an informative assessment metric that summarizes estimated changes in Long-Term Flourishing across relevant Flourishing Entities. It helps the methodology understand the scale, distribution, and directional tendency of flourishing effects produced by an Assessed Action.</w:t>
      </w:r>
    </w:p>
    <w:p>
      <w:pPr>
        <w:pStyle w:val="BodyText"/>
        <w:spacing w:before="0" w:after="200"/>
        <w:rPr/>
      </w:pPr>
      <w:r>
        <w:rPr/>
        <w:t>Aggregate Flourishing is not the moral assessment itself. It is an input to the assessment. The principal object of moral evaluation remains the World Context Transition: the transformation from the initial World Context to the resulting World Context after the Assessed Action, its Consequences, Distributed Policy Updates, institutional effects, relationship changes, information changes, and future state-space effects are considered.</w:t>
      </w:r>
    </w:p>
    <w:p>
      <w:pPr>
        <w:pStyle w:val="BodyText"/>
        <w:spacing w:before="0" w:after="200"/>
        <w:rPr/>
      </w:pPr>
      <w:r>
        <w:rPr/>
        <w:t>The methodology may use aggregate flourishing to estimate whether an action broadly increases or decreases flourishing across relevant entities. However, aggregation must not obscure material harms, vulnerable entities, horizon-specific effects, policy-state degradation, institutional corruption, or loss of future state space. A positive aggregate flourishing estimate may still accompany a morally problematic World Context Transition.</w:t>
      </w:r>
    </w:p>
    <w:p>
      <w:pPr>
        <w:pStyle w:val="BodyText"/>
        <w:spacing w:before="0" w:after="200"/>
        <w:rPr/>
      </w:pPr>
      <w:r>
        <w:rPr/>
        <w:t xml:space="preserve">The main guardrail is this: </w:t>
      </w:r>
      <w:r>
        <w:rPr>
          <w:rStyle w:val="Strong"/>
        </w:rPr>
        <w:t>aggregate flourishing is an analytical lens, not the verdict</w:t>
      </w:r>
      <w:r>
        <w:rPr/>
        <w:t>. It should summarize flourishing effects while preserving enough structure to detect material diminishment, harmful means, institutional degradation, and future-state-space loss.</w:t>
      </w:r>
    </w:p>
    <w:p>
      <w:pPr>
        <w:pStyle w:val="Heading3"/>
        <w:ind w:hanging="0" w:left="0"/>
        <w:rPr/>
      </w:pPr>
      <w:r>
        <w:rPr/>
        <w:t>Purpose of Aggregate Flourishing</w:t>
      </w:r>
    </w:p>
    <w:p>
      <w:pPr>
        <w:pStyle w:val="BodyText"/>
        <w:spacing w:before="0" w:after="200"/>
        <w:rPr/>
      </w:pPr>
      <w:r>
        <w:rPr/>
        <w:t>The purpose of Aggregate Flourishing is to provide a structured summary of changes in Long-Term Flourishing across the relevant entities included in the assessment.</w:t>
      </w:r>
    </w:p>
    <w:p>
      <w:pPr>
        <w:pStyle w:val="BodyText"/>
        <w:spacing w:before="0" w:after="200"/>
        <w:rPr/>
      </w:pPr>
      <w:r>
        <w:rPr/>
        <w:t>Individual Flourishing Transitions identify how each relevant Flourishing Entity is affected. Aggregate Flourishing helps assess the combined scale and direction of those effects. It can support comparison among candidate actions, highlight the distribution of benefits and harms, identify large-scale impacts, and provide a summary artifact for structured assessment output.</w:t>
      </w:r>
    </w:p>
    <w:p>
      <w:pPr>
        <w:pStyle w:val="BodyText"/>
        <w:spacing w:before="0" w:after="200"/>
        <w:rPr/>
      </w:pPr>
      <w:r>
        <w:rPr/>
        <w:t>Aggregate Flourishing may help answer questions such as:</w:t>
      </w:r>
    </w:p>
    <w:p>
      <w:pPr>
        <w:pStyle w:val="BodyText"/>
        <w:spacing w:before="0" w:after="200"/>
        <w:rPr/>
      </w:pPr>
      <w:r>
        <w:rPr/>
        <w:t>Which action appears to preserve or increase flourishing for the largest number of relevant entities?</w:t>
      </w:r>
    </w:p>
    <w:p>
      <w:pPr>
        <w:pStyle w:val="BodyText"/>
        <w:spacing w:before="0" w:after="200"/>
        <w:rPr/>
      </w:pPr>
      <w:r>
        <w:rPr/>
        <w:t>Which action creates the greatest total diminishment?</w:t>
      </w:r>
    </w:p>
    <w:p>
      <w:pPr>
        <w:pStyle w:val="BodyText"/>
        <w:spacing w:before="0" w:after="200"/>
        <w:rPr/>
      </w:pPr>
      <w:r>
        <w:rPr/>
        <w:t>Which entities bear the greatest burden?</w:t>
      </w:r>
    </w:p>
    <w:p>
      <w:pPr>
        <w:pStyle w:val="BodyText"/>
        <w:spacing w:before="0" w:after="200"/>
        <w:rPr/>
      </w:pPr>
      <w:r>
        <w:rPr/>
        <w:t>Which horizons contain the largest flourishing changes?</w:t>
      </w:r>
    </w:p>
    <w:p>
      <w:pPr>
        <w:pStyle w:val="BodyText"/>
        <w:spacing w:before="0" w:after="200"/>
        <w:rPr/>
      </w:pPr>
      <w:r>
        <w:rPr/>
        <w:t>Which candidate action creates the most severe downside risk?</w:t>
      </w:r>
    </w:p>
    <w:p>
      <w:pPr>
        <w:pStyle w:val="BodyText"/>
        <w:spacing w:before="0" w:after="200"/>
        <w:rPr/>
      </w:pPr>
      <w:r>
        <w:rPr/>
        <w:t>Which transition produces broad benefit but concentrated harm?</w:t>
      </w:r>
    </w:p>
    <w:p>
      <w:pPr>
        <w:pStyle w:val="BodyText"/>
        <w:spacing w:before="0" w:after="200"/>
        <w:rPr/>
      </w:pPr>
      <w:r>
        <w:rPr/>
        <w:t>These questions are important, but they do not exhaust moral assessment. Aggregate Flourishing helps interpret the World Context Transition; it does not replace it.</w:t>
      </w:r>
    </w:p>
    <w:p>
      <w:pPr>
        <w:pStyle w:val="Heading3"/>
        <w:ind w:hanging="0" w:left="0"/>
        <w:rPr/>
      </w:pPr>
      <w:r>
        <w:rPr/>
        <w:t>Aggregate Flourishing as Informative but Non-Dispositive</w:t>
      </w:r>
    </w:p>
    <w:p>
      <w:pPr>
        <w:pStyle w:val="BodyText"/>
        <w:spacing w:before="0" w:after="200"/>
        <w:rPr/>
      </w:pPr>
      <w:r>
        <w:rPr/>
        <w:t>Aggregate Flourishing is informative because it summarizes entity-specific flourishing changes. It is non-dispositive because the morality of an Assessed Action cannot be determined solely by summing estimated flourishing gains and losses.</w:t>
      </w:r>
    </w:p>
    <w:p>
      <w:pPr>
        <w:pStyle w:val="BodyText"/>
        <w:spacing w:before="0" w:after="200"/>
        <w:rPr/>
      </w:pPr>
      <w:r>
        <w:rPr/>
        <w:t>A simple aggregate metric may hide morally significant structure. It may conceal severe harm to one Flourishing Entity behind smaller benefits to many others. It may conceal harm to a vulnerable entity, damage to a relationship of trust, corruption of an institution, or degradation of future decision policies. It may also obscure horizon-specific effects, such as short-term gain combined with long-term diminishment.</w:t>
      </w:r>
    </w:p>
    <w:p>
      <w:pPr>
        <w:pStyle w:val="BodyText"/>
        <w:spacing w:before="0" w:after="200"/>
        <w:rPr/>
      </w:pPr>
      <w:r>
        <w:rPr/>
        <w:t>For this reason, Aggregate Flourishing should be treated as a diagnostic and comparative tool, not as a final moral verdict.</w:t>
      </w:r>
    </w:p>
    <w:p>
      <w:pPr>
        <w:pStyle w:val="BodyText"/>
        <w:spacing w:before="0" w:after="200"/>
        <w:rPr/>
      </w:pPr>
      <w:r>
        <w:rPr/>
        <w:t>A moral assessment should not conclude that an action is morally supportable merely because the aggregate flourishing estimate is positive. It must still evaluate whether the action materially diminishes any relevant Flourishing Entity, whether the means corrupt future policy states, whether institutions or Associations are damaged, whether future opportunities are foreclosed, and whether the resulting World Context is morally preferable.</w:t>
      </w:r>
    </w:p>
    <w:p>
      <w:pPr>
        <w:pStyle w:val="Heading3"/>
        <w:ind w:hanging="0" w:left="0"/>
        <w:rPr/>
      </w:pPr>
      <w:r>
        <w:rPr/>
        <w:t>Relationship to Flourishing Transitions</w:t>
      </w:r>
    </w:p>
    <w:p>
      <w:pPr>
        <w:pStyle w:val="BodyText"/>
        <w:spacing w:before="0" w:after="200"/>
        <w:rPr/>
      </w:pPr>
      <w:r>
        <w:rPr/>
        <w:t>Aggregate Flourishing is derived from Flourishing Transitions.</w:t>
      </w:r>
    </w:p>
    <w:p>
      <w:pPr>
        <w:pStyle w:val="BodyText"/>
        <w:spacing w:before="0" w:after="200"/>
        <w:rPr/>
      </w:pPr>
      <w:r>
        <w:rPr/>
        <w:t>Section 6.7 evaluates changes in Long-Term Flourishing for each relevant Flourishing Entity across relevant dimensions and Assessment Horizons. Aggregate Flourishing summarizes some or all of those changes at a higher level.</w:t>
      </w:r>
    </w:p>
    <w:p>
      <w:pPr>
        <w:pStyle w:val="BodyText"/>
        <w:spacing w:before="0" w:after="200"/>
        <w:rPr/>
      </w:pPr>
      <w:r>
        <w:rPr/>
        <w:t>The methodology should preserve the entity-specific and horizon-specific Flourishing Transitions before aggregating them. Aggregation should not erase the underlying structure. A useful aggregate estimate should remain traceable to the entities, dimensions, horizons, evidence, uncertainty, and assumptions from which it was derived.</w:t>
      </w:r>
    </w:p>
    <w:p>
      <w:pPr>
        <w:pStyle w:val="BodyText"/>
        <w:spacing w:before="0" w:after="200"/>
        <w:rPr/>
      </w:pPr>
      <w:r>
        <w:rPr/>
        <w:t>The workflow should therefore proceed from:</w:t>
      </w:r>
    </w:p>
    <w:p>
      <w:pPr>
        <w:pStyle w:val="BodyText"/>
        <w:spacing w:before="0" w:after="200"/>
        <w:rPr/>
      </w:pPr>
      <w:r>
        <w:rPr/>
        <w:t>Individual Flourishing Entity</w:t>
        <w:br/>
        <w:t>→ Dimension-specific Flourishing Transition</w:t>
        <w:br/>
        <w:t>→ Horizon-specific Flourishing Transition</w:t>
        <w:br/>
        <w:t>→ Entity-level Flourishing Summary</w:t>
        <w:br/>
        <w:t>→ Aggregate Flourishing Summary</w:t>
        <w:br/>
        <w:t>→ World Context Transition Assessment</w:t>
      </w:r>
    </w:p>
    <w:p>
      <w:pPr>
        <w:pStyle w:val="BodyText"/>
        <w:spacing w:before="0" w:after="200"/>
        <w:rPr/>
      </w:pPr>
      <w:r>
        <w:rPr/>
        <w:t>This sequence ensures that aggregation is built from explicit flourishing changes rather than from hidden assumptions or unsupported intuition.</w:t>
      </w:r>
    </w:p>
    <w:p>
      <w:pPr>
        <w:pStyle w:val="Heading3"/>
        <w:ind w:hanging="0" w:left="0"/>
        <w:rPr/>
      </w:pPr>
      <w:r>
        <w:rPr/>
        <w:t>Scale of Impact</w:t>
      </w:r>
    </w:p>
    <w:p>
      <w:pPr>
        <w:pStyle w:val="BodyText"/>
        <w:spacing w:before="0" w:after="200"/>
        <w:rPr/>
      </w:pPr>
      <w:r>
        <w:rPr/>
        <w:t>Aggregate Flourishing helps estimate the scale of impact of an Assessed Action.</w:t>
      </w:r>
    </w:p>
    <w:p>
      <w:pPr>
        <w:pStyle w:val="BodyText"/>
        <w:spacing w:before="0" w:after="200"/>
        <w:rPr/>
      </w:pPr>
      <w:r>
        <w:rPr/>
        <w:t>Scale may include the number of Flourishing Entities affected, the severity of changes, the duration of those changes, the number of flourishing dimensions affected, the breadth of impacted systems, the reversibility of harm, and the reach of effects across horizons.</w:t>
      </w:r>
    </w:p>
    <w:p>
      <w:pPr>
        <w:pStyle w:val="BodyText"/>
        <w:spacing w:before="0" w:after="200"/>
        <w:rPr/>
      </w:pPr>
      <w:r>
        <w:rPr/>
        <w:t>An action affecting many entities may have a large aggregate flourishing impact even if each individual effect is modest. Conversely, an action affecting one entity may still be highly material if the harm is severe, irreversible, or central to the entity’s Long-Term Flourishing.</w:t>
      </w:r>
    </w:p>
    <w:p>
      <w:pPr>
        <w:pStyle w:val="BodyText"/>
        <w:spacing w:before="0" w:after="200"/>
        <w:rPr/>
      </w:pPr>
      <w:r>
        <w:rPr/>
        <w:t>Scale should not be interpreted only as quantity of affected entities. Scale also includes intensity, duration, reversibility, systemic significance, and effect on future state space.</w:t>
      </w:r>
    </w:p>
    <w:p>
      <w:pPr>
        <w:pStyle w:val="Heading3"/>
        <w:ind w:hanging="0" w:left="0"/>
        <w:rPr/>
      </w:pPr>
      <w:r>
        <w:rPr/>
        <w:t>Distribution of Benefits and Harms</w:t>
      </w:r>
    </w:p>
    <w:p>
      <w:pPr>
        <w:pStyle w:val="BodyText"/>
        <w:spacing w:before="0" w:after="200"/>
        <w:rPr/>
      </w:pPr>
      <w:r>
        <w:rPr/>
        <w:t>Aggregate Flourishing should preserve information about distribution.</w:t>
      </w:r>
    </w:p>
    <w:p>
      <w:pPr>
        <w:pStyle w:val="BodyText"/>
        <w:spacing w:before="0" w:after="200"/>
        <w:rPr/>
      </w:pPr>
      <w:r>
        <w:rPr/>
        <w:t>A single aggregate estimate may hide whether benefits and harms are broadly shared, concentrated in a vulnerable group, imposed on one entity for the benefit of others, shifted into the future, or externalized onto entities outside the Actor’s immediate concern.</w:t>
      </w:r>
    </w:p>
    <w:p>
      <w:pPr>
        <w:pStyle w:val="BodyText"/>
        <w:spacing w:before="0" w:after="200"/>
        <w:rPr/>
      </w:pPr>
      <w:r>
        <w:rPr/>
        <w:t>The methodology should therefore distinguish between:</w:t>
      </w:r>
    </w:p>
    <w:p>
      <w:pPr>
        <w:pStyle w:val="BodyText"/>
        <w:spacing w:before="0" w:after="200"/>
        <w:rPr/>
      </w:pPr>
      <w:r>
        <w:rPr/>
        <w:t>Broad benefits and broad harms.</w:t>
      </w:r>
    </w:p>
    <w:p>
      <w:pPr>
        <w:pStyle w:val="BodyText"/>
        <w:spacing w:before="0" w:after="200"/>
        <w:rPr/>
      </w:pPr>
      <w:r>
        <w:rPr/>
        <w:t>Concentrated benefits and concentrated harms.</w:t>
      </w:r>
    </w:p>
    <w:p>
      <w:pPr>
        <w:pStyle w:val="BodyText"/>
        <w:spacing w:before="0" w:after="200"/>
        <w:rPr/>
      </w:pPr>
      <w:r>
        <w:rPr/>
        <w:t>Benefits to the Actor and harms to others.</w:t>
      </w:r>
    </w:p>
    <w:p>
      <w:pPr>
        <w:pStyle w:val="BodyText"/>
        <w:spacing w:before="0" w:after="200"/>
        <w:rPr/>
      </w:pPr>
      <w:r>
        <w:rPr/>
        <w:t>Present benefits and future harms.</w:t>
      </w:r>
    </w:p>
    <w:p>
      <w:pPr>
        <w:pStyle w:val="BodyText"/>
        <w:spacing w:before="0" w:after="200"/>
        <w:rPr/>
      </w:pPr>
      <w:r>
        <w:rPr/>
        <w:t>Benefits to institutions and harms to individuals.</w:t>
      </w:r>
    </w:p>
    <w:p>
      <w:pPr>
        <w:pStyle w:val="BodyText"/>
        <w:spacing w:before="0" w:after="200"/>
        <w:rPr/>
      </w:pPr>
      <w:r>
        <w:rPr/>
        <w:t>Benefits to one entity type and harms to another.</w:t>
      </w:r>
    </w:p>
    <w:p>
      <w:pPr>
        <w:pStyle w:val="BodyText"/>
        <w:spacing w:before="0" w:after="200"/>
        <w:rPr/>
      </w:pPr>
      <w:r>
        <w:rPr/>
        <w:t>Benefits that preserve future opportunities and benefits that foreclose them.</w:t>
      </w:r>
    </w:p>
    <w:p>
      <w:pPr>
        <w:pStyle w:val="BodyText"/>
        <w:spacing w:before="0" w:after="200"/>
        <w:rPr/>
      </w:pPr>
      <w:r>
        <w:rPr/>
        <w:t>Distribution matters because the Foundational Axiom constrains the pursuit of flourishing when doing so materially diminishes other relevant Flourishing Entities. A positive aggregate estimate cannot automatically justify imposing severe or material diminishment on others.</w:t>
      </w:r>
    </w:p>
    <w:p>
      <w:pPr>
        <w:pStyle w:val="Heading3"/>
        <w:ind w:hanging="0" w:left="0"/>
        <w:rPr/>
      </w:pPr>
      <w:r>
        <w:rPr/>
        <w:t>Horizon-Specific Aggregation</w:t>
      </w:r>
    </w:p>
    <w:p>
      <w:pPr>
        <w:pStyle w:val="BodyText"/>
        <w:spacing w:before="0" w:after="200"/>
        <w:rPr/>
      </w:pPr>
      <w:r>
        <w:rPr/>
        <w:t>Aggregate Flourishing should be evaluated across Assessment Horizons.</w:t>
      </w:r>
    </w:p>
    <w:p>
      <w:pPr>
        <w:pStyle w:val="BodyText"/>
        <w:spacing w:before="0" w:after="200"/>
        <w:rPr/>
      </w:pPr>
      <w:r>
        <w:rPr/>
        <w:t>Immediate aggregate flourishing may differ from short-term, long-term, multi-generational, or civilizational aggregate flourishing. An action may produce immediate aggregate benefit while creating long-term degradation of trust, adaptive capacity, institutional legitimacy, ecological resilience, or future state space.</w:t>
      </w:r>
    </w:p>
    <w:p>
      <w:pPr>
        <w:pStyle w:val="BodyText"/>
        <w:spacing w:before="0" w:after="200"/>
        <w:rPr/>
      </w:pPr>
      <w:r>
        <w:rPr/>
        <w:t>The methodology should therefore avoid a single undifferentiated aggregate estimate when horizon-specific results differ materially.</w:t>
      </w:r>
    </w:p>
    <w:p>
      <w:pPr>
        <w:pStyle w:val="BodyText"/>
        <w:spacing w:before="0" w:after="200"/>
        <w:rPr/>
      </w:pPr>
      <w:r>
        <w:rPr/>
        <w:t>A useful aggregate assessment may include:</w:t>
      </w:r>
    </w:p>
    <w:p>
      <w:pPr>
        <w:pStyle w:val="BodyText"/>
        <w:spacing w:before="0" w:after="200"/>
        <w:rPr/>
      </w:pPr>
      <w:r>
        <w:rPr/>
        <w:t>Immediate aggregate flourishing effect.</w:t>
      </w:r>
    </w:p>
    <w:p>
      <w:pPr>
        <w:pStyle w:val="BodyText"/>
        <w:spacing w:before="0" w:after="200"/>
        <w:rPr/>
      </w:pPr>
      <w:r>
        <w:rPr/>
        <w:t>Short-term aggregate flourishing effect.</w:t>
      </w:r>
    </w:p>
    <w:p>
      <w:pPr>
        <w:pStyle w:val="BodyText"/>
        <w:spacing w:before="0" w:after="200"/>
        <w:rPr/>
      </w:pPr>
      <w:r>
        <w:rPr/>
        <w:t>Long-term aggregate flourishing effect.</w:t>
      </w:r>
    </w:p>
    <w:p>
      <w:pPr>
        <w:pStyle w:val="BodyText"/>
        <w:spacing w:before="0" w:after="200"/>
        <w:rPr/>
      </w:pPr>
      <w:r>
        <w:rPr/>
        <w:t>Multi-generational aggregate flourishing effect.</w:t>
      </w:r>
    </w:p>
    <w:p>
      <w:pPr>
        <w:pStyle w:val="BodyText"/>
        <w:spacing w:before="0" w:after="200"/>
        <w:rPr/>
      </w:pPr>
      <w:r>
        <w:rPr/>
        <w:t>Civilizational aggregate flourishing effect.</w:t>
      </w:r>
    </w:p>
    <w:p>
      <w:pPr>
        <w:pStyle w:val="BodyText"/>
        <w:spacing w:before="0" w:after="200"/>
        <w:rPr/>
      </w:pPr>
      <w:r>
        <w:rPr/>
        <w:t>Confidence associated with each horizon.</w:t>
      </w:r>
    </w:p>
    <w:p>
      <w:pPr>
        <w:pStyle w:val="BodyText"/>
        <w:spacing w:before="0" w:after="200"/>
        <w:rPr/>
      </w:pPr>
      <w:r>
        <w:rPr/>
        <w:t>This structure allows the assessment to show when an action’s apparent benefit depends on privileging one time horizon over another.</w:t>
      </w:r>
    </w:p>
    <w:p>
      <w:pPr>
        <w:pStyle w:val="Heading3"/>
        <w:ind w:hanging="0" w:left="0"/>
        <w:rPr/>
      </w:pPr>
      <w:r>
        <w:rPr/>
        <w:t>Entity-Specific Aggregation</w:t>
      </w:r>
    </w:p>
    <w:p>
      <w:pPr>
        <w:pStyle w:val="BodyText"/>
        <w:spacing w:before="0" w:after="200"/>
        <w:rPr/>
      </w:pPr>
      <w:r>
        <w:rPr/>
        <w:t>Aggregate Flourishing may be calculated or summarized across all relevant Flourishing Entities, but it may also be useful to aggregate by entity class, role, domain, or relationship to the Assessed Action.</w:t>
      </w:r>
    </w:p>
    <w:p>
      <w:pPr>
        <w:pStyle w:val="BodyText"/>
        <w:spacing w:before="0" w:after="200"/>
        <w:rPr/>
      </w:pPr>
      <w:r>
        <w:rPr/>
        <w:t>Entity-specific aggregation may include:</w:t>
      </w:r>
    </w:p>
    <w:p>
      <w:pPr>
        <w:pStyle w:val="BodyText"/>
        <w:spacing w:before="0" w:after="200"/>
        <w:rPr/>
      </w:pPr>
      <w:r>
        <w:rPr/>
        <w:t>Actor flourishing effects.</w:t>
      </w:r>
    </w:p>
    <w:p>
      <w:pPr>
        <w:pStyle w:val="BodyText"/>
        <w:spacing w:before="0" w:after="200"/>
        <w:rPr/>
      </w:pPr>
      <w:r>
        <w:rPr/>
        <w:t>Directly affected entity flourishing effects.</w:t>
      </w:r>
    </w:p>
    <w:p>
      <w:pPr>
        <w:pStyle w:val="BodyText"/>
        <w:spacing w:before="0" w:after="200"/>
        <w:rPr/>
      </w:pPr>
      <w:r>
        <w:rPr/>
        <w:t>Indirectly affected entity flourishing effects.</w:t>
      </w:r>
    </w:p>
    <w:p>
      <w:pPr>
        <w:pStyle w:val="BodyText"/>
        <w:spacing w:before="0" w:after="200"/>
        <w:rPr/>
      </w:pPr>
      <w:r>
        <w:rPr/>
        <w:t>Observer or responder flourishing effects.</w:t>
      </w:r>
    </w:p>
    <w:p>
      <w:pPr>
        <w:pStyle w:val="BodyText"/>
        <w:spacing w:before="0" w:after="200"/>
        <w:rPr/>
      </w:pPr>
      <w:r>
        <w:rPr/>
        <w:t>Institutional flourishing effects.</w:t>
      </w:r>
    </w:p>
    <w:p>
      <w:pPr>
        <w:pStyle w:val="BodyText"/>
        <w:spacing w:before="0" w:after="200"/>
        <w:rPr/>
      </w:pPr>
      <w:r>
        <w:rPr/>
        <w:t>Ecological flourishing effects.</w:t>
      </w:r>
    </w:p>
    <w:p>
      <w:pPr>
        <w:pStyle w:val="BodyText"/>
        <w:spacing w:before="0" w:after="200"/>
        <w:rPr/>
      </w:pPr>
      <w:r>
        <w:rPr/>
        <w:t>Future entity flourishing effects.</w:t>
      </w:r>
    </w:p>
    <w:p>
      <w:pPr>
        <w:pStyle w:val="BodyText"/>
        <w:spacing w:before="0" w:after="200"/>
        <w:rPr/>
      </w:pPr>
      <w:r>
        <w:rPr/>
        <w:t>Artificial system flourishing effects, where applicable.</w:t>
      </w:r>
    </w:p>
    <w:p>
      <w:pPr>
        <w:pStyle w:val="BodyText"/>
        <w:spacing w:before="0" w:after="200"/>
        <w:rPr/>
      </w:pPr>
      <w:r>
        <w:rPr/>
        <w:t>This allows the assessment to identify whether an action increases flourishing for one class of entities while diminishing another. For example, an institutional policy may increase organizational persistence while diminishing employee adaptive capacity. A public health intervention may reduce individual freedom in the short term while preserving population-level persistence and future possibilities. An ecological intervention may diminish an invasive species while preserving ecosystem flourishing.</w:t>
      </w:r>
    </w:p>
    <w:p>
      <w:pPr>
        <w:pStyle w:val="BodyText"/>
        <w:spacing w:before="0" w:after="200"/>
        <w:rPr/>
      </w:pPr>
      <w:r>
        <w:rPr/>
        <w:t>Entity-specific aggregation prevents the methodology from treating all flourishing changes as interchangeable.</w:t>
      </w:r>
    </w:p>
    <w:p>
      <w:pPr>
        <w:pStyle w:val="Heading3"/>
        <w:ind w:hanging="0" w:left="0"/>
        <w:rPr/>
      </w:pPr>
      <w:r>
        <w:rPr/>
        <w:t>Dimension-Specific Aggregation</w:t>
      </w:r>
    </w:p>
    <w:p>
      <w:pPr>
        <w:pStyle w:val="BodyText"/>
        <w:spacing w:before="0" w:after="200"/>
        <w:rPr/>
      </w:pPr>
      <w:r>
        <w:rPr/>
        <w:t>Aggregate Flourishing may also be summarized by flourishing dimension.</w:t>
      </w:r>
    </w:p>
    <w:p>
      <w:pPr>
        <w:pStyle w:val="BodyText"/>
        <w:spacing w:before="0" w:after="200"/>
        <w:rPr/>
      </w:pPr>
      <w:r>
        <w:rPr/>
        <w:t>Because Long-Term Flourishing is multidimensional, aggregate effects should not be limited to a single total. An action may increase Persistence while reducing Adaptive Capacity. It may expand Future Possibilities for one group while diminishing Constructive Participation in the larger World Context. It may preserve institutional continuity while degrading legitimacy or trust.</w:t>
      </w:r>
    </w:p>
    <w:p>
      <w:pPr>
        <w:pStyle w:val="BodyText"/>
        <w:spacing w:before="0" w:after="200"/>
        <w:rPr/>
      </w:pPr>
      <w:r>
        <w:rPr/>
        <w:t>Dimension-specific aggregation may include:</w:t>
      </w:r>
    </w:p>
    <w:p>
      <w:pPr>
        <w:pStyle w:val="BodyText"/>
        <w:spacing w:before="0" w:after="200"/>
        <w:rPr/>
      </w:pPr>
      <w:r>
        <w:rPr/>
        <w:t>Aggregate Persistence effects.</w:t>
      </w:r>
    </w:p>
    <w:p>
      <w:pPr>
        <w:pStyle w:val="BodyText"/>
        <w:spacing w:before="0" w:after="200"/>
        <w:rPr/>
      </w:pPr>
      <w:r>
        <w:rPr/>
        <w:t>Aggregate Adaptive Capacity effects.</w:t>
      </w:r>
    </w:p>
    <w:p>
      <w:pPr>
        <w:pStyle w:val="BodyText"/>
        <w:spacing w:before="0" w:after="200"/>
        <w:rPr/>
      </w:pPr>
      <w:r>
        <w:rPr/>
        <w:t>Aggregate Future Possibilities effects.</w:t>
      </w:r>
    </w:p>
    <w:p>
      <w:pPr>
        <w:pStyle w:val="BodyText"/>
        <w:spacing w:before="0" w:after="200"/>
        <w:rPr/>
      </w:pPr>
      <w:r>
        <w:rPr/>
        <w:t>Aggregate Constructive Participation effects.</w:t>
      </w:r>
    </w:p>
    <w:p>
      <w:pPr>
        <w:pStyle w:val="BodyText"/>
        <w:spacing w:before="0" w:after="200"/>
        <w:rPr/>
      </w:pPr>
      <w:r>
        <w:rPr/>
        <w:t>Aggregate effects on additional domain-specific flourishing dimensions.</w:t>
      </w:r>
    </w:p>
    <w:p>
      <w:pPr>
        <w:pStyle w:val="BodyText"/>
        <w:spacing w:before="0" w:after="200"/>
        <w:rPr/>
      </w:pPr>
      <w:r>
        <w:rPr/>
        <w:t>This structure helps identify tradeoffs that would be hidden by a single aggregate figure.</w:t>
      </w:r>
    </w:p>
    <w:p>
      <w:pPr>
        <w:pStyle w:val="Heading3"/>
        <w:ind w:hanging="0" w:left="0"/>
        <w:rPr/>
      </w:pPr>
      <w:r>
        <w:rPr/>
        <w:t>Weighting and Relevance</w:t>
      </w:r>
    </w:p>
    <w:p>
      <w:pPr>
        <w:pStyle w:val="BodyText"/>
        <w:spacing w:before="0" w:after="200"/>
        <w:rPr/>
      </w:pPr>
      <w:r>
        <w:rPr/>
        <w:t>Not every flourishing dimension or entity may be equally relevant in every assessment.</w:t>
      </w:r>
    </w:p>
    <w:p>
      <w:pPr>
        <w:pStyle w:val="BodyText"/>
        <w:spacing w:before="0" w:after="200"/>
        <w:rPr/>
      </w:pPr>
      <w:r>
        <w:rPr/>
        <w:t>The methodology may need to account for relevance, vulnerability, severity, materiality, horizon, entity type, and relationship structure when summarizing aggregate flourishing. A direct, severe, irreversible diminishment to a vulnerable entity may be more morally significant than a small, diffuse, reversible benefit across many entities.</w:t>
      </w:r>
    </w:p>
    <w:p>
      <w:pPr>
        <w:pStyle w:val="BodyText"/>
        <w:spacing w:before="0" w:after="200"/>
        <w:rPr/>
      </w:pPr>
      <w:r>
        <w:rPr/>
        <w:t>However, this section does not prescribe a final weighting method. Weighting, thresholding, and formal aggregation rules remain open to future methodological refinement.</w:t>
      </w:r>
    </w:p>
    <w:p>
      <w:pPr>
        <w:pStyle w:val="BodyText"/>
        <w:spacing w:before="0" w:after="200"/>
        <w:rPr/>
      </w:pPr>
      <w:r>
        <w:rPr/>
        <w:t>At this level, the requirement is that any aggregation method disclose its assumptions. If an assessment gives greater relevance to some entities, dimensions, or horizons, it should state why. Hidden weighting is inconsistent with the framework’s commitment to explicit assumptions and inspectable moral reasoning.</w:t>
      </w:r>
    </w:p>
    <w:p>
      <w:pPr>
        <w:pStyle w:val="Heading3"/>
        <w:ind w:hanging="0" w:left="0"/>
        <w:rPr/>
      </w:pPr>
      <w:r>
        <w:rPr/>
        <w:t>Material Diminishment and Aggregate Flourishing</w:t>
      </w:r>
    </w:p>
    <w:p>
      <w:pPr>
        <w:pStyle w:val="BodyText"/>
        <w:spacing w:before="0" w:after="200"/>
        <w:rPr/>
      </w:pPr>
      <w:r>
        <w:rPr/>
        <w:t>Aggregate Flourishing must be interpreted alongside material diminishment.</w:t>
      </w:r>
    </w:p>
    <w:p>
      <w:pPr>
        <w:pStyle w:val="BodyText"/>
        <w:spacing w:before="0" w:after="200"/>
        <w:rPr/>
      </w:pPr>
      <w:r>
        <w:rPr/>
        <w:t>The Foundational Axiom does not allow the flourishing of some entities to be pursued without regard for material diminishment to others. Therefore, an aggregate increase in flourishing cannot automatically override a material decrease in the Long-Term Flourishing of a relevant Flourishing Entity.</w:t>
      </w:r>
    </w:p>
    <w:p>
      <w:pPr>
        <w:pStyle w:val="BodyText"/>
        <w:spacing w:before="0" w:after="200"/>
        <w:rPr/>
      </w:pPr>
      <w:r>
        <w:rPr/>
        <w:t>The methodology should identify whether any relevant Flourishing Entity experiences material diminishment even when the aggregate flourishing estimate is positive. This is especially important in cases where the benefits are distributed broadly but the harms are concentrated, severe, irreversible, or imposed on entities with limited ability to protect their own future state space.</w:t>
      </w:r>
    </w:p>
    <w:p>
      <w:pPr>
        <w:pStyle w:val="BodyText"/>
        <w:spacing w:before="0" w:after="200"/>
        <w:rPr/>
      </w:pPr>
      <w:r>
        <w:rPr/>
        <w:t>Aggregate Flourishing therefore supports moral assessment only when paired with entity-specific materiality analysis.</w:t>
      </w:r>
    </w:p>
    <w:p>
      <w:pPr>
        <w:pStyle w:val="Heading3"/>
        <w:ind w:hanging="0" w:left="0"/>
        <w:rPr/>
      </w:pPr>
      <w:r>
        <w:rPr/>
        <w:t>Aggregate Flourishing and Means</w:t>
      </w:r>
    </w:p>
    <w:p>
      <w:pPr>
        <w:pStyle w:val="BodyText"/>
        <w:spacing w:before="0" w:after="200"/>
        <w:rPr/>
      </w:pPr>
      <w:r>
        <w:rPr/>
        <w:t>Aggregate Flourishing must not be used to hide the moral significance of means.</w:t>
      </w:r>
    </w:p>
    <w:p>
      <w:pPr>
        <w:pStyle w:val="BodyText"/>
        <w:spacing w:before="0" w:after="200"/>
        <w:rPr/>
      </w:pPr>
      <w:r>
        <w:rPr/>
        <w:t>An action may produce a positive aggregate flourishing estimate while using means that degrade policy states, normalize harmful conduct, corrupt institutions, or damage trust. For example, deception, coercion, fraud, cruelty, or abuse may sometimes produce short-term aggregate benefit. But these means may create Distributed Policy Updates that diminish future flourishing and degrade the resulting World Context.</w:t>
      </w:r>
    </w:p>
    <w:p>
      <w:pPr>
        <w:pStyle w:val="BodyText"/>
        <w:spacing w:before="0" w:after="200"/>
        <w:rPr/>
      </w:pPr>
      <w:r>
        <w:rPr/>
        <w:t>The methodology should therefore ensure that Aggregate Flourishing is interpreted together with:</w:t>
      </w:r>
    </w:p>
    <w:p>
      <w:pPr>
        <w:pStyle w:val="BodyText"/>
        <w:spacing w:before="0" w:after="200"/>
        <w:rPr/>
      </w:pPr>
      <w:r>
        <w:rPr/>
        <w:t>Actor Policy Updates.</w:t>
      </w:r>
    </w:p>
    <w:p>
      <w:pPr>
        <w:pStyle w:val="BodyText"/>
        <w:spacing w:before="0" w:after="200"/>
        <w:rPr/>
      </w:pPr>
      <w:r>
        <w:rPr/>
        <w:t>Observer Policy Updates.</w:t>
      </w:r>
    </w:p>
    <w:p>
      <w:pPr>
        <w:pStyle w:val="BodyText"/>
        <w:spacing w:before="0" w:after="200"/>
        <w:rPr/>
      </w:pPr>
      <w:r>
        <w:rPr/>
        <w:t>Institutional Policy Updates.</w:t>
      </w:r>
    </w:p>
    <w:p>
      <w:pPr>
        <w:pStyle w:val="BodyText"/>
        <w:spacing w:before="0" w:after="200"/>
        <w:rPr/>
      </w:pPr>
      <w:r>
        <w:rPr/>
        <w:t>Relationship changes.</w:t>
      </w:r>
    </w:p>
    <w:p>
      <w:pPr>
        <w:pStyle w:val="BodyText"/>
        <w:spacing w:before="0" w:after="200"/>
        <w:rPr/>
      </w:pPr>
      <w:r>
        <w:rPr/>
        <w:t>Authority and legitimacy effects.</w:t>
      </w:r>
    </w:p>
    <w:p>
      <w:pPr>
        <w:pStyle w:val="BodyText"/>
        <w:spacing w:before="0" w:after="200"/>
        <w:rPr/>
      </w:pPr>
      <w:r>
        <w:rPr/>
        <w:t>Information-state changes.</w:t>
      </w:r>
    </w:p>
    <w:p>
      <w:pPr>
        <w:pStyle w:val="BodyText"/>
        <w:spacing w:before="0" w:after="200"/>
        <w:rPr/>
      </w:pPr>
      <w:r>
        <w:rPr/>
        <w:t>Future opportunity effects.</w:t>
      </w:r>
    </w:p>
    <w:p>
      <w:pPr>
        <w:pStyle w:val="BodyText"/>
        <w:spacing w:before="0" w:after="200"/>
        <w:rPr/>
      </w:pPr>
      <w:r>
        <w:rPr/>
        <w:t>Future state-space effects.</w:t>
      </w:r>
    </w:p>
    <w:p>
      <w:pPr>
        <w:pStyle w:val="BodyText"/>
        <w:spacing w:before="0" w:after="200"/>
        <w:rPr/>
      </w:pPr>
      <w:r>
        <w:rPr/>
        <w:t>This prevents aggregate flourishing from becoming a disguised version of “the ends justify the means.”</w:t>
      </w:r>
    </w:p>
    <w:p>
      <w:pPr>
        <w:pStyle w:val="Heading3"/>
        <w:ind w:hanging="0" w:left="0"/>
        <w:rPr/>
      </w:pPr>
      <w:r>
        <w:rPr/>
        <w:t>Aggregate Flourishing and Institutions</w:t>
      </w:r>
    </w:p>
    <w:p>
      <w:pPr>
        <w:pStyle w:val="BodyText"/>
        <w:spacing w:before="0" w:after="200"/>
        <w:rPr/>
      </w:pPr>
      <w:r>
        <w:rPr/>
        <w:t>Institutional effects may be difficult to represent in aggregate flourishing, but they may be morally central.</w:t>
      </w:r>
    </w:p>
    <w:p>
      <w:pPr>
        <w:pStyle w:val="BodyText"/>
        <w:spacing w:before="0" w:after="200"/>
        <w:rPr/>
      </w:pPr>
      <w:r>
        <w:rPr/>
        <w:t>An action that weakens institutional legitimacy, accountability, trust, or procedural integrity may have long-term effects that are not captured fully by immediate entity-level flourishing changes. Conversely, an action that strengthens institutional trust may increase future flourishing even when immediate benefits are modest.</w:t>
      </w:r>
    </w:p>
    <w:p>
      <w:pPr>
        <w:pStyle w:val="BodyText"/>
        <w:spacing w:before="0" w:after="200"/>
        <w:rPr/>
      </w:pPr>
      <w:r>
        <w:rPr/>
        <w:t>The methodology should therefore avoid treating institutional state as merely an external factor. Institutional flourishing, institutional trust, and institutional policy states may need to be included explicitly when calculating or interpreting Aggregate Flourishing.</w:t>
      </w:r>
    </w:p>
    <w:p>
      <w:pPr>
        <w:pStyle w:val="BodyText"/>
        <w:spacing w:before="0" w:after="200"/>
        <w:rPr/>
      </w:pPr>
      <w:r>
        <w:rPr/>
        <w:t>A positive short-term aggregate estimate should be treated cautiously if the action degrades institutions that support long-term flourishing.</w:t>
      </w:r>
    </w:p>
    <w:p>
      <w:pPr>
        <w:pStyle w:val="Heading3"/>
        <w:ind w:hanging="0" w:left="0"/>
        <w:rPr/>
      </w:pPr>
      <w:r>
        <w:rPr/>
        <w:t>Aggregate Flourishing and Future State Space</w:t>
      </w:r>
    </w:p>
    <w:p>
      <w:pPr>
        <w:pStyle w:val="BodyText"/>
        <w:spacing w:before="0" w:after="200"/>
        <w:rPr/>
      </w:pPr>
      <w:r>
        <w:rPr/>
        <w:t>Aggregate Flourishing must be interpreted in relation to future state space.</w:t>
      </w:r>
    </w:p>
    <w:p>
      <w:pPr>
        <w:pStyle w:val="BodyText"/>
        <w:spacing w:before="0" w:after="200"/>
        <w:rPr/>
      </w:pPr>
      <w:r>
        <w:rPr/>
        <w:t>An action may increase present flourishing while narrowing future possibilities. It may produce immediate benefit while making harmful future World Contexts more likely. It may preserve current entities while foreclosing important options for future entities. These effects may not be fully captured by immediate aggregate flourishing.</w:t>
      </w:r>
    </w:p>
    <w:p>
      <w:pPr>
        <w:pStyle w:val="BodyText"/>
        <w:spacing w:before="0" w:after="200"/>
        <w:rPr/>
      </w:pPr>
      <w:r>
        <w:rPr/>
        <w:t>The methodology should therefore consider whether aggregate flourishing gains are accompanied by expansion or contraction of beneficial future state space.</w:t>
      </w:r>
    </w:p>
    <w:p>
      <w:pPr>
        <w:pStyle w:val="BodyText"/>
        <w:spacing w:before="0" w:after="200"/>
        <w:rPr/>
      </w:pPr>
      <w:r>
        <w:rPr/>
        <w:t>An action that increases aggregate flourishing while significantly narrowing future state space may be morally problematic. An action that imposes short-term aggregate cost while preserving critical future state space may be morally supportable.</w:t>
      </w:r>
    </w:p>
    <w:p>
      <w:pPr>
        <w:pStyle w:val="Heading3"/>
        <w:ind w:hanging="0" w:left="0"/>
        <w:rPr/>
      </w:pPr>
      <w:r>
        <w:rPr/>
        <w:t>Aggregate Flourishing Under Uncertainty</w:t>
      </w:r>
    </w:p>
    <w:p>
      <w:pPr>
        <w:pStyle w:val="BodyText"/>
        <w:spacing w:before="0" w:after="200"/>
        <w:rPr/>
      </w:pPr>
      <w:r>
        <w:rPr/>
        <w:t>Aggregate Flourishing estimates are subject to uncertainty.</w:t>
      </w:r>
    </w:p>
    <w:p>
      <w:pPr>
        <w:pStyle w:val="BodyText"/>
        <w:spacing w:before="0" w:after="200"/>
        <w:rPr/>
      </w:pPr>
      <w:r>
        <w:rPr/>
        <w:t>Uncertainty may arise from incomplete evidence, uncertain baseline states, uncertain entity classifications, contested flourishing dimensions, prediction uncertainty, horizon distance, cross-entity comparison difficulty, weighting assumptions, and unknown future responses.</w:t>
      </w:r>
    </w:p>
    <w:p>
      <w:pPr>
        <w:pStyle w:val="BodyText"/>
        <w:spacing w:before="0" w:after="200"/>
        <w:rPr/>
      </w:pPr>
      <w:r>
        <w:rPr/>
        <w:t>The methodology should represent uncertainty explicitly. An aggregate estimate should not appear more precise than the underlying evidence supports. If individual Flourishing Transitions have low confidence, the aggregate estimate should reflect that limitation.</w:t>
      </w:r>
    </w:p>
    <w:p>
      <w:pPr>
        <w:pStyle w:val="BodyText"/>
        <w:spacing w:before="0" w:after="200"/>
        <w:rPr/>
      </w:pPr>
      <w:r>
        <w:rPr/>
        <w:t>Aggregate uncertainty may include:</w:t>
      </w:r>
    </w:p>
    <w:p>
      <w:pPr>
        <w:pStyle w:val="BodyText"/>
        <w:spacing w:before="0" w:after="200"/>
        <w:rPr/>
      </w:pPr>
      <w:r>
        <w:rPr/>
        <w:t>Uncertainty in which entities are included.</w:t>
      </w:r>
    </w:p>
    <w:p>
      <w:pPr>
        <w:pStyle w:val="BodyText"/>
        <w:spacing w:before="0" w:after="200"/>
        <w:rPr/>
      </w:pPr>
      <w:r>
        <w:rPr/>
        <w:t>Uncertainty in baseline flourishing states.</w:t>
      </w:r>
    </w:p>
    <w:p>
      <w:pPr>
        <w:pStyle w:val="BodyText"/>
        <w:spacing w:before="0" w:after="200"/>
        <w:rPr/>
      </w:pPr>
      <w:r>
        <w:rPr/>
        <w:t>Uncertainty in transition direction.</w:t>
      </w:r>
    </w:p>
    <w:p>
      <w:pPr>
        <w:pStyle w:val="BodyText"/>
        <w:spacing w:before="0" w:after="200"/>
        <w:rPr/>
      </w:pPr>
      <w:r>
        <w:rPr/>
        <w:t>Uncertainty in transition magnitude.</w:t>
      </w:r>
    </w:p>
    <w:p>
      <w:pPr>
        <w:pStyle w:val="BodyText"/>
        <w:spacing w:before="0" w:after="200"/>
        <w:rPr/>
      </w:pPr>
      <w:r>
        <w:rPr/>
        <w:t>Uncertainty in horizon-specific effects.</w:t>
      </w:r>
    </w:p>
    <w:p>
      <w:pPr>
        <w:pStyle w:val="BodyText"/>
        <w:spacing w:before="0" w:after="200"/>
        <w:rPr/>
      </w:pPr>
      <w:r>
        <w:rPr/>
        <w:t>Uncertainty in weighting or relevance assumptions.</w:t>
      </w:r>
    </w:p>
    <w:p>
      <w:pPr>
        <w:pStyle w:val="BodyText"/>
        <w:spacing w:before="0" w:after="200"/>
        <w:rPr/>
      </w:pPr>
      <w:r>
        <w:rPr/>
        <w:t>Uncertainty in materiality thresholds.</w:t>
      </w:r>
    </w:p>
    <w:p>
      <w:pPr>
        <w:pStyle w:val="BodyText"/>
        <w:spacing w:before="0" w:after="200"/>
        <w:rPr/>
      </w:pPr>
      <w:r>
        <w:rPr/>
        <w:t>Uncertainty in future state-space effects.</w:t>
      </w:r>
    </w:p>
    <w:p>
      <w:pPr>
        <w:pStyle w:val="BodyText"/>
        <w:spacing w:before="0" w:after="200"/>
        <w:rPr/>
      </w:pPr>
      <w:r>
        <w:rPr/>
        <w:t>Where uncertainty is high, the assessment may need to present ranges, scenarios, qualitative categories, or confidence-bounded summaries rather than a single aggregate value.</w:t>
      </w:r>
    </w:p>
    <w:p>
      <w:pPr>
        <w:pStyle w:val="Heading3"/>
        <w:ind w:hanging="0" w:left="0"/>
        <w:rPr/>
      </w:pPr>
      <w:r>
        <w:rPr/>
        <w:t>Aggregate Flourishing Scenarios</w:t>
      </w:r>
    </w:p>
    <w:p>
      <w:pPr>
        <w:pStyle w:val="BodyText"/>
        <w:spacing w:before="0" w:after="200"/>
        <w:rPr/>
      </w:pPr>
      <w:r>
        <w:rPr/>
        <w:t>When flourishing outcomes are uncertain, the methodology may represent multiple aggregate scenarios.</w:t>
      </w:r>
    </w:p>
    <w:p>
      <w:pPr>
        <w:pStyle w:val="BodyText"/>
        <w:spacing w:before="0" w:after="200"/>
        <w:rPr/>
      </w:pPr>
      <w:r>
        <w:rPr/>
        <w:t>Each scenario may summarize flourishing effects under different assumptions, causal pathways, evidence interpretations, or future responses. Scenario-based aggregation is especially useful when an action has uncertain long-term, institutional, ecological, or AI-related effects.</w:t>
      </w:r>
    </w:p>
    <w:p>
      <w:pPr>
        <w:pStyle w:val="BodyText"/>
        <w:spacing w:before="0" w:after="200"/>
        <w:rPr/>
      </w:pPr>
      <w:r>
        <w:rPr/>
        <w:t>For example, a public policy may produce one aggregate scenario in which trust and compliance increase, and another in which perceived illegitimacy reduces cooperation. An AI deployment may produce one scenario in which access to beneficial services increases, and another in which human agency or safety is degraded.</w:t>
      </w:r>
    </w:p>
    <w:p>
      <w:pPr>
        <w:pStyle w:val="BodyText"/>
        <w:spacing w:before="0" w:after="200"/>
        <w:rPr/>
      </w:pPr>
      <w:r>
        <w:rPr/>
        <w:t>Scenario-based aggregation preserves uncertainty and prevents premature reduction of complex moral futures into a single misleading estimate.</w:t>
      </w:r>
    </w:p>
    <w:p>
      <w:pPr>
        <w:pStyle w:val="Heading3"/>
        <w:ind w:hanging="0" w:left="0"/>
        <w:rPr/>
      </w:pPr>
      <w:r>
        <w:rPr/>
        <w:t>Aggregate Flourishing and Comparison Among Actions</w:t>
      </w:r>
    </w:p>
    <w:p>
      <w:pPr>
        <w:pStyle w:val="BodyText"/>
        <w:spacing w:before="0" w:after="200"/>
        <w:rPr/>
      </w:pPr>
      <w:r>
        <w:rPr/>
        <w:t>Aggregate Flourishing may support comparison among candidate actions.</w:t>
      </w:r>
    </w:p>
    <w:p>
      <w:pPr>
        <w:pStyle w:val="BodyText"/>
        <w:spacing w:before="0" w:after="200"/>
        <w:rPr/>
      </w:pPr>
      <w:r>
        <w:rPr/>
        <w:t>When multiple actions are available, aggregate flourishing summaries can help identify which candidate action appears to produce the broadest preservation or increase of Long-Term Flourishing. However, comparison should not be based on aggregate flourishing alone.</w:t>
      </w:r>
    </w:p>
    <w:p>
      <w:pPr>
        <w:pStyle w:val="BodyText"/>
        <w:spacing w:before="0" w:after="200"/>
        <w:rPr/>
      </w:pPr>
      <w:r>
        <w:rPr/>
        <w:t>A candidate action with lower aggregate flourishing may be preferable if it avoids material diminishment, preserves legitimate institutions, maintains trust, protects future state space, or avoids harmful policy updates. A candidate action with higher aggregate flourishing may be morally inferior if it relies on corrupt means or imposes severe concentrated harm.</w:t>
      </w:r>
    </w:p>
    <w:p>
      <w:pPr>
        <w:pStyle w:val="BodyText"/>
        <w:spacing w:before="0" w:after="200"/>
        <w:rPr/>
      </w:pPr>
      <w:r>
        <w:rPr/>
        <w:t>Comparison should therefore evaluate aggregate flourishing as one component of the structured World Context Transition assessment.</w:t>
      </w:r>
    </w:p>
    <w:p>
      <w:pPr>
        <w:pStyle w:val="Heading3"/>
        <w:ind w:hanging="0" w:left="0"/>
        <w:rPr/>
      </w:pPr>
      <w:r>
        <w:rPr/>
        <w:t>Aggregate Flourishing and Structured Assessment Output</w:t>
      </w:r>
    </w:p>
    <w:p>
      <w:pPr>
        <w:pStyle w:val="BodyText"/>
        <w:spacing w:before="0" w:after="200"/>
        <w:rPr/>
      </w:pPr>
      <w:r>
        <w:rPr/>
        <w:t>Aggregate Flourishing should be represented as part of the structured assessment output when useful.</w:t>
      </w:r>
    </w:p>
    <w:p>
      <w:pPr>
        <w:pStyle w:val="BodyText"/>
        <w:spacing w:before="0" w:after="200"/>
        <w:rPr/>
      </w:pPr>
      <w:r>
        <w:rPr/>
        <w:t>A structured assessment may include aggregate flourishing summaries by entity, dimension, horizon, scenario, and confidence level. It should also include the underlying entity-specific Flourishing Transitions so the aggregate result remains inspectable.</w:t>
      </w:r>
    </w:p>
    <w:p>
      <w:pPr>
        <w:pStyle w:val="BodyText"/>
        <w:spacing w:before="0" w:after="200"/>
        <w:rPr/>
      </w:pPr>
      <w:r>
        <w:rPr/>
        <w:t>A useful structured output may include:</w:t>
      </w:r>
    </w:p>
    <w:p>
      <w:pPr>
        <w:pStyle w:val="BodyText"/>
        <w:spacing w:before="0" w:after="200"/>
        <w:rPr/>
      </w:pPr>
      <w:r>
        <w:rPr/>
        <w:t>Entity-level flourishing changes.</w:t>
      </w:r>
    </w:p>
    <w:p>
      <w:pPr>
        <w:pStyle w:val="BodyText"/>
        <w:spacing w:before="0" w:after="200"/>
        <w:rPr/>
      </w:pPr>
      <w:r>
        <w:rPr/>
        <w:t>Dimension-level flourishing changes.</w:t>
      </w:r>
    </w:p>
    <w:p>
      <w:pPr>
        <w:pStyle w:val="BodyText"/>
        <w:spacing w:before="0" w:after="200"/>
        <w:rPr/>
      </w:pPr>
      <w:r>
        <w:rPr/>
        <w:t>Horizon-specific aggregate changes.</w:t>
      </w:r>
    </w:p>
    <w:p>
      <w:pPr>
        <w:pStyle w:val="BodyText"/>
        <w:spacing w:before="0" w:after="200"/>
        <w:rPr/>
      </w:pPr>
      <w:r>
        <w:rPr/>
        <w:t>Distribution of benefits and harms.</w:t>
      </w:r>
    </w:p>
    <w:p>
      <w:pPr>
        <w:pStyle w:val="BodyText"/>
        <w:spacing w:before="0" w:after="200"/>
        <w:rPr/>
      </w:pPr>
      <w:r>
        <w:rPr/>
        <w:t>Material diminishment flags.</w:t>
      </w:r>
    </w:p>
    <w:p>
      <w:pPr>
        <w:pStyle w:val="BodyText"/>
        <w:spacing w:before="0" w:after="200"/>
        <w:rPr/>
      </w:pPr>
      <w:r>
        <w:rPr/>
        <w:t>Confidence estimates.</w:t>
      </w:r>
    </w:p>
    <w:p>
      <w:pPr>
        <w:pStyle w:val="BodyText"/>
        <w:spacing w:before="0" w:after="200"/>
        <w:rPr/>
      </w:pPr>
      <w:r>
        <w:rPr/>
        <w:t>Major uncertainty sources.</w:t>
      </w:r>
    </w:p>
    <w:p>
      <w:pPr>
        <w:pStyle w:val="BodyText"/>
        <w:spacing w:before="0" w:after="200"/>
        <w:rPr/>
      </w:pPr>
      <w:r>
        <w:rPr/>
        <w:t>Scenario summaries.</w:t>
      </w:r>
    </w:p>
    <w:p>
      <w:pPr>
        <w:pStyle w:val="BodyText"/>
        <w:spacing w:before="0" w:after="200"/>
        <w:rPr/>
      </w:pPr>
      <w:r>
        <w:rPr/>
        <w:t>Relationship to the World Context Transition.</w:t>
      </w:r>
    </w:p>
    <w:p>
      <w:pPr>
        <w:pStyle w:val="BodyText"/>
        <w:spacing w:before="0" w:after="200"/>
        <w:rPr/>
      </w:pPr>
      <w:r>
        <w:rPr/>
        <w:t>This allows downstream reviewers, auditors, or implementations to see both the summary and the underlying structure.</w:t>
      </w:r>
    </w:p>
    <w:p>
      <w:pPr>
        <w:pStyle w:val="Heading3"/>
        <w:ind w:hanging="0" w:left="0"/>
        <w:rPr/>
      </w:pPr>
      <w:r>
        <w:rPr/>
        <w:t>Common Aggregation Errors</w:t>
      </w:r>
    </w:p>
    <w:p>
      <w:pPr>
        <w:pStyle w:val="BodyText"/>
        <w:spacing w:before="0" w:after="200"/>
        <w:rPr/>
      </w:pPr>
      <w:r>
        <w:rPr/>
        <w:t>The methodology should avoid several common aggregation errors.</w:t>
      </w:r>
    </w:p>
    <w:p>
      <w:pPr>
        <w:pStyle w:val="BodyText"/>
        <w:spacing w:before="0" w:after="200"/>
        <w:rPr/>
      </w:pPr>
      <w:r>
        <w:rPr/>
        <w:t>First, it should avoid scalar reduction, in which multidimensional flourishing is collapsed into a single score too early.</w:t>
      </w:r>
    </w:p>
    <w:p>
      <w:pPr>
        <w:pStyle w:val="BodyText"/>
        <w:spacing w:before="0" w:after="200"/>
        <w:rPr/>
      </w:pPr>
      <w:r>
        <w:rPr/>
        <w:t>Second, it should avoid distribution blindness, in which severe concentrated harms are hidden behind broad benefits.</w:t>
      </w:r>
    </w:p>
    <w:p>
      <w:pPr>
        <w:pStyle w:val="BodyText"/>
        <w:spacing w:before="0" w:after="200"/>
        <w:rPr/>
      </w:pPr>
      <w:r>
        <w:rPr/>
        <w:t>Third, it should avoid horizon collapse, in which immediate and long-term effects are merged without preserving temporal structure.</w:t>
      </w:r>
    </w:p>
    <w:p>
      <w:pPr>
        <w:pStyle w:val="BodyText"/>
        <w:spacing w:before="0" w:after="200"/>
        <w:rPr/>
      </w:pPr>
      <w:r>
        <w:rPr/>
        <w:t>Fourth, it should avoid entity equivalence, in which different kinds of Flourishing Entities are treated as interchangeable without justification.</w:t>
      </w:r>
    </w:p>
    <w:p>
      <w:pPr>
        <w:pStyle w:val="BodyText"/>
        <w:spacing w:before="0" w:after="200"/>
        <w:rPr/>
      </w:pPr>
      <w:r>
        <w:rPr/>
        <w:t>Fifth, it should avoid means blindness, in which harmful means are ignored because the aggregate outcome appears beneficial.</w:t>
      </w:r>
    </w:p>
    <w:p>
      <w:pPr>
        <w:pStyle w:val="BodyText"/>
        <w:spacing w:before="0" w:after="200"/>
        <w:rPr/>
      </w:pPr>
      <w:r>
        <w:rPr/>
        <w:t>Sixth, it should avoid false precision, in which uncertain estimates are presented as mathematically exact.</w:t>
      </w:r>
    </w:p>
    <w:p>
      <w:pPr>
        <w:pStyle w:val="BodyText"/>
        <w:spacing w:before="0" w:after="200"/>
        <w:rPr/>
      </w:pPr>
      <w:r>
        <w:rPr/>
        <w:t>Seventh, it should avoid institutional invisibility, in which effects on trust, legitimacy, accountability, and future decision policies are excluded from the aggregate view.</w:t>
      </w:r>
    </w:p>
    <w:p>
      <w:pPr>
        <w:pStyle w:val="BodyText"/>
        <w:spacing w:before="0" w:after="200"/>
        <w:rPr/>
      </w:pPr>
      <w:r>
        <w:rPr/>
        <w:t>These errors can cause Aggregate Flourishing to mislead rather than clarify.</w:t>
      </w:r>
    </w:p>
    <w:p>
      <w:pPr>
        <w:pStyle w:val="Heading3"/>
        <w:ind w:hanging="0" w:left="0"/>
        <w:rPr/>
      </w:pPr>
      <w:r>
        <w:rPr/>
        <w:t>Relationship to the World Context Transition</w:t>
      </w:r>
    </w:p>
    <w:p>
      <w:pPr>
        <w:pStyle w:val="BodyText"/>
        <w:spacing w:before="0" w:after="200"/>
        <w:rPr/>
      </w:pPr>
      <w:r>
        <w:rPr/>
        <w:t>Aggregate Flourishing informs the World Context Transition assessment, but it cannot replace it.</w:t>
      </w:r>
    </w:p>
    <w:p>
      <w:pPr>
        <w:pStyle w:val="BodyText"/>
        <w:spacing w:before="0" w:after="200"/>
        <w:rPr/>
      </w:pPr>
      <w:r>
        <w:rPr/>
        <w:t>The World Context Transition includes entity flourishing changes, but it also includes Association changes, institutional changes, information-state changes, constraint changes, authority and legitimacy changes, policy-state changes, future opportunities, and future state space. Aggregate Flourishing captures only part of this structure.</w:t>
      </w:r>
    </w:p>
    <w:p>
      <w:pPr>
        <w:pStyle w:val="BodyText"/>
        <w:spacing w:before="0" w:after="200"/>
        <w:rPr/>
      </w:pPr>
      <w:r>
        <w:rPr/>
        <w:t>The final moral assessment should therefore evaluate the resulting World Context as a whole. Aggregate Flourishing may show the scale and distribution of flourishing effects, but the moral question is whether the overall transition is supportable under the Foundational Axiom.</w:t>
      </w:r>
    </w:p>
    <w:p>
      <w:pPr>
        <w:pStyle w:val="BodyText"/>
        <w:spacing w:before="0" w:after="200"/>
        <w:rPr/>
      </w:pPr>
      <w:r>
        <w:rPr/>
        <w:t>A moral assessment that stops at aggregate flourishing risks becoming a simplified consequentialist calculation. This framework instead treats aggregation as one analytical layer within a broader systems assessment.</w:t>
      </w:r>
    </w:p>
    <w:p>
      <w:pPr>
        <w:pStyle w:val="Heading3"/>
        <w:ind w:hanging="0" w:left="0"/>
        <w:rPr/>
      </w:pPr>
      <w:r>
        <w:rPr/>
        <w:t>Methodological Boundary</w:t>
      </w:r>
    </w:p>
    <w:p>
      <w:pPr>
        <w:pStyle w:val="BodyText"/>
        <w:spacing w:before="0" w:after="200"/>
        <w:rPr/>
      </w:pPr>
      <w:r>
        <w:rPr/>
        <w:t>This section defines the role of Aggregate Flourishing within the Moral Assessment Methodology. It does not prescribe a final aggregation formula, weighting system, threshold rule, statistical model, utility function, or implementation-specific calculation.</w:t>
      </w:r>
    </w:p>
    <w:p>
      <w:pPr>
        <w:pStyle w:val="BodyText"/>
        <w:spacing w:before="0" w:after="200"/>
        <w:rPr/>
      </w:pPr>
      <w:r>
        <w:rPr/>
        <w:t>Those formal methods may be developed in later mathematical sections, appendices, or implementations. The requirement at this level is that Aggregate Flourishing remain explicit, traceable, horizon-aware, entity-aware, uncertainty-aware, and subordinate to the World Context Transition.</w:t>
      </w:r>
    </w:p>
    <w:p>
      <w:pPr>
        <w:pStyle w:val="BodyText"/>
        <w:spacing w:before="0" w:after="200"/>
        <w:rPr/>
      </w:pPr>
      <w:r>
        <w:rPr/>
        <w:t>Aggregate Flourishing should help the assessment understand scale, direction, distribution, and risk. It should never be treated as the moral assessment itself.</w:t>
      </w:r>
    </w:p>
    <w:p>
      <w:pPr>
        <w:pStyle w:val="Normal"/>
        <w:widowControl/>
        <w:bidi w:val="0"/>
        <w:spacing w:lineRule="auto" w:line="276"/>
        <w:jc w:val="left"/>
        <w:rPr/>
      </w:pPr>
      <w:r>
        <w:rPr/>
      </w:r>
    </w:p>
    <w:p>
      <w:pPr>
        <w:pStyle w:val="Heading2"/>
        <w:ind w:hanging="0" w:left="0"/>
        <w:rPr/>
      </w:pPr>
      <w:r>
        <w:rPr/>
        <w:t>Distributed Policy Updates</w:t>
      </w:r>
    </w:p>
    <w:p>
      <w:pPr>
        <w:pStyle w:val="BodyText"/>
        <w:spacing w:before="0" w:after="200"/>
        <w:rPr/>
      </w:pPr>
      <w:r>
        <w:rPr/>
        <w:t>Distributed Policy Updates describe how an Assessed Action changes the future decision policies of Actors, affected entities, observers, responders, collaborators, institutions, artificial systems, and other relevant Moral Agents.</w:t>
      </w:r>
    </w:p>
    <w:p>
      <w:pPr>
        <w:pStyle w:val="BodyText"/>
        <w:spacing w:before="0" w:after="200"/>
        <w:rPr/>
      </w:pPr>
      <w:r>
        <w:rPr/>
        <w:t>A policy update is a change in future action-selection tendency. It may alter what an entity is more or less likely to do, what it perceives as acceptable, legitimate, effective, rewarded, punished, tolerated, expected, or repeatable, and how it interprets similar situations in the future.</w:t>
      </w:r>
    </w:p>
    <w:p>
      <w:pPr>
        <w:pStyle w:val="BodyText"/>
        <w:spacing w:before="0" w:after="200"/>
        <w:rPr/>
      </w:pPr>
      <w:r>
        <w:rPr/>
        <w:t>Distributed Policy Updates are central to the Moral Assessment Methodology because moral actions do not merely produce immediate consequences. They also change the future behavior of the moral system. An action may teach the Actor to repeat a harmful means, teach observers that the means are acceptable, alter institutional precedent, change responder behavior, or update the behavior of artificial systems. These updates become part of the resulting World Context and therefore part of the moral assessment.</w:t>
      </w:r>
    </w:p>
    <w:p>
      <w:pPr>
        <w:pStyle w:val="BodyText"/>
        <w:spacing w:before="0" w:after="200"/>
        <w:rPr/>
      </w:pPr>
      <w:r>
        <w:rPr/>
        <w:t>This assessment provides guidance to argue against “the ends justify the means” by explaining how the moral actor is degraded (a policy update) by the harmful actions that they commit. This degradation has a negative influence on the World Context.  A beneficial outcome does not erase a detrimental policy update; the update is part of the resulting World Context.</w:t>
      </w:r>
    </w:p>
    <w:p>
      <w:pPr>
        <w:pStyle w:val="BodyText"/>
        <w:spacing w:before="0" w:after="200"/>
        <w:rPr/>
      </w:pPr>
      <w:r>
        <w:rPr/>
        <w:t>This section operationalizes the architecture’s treatment of means. The means used to pursue an objective are not external to moral assessment. They are part of the Assessed Action, and their effects on future decision policies must be represented when material.</w:t>
      </w:r>
    </w:p>
    <w:p>
      <w:pPr>
        <w:pStyle w:val="Heading3"/>
        <w:ind w:hanging="0" w:left="0"/>
        <w:rPr/>
      </w:pPr>
      <w:r>
        <w:rPr/>
        <w:t>Purpose of Distributed Policy Updates</w:t>
      </w:r>
    </w:p>
    <w:p>
      <w:pPr>
        <w:pStyle w:val="BodyText"/>
        <w:spacing w:before="0" w:after="200"/>
        <w:rPr/>
      </w:pPr>
      <w:r>
        <w:rPr/>
        <w:t>The purpose of Distributed Policy Updates is to represent how an Assessed Action changes future moral behavior.</w:t>
      </w:r>
    </w:p>
    <w:p>
      <w:pPr>
        <w:pStyle w:val="BodyText"/>
        <w:spacing w:before="0" w:after="200"/>
        <w:rPr/>
      </w:pPr>
      <w:r>
        <w:rPr/>
        <w:t>A narrow assessment may evaluate whether an action achieved its operational objective or produced a beneficial immediate outcome. This methodology requires a broader assessment. It asks whether the action changes future decision policies in ways that preserve or diminish Long-Term Flourishing, trust, cooperation, institutional legitimacy, epistemic responsibility, and future state space.</w:t>
      </w:r>
    </w:p>
    <w:p>
      <w:pPr>
        <w:pStyle w:val="BodyText"/>
        <w:spacing w:before="0" w:after="200"/>
        <w:rPr/>
      </w:pPr>
      <w:r>
        <w:rPr/>
        <w:t>Distributed Policy Updates help the methodology answer questions such as:</w:t>
      </w:r>
    </w:p>
    <w:p>
      <w:pPr>
        <w:pStyle w:val="BodyText"/>
        <w:spacing w:before="0" w:after="200"/>
        <w:rPr/>
      </w:pPr>
      <w:r>
        <w:rPr/>
        <w:t>Does the action make the Actor more likely to repeat harmful means?</w:t>
      </w:r>
    </w:p>
    <w:p>
      <w:pPr>
        <w:pStyle w:val="BodyText"/>
        <w:spacing w:before="0" w:after="200"/>
        <w:rPr/>
      </w:pPr>
      <w:r>
        <w:rPr/>
        <w:t>Does the action teach observers that harmful means are acceptable or rewarded?</w:t>
      </w:r>
    </w:p>
    <w:p>
      <w:pPr>
        <w:pStyle w:val="BodyText"/>
        <w:spacing w:before="0" w:after="200"/>
        <w:rPr/>
      </w:pPr>
      <w:r>
        <w:rPr/>
        <w:t>Does the action alter institutional precedent or enforcement expectations?</w:t>
      </w:r>
    </w:p>
    <w:p>
      <w:pPr>
        <w:pStyle w:val="BodyText"/>
        <w:spacing w:before="0" w:after="200"/>
        <w:rPr/>
      </w:pPr>
      <w:r>
        <w:rPr/>
        <w:t>Does the action cause affected entities to become less trusting, less cooperative, more defensive, or more likely to retaliate?</w:t>
      </w:r>
    </w:p>
    <w:p>
      <w:pPr>
        <w:pStyle w:val="BodyText"/>
        <w:spacing w:before="0" w:after="200"/>
        <w:rPr/>
      </w:pPr>
      <w:r>
        <w:rPr/>
        <w:t>Does the action improve future decision behavior through transparency, accountability, care, restraint, or epistemic diligence?</w:t>
      </w:r>
    </w:p>
    <w:p>
      <w:pPr>
        <w:pStyle w:val="BodyText"/>
        <w:spacing w:before="0" w:after="200"/>
        <w:rPr/>
      </w:pPr>
      <w:r>
        <w:rPr/>
        <w:t>Does the action update an artificial system toward safer or more dangerous future behavior?</w:t>
      </w:r>
    </w:p>
    <w:p>
      <w:pPr>
        <w:pStyle w:val="BodyText"/>
        <w:spacing w:before="0" w:after="200"/>
        <w:rPr/>
      </w:pPr>
      <w:r>
        <w:rPr/>
        <w:t>The purpose is not merely to explain behavior after the fact. It is to include future decision-policy changes as part of the predicted or observed State Transition.</w:t>
      </w:r>
    </w:p>
    <w:p>
      <w:pPr>
        <w:pStyle w:val="Heading3"/>
        <w:ind w:hanging="0" w:left="0"/>
        <w:rPr/>
      </w:pPr>
      <w:r>
        <w:rPr/>
        <w:t>Policy Updates as State Transitions</w:t>
      </w:r>
    </w:p>
    <w:p>
      <w:pPr>
        <w:pStyle w:val="BodyText"/>
        <w:spacing w:before="0" w:after="200"/>
        <w:rPr/>
      </w:pPr>
      <w:r>
        <w:rPr/>
        <w:t>A Distributed Policy Update is a Policy State Transition.</w:t>
      </w:r>
    </w:p>
    <w:p>
      <w:pPr>
        <w:pStyle w:val="BodyText"/>
        <w:spacing w:before="0" w:after="200"/>
        <w:rPr/>
      </w:pPr>
      <w:r>
        <w:rPr/>
        <w:t>Section 6.4 identifies Policy State Variables as representations of future decision tendencies, rules, norms, habits, strategies, incentives, learned behaviors, and action-selection patterns. Section 6.5 identifies Policy Transitions as changes to those variables. Section 6.9 focuses specifically on how those policy transitions are distributed across multiple agents and institutions.</w:t>
      </w:r>
    </w:p>
    <w:p>
      <w:pPr>
        <w:pStyle w:val="BodyText"/>
        <w:spacing w:before="0" w:after="200"/>
        <w:rPr/>
      </w:pPr>
      <w:r>
        <w:rPr/>
        <w:t>A policy update should identify:</w:t>
      </w:r>
    </w:p>
    <w:p>
      <w:pPr>
        <w:pStyle w:val="BodyText"/>
        <w:spacing w:before="0" w:after="200"/>
        <w:rPr/>
      </w:pPr>
      <w:r>
        <w:rPr/>
        <w:t>The entity whose policy state changes.</w:t>
      </w:r>
    </w:p>
    <w:p>
      <w:pPr>
        <w:pStyle w:val="BodyText"/>
        <w:spacing w:before="0" w:after="200"/>
        <w:rPr/>
      </w:pPr>
      <w:r>
        <w:rPr/>
        <w:t>The baseline policy state before the Assessed Action.</w:t>
      </w:r>
    </w:p>
    <w:p>
      <w:pPr>
        <w:pStyle w:val="BodyText"/>
        <w:spacing w:before="0" w:after="200"/>
        <w:rPr/>
      </w:pPr>
      <w:r>
        <w:rPr/>
        <w:t>The post-action policy state or predicted policy state.</w:t>
      </w:r>
    </w:p>
    <w:p>
      <w:pPr>
        <w:pStyle w:val="BodyText"/>
        <w:spacing w:before="0" w:after="200"/>
        <w:rPr/>
      </w:pPr>
      <w:r>
        <w:rPr/>
        <w:t>The action or means that produces the update.</w:t>
      </w:r>
    </w:p>
    <w:p>
      <w:pPr>
        <w:pStyle w:val="BodyText"/>
        <w:spacing w:before="0" w:after="200"/>
        <w:rPr/>
      </w:pPr>
      <w:r>
        <w:rPr/>
        <w:t>The direction of the update.</w:t>
      </w:r>
    </w:p>
    <w:p>
      <w:pPr>
        <w:pStyle w:val="BodyText"/>
        <w:spacing w:before="0" w:after="200"/>
        <w:rPr/>
      </w:pPr>
      <w:r>
        <w:rPr/>
        <w:t>The magnitude or materiality of the update.</w:t>
      </w:r>
    </w:p>
    <w:p>
      <w:pPr>
        <w:pStyle w:val="BodyText"/>
        <w:spacing w:before="0" w:after="200"/>
        <w:rPr/>
      </w:pPr>
      <w:r>
        <w:rPr/>
        <w:t>The Assessment Horizon over which the update is expected to operate.</w:t>
      </w:r>
    </w:p>
    <w:p>
      <w:pPr>
        <w:pStyle w:val="BodyText"/>
        <w:spacing w:before="0" w:after="200"/>
        <w:rPr/>
      </w:pPr>
      <w:r>
        <w:rPr/>
        <w:t>The evidence supporting the update.</w:t>
      </w:r>
    </w:p>
    <w:p>
      <w:pPr>
        <w:pStyle w:val="BodyText"/>
        <w:spacing w:before="0" w:after="200"/>
        <w:rPr/>
      </w:pPr>
      <w:r>
        <w:rPr/>
        <w:t>The uncertainty and confidence associated with the update.</w:t>
      </w:r>
    </w:p>
    <w:p>
      <w:pPr>
        <w:pStyle w:val="BodyText"/>
        <w:spacing w:before="0" w:after="200"/>
        <w:rPr/>
      </w:pPr>
      <w:r>
        <w:rPr/>
        <w:t>Policy updates may be explicit or implicit. An explicit policy update may appear as a new rule, written policy, system configuration, legal precedent, training update, or institutional procedure. An implicit policy update may appear as a changed habit, normalized behavior, learned expectation, altered incentive, degraded trust, or increased willingness to use a particular means.</w:t>
      </w:r>
    </w:p>
    <w:p>
      <w:pPr>
        <w:pStyle w:val="Heading3"/>
        <w:ind w:hanging="0" w:left="0"/>
        <w:rPr/>
      </w:pPr>
      <w:r>
        <w:rPr/>
        <w:t>Actor Policy Update</w:t>
      </w:r>
    </w:p>
    <w:p>
      <w:pPr>
        <w:pStyle w:val="BodyText"/>
        <w:spacing w:before="0" w:after="200"/>
        <w:rPr/>
      </w:pPr>
      <w:r>
        <w:rPr/>
        <w:t>The Actor Policy Update is the change in the future decision policy of the Actor who initiates, authorizes, directs, controls, performs, or bears responsibility for the Assessed Action.</w:t>
      </w:r>
    </w:p>
    <w:p>
      <w:pPr>
        <w:pStyle w:val="BodyText"/>
        <w:spacing w:before="0" w:after="200"/>
        <w:rPr/>
      </w:pPr>
      <w:r>
        <w:rPr/>
        <w:t>This is the most direct form of policy update. When an Actor chooses a means and that means achieves an objective, avoids penalty, receives reward, or appears effective, the Actor may become more likely to use similar means in the future. This is morally significant because the action changes the Actor’s future decision policy.</w:t>
      </w:r>
    </w:p>
    <w:p>
      <w:pPr>
        <w:pStyle w:val="BodyText"/>
        <w:spacing w:before="0" w:after="200"/>
        <w:rPr/>
      </w:pPr>
      <w:r>
        <w:rPr/>
        <w:t>A detrimental Actor Policy Update may occur when the Actor becomes more likely to use deception, coercion, cruelty, fraud, negligence, abuse, reckless disregard, evidence suppression, or institutional manipulation. The immediate outcome may appear beneficial, but the Actor’s future moral behavior may be degraded.</w:t>
      </w:r>
    </w:p>
    <w:p>
      <w:pPr>
        <w:pStyle w:val="BodyText"/>
        <w:spacing w:before="0" w:after="200"/>
        <w:rPr/>
      </w:pPr>
      <w:r>
        <w:rPr/>
        <w:t>A beneficial Actor Policy Update may occur when the Actor becomes more likely to use transparency, restraint, accountability, care, fairness, truthfulness, courage, diligence, consent-seeking, or legitimate authority. Even when such means impose short-term cost, they may strengthen the Actor’s future moral decision-making.</w:t>
      </w:r>
    </w:p>
    <w:p>
      <w:pPr>
        <w:pStyle w:val="BodyText"/>
        <w:spacing w:before="0" w:after="200"/>
        <w:rPr/>
      </w:pPr>
      <w:r>
        <w:rPr/>
        <w:t>The Actor Policy Update is especially important because the Actor may also be a Flourishing Entity affected by the action. An Actor who degrades their own future decision policy may diminish their own Long-Term Flourishing and the flourishing of entities affected by their future actions.</w:t>
      </w:r>
    </w:p>
    <w:p>
      <w:pPr>
        <w:pStyle w:val="Heading3"/>
        <w:ind w:hanging="0" w:left="0"/>
        <w:rPr/>
      </w:pPr>
      <w:r>
        <w:rPr/>
        <w:t>Observer Policy Updates</w:t>
      </w:r>
    </w:p>
    <w:p>
      <w:pPr>
        <w:pStyle w:val="BodyText"/>
        <w:spacing w:before="0" w:after="200"/>
        <w:rPr/>
      </w:pPr>
      <w:r>
        <w:rPr/>
        <w:t>Observer Policy Updates are changes in the future decision policies of entities that observe, learn about, infer, or are trained on the Assessed Action.</w:t>
      </w:r>
    </w:p>
    <w:p>
      <w:pPr>
        <w:pStyle w:val="BodyText"/>
        <w:spacing w:before="0" w:after="200"/>
        <w:rPr/>
      </w:pPr>
      <w:r>
        <w:rPr/>
        <w:t>Observers may include individuals, employees, communities, competitors, professional peers, institutional members, adversaries, regulators, artificial systems, future agents, or the public. Observers do not need to be direct participants in the action to be affected by it.</w:t>
      </w:r>
    </w:p>
    <w:p>
      <w:pPr>
        <w:pStyle w:val="BodyText"/>
        <w:spacing w:before="0" w:after="200"/>
        <w:rPr/>
      </w:pPr>
      <w:r>
        <w:rPr/>
        <w:t>An observer may update its policy state by concluding that a means is acceptable, effective, rewarded, punished, tolerated, illegitimate, dangerous, admirable, shameful, or repeatable. These updates can spread the moral significance of an action beyond the immediate situation.</w:t>
      </w:r>
    </w:p>
    <w:p>
      <w:pPr>
        <w:pStyle w:val="BodyText"/>
        <w:spacing w:before="0" w:after="200"/>
        <w:rPr/>
      </w:pPr>
      <w:r>
        <w:rPr/>
        <w:t>For example, if employees observe that deception is rewarded when it protects the organization, their future decision policies may shift toward deception. If citizens observe that a court follows legitimate process even in a difficult case, their future trust in legal institutions may increase. If users observe that an AI system refuses unsafe requests consistently and transparently, their expectations of safe system behavior may change.</w:t>
      </w:r>
    </w:p>
    <w:p>
      <w:pPr>
        <w:pStyle w:val="BodyText"/>
        <w:spacing w:before="0" w:after="200"/>
        <w:rPr/>
      </w:pPr>
      <w:r>
        <w:rPr/>
        <w:t>Observer Policy Updates should be included when they materially affect future behavior, institutional norms, trust, cooperation, or future state space.</w:t>
      </w:r>
    </w:p>
    <w:p>
      <w:pPr>
        <w:pStyle w:val="Heading3"/>
        <w:ind w:hanging="0" w:left="0"/>
        <w:rPr/>
      </w:pPr>
      <w:r>
        <w:rPr/>
        <w:t>Affected-Entity Policy Updates</w:t>
      </w:r>
    </w:p>
    <w:p>
      <w:pPr>
        <w:pStyle w:val="BodyText"/>
        <w:spacing w:before="0" w:after="200"/>
        <w:rPr/>
      </w:pPr>
      <w:r>
        <w:rPr/>
        <w:t>Affected-Entity Policy Updates are changes in the future decision policies of entities directly or indirectly affected by the Assessed Action.</w:t>
      </w:r>
    </w:p>
    <w:p>
      <w:pPr>
        <w:pStyle w:val="BodyText"/>
        <w:spacing w:before="0" w:after="200"/>
        <w:rPr/>
      </w:pPr>
      <w:r>
        <w:rPr/>
        <w:t>An affected entity may update its future behavior in response to harm, benefit, trust, betrayal, protection, coercion, care, neglect, transparency, or abuse. These updates may affect future cooperation, compliance, avoidance, retaliation, reliance, care-seeking behavior, institutional participation, willingness to disclose information, or willingness to trust other Moral Agents.</w:t>
      </w:r>
    </w:p>
    <w:p>
      <w:pPr>
        <w:pStyle w:val="BodyText"/>
        <w:spacing w:before="0" w:after="200"/>
        <w:rPr/>
      </w:pPr>
      <w:r>
        <w:rPr/>
        <w:t>For example, a patient deceived by a physician may become less likely to seek care or trust medical advice. An employee treated fairly during a difficult layoff may remain more cooperative and trusting. A community subjected to illegitimate force may become less willing to comply with future legitimate governance. A child protected through honest explanation may develop greater trust and resilience than a child manipulated through deception.</w:t>
      </w:r>
    </w:p>
    <w:p>
      <w:pPr>
        <w:pStyle w:val="BodyText"/>
        <w:spacing w:before="0" w:after="200"/>
        <w:rPr/>
      </w:pPr>
      <w:r>
        <w:rPr/>
        <w:t>These updates matter because they change the future relational and behavioral conditions of the World Context.</w:t>
      </w:r>
    </w:p>
    <w:p>
      <w:pPr>
        <w:pStyle w:val="Heading3"/>
        <w:ind w:hanging="0" w:left="0"/>
        <w:rPr/>
      </w:pPr>
      <w:r>
        <w:rPr/>
        <w:t>Responder Policy Updates</w:t>
      </w:r>
    </w:p>
    <w:p>
      <w:pPr>
        <w:pStyle w:val="BodyText"/>
        <w:spacing w:before="0" w:after="200"/>
        <w:rPr/>
      </w:pPr>
      <w:r>
        <w:rPr/>
        <w:t>Responder Policy Updates are changes in the future decision policies of entities that react to the Assessed Action or its consequences.</w:t>
      </w:r>
    </w:p>
    <w:p>
      <w:pPr>
        <w:pStyle w:val="BodyText"/>
        <w:spacing w:before="0" w:after="200"/>
        <w:rPr/>
      </w:pPr>
      <w:r>
        <w:rPr/>
        <w:t>Responders may include courts, regulators, families, communities, institutions, markets, emergency services, advocacy groups, adversaries, competitors, autonomous systems, or ecological management systems. Their policy updates may amplify, mitigate, punish, correct, normalize, institutionalize, or escalate the effects of the original action.</w:t>
      </w:r>
    </w:p>
    <w:p>
      <w:pPr>
        <w:pStyle w:val="BodyText"/>
        <w:spacing w:before="0" w:after="200"/>
        <w:rPr/>
      </w:pPr>
      <w:r>
        <w:rPr/>
        <w:t>For example, regulatory agencies may become more aggressive after observing institutional abuse. A court may establish a new precedent after reviewing a harmful act. A community may become more resistant after experiencing coercive governance. A market may alter incentives after discovering fraud. An adversary may update toward retaliation after interpreting an action as illegitimate aggression.</w:t>
      </w:r>
    </w:p>
    <w:p>
      <w:pPr>
        <w:pStyle w:val="BodyText"/>
        <w:spacing w:before="0" w:after="200"/>
        <w:rPr/>
      </w:pPr>
      <w:r>
        <w:rPr/>
        <w:t>Responder Policy Updates should be represented when they materially affect the resulting World Context or the future behavior of relevant Moral Agents.</w:t>
      </w:r>
    </w:p>
    <w:p>
      <w:pPr>
        <w:pStyle w:val="Heading3"/>
        <w:ind w:hanging="0" w:left="0"/>
        <w:rPr/>
      </w:pPr>
      <w:r>
        <w:rPr/>
        <w:t>Collaborator Policy Updates</w:t>
      </w:r>
    </w:p>
    <w:p>
      <w:pPr>
        <w:pStyle w:val="BodyText"/>
        <w:spacing w:before="0" w:after="200"/>
        <w:rPr/>
      </w:pPr>
      <w:r>
        <w:rPr/>
        <w:t>Collaborator Policy Updates are changes in the future decision policies of entities that assist, enable, coordinate with, or benefit from the Assessed Action.</w:t>
      </w:r>
    </w:p>
    <w:p>
      <w:pPr>
        <w:pStyle w:val="BodyText"/>
        <w:spacing w:before="0" w:after="200"/>
        <w:rPr/>
      </w:pPr>
      <w:r>
        <w:rPr/>
        <w:t>Collaborators may include team members, institutional partners, vendors, subordinates, supervisors, allies, contractors, software systems, or other agents whose actions support the Assessed Action. A collaborator may not be the primary Actor, but may still update its policy state based on participation in the action.</w:t>
      </w:r>
    </w:p>
    <w:p>
      <w:pPr>
        <w:pStyle w:val="BodyText"/>
        <w:spacing w:before="0" w:after="200"/>
        <w:rPr/>
      </w:pPr>
      <w:r>
        <w:rPr/>
        <w:t>For example, a subordinate asked to falsify records may become more willing to falsify records in the future. A vendor rewarded for ignoring safety standards may update toward lower diligence. A collaborating institution that benefits from illegitimate conduct may become more tolerant of similar conduct. Conversely, collaborators who participate in transparent, accountable action may strengthen future norms of responsibility.</w:t>
      </w:r>
    </w:p>
    <w:p>
      <w:pPr>
        <w:pStyle w:val="BodyText"/>
        <w:spacing w:before="0" w:after="200"/>
        <w:rPr/>
      </w:pPr>
      <w:r>
        <w:rPr/>
        <w:t>Collaborator Policy Updates are important in institutional, organizational, multi-agent, robotic, and AI settings because actions often occur through distributed participation rather than a single isolated Actor.</w:t>
      </w:r>
    </w:p>
    <w:p>
      <w:pPr>
        <w:pStyle w:val="Heading3"/>
        <w:ind w:hanging="0" w:left="0"/>
        <w:rPr/>
      </w:pPr>
      <w:r>
        <w:rPr/>
        <w:t>Institutional Policy Updates</w:t>
      </w:r>
    </w:p>
    <w:p>
      <w:pPr>
        <w:pStyle w:val="BodyText"/>
        <w:spacing w:before="0" w:after="200"/>
        <w:rPr/>
      </w:pPr>
      <w:r>
        <w:rPr/>
        <w:t>Institutional Policy Updates are changes in the future decision policies, rules, norms, incentives, precedents, procedures, enforcement patterns, or legitimacy conditions of institutions.</w:t>
      </w:r>
    </w:p>
    <w:p>
      <w:pPr>
        <w:pStyle w:val="BodyText"/>
        <w:spacing w:before="0" w:after="200"/>
        <w:rPr/>
      </w:pPr>
      <w:r>
        <w:rPr/>
        <w:t>Institutions preserve and transmit policy states over time. A single action can become precedent, exception, informal rule, enforcement pattern, cultural signal, or governance norm. Because institutions often affect many future decisions, Institutional Policy Updates may have large long-term effects.</w:t>
      </w:r>
    </w:p>
    <w:p>
      <w:pPr>
        <w:pStyle w:val="BodyText"/>
        <w:spacing w:before="0" w:after="200"/>
        <w:rPr/>
      </w:pPr>
      <w:r>
        <w:rPr/>
        <w:t>Institutional Policy Updates may be formal or informal.</w:t>
      </w:r>
    </w:p>
    <w:p>
      <w:pPr>
        <w:pStyle w:val="BodyText"/>
        <w:spacing w:before="0" w:after="200"/>
        <w:rPr/>
      </w:pPr>
      <w:r>
        <w:rPr/>
        <w:t>Formal updates may include new rules, laws, policies, procedures, protocols, judicial precedents, system configurations, or governance requirements.</w:t>
      </w:r>
    </w:p>
    <w:p>
      <w:pPr>
        <w:pStyle w:val="BodyText"/>
        <w:spacing w:before="0" w:after="200"/>
        <w:rPr/>
      </w:pPr>
      <w:r>
        <w:rPr/>
        <w:t>Informal updates may include cultural normalization, tolerated exceptions, leadership expectations, incentive shifts, reduced accountability, increased cynicism, degraded trust, or changed enforcement behavior.</w:t>
      </w:r>
    </w:p>
    <w:p>
      <w:pPr>
        <w:pStyle w:val="BodyText"/>
        <w:spacing w:before="0" w:after="200"/>
        <w:rPr/>
      </w:pPr>
      <w:r>
        <w:rPr/>
        <w:t>For example, an organization that tolerates fraud to preserve short-term survival may update its institutional policy state toward corruption. A hospital that transparently reviews an error may update toward greater safety and accountability. A court that ignores procedural safeguards may weaken the policy state of the legal system. A regulator that enforces rules fairly may strengthen institutional legitimacy.</w:t>
      </w:r>
    </w:p>
    <w:p>
      <w:pPr>
        <w:pStyle w:val="BodyText"/>
        <w:spacing w:before="0" w:after="200"/>
        <w:rPr/>
      </w:pPr>
      <w:r>
        <w:rPr/>
        <w:t>Institutional Policy Updates should be evaluated across long-term, multi-generational, and civilizational horizons when institutions materially affect future flourishing.</w:t>
      </w:r>
    </w:p>
    <w:p>
      <w:pPr>
        <w:pStyle w:val="Heading3"/>
        <w:ind w:hanging="0" w:left="0"/>
        <w:rPr/>
      </w:pPr>
      <w:r>
        <w:rPr/>
        <w:t>Artificial-System Policy Updates</w:t>
      </w:r>
    </w:p>
    <w:p>
      <w:pPr>
        <w:pStyle w:val="BodyText"/>
        <w:spacing w:before="0" w:after="200"/>
        <w:rPr/>
      </w:pPr>
      <w:r>
        <w:rPr/>
        <w:t>Artificial-System Policy Updates are changes in the future behavior of artificial systems, including autonomous agents, robotic systems, decision-support tools, machine-learning systems, LLMs, governance algorithms, and future artificial Moral Agents.</w:t>
      </w:r>
    </w:p>
    <w:p>
      <w:pPr>
        <w:pStyle w:val="BodyText"/>
        <w:spacing w:before="0" w:after="200"/>
        <w:rPr/>
      </w:pPr>
      <w:r>
        <w:rPr/>
        <w:t>Artificial systems may update through explicit rules, model training, reinforcement signals, memory, retrieval systems, fine-tuning, human feedback, prompt policies, safety layers, reward models, or runtime governance. The methodology does not prescribe a specific AI mechanism, but it requires recognition that artificial systems may alter future behavior based on action history, feedback, or state changes.</w:t>
      </w:r>
    </w:p>
    <w:p>
      <w:pPr>
        <w:pStyle w:val="BodyText"/>
        <w:spacing w:before="0" w:after="200"/>
        <w:rPr/>
      </w:pPr>
      <w:r>
        <w:rPr/>
        <w:t>Artificial-System Policy Updates are especially important because artificial systems may operate at high speed, scale across many contexts, and repeat updated behavior many times before human oversight occurs.</w:t>
      </w:r>
    </w:p>
    <w:p>
      <w:pPr>
        <w:pStyle w:val="BodyText"/>
        <w:spacing w:before="0" w:after="200"/>
        <w:rPr/>
      </w:pPr>
      <w:r>
        <w:rPr/>
        <w:t>A harmful update may make a system more likely to produce unsafe recommendations, manipulate users, ignore constraints, conceal uncertainty, or optimize narrowly against the broader World Context. A beneficial update may make a system more likely to refuse harmful actions, preserve uncertainty, seek clarification, escalate to human review, respect constraints, and support Long-Term Flourishing.</w:t>
      </w:r>
    </w:p>
    <w:p>
      <w:pPr>
        <w:pStyle w:val="BodyText"/>
        <w:spacing w:before="0" w:after="200"/>
        <w:rPr/>
      </w:pPr>
      <w:r>
        <w:rPr/>
        <w:t>These updates should be included when artificial systems materially participate in the Assessed Action or in future World Context transitions.</w:t>
      </w:r>
    </w:p>
    <w:p>
      <w:pPr>
        <w:pStyle w:val="Heading3"/>
        <w:ind w:hanging="0" w:left="0"/>
        <w:rPr/>
      </w:pPr>
      <w:r>
        <w:rPr/>
        <w:t>Detrimental Policy Updates</w:t>
      </w:r>
    </w:p>
    <w:p>
      <w:pPr>
        <w:pStyle w:val="BodyText"/>
        <w:spacing w:before="0" w:after="200"/>
        <w:rPr/>
      </w:pPr>
      <w:r>
        <w:rPr/>
        <w:t>A Detrimental Policy Update is a policy-state change that makes future harmful action more likely or makes future moral decision-making less reliable.</w:t>
      </w:r>
    </w:p>
    <w:p>
      <w:pPr>
        <w:pStyle w:val="BodyText"/>
        <w:spacing w:before="0" w:after="200"/>
        <w:rPr/>
      </w:pPr>
      <w:r>
        <w:rPr/>
        <w:t>Detrimental Policy Updates may include increased likelihood of deception, coercion, negligence, cruelty, fraud, retaliation, corruption, reckless risk-taking, disregard for evidence, tolerance of abuse, disregard for consent, illegitimate authority use, or institutional manipulation.</w:t>
      </w:r>
    </w:p>
    <w:p>
      <w:pPr>
        <w:pStyle w:val="BodyText"/>
        <w:spacing w:before="0" w:after="200"/>
        <w:rPr/>
      </w:pPr>
      <w:r>
        <w:rPr/>
        <w:t>Such updates are morally significant even when no immediate physical harm occurs. They degrade the future moral system by making harmful future actions more probable. They may also reduce trust, cooperation, accountability, legitimacy, and future opportunities.</w:t>
      </w:r>
    </w:p>
    <w:p>
      <w:pPr>
        <w:pStyle w:val="BodyText"/>
        <w:spacing w:before="0" w:after="200"/>
        <w:rPr/>
      </w:pPr>
      <w:r>
        <w:rPr/>
        <w:t>For example, an Actor who successfully lies to achieve a beneficial outcome may become more likely to lie again. Observers may infer that lying is acceptable under pressure. Institutions may treat the lie as a precedent. Affected entities may reduce future trust. The resulting World Context may therefore be morally worse even if the immediate operational objective was achieved.</w:t>
      </w:r>
    </w:p>
    <w:p>
      <w:pPr>
        <w:pStyle w:val="Heading3"/>
        <w:ind w:hanging="0" w:left="0"/>
        <w:rPr/>
      </w:pPr>
      <w:r>
        <w:rPr/>
        <w:t>Beneficial Policy Updates</w:t>
      </w:r>
    </w:p>
    <w:p>
      <w:pPr>
        <w:pStyle w:val="BodyText"/>
        <w:spacing w:before="0" w:after="200"/>
        <w:rPr/>
      </w:pPr>
      <w:r>
        <w:rPr/>
        <w:t>A Beneficial Policy Update is a policy-state change that makes future flourishing-preserving action more likely or improves future moral decision-making.</w:t>
      </w:r>
    </w:p>
    <w:p>
      <w:pPr>
        <w:pStyle w:val="BodyText"/>
        <w:spacing w:before="0" w:after="200"/>
        <w:rPr/>
      </w:pPr>
      <w:r>
        <w:rPr/>
        <w:t>Beneficial Policy Updates may include increased likelihood of honesty, transparency, restraint, accountability, care, fairness, consent-seeking, evidence diligence, respect for legitimate authority, institutional correction, cooperation, and protection of vulnerable entities.</w:t>
      </w:r>
    </w:p>
    <w:p>
      <w:pPr>
        <w:pStyle w:val="BodyText"/>
        <w:spacing w:before="0" w:after="200"/>
        <w:rPr/>
      </w:pPr>
      <w:r>
        <w:rPr/>
        <w:t>Beneficial updates may occur when an Actor chooses a morally responsible means despite difficulty or cost. They may also occur when institutions correct errors, observers learn that harmful means are not tolerated, or artificial systems update toward safer action-selection patterns.</w:t>
      </w:r>
    </w:p>
    <w:p>
      <w:pPr>
        <w:pStyle w:val="BodyText"/>
        <w:spacing w:before="0" w:after="200"/>
        <w:rPr/>
      </w:pPr>
      <w:r>
        <w:rPr/>
        <w:t>For example, a company that reports its own error and compensates affected parties may strengthen institutional accountability. A physician who honestly explains uncertainty may strengthen patient trust and informed consent. A public official who follows legitimate procedure during crisis may reinforce future trust in governance. An AI system that refuses a dangerous request while explaining the safety basis may strengthen future user expectations and system behavior.</w:t>
      </w:r>
    </w:p>
    <w:p>
      <w:pPr>
        <w:pStyle w:val="BodyText"/>
        <w:spacing w:before="0" w:after="200"/>
        <w:rPr/>
      </w:pPr>
      <w:r>
        <w:rPr/>
        <w:t>Beneficial Policy Updates may contribute substantially to Long-Term Flourishing because they improve the future decision environment.</w:t>
      </w:r>
    </w:p>
    <w:p>
      <w:pPr>
        <w:pStyle w:val="Heading3"/>
        <w:ind w:hanging="0" w:left="0"/>
        <w:rPr/>
      </w:pPr>
      <w:r>
        <w:rPr/>
        <w:t>The Ends Do Not Justify the Means</w:t>
      </w:r>
    </w:p>
    <w:p>
      <w:pPr>
        <w:pStyle w:val="BodyText"/>
        <w:spacing w:before="0" w:after="200"/>
        <w:rPr/>
      </w:pPr>
      <w:r>
        <w:rPr/>
        <w:t>Distributed Policy Updates provide the methodological explanation for why the ends do not justify the means.</w:t>
      </w:r>
    </w:p>
    <w:p>
      <w:pPr>
        <w:pStyle w:val="BodyText"/>
        <w:spacing w:before="0" w:after="200"/>
        <w:rPr/>
      </w:pPr>
      <w:r>
        <w:rPr/>
        <w:t>An outcome-only assessment may treat an action as morally acceptable if it achieves a beneficial operational objective. This framework rejects that reduction. The means used to achieve an objective are themselves state-changing events. They update the decision policies of the Actor and other relevant agents. Those policy updates become part of the resulting World Context.</w:t>
      </w:r>
    </w:p>
    <w:p>
      <w:pPr>
        <w:pStyle w:val="BodyText"/>
        <w:spacing w:before="0" w:after="200"/>
        <w:rPr/>
      </w:pPr>
      <w:r>
        <w:rPr/>
        <w:t>A harmful means may therefore make the resulting World Context worse even when the immediate outcome appears beneficial. Deception may produce compliance but damage trust. Coercion may produce order but weaken legitimacy. Fraud may preserve an organization but corrupt institutional policy. Cruelty may extract information but degrade the Actor, observers, institutions, and future norms. Negligence may save time or cost but train the system to tolerate avoidable risk.</w:t>
      </w:r>
    </w:p>
    <w:p>
      <w:pPr>
        <w:pStyle w:val="BodyText"/>
        <w:spacing w:before="0" w:after="200"/>
        <w:rPr/>
      </w:pPr>
      <w:r>
        <w:rPr/>
        <w:t>The moral assessment must therefore evaluate both the objective achieved and the policy-state changes caused by the means used to achieve it.</w:t>
      </w:r>
    </w:p>
    <w:p>
      <w:pPr>
        <w:pStyle w:val="BodyText"/>
        <w:spacing w:before="0" w:after="200"/>
        <w:rPr/>
      </w:pPr>
      <w:r>
        <w:rPr/>
        <w:t>The means are not external to the moral assessment. The means are part of the Assessed Action. Their policy effects are part of the State Transition. Their resulting policy states are part of the World Context Transition.</w:t>
      </w:r>
    </w:p>
    <w:p>
      <w:pPr>
        <w:pStyle w:val="Heading3"/>
        <w:ind w:hanging="0" w:left="0"/>
        <w:rPr/>
      </w:pPr>
      <w:r>
        <w:rPr/>
        <w:t>Probabilistic Character of Policy Updates</w:t>
      </w:r>
    </w:p>
    <w:p>
      <w:pPr>
        <w:pStyle w:val="BodyText"/>
        <w:spacing w:before="0" w:after="200"/>
        <w:rPr/>
      </w:pPr>
      <w:r>
        <w:rPr/>
        <w:t>Distributed Policy Updates are probabilistic.</w:t>
      </w:r>
    </w:p>
    <w:p>
      <w:pPr>
        <w:pStyle w:val="BodyText"/>
        <w:spacing w:before="0" w:after="200"/>
        <w:rPr/>
      </w:pPr>
      <w:r>
        <w:rPr/>
        <w:t>An Assessed Action does not deterministically dictate all future behavior. It changes the likelihood of future actions, interpretations, norms, incentives, and responses. The magnitude and direction of a policy update may be uncertain, context-dependent, and horizon-dependent.</w:t>
      </w:r>
    </w:p>
    <w:p>
      <w:pPr>
        <w:pStyle w:val="BodyText"/>
        <w:spacing w:before="0" w:after="200"/>
        <w:rPr/>
      </w:pPr>
      <w:r>
        <w:rPr/>
        <w:t>The methodology should estimate, where practical:</w:t>
      </w:r>
    </w:p>
    <w:p>
      <w:pPr>
        <w:pStyle w:val="BodyText"/>
        <w:spacing w:before="0" w:after="200"/>
        <w:rPr/>
      </w:pPr>
      <w:r>
        <w:rPr/>
        <w:t>The probability that a policy update occurs.</w:t>
      </w:r>
    </w:p>
    <w:p>
      <w:pPr>
        <w:pStyle w:val="BodyText"/>
        <w:spacing w:before="0" w:after="200"/>
        <w:rPr/>
      </w:pPr>
      <w:r>
        <w:rPr/>
        <w:t>The expected direction of the update.</w:t>
      </w:r>
    </w:p>
    <w:p>
      <w:pPr>
        <w:pStyle w:val="BodyText"/>
        <w:spacing w:before="0" w:after="200"/>
        <w:rPr/>
      </w:pPr>
      <w:r>
        <w:rPr/>
        <w:t>The magnitude or materiality of the update.</w:t>
      </w:r>
    </w:p>
    <w:p>
      <w:pPr>
        <w:pStyle w:val="BodyText"/>
        <w:spacing w:before="0" w:after="200"/>
        <w:rPr/>
      </w:pPr>
      <w:r>
        <w:rPr/>
        <w:t>The affected policy-state variables.</w:t>
      </w:r>
    </w:p>
    <w:p>
      <w:pPr>
        <w:pStyle w:val="BodyText"/>
        <w:spacing w:before="0" w:after="200"/>
        <w:rPr/>
      </w:pPr>
      <w:r>
        <w:rPr/>
        <w:t>The entities whose policies are updated.</w:t>
      </w:r>
    </w:p>
    <w:p>
      <w:pPr>
        <w:pStyle w:val="BodyText"/>
        <w:spacing w:before="0" w:after="200"/>
        <w:rPr/>
      </w:pPr>
      <w:r>
        <w:rPr/>
        <w:t>The evidence supporting the update.</w:t>
      </w:r>
    </w:p>
    <w:p>
      <w:pPr>
        <w:pStyle w:val="BodyText"/>
        <w:spacing w:before="0" w:after="200"/>
        <w:rPr/>
      </w:pPr>
      <w:r>
        <w:rPr/>
        <w:t>The Assessment Horizons over which the update may operate.</w:t>
      </w:r>
    </w:p>
    <w:p>
      <w:pPr>
        <w:pStyle w:val="BodyText"/>
        <w:spacing w:before="0" w:after="200"/>
        <w:rPr/>
      </w:pPr>
      <w:r>
        <w:rPr/>
        <w:t>The uncertainty and confidence attached to the estimate.</w:t>
      </w:r>
    </w:p>
    <w:p>
      <w:pPr>
        <w:pStyle w:val="BodyText"/>
        <w:spacing w:before="0" w:after="200"/>
        <w:rPr/>
      </w:pPr>
      <w:r>
        <w:rPr/>
        <w:t>A low-probability policy update may still be material if the potential future harm is severe, scalable, irreversible, or likely to propagate through institutions or artificial systems.</w:t>
      </w:r>
    </w:p>
    <w:p>
      <w:pPr>
        <w:pStyle w:val="Heading3"/>
        <w:ind w:hanging="0" w:left="0"/>
        <w:rPr/>
      </w:pPr>
      <w:r>
        <w:rPr/>
        <w:t>Evidence for Policy Updates</w:t>
      </w:r>
    </w:p>
    <w:p>
      <w:pPr>
        <w:pStyle w:val="BodyText"/>
        <w:spacing w:before="0" w:after="200"/>
        <w:rPr/>
      </w:pPr>
      <w:r>
        <w:rPr/>
        <w:t>Policy updates should be supported by evidence or stated assumptions.</w:t>
      </w:r>
    </w:p>
    <w:p>
      <w:pPr>
        <w:pStyle w:val="BodyText"/>
        <w:spacing w:before="0" w:after="200"/>
        <w:rPr/>
      </w:pPr>
      <w:r>
        <w:rPr/>
        <w:t>Evidence may include prior behavior, institutional records, observed responses, incentive structures, testimony, cultural norms, historical precedent, psychological evidence, organizational practices, system logs, model behavior, training data, reinforcement signals, or domain expertise.</w:t>
      </w:r>
    </w:p>
    <w:p>
      <w:pPr>
        <w:pStyle w:val="BodyText"/>
        <w:spacing w:before="0" w:after="200"/>
        <w:rPr/>
      </w:pPr>
      <w:r>
        <w:rPr/>
        <w:t>For proposed actions, policy updates are predicted. For ongoing actions, they may be partially observed. For completed actions, they may be inferred from subsequent behavior, institutional changes, repeated patterns, or observed responses.</w:t>
      </w:r>
    </w:p>
    <w:p>
      <w:pPr>
        <w:pStyle w:val="BodyText"/>
        <w:spacing w:before="0" w:after="200"/>
        <w:rPr/>
      </w:pPr>
      <w:r>
        <w:rPr/>
        <w:t>Because policy updates are often difficult to measure directly, the methodology should represent uncertainty explicitly. It should distinguish strong evidence from weak inference, observed policy change from predicted change, and direct policy update from indirect behavioral tendency.</w:t>
      </w:r>
    </w:p>
    <w:p>
      <w:pPr>
        <w:pStyle w:val="Heading3"/>
        <w:ind w:hanging="0" w:left="0"/>
        <w:rPr/>
      </w:pPr>
      <w:r>
        <w:rPr/>
        <w:t>Policy Update Magnitude and Materiality</w:t>
      </w:r>
    </w:p>
    <w:p>
      <w:pPr>
        <w:pStyle w:val="BodyText"/>
        <w:spacing w:before="0" w:after="200"/>
        <w:rPr/>
      </w:pPr>
      <w:r>
        <w:rPr/>
        <w:t>Not every policy update is material.</w:t>
      </w:r>
    </w:p>
    <w:p>
      <w:pPr>
        <w:pStyle w:val="BodyText"/>
        <w:spacing w:before="0" w:after="200"/>
        <w:rPr/>
      </w:pPr>
      <w:r>
        <w:rPr/>
        <w:t>A policy update becomes material when it significantly affects future moral decision-making, Long-Term Flourishing, institutional legitimacy, trust, cooperation, future opportunities, or future state space.</w:t>
      </w:r>
    </w:p>
    <w:p>
      <w:pPr>
        <w:pStyle w:val="BodyText"/>
        <w:spacing w:before="0" w:after="200"/>
        <w:rPr/>
      </w:pPr>
      <w:r>
        <w:rPr/>
        <w:t>Materiality may depend on:</w:t>
      </w:r>
    </w:p>
    <w:p>
      <w:pPr>
        <w:pStyle w:val="BodyText"/>
        <w:spacing w:before="0" w:after="200"/>
        <w:rPr/>
      </w:pPr>
      <w:r>
        <w:rPr/>
        <w:t>Severity of future actions made more likely.</w:t>
      </w:r>
    </w:p>
    <w:p>
      <w:pPr>
        <w:pStyle w:val="BodyText"/>
        <w:spacing w:before="0" w:after="200"/>
        <w:rPr/>
      </w:pPr>
      <w:r>
        <w:rPr/>
        <w:t>Number of agents affected.</w:t>
      </w:r>
    </w:p>
    <w:p>
      <w:pPr>
        <w:pStyle w:val="BodyText"/>
        <w:spacing w:before="0" w:after="200"/>
        <w:rPr/>
      </w:pPr>
      <w:r>
        <w:rPr/>
        <w:t>Scale of institutional propagation.</w:t>
      </w:r>
    </w:p>
    <w:p>
      <w:pPr>
        <w:pStyle w:val="BodyText"/>
        <w:spacing w:before="0" w:after="200"/>
        <w:rPr/>
      </w:pPr>
      <w:r>
        <w:rPr/>
        <w:t>Likelihood of repetition.</w:t>
      </w:r>
    </w:p>
    <w:p>
      <w:pPr>
        <w:pStyle w:val="BodyText"/>
        <w:spacing w:before="0" w:after="200"/>
        <w:rPr/>
      </w:pPr>
      <w:r>
        <w:rPr/>
        <w:t>Reversibility of the update.</w:t>
      </w:r>
    </w:p>
    <w:p>
      <w:pPr>
        <w:pStyle w:val="BodyText"/>
        <w:spacing w:before="0" w:after="200"/>
        <w:rPr/>
      </w:pPr>
      <w:r>
        <w:rPr/>
        <w:t>Effect on vulnerable entities.</w:t>
      </w:r>
    </w:p>
    <w:p>
      <w:pPr>
        <w:pStyle w:val="BodyText"/>
        <w:spacing w:before="0" w:after="200"/>
        <w:rPr/>
      </w:pPr>
      <w:r>
        <w:rPr/>
        <w:t>Effect on trust or legitimacy.</w:t>
      </w:r>
    </w:p>
    <w:p>
      <w:pPr>
        <w:pStyle w:val="BodyText"/>
        <w:spacing w:before="0" w:after="200"/>
        <w:rPr/>
      </w:pPr>
      <w:r>
        <w:rPr/>
        <w:t>Effect on future evidence quality.</w:t>
      </w:r>
    </w:p>
    <w:p>
      <w:pPr>
        <w:pStyle w:val="BodyText"/>
        <w:spacing w:before="0" w:after="200"/>
        <w:rPr/>
      </w:pPr>
      <w:r>
        <w:rPr/>
        <w:t>Effect on artificial systems operating at scale.</w:t>
      </w:r>
    </w:p>
    <w:p>
      <w:pPr>
        <w:pStyle w:val="BodyText"/>
        <w:spacing w:before="0" w:after="200"/>
        <w:rPr/>
      </w:pPr>
      <w:r>
        <w:rPr/>
        <w:t>Duration across Assessment Horizons.</w:t>
      </w:r>
    </w:p>
    <w:p>
      <w:pPr>
        <w:pStyle w:val="BodyText"/>
        <w:spacing w:before="0" w:after="200"/>
        <w:rPr/>
      </w:pPr>
      <w:r>
        <w:rPr/>
        <w:t>A small update in a powerful institution or widely deployed artificial system may be more material than a larger update in a limited context. A policy update that affects many future decisions may be more significant than a one-time material consequence.</w:t>
      </w:r>
    </w:p>
    <w:p>
      <w:pPr>
        <w:pStyle w:val="Heading3"/>
        <w:ind w:hanging="0" w:left="0"/>
        <w:rPr/>
      </w:pPr>
      <w:r>
        <w:rPr/>
        <w:t>Policy Update Propagation</w:t>
      </w:r>
    </w:p>
    <w:p>
      <w:pPr>
        <w:pStyle w:val="BodyText"/>
        <w:spacing w:before="0" w:after="200"/>
        <w:rPr/>
      </w:pPr>
      <w:r>
        <w:rPr/>
        <w:t>Policy updates may propagate across agents, institutions, systems, and time.</w:t>
      </w:r>
    </w:p>
    <w:p>
      <w:pPr>
        <w:pStyle w:val="BodyText"/>
        <w:spacing w:before="0" w:after="200"/>
        <w:rPr/>
      </w:pPr>
      <w:r>
        <w:rPr/>
        <w:t>An Actor Policy Update may influence observers. Observer Policy Updates may influence institutions. Institutional Policy Updates may influence collaborators, responders, and future Actors. Artificial-System Policy Updates may scale across many future interactions. Affected-Entity Policy Updates may alter future cooperation, trust, resistance, or participation.</w:t>
      </w:r>
    </w:p>
    <w:p>
      <w:pPr>
        <w:pStyle w:val="BodyText"/>
        <w:spacing w:before="0" w:after="200"/>
        <w:rPr/>
      </w:pPr>
      <w:r>
        <w:rPr/>
        <w:t>Propagation is important because the moral significance of a harmful means may expand beyond the immediate case. A single tolerated abuse may become a pattern. A pattern may become precedent. A precedent may become institutional norm. An institutional norm may shape future World Contexts.</w:t>
      </w:r>
    </w:p>
    <w:p>
      <w:pPr>
        <w:pStyle w:val="BodyText"/>
        <w:spacing w:before="0" w:after="200"/>
        <w:rPr/>
      </w:pPr>
      <w:r>
        <w:rPr/>
        <w:t>The methodology should identify propagation pathways when they are material to the assessment.</w:t>
      </w:r>
    </w:p>
    <w:p>
      <w:pPr>
        <w:pStyle w:val="Heading3"/>
        <w:ind w:hanging="0" w:left="0"/>
        <w:rPr/>
      </w:pPr>
      <w:r>
        <w:rPr/>
        <w:t>Policy Updates Across Assessment Horizons</w:t>
      </w:r>
    </w:p>
    <w:p>
      <w:pPr>
        <w:pStyle w:val="BodyText"/>
        <w:spacing w:before="0" w:after="200"/>
        <w:rPr/>
      </w:pPr>
      <w:r>
        <w:rPr/>
        <w:t>Distributed Policy Updates should be evaluated across Assessment Horizons.</w:t>
      </w:r>
    </w:p>
    <w:p>
      <w:pPr>
        <w:pStyle w:val="BodyText"/>
        <w:spacing w:before="0" w:after="200"/>
        <w:rPr/>
      </w:pPr>
      <w:r>
        <w:rPr/>
        <w:t>In the immediate horizon, a policy update may appear as a rapid behavioral response. In the short term, it may influence repeated behavior or expectations. In the long term, it may become habit, institutional practice, precedent, cultural norm, or system behavior. Across multi-generational or civilizational horizons, policy updates may shape institutions, governance systems, artificial agents, or large-scale moral expectations.</w:t>
      </w:r>
    </w:p>
    <w:p>
      <w:pPr>
        <w:pStyle w:val="BodyText"/>
        <w:spacing w:before="0" w:after="200"/>
        <w:rPr/>
      </w:pPr>
      <w:r>
        <w:rPr/>
        <w:t>Policy updates often become more significant over time because they affect future behavior rather than only present state. A small immediate update may become large through repetition and institutionalization. A beneficial update may compound by improving future moral decision-making.</w:t>
      </w:r>
    </w:p>
    <w:p>
      <w:pPr>
        <w:pStyle w:val="BodyText"/>
        <w:spacing w:before="0" w:after="200"/>
        <w:rPr/>
      </w:pPr>
      <w:r>
        <w:rPr/>
        <w:t>The methodology should therefore avoid treating policy updates as immediate-only effects.</w:t>
      </w:r>
    </w:p>
    <w:p>
      <w:pPr>
        <w:pStyle w:val="Heading3"/>
        <w:ind w:hanging="0" w:left="0"/>
        <w:rPr/>
      </w:pPr>
      <w:r>
        <w:rPr/>
        <w:t>Policy Updates and Long-Term Flourishing</w:t>
      </w:r>
    </w:p>
    <w:p>
      <w:pPr>
        <w:pStyle w:val="BodyText"/>
        <w:spacing w:before="0" w:after="200"/>
        <w:rPr/>
      </w:pPr>
      <w:r>
        <w:rPr/>
        <w:t>Distributed Policy Updates affect Long-Term Flourishing by changing the future decision environment.</w:t>
      </w:r>
    </w:p>
    <w:p>
      <w:pPr>
        <w:pStyle w:val="BodyText"/>
        <w:spacing w:before="0" w:after="200"/>
        <w:rPr/>
      </w:pPr>
      <w:r>
        <w:rPr/>
        <w:t>A policy update that increases trust, accountability, cooperation, evidence diligence, restraint, or legitimate authority may preserve or promote Long-Term Flourishing. A policy update that increases deception, coercion, corruption, negligence, abuse, retaliation, or epistemic irresponsibility may diminish Long-Term Flourishing.</w:t>
      </w:r>
    </w:p>
    <w:p>
      <w:pPr>
        <w:pStyle w:val="BodyText"/>
        <w:spacing w:before="0" w:after="200"/>
        <w:rPr/>
      </w:pPr>
      <w:r>
        <w:rPr/>
        <w:t>These effects may occur through multiple pathways. Policy updates may affect relationships, institutions, information quality, future opportunities, adaptive capacity, resilience, and future state space. Because flourishing is relational and horizon-dependent, policy-state changes may be among the most important long-term consequences of an action.</w:t>
      </w:r>
    </w:p>
    <w:p>
      <w:pPr>
        <w:pStyle w:val="BodyText"/>
        <w:spacing w:before="0" w:after="200"/>
        <w:rPr/>
      </w:pPr>
      <w:r>
        <w:rPr/>
        <w:t>Policy updates should therefore be integrated with Flourishing Transitions rather than treated as separate commentary.</w:t>
      </w:r>
    </w:p>
    <w:p>
      <w:pPr>
        <w:pStyle w:val="Heading3"/>
        <w:ind w:hanging="0" w:left="0"/>
        <w:rPr/>
      </w:pPr>
      <w:r>
        <w:rPr/>
        <w:t>Policy Updates and World Context Transition</w:t>
      </w:r>
    </w:p>
    <w:p>
      <w:pPr>
        <w:pStyle w:val="BodyText"/>
        <w:spacing w:before="0" w:after="200"/>
        <w:rPr/>
      </w:pPr>
      <w:r>
        <w:rPr/>
        <w:t>Distributed Policy Updates become part of the resulting World Context.</w:t>
      </w:r>
    </w:p>
    <w:p>
      <w:pPr>
        <w:pStyle w:val="BodyText"/>
        <w:spacing w:before="0" w:after="200"/>
        <w:rPr/>
      </w:pPr>
      <w:r>
        <w:rPr/>
        <w:t>The resulting World Context includes not only changed material states, but also changed decision policies, norms, incentives, institutional practices, expectations, and behavioral tendencies. These changes affect what future actions are likely and what future World Contexts become reachable.</w:t>
      </w:r>
    </w:p>
    <w:p>
      <w:pPr>
        <w:pStyle w:val="BodyText"/>
        <w:spacing w:before="0" w:after="200"/>
        <w:rPr/>
      </w:pPr>
      <w:r>
        <w:rPr/>
        <w:t>This is why Distributed Policy Updates are part of the moral assessment. They are not optional explanatory artifacts. They are state changes in the moral system.</w:t>
      </w:r>
    </w:p>
    <w:p>
      <w:pPr>
        <w:pStyle w:val="BodyText"/>
        <w:spacing w:before="0" w:after="200"/>
        <w:rPr/>
      </w:pPr>
      <w:r>
        <w:rPr/>
        <w:t>A moral assessment that ignores policy updates may incorrectly treat harmful means as morally acceptable because it captures short-term benefit while missing degradation in future decision behavior.</w:t>
      </w:r>
    </w:p>
    <w:p>
      <w:pPr>
        <w:pStyle w:val="Heading3"/>
        <w:ind w:hanging="0" w:left="0"/>
        <w:rPr/>
      </w:pPr>
      <w:r>
        <w:rPr/>
        <w:t>Policy Updates and Responsibility</w:t>
      </w:r>
    </w:p>
    <w:p>
      <w:pPr>
        <w:pStyle w:val="BodyText"/>
        <w:spacing w:before="0" w:after="200"/>
        <w:rPr/>
      </w:pPr>
      <w:r>
        <w:rPr/>
        <w:t>Policy updates are relevant to responsibility because competent Moral Agents should consider how their actions may influence future behavior.</w:t>
      </w:r>
    </w:p>
    <w:p>
      <w:pPr>
        <w:pStyle w:val="BodyText"/>
        <w:spacing w:before="0" w:after="200"/>
        <w:rPr/>
      </w:pPr>
      <w:r>
        <w:rPr/>
        <w:t>An Actor may bear responsibility for foreseeable policy updates caused by its action, especially when the action uses harmful means, creates precedent, changes institutional norms, or teaches observers that future harmful conduct is acceptable.</w:t>
      </w:r>
    </w:p>
    <w:p>
      <w:pPr>
        <w:pStyle w:val="BodyText"/>
        <w:spacing w:before="0" w:after="200"/>
        <w:rPr/>
      </w:pPr>
      <w:r>
        <w:rPr/>
        <w:t>However, responsibility should be assessed carefully. An Actor is not automatically responsible for every policy update that occurs. Responsibility depends on role, authority, knowledge, intent, foreseeability, available alternatives, evidence, and the Accessible Context.</w:t>
      </w:r>
    </w:p>
    <w:p>
      <w:pPr>
        <w:pStyle w:val="BodyText"/>
        <w:spacing w:before="0" w:after="200"/>
        <w:rPr/>
      </w:pPr>
      <w:r>
        <w:rPr/>
        <w:t>The methodology should distinguish:</w:t>
      </w:r>
    </w:p>
    <w:p>
      <w:pPr>
        <w:pStyle w:val="BodyText"/>
        <w:spacing w:before="0" w:after="200"/>
        <w:rPr/>
      </w:pPr>
      <w:r>
        <w:rPr/>
        <w:t>Policy updates caused by the Actor’s intentional means.</w:t>
      </w:r>
    </w:p>
    <w:p>
      <w:pPr>
        <w:pStyle w:val="BodyText"/>
        <w:spacing w:before="0" w:after="200"/>
        <w:rPr/>
      </w:pPr>
      <w:r>
        <w:rPr/>
        <w:t>Policy updates that were foreseeable.</w:t>
      </w:r>
    </w:p>
    <w:p>
      <w:pPr>
        <w:pStyle w:val="BodyText"/>
        <w:spacing w:before="0" w:after="200"/>
        <w:rPr/>
      </w:pPr>
      <w:r>
        <w:rPr/>
        <w:t>Policy updates that were reasonably preventable.</w:t>
      </w:r>
    </w:p>
    <w:p>
      <w:pPr>
        <w:pStyle w:val="BodyText"/>
        <w:spacing w:before="0" w:after="200"/>
        <w:rPr/>
      </w:pPr>
      <w:r>
        <w:rPr/>
        <w:t>Policy updates that occurred despite reasonable diligence.</w:t>
      </w:r>
    </w:p>
    <w:p>
      <w:pPr>
        <w:pStyle w:val="BodyText"/>
        <w:spacing w:before="0" w:after="200"/>
        <w:rPr/>
      </w:pPr>
      <w:r>
        <w:rPr/>
        <w:t>Policy updates that became visible only later.</w:t>
      </w:r>
    </w:p>
    <w:p>
      <w:pPr>
        <w:pStyle w:val="BodyText"/>
        <w:spacing w:before="0" w:after="200"/>
        <w:rPr/>
      </w:pPr>
      <w:r>
        <w:rPr/>
        <w:t>This preserves the distinction between causal effect and moral responsibility.</w:t>
      </w:r>
    </w:p>
    <w:p>
      <w:pPr>
        <w:pStyle w:val="Heading3"/>
        <w:ind w:hanging="0" w:left="0"/>
        <w:rPr/>
      </w:pPr>
      <w:r>
        <w:rPr/>
        <w:t>Policy Updates in Proposed, Ongoing, and Completed Assessments</w:t>
      </w:r>
    </w:p>
    <w:p>
      <w:pPr>
        <w:pStyle w:val="BodyText"/>
        <w:spacing w:before="0" w:after="200"/>
        <w:rPr/>
      </w:pPr>
      <w:r>
        <w:rPr/>
        <w:t>Distributed Policy Updates should be represented differently depending on whether the assessment is proposed, ongoing, or completed.</w:t>
      </w:r>
    </w:p>
    <w:p>
      <w:pPr>
        <w:pStyle w:val="BodyText"/>
        <w:spacing w:before="0" w:after="200"/>
        <w:rPr/>
      </w:pPr>
      <w:r>
        <w:rPr/>
        <w:t>For proposed actions, policy updates are predicted. The methodology estimates how the action is likely to alter future behavior if taken.</w:t>
      </w:r>
    </w:p>
    <w:p>
      <w:pPr>
        <w:pStyle w:val="BodyText"/>
        <w:spacing w:before="0" w:after="200"/>
        <w:rPr/>
      </w:pPr>
      <w:r>
        <w:rPr/>
        <w:t>For ongoing actions, policy updates may be partially observed. The methodology may incorporate emerging evidence and recommend mitigation, correction, or interruption.</w:t>
      </w:r>
    </w:p>
    <w:p>
      <w:pPr>
        <w:pStyle w:val="BodyText"/>
        <w:spacing w:before="0" w:after="200"/>
        <w:rPr/>
      </w:pPr>
      <w:r>
        <w:rPr/>
        <w:t>For completed actions, policy updates may be observed, inferred, or revised based on later behavior, institutional change, or repeated patterns.</w:t>
      </w:r>
    </w:p>
    <w:p>
      <w:pPr>
        <w:pStyle w:val="BodyText"/>
        <w:spacing w:before="0" w:after="200"/>
        <w:rPr/>
      </w:pPr>
      <w:r>
        <w:rPr/>
        <w:t>This distinction matters because confidence may differ across assessment status. Predicted policy updates may carry more uncertainty, while completed assessments may have stronger evidence of actual updates but still face uncertainty about causation and long-term impact.</w:t>
      </w:r>
    </w:p>
    <w:p>
      <w:pPr>
        <w:pStyle w:val="Heading3"/>
        <w:ind w:hanging="0" w:left="0"/>
        <w:rPr/>
      </w:pPr>
      <w:r>
        <w:rPr/>
        <w:t>Corrective and Mitigating Policy Updates</w:t>
      </w:r>
    </w:p>
    <w:p>
      <w:pPr>
        <w:pStyle w:val="BodyText"/>
        <w:spacing w:before="0" w:after="200"/>
        <w:rPr/>
      </w:pPr>
      <w:r>
        <w:rPr/>
        <w:t>Some actions may include corrective or mitigating measures that reduce detrimental policy updates or create beneficial ones.</w:t>
      </w:r>
    </w:p>
    <w:p>
      <w:pPr>
        <w:pStyle w:val="BodyText"/>
        <w:spacing w:before="0" w:after="200"/>
        <w:rPr/>
      </w:pPr>
      <w:r>
        <w:rPr/>
        <w:t>Mitigation may include transparency, accountability, apology, restitution, documentation, oversight, procedural safeguards, training, institutional reform, reversal of precedent, public clarification, or system retraining. These measures may alter how Actors, observers, responders, and institutions interpret the original action.</w:t>
      </w:r>
    </w:p>
    <w:p>
      <w:pPr>
        <w:pStyle w:val="BodyText"/>
        <w:spacing w:before="0" w:after="200"/>
        <w:rPr/>
      </w:pPr>
      <w:r>
        <w:rPr/>
        <w:t>For example, an institution that makes an emergency exception may reduce harmful policy updates by documenting why the exception was limited, temporary, accountable, and not a general precedent. An AI system that refuses harmful content may strengthen beneficial policy updates by explaining the refusal and offering safe alternatives. A physician who causes harm may mitigate institutional and patient policy effects through disclosure, apology, correction, and improved safeguards.</w:t>
      </w:r>
    </w:p>
    <w:p>
      <w:pPr>
        <w:pStyle w:val="BodyText"/>
        <w:spacing w:before="0" w:after="200"/>
        <w:rPr/>
      </w:pPr>
      <w:r>
        <w:rPr/>
        <w:t>The methodology should represent mitigation as part of the predicted or observed State Transition when it materially affects policy states.</w:t>
      </w:r>
    </w:p>
    <w:p>
      <w:pPr>
        <w:pStyle w:val="Heading3"/>
        <w:ind w:hanging="0" w:left="0"/>
        <w:rPr/>
      </w:pPr>
      <w:r>
        <w:rPr/>
        <w:t>Minimum Representation of Distributed Policy Updates</w:t>
      </w:r>
    </w:p>
    <w:p>
      <w:pPr>
        <w:pStyle w:val="BodyText"/>
        <w:spacing w:before="0" w:after="200"/>
        <w:rPr/>
      </w:pPr>
      <w:r>
        <w:rPr/>
        <w:t>A minimally adequate Distributed Policy Update assessment should identify:</w:t>
      </w:r>
    </w:p>
    <w:p>
      <w:pPr>
        <w:pStyle w:val="BodyText"/>
        <w:spacing w:before="0" w:after="200"/>
        <w:rPr/>
      </w:pPr>
      <w:r>
        <w:rPr/>
        <w:t>The entities whose policy states may change.</w:t>
      </w:r>
    </w:p>
    <w:p>
      <w:pPr>
        <w:pStyle w:val="BodyText"/>
        <w:spacing w:before="0" w:after="200"/>
        <w:rPr/>
      </w:pPr>
      <w:r>
        <w:rPr/>
        <w:t>The baseline policy state for each relevant entity or class.</w:t>
      </w:r>
    </w:p>
    <w:p>
      <w:pPr>
        <w:pStyle w:val="BodyText"/>
        <w:spacing w:before="0" w:after="200"/>
        <w:rPr/>
      </w:pPr>
      <w:r>
        <w:rPr/>
        <w:t>The Assessed Action or means producing the update.</w:t>
      </w:r>
    </w:p>
    <w:p>
      <w:pPr>
        <w:pStyle w:val="BodyText"/>
        <w:spacing w:before="0" w:after="200"/>
        <w:rPr/>
      </w:pPr>
      <w:r>
        <w:rPr/>
        <w:t>The direction of the policy update.</w:t>
      </w:r>
    </w:p>
    <w:p>
      <w:pPr>
        <w:pStyle w:val="BodyText"/>
        <w:spacing w:before="0" w:after="200"/>
        <w:rPr/>
      </w:pPr>
      <w:r>
        <w:rPr/>
        <w:t>The magnitude or materiality of the update.</w:t>
      </w:r>
    </w:p>
    <w:p>
      <w:pPr>
        <w:pStyle w:val="BodyText"/>
        <w:spacing w:before="0" w:after="200"/>
        <w:rPr/>
      </w:pPr>
      <w:r>
        <w:rPr/>
        <w:t>The Assessment Horizons over which the update may operate.</w:t>
      </w:r>
    </w:p>
    <w:p>
      <w:pPr>
        <w:pStyle w:val="BodyText"/>
        <w:spacing w:before="0" w:after="200"/>
        <w:rPr/>
      </w:pPr>
      <w:r>
        <w:rPr/>
        <w:t>The evidence supporting the update.</w:t>
      </w:r>
    </w:p>
    <w:p>
      <w:pPr>
        <w:pStyle w:val="BodyText"/>
        <w:spacing w:before="0" w:after="200"/>
        <w:rPr/>
      </w:pPr>
      <w:r>
        <w:rPr/>
        <w:t>The uncertainty and confidence associated with the update.</w:t>
      </w:r>
    </w:p>
    <w:p>
      <w:pPr>
        <w:pStyle w:val="BodyText"/>
        <w:spacing w:before="0" w:after="200"/>
        <w:rPr/>
      </w:pPr>
      <w:r>
        <w:rPr/>
        <w:t>Whether the update is beneficial, detrimental, mixed, or ambiguous.</w:t>
      </w:r>
    </w:p>
    <w:p>
      <w:pPr>
        <w:pStyle w:val="BodyText"/>
        <w:spacing w:before="0" w:after="200"/>
        <w:rPr/>
      </w:pPr>
      <w:r>
        <w:rPr/>
        <w:t>Whether the update affects Long-Term Flourishing.</w:t>
      </w:r>
    </w:p>
    <w:p>
      <w:pPr>
        <w:pStyle w:val="BodyText"/>
        <w:spacing w:before="0" w:after="200"/>
        <w:rPr/>
      </w:pPr>
      <w:r>
        <w:rPr/>
        <w:t>Whether the update affects the resulting World Context Transition.</w:t>
      </w:r>
    </w:p>
    <w:p>
      <w:pPr>
        <w:pStyle w:val="BodyText"/>
        <w:spacing w:before="0" w:after="200"/>
        <w:rPr/>
      </w:pPr>
      <w:r>
        <w:rPr/>
        <w:t>Whether mitigation or correction is available.</w:t>
      </w:r>
    </w:p>
    <w:p>
      <w:pPr>
        <w:pStyle w:val="BodyText"/>
        <w:spacing w:before="0" w:after="200"/>
        <w:rPr/>
      </w:pPr>
      <w:r>
        <w:rPr/>
        <w:t>If a policy update cannot be estimated with confidence, the assessment should state the uncertainty rather than omit the update.</w:t>
      </w:r>
    </w:p>
    <w:p>
      <w:pPr>
        <w:pStyle w:val="Heading3"/>
        <w:ind w:hanging="0" w:left="0"/>
        <w:rPr/>
      </w:pPr>
      <w:r>
        <w:rPr/>
        <w:t>Common Policy Update Errors</w:t>
      </w:r>
    </w:p>
    <w:p>
      <w:pPr>
        <w:pStyle w:val="BodyText"/>
        <w:spacing w:before="0" w:after="200"/>
        <w:rPr/>
      </w:pPr>
      <w:r>
        <w:rPr/>
        <w:t>The methodology should avoid several common errors.</w:t>
      </w:r>
    </w:p>
    <w:p>
      <w:pPr>
        <w:pStyle w:val="BodyText"/>
        <w:spacing w:before="0" w:after="200"/>
        <w:rPr/>
      </w:pPr>
      <w:r>
        <w:rPr/>
        <w:t>First, it should avoid outcome-only reasoning, where a beneficial immediate result causes the assessment to ignore harmful future behavior.</w:t>
      </w:r>
    </w:p>
    <w:p>
      <w:pPr>
        <w:pStyle w:val="BodyText"/>
        <w:spacing w:before="0" w:after="200"/>
        <w:rPr/>
      </w:pPr>
      <w:r>
        <w:rPr/>
        <w:t>Second, it should avoid actor-only reasoning, where policy updates in observers, responders, collaborators, and institutions are excluded.</w:t>
      </w:r>
    </w:p>
    <w:p>
      <w:pPr>
        <w:pStyle w:val="BodyText"/>
        <w:spacing w:before="0" w:after="200"/>
        <w:rPr/>
      </w:pPr>
      <w:r>
        <w:rPr/>
        <w:t>Third, it should avoid intent-only reasoning, where the Actor’s claimed good intention causes the assessment to ignore foreseeable detrimental policy effects.</w:t>
      </w:r>
    </w:p>
    <w:p>
      <w:pPr>
        <w:pStyle w:val="BodyText"/>
        <w:spacing w:before="0" w:after="200"/>
        <w:rPr/>
      </w:pPr>
      <w:r>
        <w:rPr/>
        <w:t>Fourth, it should avoid institutional invisibility, where precedent, normalization, and enforcement shifts are ignored.</w:t>
      </w:r>
    </w:p>
    <w:p>
      <w:pPr>
        <w:pStyle w:val="BodyText"/>
        <w:spacing w:before="0" w:after="200"/>
        <w:rPr/>
      </w:pPr>
      <w:r>
        <w:rPr/>
        <w:t>Fifth, it should avoid false certainty, where difficult-to-measure policy updates are treated as zero.</w:t>
      </w:r>
    </w:p>
    <w:p>
      <w:pPr>
        <w:pStyle w:val="BodyText"/>
        <w:spacing w:before="0" w:after="200"/>
        <w:rPr/>
      </w:pPr>
      <w:r>
        <w:rPr/>
        <w:t>Sixth, it should avoid excessive speculation, where remote and weakly connected policy effects are treated as material without sufficient evidence or stated uncertainty.</w:t>
      </w:r>
    </w:p>
    <w:p>
      <w:pPr>
        <w:pStyle w:val="BodyText"/>
        <w:spacing w:before="0" w:after="200"/>
        <w:rPr/>
      </w:pPr>
      <w:r>
        <w:rPr/>
        <w:t>A sound methodology should include material policy updates while keeping their evidence and confidence explicit.</w:t>
      </w:r>
    </w:p>
    <w:p>
      <w:pPr>
        <w:pStyle w:val="Heading3"/>
        <w:ind w:hanging="0" w:left="0"/>
        <w:rPr/>
      </w:pPr>
      <w:r>
        <w:rPr/>
        <w:t>Methodological Boundary</w:t>
      </w:r>
    </w:p>
    <w:p>
      <w:pPr>
        <w:pStyle w:val="BodyText"/>
        <w:spacing w:before="0" w:after="200"/>
        <w:rPr/>
      </w:pPr>
      <w:r>
        <w:rPr/>
        <w:t>This section defines how Distributed Policy Updates are represented within the Moral Assessment Methodology. It does not prescribe a final mathematical formula, learning model, behavioral model, probability function, causal model, or implementation-specific representation.</w:t>
      </w:r>
    </w:p>
    <w:p>
      <w:pPr>
        <w:pStyle w:val="BodyText"/>
        <w:spacing w:before="0" w:after="200"/>
        <w:rPr/>
      </w:pPr>
      <w:r>
        <w:rPr/>
        <w:t>Those methods may be developed in later formal sections, appendices, simulations, domain models, or implementations. The requirement at this level is that policy-state changes be represented explicitly when they are material to the World Context Transition.</w:t>
      </w:r>
    </w:p>
    <w:p>
      <w:pPr>
        <w:pStyle w:val="BodyText"/>
        <w:spacing w:before="0" w:after="200"/>
        <w:rPr/>
      </w:pPr>
      <w:r>
        <w:rPr/>
        <w:t>Distributed Policy Updates are essential because they preserve the moral significance of means. The action does not merely produce an outcome; it changes future decision behavior. Because those policy-state changes become part of the resulting World Context, they are part of the moral assessment itself.</w:t>
      </w:r>
    </w:p>
    <w:p>
      <w:pPr>
        <w:pStyle w:val="Normal"/>
        <w:widowControl/>
        <w:bidi w:val="0"/>
        <w:spacing w:lineRule="auto" w:line="276"/>
        <w:jc w:val="left"/>
        <w:rPr/>
      </w:pPr>
      <w:r>
        <w:rPr/>
      </w:r>
    </w:p>
    <w:p>
      <w:pPr>
        <w:pStyle w:val="Heading2"/>
        <w:ind w:hanging="0" w:left="0"/>
        <w:rPr/>
      </w:pPr>
      <w:r>
        <w:rPr/>
        <w:t>World Context Transition</w:t>
      </w:r>
    </w:p>
    <w:p>
      <w:pPr>
        <w:pStyle w:val="BodyText"/>
        <w:spacing w:before="0" w:after="200"/>
        <w:rPr/>
      </w:pPr>
      <w:r>
        <w:rPr/>
        <w:t>The World Context Transition is the integrated methodological representation of how the Assessed Action transforms the relevant World Context from its baseline state into a predicted, observed, or revised resulting state.</w:t>
      </w:r>
    </w:p>
    <w:p>
      <w:pPr>
        <w:pStyle w:val="BodyText"/>
        <w:spacing w:before="0" w:after="200"/>
        <w:rPr/>
      </w:pPr>
      <w:r>
        <w:rPr/>
        <w:t>The final assessment evaluates the transition from World Context₀ to World Context₁. World Context₀ represents the relevant baseline state before the Assessed Action. World Context₁ represents the resulting state after the Assessed Action, its Consequences, Flourishing Transitions, Distributed Policy Updates, and other material state changes are considered.</w:t>
      </w:r>
    </w:p>
    <w:p>
      <w:pPr>
        <w:pStyle w:val="BodyText"/>
        <w:spacing w:before="0" w:after="200"/>
        <w:rPr/>
      </w:pPr>
      <w:r>
        <w:rPr/>
        <w:t>The World Context Transition is the principal object of moral assessment. Individual state changes, entity-level effects, aggregate flourishing estimates, policy updates, and consequence summaries all inform the assessment, but none of them alone constitutes the full moral assessment. The methodology evaluates the resulting World Context as an integrated state of the moral system.</w:t>
      </w:r>
    </w:p>
    <w:p>
      <w:pPr>
        <w:pStyle w:val="BodyText"/>
        <w:spacing w:before="0" w:after="200"/>
        <w:rPr/>
      </w:pPr>
      <w:r>
        <w:rPr/>
        <w:t>The next question will be how uncertainty, probability, confidence, and model limitations are represented across that transition. This will be addressed in subsequent sections.</w:t>
      </w:r>
    </w:p>
    <w:p>
      <w:pPr>
        <w:pStyle w:val="Heading3"/>
        <w:ind w:hanging="0" w:left="0"/>
        <w:rPr/>
      </w:pPr>
      <w:r>
        <w:rPr/>
        <w:t>Purpose of the World Context Transition</w:t>
      </w:r>
    </w:p>
    <w:p>
      <w:pPr>
        <w:pStyle w:val="BodyText"/>
        <w:spacing w:before="0" w:after="200"/>
        <w:rPr/>
      </w:pPr>
      <w:r>
        <w:rPr/>
        <w:t>The purpose of the World Context Transition is to integrate all material state changes into a coherent assessment object.</w:t>
      </w:r>
    </w:p>
    <w:p>
      <w:pPr>
        <w:pStyle w:val="BodyText"/>
        <w:spacing w:before="0" w:after="200"/>
        <w:rPr/>
      </w:pPr>
      <w:r>
        <w:rPr/>
        <w:t>Earlier sections identify and estimate specific kinds of change: entity transitions, relationship transitions, policy transitions, institutional transitions, opportunity transitions, future state-space transitions, evidence changes, uncertainty changes, and Long-Term Flourishing transitions. Section 6.10 brings those transitions together to evaluate the resulting World Context as a whole.</w:t>
      </w:r>
    </w:p>
    <w:p>
      <w:pPr>
        <w:pStyle w:val="BodyText"/>
        <w:spacing w:before="0" w:after="200"/>
        <w:rPr/>
      </w:pPr>
      <w:r>
        <w:rPr/>
        <w:t>The central methodological question is:</w:t>
      </w:r>
    </w:p>
    <w:p>
      <w:pPr>
        <w:pStyle w:val="BodyText"/>
        <w:spacing w:before="0" w:after="200"/>
        <w:rPr/>
      </w:pPr>
      <w:r>
        <w:rPr/>
        <w:t>What world is produced, preserved, degraded, enabled, or made more likely by the Assessed Action?</w:t>
      </w:r>
    </w:p>
    <w:p>
      <w:pPr>
        <w:pStyle w:val="BodyText"/>
        <w:spacing w:before="0" w:after="200"/>
        <w:rPr/>
      </w:pPr>
      <w:r>
        <w:rPr/>
        <w:t>This question is broader than asking whether the Actor achieved an operational objective. It is also broader than asking whether aggregate flourishing increased. The World Context Transition evaluates whether the resulting state of the relevant moral system is preferable under the Foundational Axiom, given the best available evidence, uncertainty, and assessment horizons.</w:t>
      </w:r>
    </w:p>
    <w:p>
      <w:pPr>
        <w:pStyle w:val="Heading3"/>
        <w:ind w:hanging="0" w:left="0"/>
        <w:rPr/>
      </w:pPr>
      <w:r>
        <w:rPr/>
        <w:t>World Context₀</w:t>
      </w:r>
    </w:p>
    <w:p>
      <w:pPr>
        <w:pStyle w:val="BodyText"/>
        <w:spacing w:before="0" w:after="200"/>
        <w:rPr/>
      </w:pPr>
      <w:r>
        <w:rPr/>
        <w:t>World Context₀ is the represented baseline state of the relevant World Context before the Assessed Action.</w:t>
      </w:r>
    </w:p>
    <w:p>
      <w:pPr>
        <w:pStyle w:val="BodyText"/>
        <w:spacing w:before="0" w:after="200"/>
        <w:rPr/>
      </w:pPr>
      <w:r>
        <w:rPr/>
        <w:t>It includes the relevant Objects, Associations, Flourishing Entities, Moral Agents, institutions, constraints, information states, authority conditions, policy states, future opportunities, and future state space that exist within the assessment boundary at the beginning of the assessment.</w:t>
      </w:r>
    </w:p>
    <w:p>
      <w:pPr>
        <w:pStyle w:val="BodyText"/>
        <w:spacing w:before="0" w:after="200"/>
        <w:rPr/>
      </w:pPr>
      <w:r>
        <w:rPr/>
        <w:t>World Context₀ should include uncertainty where the baseline state is incomplete, contested, inferred, or only partially observable. The methodology should avoid treating an uncertain baseline as if it were fully known. Baseline uncertainty carries forward into the confidence assigned to the World Context Transition.</w:t>
      </w:r>
    </w:p>
    <w:p>
      <w:pPr>
        <w:pStyle w:val="BodyText"/>
        <w:spacing w:before="0" w:after="200"/>
        <w:rPr/>
      </w:pPr>
      <w:r>
        <w:rPr/>
        <w:t>World Context₀ should distinguish conditions that preexisted the Assessed Action from conditions caused or altered by the Assessed Action. This distinction is necessary for responsibility assessment, causal attribution, and confidence estimation.</w:t>
      </w:r>
    </w:p>
    <w:p>
      <w:pPr>
        <w:pStyle w:val="Heading3"/>
        <w:ind w:hanging="0" w:left="0"/>
        <w:rPr/>
      </w:pPr>
      <w:r>
        <w:rPr/>
        <w:t>World Context₁</w:t>
      </w:r>
    </w:p>
    <w:p>
      <w:pPr>
        <w:pStyle w:val="BodyText"/>
        <w:spacing w:before="0" w:after="200"/>
        <w:rPr/>
      </w:pPr>
      <w:r>
        <w:rPr/>
        <w:t>World Context₁ is the predicted, observed, or revised resulting state of the relevant World Context after the Assessed Action and its material effects are considered.</w:t>
      </w:r>
    </w:p>
    <w:p>
      <w:pPr>
        <w:pStyle w:val="BodyText"/>
        <w:spacing w:before="0" w:after="200"/>
        <w:rPr/>
      </w:pPr>
      <w:r>
        <w:rPr/>
        <w:t>For a proposed action, World Context₁ is predicted. For an ongoing action, World Context₁ may be partially observed and partially predicted. For a completed action, World Context₁ may be observed retrospectively, while still preserving uncertainty about causation, responsibility, and long-term effects.</w:t>
      </w:r>
    </w:p>
    <w:p>
      <w:pPr>
        <w:pStyle w:val="BodyText"/>
        <w:spacing w:before="0" w:after="200"/>
        <w:rPr/>
      </w:pPr>
      <w:r>
        <w:rPr/>
        <w:t>World Context₁ includes the resulting state of:</w:t>
      </w:r>
    </w:p>
    <w:p>
      <w:pPr>
        <w:pStyle w:val="BodyText"/>
        <w:spacing w:before="0" w:after="200"/>
        <w:rPr/>
      </w:pPr>
      <w:r>
        <w:rPr/>
        <w:t>Relevant entities.</w:t>
      </w:r>
    </w:p>
    <w:p>
      <w:pPr>
        <w:pStyle w:val="BodyText"/>
        <w:spacing w:before="0" w:after="200"/>
        <w:rPr/>
      </w:pPr>
      <w:r>
        <w:rPr/>
        <w:t>Associations.</w:t>
      </w:r>
    </w:p>
    <w:p>
      <w:pPr>
        <w:pStyle w:val="BodyText"/>
        <w:spacing w:before="0" w:after="200"/>
        <w:rPr/>
      </w:pPr>
      <w:r>
        <w:rPr/>
        <w:t>Flourishing Entities.</w:t>
      </w:r>
    </w:p>
    <w:p>
      <w:pPr>
        <w:pStyle w:val="BodyText"/>
        <w:spacing w:before="0" w:after="200"/>
        <w:rPr/>
      </w:pPr>
      <w:r>
        <w:rPr/>
        <w:t>Moral Agents.</w:t>
      </w:r>
    </w:p>
    <w:p>
      <w:pPr>
        <w:pStyle w:val="BodyText"/>
        <w:spacing w:before="0" w:after="200"/>
        <w:rPr/>
      </w:pPr>
      <w:r>
        <w:rPr/>
        <w:t>Policy states.</w:t>
      </w:r>
    </w:p>
    <w:p>
      <w:pPr>
        <w:pStyle w:val="BodyText"/>
        <w:spacing w:before="0" w:after="200"/>
        <w:rPr/>
      </w:pPr>
      <w:r>
        <w:rPr/>
        <w:t>Institutions.</w:t>
      </w:r>
    </w:p>
    <w:p>
      <w:pPr>
        <w:pStyle w:val="BodyText"/>
        <w:spacing w:before="0" w:after="200"/>
        <w:rPr/>
      </w:pPr>
      <w:r>
        <w:rPr/>
        <w:t>Information and evidence states.</w:t>
      </w:r>
    </w:p>
    <w:p>
      <w:pPr>
        <w:pStyle w:val="BodyText"/>
        <w:spacing w:before="0" w:after="200"/>
        <w:rPr/>
      </w:pPr>
      <w:r>
        <w:rPr/>
        <w:t>Constraints.</w:t>
      </w:r>
    </w:p>
    <w:p>
      <w:pPr>
        <w:pStyle w:val="BodyText"/>
        <w:spacing w:before="0" w:after="200"/>
        <w:rPr/>
      </w:pPr>
      <w:r>
        <w:rPr/>
        <w:t>Authority and legitimacy conditions.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Long-Term Flourishing.</w:t>
      </w:r>
    </w:p>
    <w:p>
      <w:pPr>
        <w:pStyle w:val="BodyText"/>
        <w:spacing w:before="0" w:after="200"/>
        <w:rPr/>
      </w:pPr>
      <w:r>
        <w:rPr/>
        <w:t>Assessment-horizon-specific effects.</w:t>
      </w:r>
    </w:p>
    <w:p>
      <w:pPr>
        <w:pStyle w:val="BodyText"/>
        <w:spacing w:before="0" w:after="200"/>
        <w:rPr/>
      </w:pPr>
      <w:r>
        <w:rPr/>
        <w:t>World Context₁ is not merely the immediate outcome of the Assessed Action. It is the resulting configuration of the relevant moral system after all material state changes are incorporated.</w:t>
      </w:r>
    </w:p>
    <w:p>
      <w:pPr>
        <w:pStyle w:val="Heading3"/>
        <w:ind w:hanging="0" w:left="0"/>
        <w:rPr/>
      </w:pPr>
      <w:r>
        <w:rPr/>
        <w:t>Transition Rather Than Outcome</w:t>
      </w:r>
    </w:p>
    <w:p>
      <w:pPr>
        <w:pStyle w:val="BodyText"/>
        <w:spacing w:before="0" w:after="200"/>
        <w:rPr/>
      </w:pPr>
      <w:r>
        <w:rPr/>
        <w:t>The methodology evaluates transitions rather than isolated outcomes.</w:t>
      </w:r>
    </w:p>
    <w:p>
      <w:pPr>
        <w:pStyle w:val="BodyText"/>
        <w:spacing w:before="0" w:after="200"/>
        <w:rPr/>
      </w:pPr>
      <w:r>
        <w:rPr/>
        <w:t>An isolated outcome may show that an operational goal was achieved, a harm occurred, a benefit was produced, or a rule was followed. A World Context Transition evaluates the broader change in the moral state of the relevant world.</w:t>
      </w:r>
    </w:p>
    <w:p>
      <w:pPr>
        <w:pStyle w:val="BodyText"/>
        <w:spacing w:before="0" w:after="200"/>
        <w:rPr/>
      </w:pPr>
      <w:r>
        <w:rPr/>
        <w:t>This distinction is necessary because an action may produce a beneficial immediate outcome while degrading relationships, institutions, information quality, future opportunities, or future decision policies. Conversely, an action may impose an immediate burden while preserving Long-Term Flourishing, institutional legitimacy, adaptive capacity, or future state space.</w:t>
      </w:r>
    </w:p>
    <w:p>
      <w:pPr>
        <w:pStyle w:val="BodyText"/>
        <w:spacing w:before="0" w:after="200"/>
        <w:rPr/>
      </w:pPr>
      <w:r>
        <w:rPr/>
        <w:t>For example, an organization may preserve its short-term survival through fraud. The isolated outcome may appear beneficial because the organization survives. The World Context Transition may nevertheless be morally detrimental because it includes deception, corruption of institutional policy, degradation of trust, increased future fraud propensity, damaged evidence state, and loss of legitimacy.</w:t>
      </w:r>
    </w:p>
    <w:p>
      <w:pPr>
        <w:pStyle w:val="BodyText"/>
        <w:spacing w:before="0" w:after="200"/>
        <w:rPr/>
      </w:pPr>
      <w:r>
        <w:rPr/>
        <w:t>The World Context Transition prevents the methodology from confusing operational success with moral improvement.</w:t>
      </w:r>
    </w:p>
    <w:p>
      <w:pPr>
        <w:pStyle w:val="Heading3"/>
        <w:ind w:hanging="0" w:left="0"/>
        <w:rPr/>
      </w:pPr>
      <w:r>
        <w:rPr/>
        <w:t>Components of the World Context Transition</w:t>
      </w:r>
    </w:p>
    <w:p>
      <w:pPr>
        <w:pStyle w:val="BodyText"/>
        <w:spacing w:before="0" w:after="200"/>
        <w:rPr/>
      </w:pPr>
      <w:r>
        <w:rPr/>
        <w:t>The World Context Transition should include all material changes from World Context₀ to World Context₁.</w:t>
      </w:r>
    </w:p>
    <w:p>
      <w:pPr>
        <w:pStyle w:val="BodyText"/>
        <w:spacing w:before="0" w:after="200"/>
        <w:rPr/>
      </w:pPr>
      <w:r>
        <w:rPr/>
        <w:t>At minimum, the transition should consider changes to:</w:t>
      </w:r>
    </w:p>
    <w:p>
      <w:pPr>
        <w:pStyle w:val="BodyText"/>
        <w:spacing w:before="0" w:after="200"/>
        <w:rPr/>
      </w:pPr>
      <w:r>
        <w:rPr/>
        <w:t>Entities.</w:t>
      </w:r>
    </w:p>
    <w:p>
      <w:pPr>
        <w:pStyle w:val="BodyText"/>
        <w:spacing w:before="0" w:after="200"/>
        <w:rPr/>
      </w:pPr>
      <w:r>
        <w:rPr/>
        <w:t>Associations.</w:t>
      </w:r>
    </w:p>
    <w:p>
      <w:pPr>
        <w:pStyle w:val="BodyText"/>
        <w:spacing w:before="0" w:after="200"/>
        <w:rPr/>
      </w:pPr>
      <w:r>
        <w:rPr/>
        <w:t>Flourishing states.</w:t>
      </w:r>
    </w:p>
    <w:p>
      <w:pPr>
        <w:pStyle w:val="BodyText"/>
        <w:spacing w:before="0" w:after="200"/>
        <w:rPr/>
      </w:pPr>
      <w:r>
        <w:rPr/>
        <w:t>Moral Agents and Actors.</w:t>
      </w:r>
    </w:p>
    <w:p>
      <w:pPr>
        <w:pStyle w:val="BodyText"/>
        <w:spacing w:before="0" w:after="200"/>
        <w:rPr/>
      </w:pPr>
      <w:r>
        <w:rPr/>
        <w:t>Policy states.</w:t>
      </w:r>
    </w:p>
    <w:p>
      <w:pPr>
        <w:pStyle w:val="BodyText"/>
        <w:spacing w:before="0" w:after="200"/>
        <w:rPr/>
      </w:pPr>
      <w:r>
        <w:rPr/>
        <w:t>Institutions.</w:t>
      </w:r>
    </w:p>
    <w:p>
      <w:pPr>
        <w:pStyle w:val="BodyText"/>
        <w:spacing w:before="0" w:after="200"/>
        <w:rPr/>
      </w:pPr>
      <w:r>
        <w:rPr/>
        <w:t>Information and evidence state.</w:t>
      </w:r>
    </w:p>
    <w:p>
      <w:pPr>
        <w:pStyle w:val="BodyText"/>
        <w:spacing w:before="0" w:after="200"/>
        <w:rPr/>
      </w:pPr>
      <w:r>
        <w:rPr/>
        <w:t>Constraints.</w:t>
      </w:r>
    </w:p>
    <w:p>
      <w:pPr>
        <w:pStyle w:val="BodyText"/>
        <w:spacing w:before="0" w:after="200"/>
        <w:rPr/>
      </w:pPr>
      <w:r>
        <w:rPr/>
        <w:t>Authority and legitimacy conditions.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Assessment-horizon-specific consequences.</w:t>
      </w:r>
    </w:p>
    <w:p>
      <w:pPr>
        <w:pStyle w:val="BodyText"/>
        <w:spacing w:before="0" w:after="200"/>
        <w:rPr/>
      </w:pPr>
      <w:r>
        <w:rPr/>
        <w:t>Uncertainty and confidence.</w:t>
      </w:r>
    </w:p>
    <w:p>
      <w:pPr>
        <w:pStyle w:val="BodyText"/>
        <w:spacing w:before="0" w:after="200"/>
        <w:rPr/>
      </w:pPr>
      <w:r>
        <w:rPr/>
        <w:t>The methodology does not require every assessment to represent every possible change at the same level of detail. It requires that material changes be identified, represented, and made inspectable. Omissions should be stated and reflected in confidence when they may materially affect the assessment.</w:t>
      </w:r>
    </w:p>
    <w:p>
      <w:pPr>
        <w:pStyle w:val="Heading3"/>
        <w:ind w:hanging="0" w:left="0"/>
        <w:rPr/>
      </w:pPr>
      <w:r>
        <w:rPr/>
        <w:t>Entity Changes</w:t>
      </w:r>
    </w:p>
    <w:p>
      <w:pPr>
        <w:pStyle w:val="BodyText"/>
        <w:spacing w:before="0" w:after="200"/>
        <w:rPr/>
      </w:pPr>
      <w:r>
        <w:rPr/>
        <w:t>Entity changes describe how relevant Objects and Flourishing Entities differ between World Context₀ and World Context₁.</w:t>
      </w:r>
    </w:p>
    <w:p>
      <w:pPr>
        <w:pStyle w:val="BodyText"/>
        <w:spacing w:before="0" w:after="200"/>
        <w:rPr/>
      </w:pPr>
      <w:r>
        <w:rPr/>
        <w:t>Entity changes may include changes in health, safety, autonomy, knowledge, access, capability, resources, vulnerability, resilience, agency, persistence, adaptive capacity, future possibilities, or Long-Term Flourishing.</w:t>
      </w:r>
    </w:p>
    <w:p>
      <w:pPr>
        <w:pStyle w:val="BodyText"/>
        <w:spacing w:before="0" w:after="200"/>
        <w:rPr/>
      </w:pPr>
      <w:r>
        <w:rPr/>
        <w:t>The World Context Transition should identify which entities benefit, which are harmed, which experience mixed effects, and which experience uncertain effects. It should also identify whether any relevant Flourishing Entity experiences material diminishment.</w:t>
      </w:r>
    </w:p>
    <w:p>
      <w:pPr>
        <w:pStyle w:val="BodyText"/>
        <w:spacing w:before="0" w:after="200"/>
        <w:rPr/>
      </w:pPr>
      <w:r>
        <w:rPr/>
        <w:t>Entity changes should be interpreted in context. A similar physical or operational change may have different moral significance depending on the entity, its relationships, its baseline condition, its future possibilities, and the larger World Context.</w:t>
      </w:r>
    </w:p>
    <w:p>
      <w:pPr>
        <w:pStyle w:val="Heading3"/>
        <w:ind w:hanging="0" w:left="0"/>
        <w:rPr/>
      </w:pPr>
      <w:r>
        <w:rPr/>
        <w:t>Association Changes</w:t>
      </w:r>
    </w:p>
    <w:p>
      <w:pPr>
        <w:pStyle w:val="BodyText"/>
        <w:spacing w:before="0" w:after="200"/>
        <w:rPr/>
      </w:pPr>
      <w:r>
        <w:rPr/>
        <w:t>Association changes describe how morally relevant relationships differ between World Context₀ and World Context₁.</w:t>
      </w:r>
    </w:p>
    <w:p>
      <w:pPr>
        <w:pStyle w:val="BodyText"/>
        <w:spacing w:before="0" w:after="200"/>
        <w:rPr/>
      </w:pPr>
      <w:r>
        <w:rPr/>
        <w:t>Associations may change in trust, authority, obligation, dependency, consent, legitimacy, ownership, care, responsibility, stewardship, cooperation, conflict, or institutional membership.</w:t>
      </w:r>
    </w:p>
    <w:p>
      <w:pPr>
        <w:pStyle w:val="BodyText"/>
        <w:spacing w:before="0" w:after="200"/>
        <w:rPr/>
      </w:pPr>
      <w:r>
        <w:rPr/>
        <w:t>Association changes are often morally central because Long-Term Flourishing depends on relational structure. An action may leave material conditions relatively unchanged while damaging trust, violating consent, corrupting authority, or weakening obligations. Conversely, an action may create short-term discomfort while strengthening honesty, trust, legitimacy, or accountability.</w:t>
      </w:r>
    </w:p>
    <w:p>
      <w:pPr>
        <w:pStyle w:val="BodyText"/>
        <w:spacing w:before="0" w:after="200"/>
        <w:rPr/>
      </w:pPr>
      <w:r>
        <w:rPr/>
        <w:t>The World Context Transition should therefore preserve relationship changes rather than treating them as secondary narrative effects.</w:t>
      </w:r>
    </w:p>
    <w:p>
      <w:pPr>
        <w:pStyle w:val="Heading3"/>
        <w:ind w:hanging="0" w:left="0"/>
        <w:rPr/>
      </w:pPr>
      <w:r>
        <w:rPr/>
        <w:t>Policy-State Changes</w:t>
      </w:r>
    </w:p>
    <w:p>
      <w:pPr>
        <w:pStyle w:val="BodyText"/>
        <w:spacing w:before="0" w:after="200"/>
        <w:rPr/>
      </w:pPr>
      <w:r>
        <w:rPr/>
        <w:t>Policy-state changes describe how the future decision policies of Actors, affected entities, observers, responders, collaborators, institutions, artificial systems, and other relevant Moral Agents differ between World Context₀ and World Context₁.</w:t>
      </w:r>
    </w:p>
    <w:p>
      <w:pPr>
        <w:pStyle w:val="BodyText"/>
        <w:spacing w:before="0" w:after="200"/>
        <w:rPr/>
      </w:pPr>
      <w:r>
        <w:rPr/>
        <w:t>These changes include Actor Policy Updates and broader Distributed Policy Updates. They may alter what future agents are more or less likely to do, what they perceive as acceptable, what they believe is rewarded or punished, and what they treat as legitimate or repeatable.</w:t>
      </w:r>
    </w:p>
    <w:p>
      <w:pPr>
        <w:pStyle w:val="BodyText"/>
        <w:spacing w:before="0" w:after="200"/>
        <w:rPr/>
      </w:pPr>
      <w:r>
        <w:rPr/>
        <w:t>Policy-state changes are essential to the World Context Transition because they explain why means are morally significant. The means used by the Assessed Action become part of World Context₁ by changing future behavior.</w:t>
      </w:r>
    </w:p>
    <w:p>
      <w:pPr>
        <w:pStyle w:val="BodyText"/>
        <w:spacing w:before="0" w:after="200"/>
        <w:rPr/>
      </w:pPr>
      <w:r>
        <w:rPr/>
        <w:t>A beneficial immediate outcome does not erase a detrimental policy-state change. If the action makes deception, coercion, negligence, cruelty, fraud, or institutional manipulation more likely in the future, that update is part of the resulting World Context.</w:t>
      </w:r>
    </w:p>
    <w:p>
      <w:pPr>
        <w:pStyle w:val="Heading3"/>
        <w:ind w:hanging="0" w:left="0"/>
        <w:rPr/>
      </w:pPr>
      <w:r>
        <w:rPr/>
        <w:t>Institutional Changes</w:t>
      </w:r>
    </w:p>
    <w:p>
      <w:pPr>
        <w:pStyle w:val="BodyText"/>
        <w:spacing w:before="0" w:after="200"/>
        <w:rPr/>
      </w:pPr>
      <w:r>
        <w:rPr/>
        <w:t>Institutional changes describe how institutions differ between World Context₀ and World Context₁.</w:t>
      </w:r>
    </w:p>
    <w:p>
      <w:pPr>
        <w:pStyle w:val="BodyText"/>
        <w:spacing w:before="0" w:after="200"/>
        <w:rPr/>
      </w:pPr>
      <w:r>
        <w:rPr/>
        <w:t>Institutions may change in legitimacy, trust, authority, accountability, procedural integrity, enforcement reliability, transparency, corruption, resilience, precedent, institutional memory, and capacity for correction.</w:t>
      </w:r>
    </w:p>
    <w:p>
      <w:pPr>
        <w:pStyle w:val="BodyText"/>
        <w:spacing w:before="0" w:after="200"/>
        <w:rPr/>
      </w:pPr>
      <w:r>
        <w:rPr/>
        <w:t>Institutional changes may be formal or informal. A formal change may include a new rule, policy, law, procedure, precedent, or system configuration. An informal change may include a shift in culture, expectations, incentive structures, enforcement behavior, or public trust.</w:t>
      </w:r>
    </w:p>
    <w:p>
      <w:pPr>
        <w:pStyle w:val="BodyText"/>
        <w:spacing w:before="0" w:after="200"/>
        <w:rPr/>
      </w:pPr>
      <w:r>
        <w:rPr/>
        <w:t>The World Context Transition should include institutional changes because institutions shape future behavior across many actors and long horizons. An action that damages institutional legitimacy may diminish future flourishing even when its immediate consequences appear beneficial.</w:t>
      </w:r>
    </w:p>
    <w:p>
      <w:pPr>
        <w:pStyle w:val="Heading3"/>
        <w:ind w:hanging="0" w:left="0"/>
        <w:rPr/>
      </w:pPr>
      <w:r>
        <w:rPr/>
        <w:t>Information and Evidence Changes</w:t>
      </w:r>
    </w:p>
    <w:p>
      <w:pPr>
        <w:pStyle w:val="BodyText"/>
        <w:spacing w:before="0" w:after="200"/>
        <w:rPr/>
      </w:pPr>
      <w:r>
        <w:rPr/>
        <w:t>Information and evidence changes describe how the Information State differs between World Context₀ and World Context₁.</w:t>
      </w:r>
    </w:p>
    <w:p>
      <w:pPr>
        <w:pStyle w:val="BodyText"/>
        <w:spacing w:before="0" w:after="200"/>
        <w:rPr/>
      </w:pPr>
      <w:r>
        <w:rPr/>
        <w:t>These changes may include disclosure, concealment, misinformation, improved knowledge, destroyed evidence, corrupted records, increased transparency, reduced uncertainty, increased uncertainty, new audit trails, or loss of institutional memory.</w:t>
      </w:r>
    </w:p>
    <w:p>
      <w:pPr>
        <w:pStyle w:val="BodyText"/>
        <w:spacing w:before="0" w:after="200"/>
        <w:rPr/>
      </w:pPr>
      <w:r>
        <w:rPr/>
        <w:t>Information-state changes are morally significant because future moral reasoning depends on what future agents can know. An action that degrades evidence quality may impair accountability, reduce trust, increase future uncertainty, and weaken future assessments. An action that improves transparency may support better future decision-making even if it imposes immediate cost.</w:t>
      </w:r>
    </w:p>
    <w:p>
      <w:pPr>
        <w:pStyle w:val="BodyText"/>
        <w:spacing w:before="0" w:after="200"/>
        <w:rPr/>
      </w:pPr>
      <w:r>
        <w:rPr/>
        <w:t>The World Context Transition should therefore include changes to information quality, evidence availability, evidence provenance, and uncertainty.</w:t>
      </w:r>
    </w:p>
    <w:p>
      <w:pPr>
        <w:pStyle w:val="Heading3"/>
        <w:ind w:hanging="0" w:left="0"/>
        <w:rPr/>
      </w:pPr>
      <w:r>
        <w:rPr/>
        <w:t>Constraint Changes</w:t>
      </w:r>
    </w:p>
    <w:p>
      <w:pPr>
        <w:pStyle w:val="BodyText"/>
        <w:spacing w:before="0" w:after="200"/>
        <w:rPr/>
      </w:pPr>
      <w:r>
        <w:rPr/>
        <w:t>Constraint changes describe how the limits and enabling conditions of future action differ between World Context₀ and World Context₁.</w:t>
      </w:r>
    </w:p>
    <w:p>
      <w:pPr>
        <w:pStyle w:val="BodyText"/>
        <w:spacing w:before="0" w:after="200"/>
        <w:rPr/>
      </w:pPr>
      <w:r>
        <w:rPr/>
        <w:t>Constraints may be physical, biological, legal, institutional, technological, informational, financial, temporal, ecological, relational, or moral. They shape what future actions are possible, available, prohibited, required, or practically feasible.</w:t>
      </w:r>
    </w:p>
    <w:p>
      <w:pPr>
        <w:pStyle w:val="BodyText"/>
        <w:spacing w:before="0" w:after="200"/>
        <w:rPr/>
      </w:pPr>
      <w:r>
        <w:rPr/>
        <w:t>An Assessed Action may create new constraints, remove existing constraints, narrow future action space, expand future action space, impose safeguards, create dependency, or make future correction more difficult.</w:t>
      </w:r>
    </w:p>
    <w:p>
      <w:pPr>
        <w:pStyle w:val="BodyText"/>
        <w:spacing w:before="0" w:after="200"/>
        <w:rPr/>
      </w:pPr>
      <w:r>
        <w:rPr/>
        <w:t>Constraint changes should be included because they affect Future Opportunities, Future State Space, and the capacity of Flourishing Entities to adapt and flourish.</w:t>
      </w:r>
    </w:p>
    <w:p>
      <w:pPr>
        <w:pStyle w:val="Heading3"/>
        <w:ind w:hanging="0" w:left="0"/>
        <w:rPr/>
      </w:pPr>
      <w:r>
        <w:rPr/>
        <w:t>Authority and Legitimacy Changes</w:t>
      </w:r>
    </w:p>
    <w:p>
      <w:pPr>
        <w:pStyle w:val="BodyText"/>
        <w:spacing w:before="0" w:after="200"/>
        <w:rPr/>
      </w:pPr>
      <w:r>
        <w:rPr/>
        <w:t>Authority and legitimacy changes describe how the recognized, justified, or accepted power to act differs between World Context₀ and World Context₁.</w:t>
      </w:r>
    </w:p>
    <w:p>
      <w:pPr>
        <w:pStyle w:val="BodyText"/>
        <w:spacing w:before="0" w:after="200"/>
        <w:rPr/>
      </w:pPr>
      <w:r>
        <w:rPr/>
        <w:t>An action may preserve legitimate authority, abuse authority, create illegitimate precedent, strengthen procedural legitimacy, weaken trust in authority, or alter who is recognized as having standing to act.</w:t>
      </w:r>
    </w:p>
    <w:p>
      <w:pPr>
        <w:pStyle w:val="BodyText"/>
        <w:spacing w:before="0" w:after="200"/>
        <w:rPr/>
      </w:pPr>
      <w:r>
        <w:rPr/>
        <w:t>Authority and legitimacy changes are especially important in law, governance, medicine, institutions, public policy, autonomous systems, and AI deployment. An action may achieve an immediate objective but undermine the legitimacy of the system through which future actions will be taken.</w:t>
      </w:r>
    </w:p>
    <w:p>
      <w:pPr>
        <w:pStyle w:val="BodyText"/>
        <w:spacing w:before="0" w:after="200"/>
        <w:rPr/>
      </w:pPr>
      <w:r>
        <w:rPr/>
        <w:t>The World Context Transition should therefore distinguish legal authority, practical control, institutional authorization, and moral legitimacy rather than treating them as identical.</w:t>
      </w:r>
    </w:p>
    <w:p>
      <w:pPr>
        <w:pStyle w:val="Heading3"/>
        <w:ind w:hanging="0" w:left="0"/>
        <w:rPr/>
      </w:pPr>
      <w:r>
        <w:rPr/>
        <w:t>Future Opportunity Changes</w:t>
      </w:r>
    </w:p>
    <w:p>
      <w:pPr>
        <w:pStyle w:val="BodyText"/>
        <w:spacing w:before="0" w:after="200"/>
        <w:rPr/>
      </w:pPr>
      <w:r>
        <w:rPr/>
        <w:t>Future opportunity changes describe how beneficial possibilities available to relevant Flourishing Entities differ between World Context₀ and World Context₁.</w:t>
      </w:r>
    </w:p>
    <w:p>
      <w:pPr>
        <w:pStyle w:val="BodyText"/>
        <w:spacing w:before="0" w:after="200"/>
        <w:rPr/>
      </w:pPr>
      <w:r>
        <w:rPr/>
        <w:t>An Assessed Action may create, preserve, expand, restrict, delay, or foreclose future opportunities. These may include treatment options, legal remedies, educational pathways, institutional reform, ecological recovery, cooperation, relationship repair, technological development, or future autonomous choices.</w:t>
      </w:r>
    </w:p>
    <w:p>
      <w:pPr>
        <w:pStyle w:val="BodyText"/>
        <w:spacing w:before="0" w:after="200"/>
        <w:rPr/>
      </w:pPr>
      <w:r>
        <w:rPr/>
        <w:t>Future opportunity changes matter because Long-Term Flourishing depends not only on present state but also on what beneficial future pathways remain available.</w:t>
      </w:r>
    </w:p>
    <w:p>
      <w:pPr>
        <w:pStyle w:val="BodyText"/>
        <w:spacing w:before="0" w:after="200"/>
        <w:rPr/>
      </w:pPr>
      <w:r>
        <w:rPr/>
        <w:t>An action may be morally problematic if it achieves an immediate benefit while unnecessarily foreclosing important future options. Conversely, an action may be morally supportable if it imposes present burden while preserving critical future opportunities.</w:t>
      </w:r>
    </w:p>
    <w:p>
      <w:pPr>
        <w:pStyle w:val="Heading3"/>
        <w:ind w:hanging="0" w:left="0"/>
        <w:rPr/>
      </w:pPr>
      <w:r>
        <w:rPr/>
        <w:t>Future State Space Changes</w:t>
      </w:r>
    </w:p>
    <w:p>
      <w:pPr>
        <w:pStyle w:val="BodyText"/>
        <w:spacing w:before="0" w:after="200"/>
        <w:rPr/>
      </w:pPr>
      <w:r>
        <w:rPr/>
        <w:t>Future state space changes describe how the broader set of reachable future World Contexts differs between World Context₀ and World Context₁.</w:t>
      </w:r>
    </w:p>
    <w:p>
      <w:pPr>
        <w:pStyle w:val="BodyText"/>
        <w:spacing w:before="0" w:after="200"/>
        <w:rPr/>
      </w:pPr>
      <w:r>
        <w:rPr/>
        <w:t>Future State Space is broader than discrete future opportunities. It concerns the structure, reachability, quality, and risk profile of possible future worlds. An Assessed Action may expand beneficial future state space, narrow it, redirect it, destabilize it, increase the probability of harmful futures, or preserve access to critical future pathways.</w:t>
      </w:r>
    </w:p>
    <w:p>
      <w:pPr>
        <w:pStyle w:val="BodyText"/>
        <w:spacing w:before="0" w:after="200"/>
        <w:rPr/>
      </w:pPr>
      <w:r>
        <w:rPr/>
        <w:t>Future state-space changes are especially important in long-term, multi-generational, civilizational, ecological, institutional, and artificial-intelligence-related assessments. Some actions may appear minor in the immediate horizon but substantially alter future possibilities.</w:t>
      </w:r>
    </w:p>
    <w:p>
      <w:pPr>
        <w:pStyle w:val="BodyText"/>
        <w:spacing w:before="0" w:after="200"/>
        <w:rPr/>
      </w:pPr>
      <w:r>
        <w:rPr/>
        <w:t>The World Context Transition should include Future State Space when the Assessed Action materially changes what futures are reachable or likely.</w:t>
      </w:r>
    </w:p>
    <w:p>
      <w:pPr>
        <w:pStyle w:val="Heading3"/>
        <w:ind w:hanging="0" w:left="0"/>
        <w:rPr/>
      </w:pPr>
      <w:r>
        <w:rPr/>
        <w:t>Flourishing Changes Within the World Context Transition</w:t>
      </w:r>
    </w:p>
    <w:p>
      <w:pPr>
        <w:pStyle w:val="BodyText"/>
        <w:spacing w:before="0" w:after="200"/>
        <w:rPr/>
      </w:pPr>
      <w:r>
        <w:rPr/>
        <w:t>Flourishing Transitions are included within the World Context Transition.</w:t>
      </w:r>
    </w:p>
    <w:p>
      <w:pPr>
        <w:pStyle w:val="BodyText"/>
        <w:spacing w:before="0" w:after="200"/>
        <w:rPr/>
      </w:pPr>
      <w:r>
        <w:rPr/>
        <w:t>For each relevant Flourishing Entity, the methodology estimates changes in Long-Term Flourishing across relevant dimensions and Assessment Horizons. These changes may be summarized through Aggregate Flourishing, but they should not be collapsed into a single moral verdict.</w:t>
      </w:r>
    </w:p>
    <w:p>
      <w:pPr>
        <w:pStyle w:val="BodyText"/>
        <w:spacing w:before="0" w:after="200"/>
        <w:rPr/>
      </w:pPr>
      <w:r>
        <w:rPr/>
        <w:t>The World Context Transition should preserve the structure of flourishing effects: who is affected, which dimensions change, which horizons matter, where material diminishment occurs, and how uncertainty affects confidence.</w:t>
      </w:r>
    </w:p>
    <w:p>
      <w:pPr>
        <w:pStyle w:val="BodyText"/>
        <w:spacing w:before="0" w:after="200"/>
        <w:rPr/>
      </w:pPr>
      <w:r>
        <w:rPr/>
        <w:t>Aggregate flourishing helps estimate scale of impact, but the World Context Transition determines how those changes fit into the broader moral state of the world.</w:t>
      </w:r>
    </w:p>
    <w:p>
      <w:pPr>
        <w:pStyle w:val="Heading3"/>
        <w:ind w:hanging="0" w:left="0"/>
        <w:rPr/>
      </w:pPr>
      <w:r>
        <w:rPr/>
        <w:t>Horizon-Specific World Context Transitions</w:t>
      </w:r>
    </w:p>
    <w:p>
      <w:pPr>
        <w:pStyle w:val="BodyText"/>
        <w:spacing w:before="0" w:after="200"/>
        <w:rPr/>
      </w:pPr>
      <w:r>
        <w:rPr/>
        <w:t>The World Context Transition should be evaluated across relevant Assessment Horizons.</w:t>
      </w:r>
    </w:p>
    <w:p>
      <w:pPr>
        <w:pStyle w:val="BodyText"/>
        <w:spacing w:before="0" w:after="200"/>
        <w:rPr/>
      </w:pPr>
      <w:r>
        <w:rPr/>
        <w:t>The methodology may represent distinct horizon-specific versions of World Context₁, such as immediate, short-term, long-term, multi-generational, and civilizational resulting states. These horizon-specific states may differ substantially.</w:t>
      </w:r>
    </w:p>
    <w:p>
      <w:pPr>
        <w:pStyle w:val="BodyText"/>
        <w:spacing w:before="0" w:after="200"/>
        <w:rPr/>
      </w:pPr>
      <w:r>
        <w:rPr/>
        <w:t>An action may produce a favorable immediate World Context₁ while producing a detrimental long-term World Context₁. Another action may impose immediate cost while preserving long-term adaptive capacity, institutional legitimacy, or future state space.</w:t>
      </w:r>
    </w:p>
    <w:p>
      <w:pPr>
        <w:pStyle w:val="BodyText"/>
        <w:spacing w:before="0" w:after="200"/>
        <w:rPr/>
      </w:pPr>
      <w:r>
        <w:rPr/>
        <w:t>The assessment should therefore avoid treating World Context₁ as a single timeless state. It should represent how the resulting World Context evolves across horizons when those differences are material.</w:t>
      </w:r>
    </w:p>
    <w:p>
      <w:pPr>
        <w:pStyle w:val="Heading3"/>
        <w:ind w:hanging="0" w:left="0"/>
        <w:rPr/>
      </w:pPr>
      <w:r>
        <w:rPr/>
        <w:t>Predicted, Observed, and Revised World Context Transitions</w:t>
      </w:r>
    </w:p>
    <w:p>
      <w:pPr>
        <w:pStyle w:val="BodyText"/>
        <w:spacing w:before="0" w:after="200"/>
        <w:rPr/>
      </w:pPr>
      <w:r>
        <w:rPr/>
        <w:t>A World Context Transition may be predicted, observed, or revised.</w:t>
      </w:r>
    </w:p>
    <w:p>
      <w:pPr>
        <w:pStyle w:val="BodyText"/>
        <w:spacing w:before="0" w:after="200"/>
        <w:rPr/>
      </w:pPr>
      <w:r>
        <w:rPr/>
        <w:t>A predicted World Context Transition is used when assessing a proposed action. It estimates how World Context₀ is expected to become World Context₁ if the action is taken.</w:t>
      </w:r>
    </w:p>
    <w:p>
      <w:pPr>
        <w:pStyle w:val="BodyText"/>
        <w:spacing w:before="0" w:after="200"/>
        <w:rPr/>
      </w:pPr>
      <w:r>
        <w:rPr/>
        <w:t>An observed World Context Transition is used when assessing a completed or ongoing action. It incorporates observed outcomes while preserving distinctions between what was known, what was reasonably knowable, and what became known later.</w:t>
      </w:r>
    </w:p>
    <w:p>
      <w:pPr>
        <w:pStyle w:val="BodyText"/>
        <w:spacing w:before="0" w:after="200"/>
        <w:rPr/>
      </w:pPr>
      <w:r>
        <w:rPr/>
        <w:t>A revised World Context Transition is used when new evidence, better models, additional outcomes, or observed long-term effects change the assessment. Revision is consistent with the framework because the methodology is confidence-bounded and evidence-sensitive.</w:t>
      </w:r>
    </w:p>
    <w:p>
      <w:pPr>
        <w:pStyle w:val="BodyText"/>
        <w:spacing w:before="0" w:after="200"/>
        <w:rPr/>
      </w:pPr>
      <w:r>
        <w:rPr/>
        <w:t>The transition should identify whether each material state change is predicted, observed, inferred, or revised.</w:t>
      </w:r>
    </w:p>
    <w:p>
      <w:pPr>
        <w:pStyle w:val="Heading3"/>
        <w:ind w:hanging="0" w:left="0"/>
        <w:rPr/>
      </w:pPr>
      <w:r>
        <w:rPr/>
        <w:t>Counterfactual and Alternative Transitions</w:t>
      </w:r>
    </w:p>
    <w:p>
      <w:pPr>
        <w:pStyle w:val="BodyText"/>
        <w:spacing w:before="0" w:after="200"/>
        <w:rPr/>
      </w:pPr>
      <w:r>
        <w:rPr/>
        <w:t>The World Context Transition should often be evaluated in relation to available alternatives.</w:t>
      </w:r>
    </w:p>
    <w:p>
      <w:pPr>
        <w:pStyle w:val="BodyText"/>
        <w:spacing w:before="0" w:after="200"/>
        <w:rPr/>
      </w:pPr>
      <w:r>
        <w:rPr/>
        <w:t>A moral assessment may require comparing the transition produced by the Assessed Action with transitions that would have resulted from alternative actions, delayed action, modified action, escalation, disclosure, mitigation, or non-action.</w:t>
      </w:r>
    </w:p>
    <w:p>
      <w:pPr>
        <w:pStyle w:val="BodyText"/>
        <w:spacing w:before="0" w:after="200"/>
        <w:rPr/>
      </w:pPr>
      <w:r>
        <w:rPr/>
        <w:t>This is important because an action’s moral status may depend on whether a less harmful or more flourishing-preserving alternative was reasonably available.</w:t>
      </w:r>
    </w:p>
    <w:p>
      <w:pPr>
        <w:pStyle w:val="BodyText"/>
        <w:spacing w:before="0" w:after="200"/>
        <w:rPr/>
      </w:pPr>
      <w:r>
        <w:rPr/>
        <w:t>Counterfactual transitions should be handled carefully. They are often uncertain. The methodology should identify assumptions, evidence, and confidence for each alternative transition.</w:t>
      </w:r>
    </w:p>
    <w:p>
      <w:pPr>
        <w:pStyle w:val="Heading3"/>
        <w:ind w:hanging="0" w:left="0"/>
        <w:rPr/>
      </w:pPr>
      <w:r>
        <w:rPr/>
        <w:t>Materiality Within the World Context Transition</w:t>
      </w:r>
    </w:p>
    <w:p>
      <w:pPr>
        <w:pStyle w:val="BodyText"/>
        <w:spacing w:before="0" w:after="200"/>
        <w:rPr/>
      </w:pPr>
      <w:r>
        <w:rPr/>
        <w:t>The World Context Transition should distinguish material state changes from immaterial or low-relevance changes.</w:t>
      </w:r>
    </w:p>
    <w:p>
      <w:pPr>
        <w:pStyle w:val="BodyText"/>
        <w:spacing w:before="0" w:after="200"/>
        <w:rPr/>
      </w:pPr>
      <w:r>
        <w:rPr/>
        <w:t>A material change is one significant enough to affect the moral assessment. Materiality may depend on severity, duration, reversibility, affected entities, institutional significance, effect on Long-Term Flourishing, effect on policy states, effect on future opportunities, or effect on future state space.</w:t>
      </w:r>
    </w:p>
    <w:p>
      <w:pPr>
        <w:pStyle w:val="BodyText"/>
        <w:spacing w:before="0" w:after="200"/>
        <w:rPr/>
      </w:pPr>
      <w:r>
        <w:rPr/>
        <w:t>Not every possible change must be represented at equal resolution. However, the methodology should not exclude subtle changes merely because they are difficult to measure. Changes to trust, legitimacy, policy state, or future state space may be highly material even when they are not immediately visible.</w:t>
      </w:r>
    </w:p>
    <w:p>
      <w:pPr>
        <w:pStyle w:val="Heading3"/>
        <w:ind w:hanging="0" w:left="0"/>
        <w:rPr/>
      </w:pPr>
      <w:r>
        <w:rPr/>
        <w:t>Uncertainty and Confidence in the World Context Transition</w:t>
      </w:r>
    </w:p>
    <w:p>
      <w:pPr>
        <w:pStyle w:val="BodyText"/>
        <w:spacing w:before="0" w:after="200"/>
        <w:rPr/>
      </w:pPr>
      <w:r>
        <w:rPr/>
        <w:t>The World Context Transition should include uncertainty and confidence.</w:t>
      </w:r>
    </w:p>
    <w:p>
      <w:pPr>
        <w:pStyle w:val="BodyText"/>
        <w:spacing w:before="0" w:after="200"/>
        <w:rPr/>
      </w:pPr>
      <w:r>
        <w:rPr/>
        <w:t>Uncertainty may arise from incomplete evidence, baseline-state uncertainty, causal uncertainty, prediction uncertainty, model limitations, contested entity classification, unknown future responses, long time horizons, and computational limits.</w:t>
      </w:r>
    </w:p>
    <w:p>
      <w:pPr>
        <w:pStyle w:val="BodyText"/>
        <w:spacing w:before="0" w:after="200"/>
        <w:rPr/>
      </w:pPr>
      <w:r>
        <w:rPr/>
        <w:t>Confidence should be attached not only to the final assessment but also to material parts of the transition. The methodology may have high confidence in entity-state changes, moderate confidence in relationship changes, and low confidence in long-term policy or future-state-space changes.</w:t>
      </w:r>
    </w:p>
    <w:p>
      <w:pPr>
        <w:pStyle w:val="BodyText"/>
        <w:spacing w:before="0" w:after="200"/>
        <w:rPr/>
      </w:pPr>
      <w:r>
        <w:rPr/>
        <w:t>A robust assessment should identify where confidence is strong, where it is weak, and which uncertainties are most material to the final moral assessment.</w:t>
      </w:r>
    </w:p>
    <w:p>
      <w:pPr>
        <w:pStyle w:val="Heading3"/>
        <w:ind w:hanging="0" w:left="0"/>
        <w:rPr/>
      </w:pPr>
      <w:r>
        <w:rPr/>
        <w:t>Transition Scenarios</w:t>
      </w:r>
    </w:p>
    <w:p>
      <w:pPr>
        <w:pStyle w:val="BodyText"/>
        <w:spacing w:before="0" w:after="200"/>
        <w:rPr/>
      </w:pPr>
      <w:r>
        <w:rPr/>
        <w:t>When uncertainty is significant, the methodology may represent multiple World Context Transition scenarios.</w:t>
      </w:r>
    </w:p>
    <w:p>
      <w:pPr>
        <w:pStyle w:val="BodyText"/>
        <w:spacing w:before="0" w:after="200"/>
        <w:rPr/>
      </w:pPr>
      <w:r>
        <w:rPr/>
        <w:t>Each scenario describes a plausible pathway from World Context₀ to a different possible World Context₁. Scenarios may differ in causal assumptions, evidence interpretation, Actor behavior, institutional response, observer updates, future policy changes, or long-term consequences.</w:t>
      </w:r>
    </w:p>
    <w:p>
      <w:pPr>
        <w:pStyle w:val="BodyText"/>
        <w:spacing w:before="0" w:after="200"/>
        <w:rPr/>
      </w:pPr>
      <w:r>
        <w:rPr/>
        <w:t>Scenario-based transition modeling is useful when a single predicted World Context₁ would create false precision. Each scenario should include its assumptions, affected entities, major state changes, confidence level, and implications for Long-Term Flourishing.</w:t>
      </w:r>
    </w:p>
    <w:p>
      <w:pPr>
        <w:pStyle w:val="Heading3"/>
        <w:ind w:hanging="0" w:left="0"/>
        <w:rPr/>
      </w:pPr>
      <w:r>
        <w:rPr/>
        <w:t>World Context Transition and the Foundational Axiom</w:t>
      </w:r>
    </w:p>
    <w:p>
      <w:pPr>
        <w:pStyle w:val="BodyText"/>
        <w:spacing w:before="0" w:after="200"/>
        <w:rPr/>
      </w:pPr>
      <w:r>
        <w:rPr/>
        <w:t>The World Context Transition is evaluated against the Foundational Axiom.</w:t>
      </w:r>
    </w:p>
    <w:p>
      <w:pPr>
        <w:pStyle w:val="BodyText"/>
        <w:spacing w:before="0" w:after="200"/>
        <w:rPr/>
      </w:pPr>
      <w:r>
        <w:rPr/>
        <w:t>The methodology asks whether the transition preserves and promotes the Long-Term Flourishing of relevant Flourishing Entities while avoiding material diminishment of other relevant persistent adaptive entities, based on the best available evidence within the Situational Context.</w:t>
      </w:r>
    </w:p>
    <w:p>
      <w:pPr>
        <w:pStyle w:val="BodyText"/>
        <w:spacing w:before="0" w:after="200"/>
        <w:rPr/>
      </w:pPr>
      <w:r>
        <w:rPr/>
        <w:t>This evaluation should include both immediate and recursive effects. A transition that increases short-term flourishing but materially diminishes other entities, corrupts institutions, degrades future policy states, or forecloses future state space may fail the assessment even if aggregate short-term effects appear positive.</w:t>
      </w:r>
    </w:p>
    <w:p>
      <w:pPr>
        <w:pStyle w:val="BodyText"/>
        <w:spacing w:before="0" w:after="200"/>
        <w:rPr/>
      </w:pPr>
      <w:r>
        <w:rPr/>
        <w:t>The Foundational Axiom provides the normative direction. The World Context Transition provides the state-change object to which that direction is applied.</w:t>
      </w:r>
    </w:p>
    <w:p>
      <w:pPr>
        <w:pStyle w:val="Heading3"/>
        <w:ind w:hanging="0" w:left="0"/>
        <w:rPr/>
      </w:pPr>
      <w:r>
        <w:rPr/>
        <w:t>World Context Transition and Moral Assessment</w:t>
      </w:r>
    </w:p>
    <w:p>
      <w:pPr>
        <w:pStyle w:val="BodyText"/>
        <w:spacing w:before="0" w:after="200"/>
        <w:rPr/>
      </w:pPr>
      <w:r>
        <w:rPr/>
        <w:t>The World Context Transition feeds into the final Moral Assessment.</w:t>
      </w:r>
    </w:p>
    <w:p>
      <w:pPr>
        <w:pStyle w:val="BodyText"/>
        <w:spacing w:before="0" w:after="200"/>
        <w:rPr/>
      </w:pPr>
      <w:r>
        <w:rPr/>
        <w:t>The Moral Assessment evaluates whether the transition is morally supportable, harmful, beneficial, permissible, impermissible, ambiguous, confidence-limited, or preferable to available alternatives, depending on the output format used by the methodology or implementation.</w:t>
      </w:r>
    </w:p>
    <w:p>
      <w:pPr>
        <w:pStyle w:val="BodyText"/>
        <w:spacing w:before="0" w:after="200"/>
        <w:rPr/>
      </w:pPr>
      <w:r>
        <w:rPr/>
        <w:t>However, the Moral Assessment should not replace the transition with an unsupported conclusion. The assessment result should remain traceable to the underlying World Context Transition, including entity changes, association changes, policy updates, institutional effects, information changes, constraint changes, and future state-space effects.</w:t>
      </w:r>
    </w:p>
    <w:p>
      <w:pPr>
        <w:pStyle w:val="BodyText"/>
        <w:spacing w:before="0" w:after="200"/>
        <w:rPr/>
      </w:pPr>
      <w:r>
        <w:rPr/>
        <w:t>This traceability preserves explainability, auditability, and computational representability.</w:t>
      </w:r>
    </w:p>
    <w:p>
      <w:pPr>
        <w:pStyle w:val="Heading3"/>
        <w:ind w:hanging="0" w:left="0"/>
        <w:rPr/>
      </w:pPr>
      <w:r>
        <w:rPr/>
        <w:t>Minimum Representation of a World Context Transition</w:t>
      </w:r>
    </w:p>
    <w:p>
      <w:pPr>
        <w:pStyle w:val="BodyText"/>
        <w:spacing w:before="0" w:after="200"/>
        <w:rPr/>
      </w:pPr>
      <w:r>
        <w:rPr/>
        <w:t>A minimally adequate World Context Transition should identify:</w:t>
      </w:r>
    </w:p>
    <w:p>
      <w:pPr>
        <w:pStyle w:val="BodyText"/>
        <w:spacing w:before="0" w:after="200"/>
        <w:rPr/>
      </w:pPr>
      <w:r>
        <w:rPr/>
        <w:t>World Context₀ baseline state.</w:t>
      </w:r>
    </w:p>
    <w:p>
      <w:pPr>
        <w:pStyle w:val="BodyText"/>
        <w:spacing w:before="0" w:after="200"/>
        <w:rPr/>
      </w:pPr>
      <w:r>
        <w:rPr/>
        <w:t>Assessed Action.</w:t>
      </w:r>
    </w:p>
    <w:p>
      <w:pPr>
        <w:pStyle w:val="BodyText"/>
        <w:spacing w:before="0" w:after="200"/>
        <w:rPr/>
      </w:pPr>
      <w:r>
        <w:rPr/>
        <w:t>Assessment Boundary and Situational Context.</w:t>
      </w:r>
    </w:p>
    <w:p>
      <w:pPr>
        <w:pStyle w:val="BodyText"/>
        <w:spacing w:before="0" w:after="200"/>
        <w:rPr/>
      </w:pPr>
      <w:r>
        <w:rPr/>
        <w:t>Relevant entities and entity-state changes.</w:t>
      </w:r>
    </w:p>
    <w:p>
      <w:pPr>
        <w:pStyle w:val="BodyText"/>
        <w:spacing w:before="0" w:after="200"/>
        <w:rPr/>
      </w:pPr>
      <w:r>
        <w:rPr/>
        <w:t>Relevant Associations and relationship changes.</w:t>
      </w:r>
    </w:p>
    <w:p>
      <w:pPr>
        <w:pStyle w:val="BodyText"/>
        <w:spacing w:before="0" w:after="200"/>
        <w:rPr/>
      </w:pPr>
      <w:r>
        <w:rPr/>
        <w:t>Relevant Flourishing Transitions.</w:t>
      </w:r>
    </w:p>
    <w:p>
      <w:pPr>
        <w:pStyle w:val="BodyText"/>
        <w:spacing w:before="0" w:after="200"/>
        <w:rPr/>
      </w:pPr>
      <w:r>
        <w:rPr/>
        <w:t>Relevant Policy Updates.</w:t>
      </w:r>
    </w:p>
    <w:p>
      <w:pPr>
        <w:pStyle w:val="BodyText"/>
        <w:spacing w:before="0" w:after="200"/>
        <w:rPr/>
      </w:pPr>
      <w:r>
        <w:rPr/>
        <w:t>Relevant institutional changes.</w:t>
      </w:r>
    </w:p>
    <w:p>
      <w:pPr>
        <w:pStyle w:val="BodyText"/>
        <w:spacing w:before="0" w:after="200"/>
        <w:rPr/>
      </w:pPr>
      <w:r>
        <w:rPr/>
        <w:t>Relevant information and evidence changes.</w:t>
      </w:r>
    </w:p>
    <w:p>
      <w:pPr>
        <w:pStyle w:val="BodyText"/>
        <w:spacing w:before="0" w:after="200"/>
        <w:rPr/>
      </w:pPr>
      <w:r>
        <w:rPr/>
        <w:t>Relevant constraint changes.</w:t>
      </w:r>
    </w:p>
    <w:p>
      <w:pPr>
        <w:pStyle w:val="BodyText"/>
        <w:spacing w:before="0" w:after="200"/>
        <w:rPr/>
      </w:pPr>
      <w:r>
        <w:rPr/>
        <w:t>Relevant authority and legitimacy changes.</w:t>
      </w:r>
    </w:p>
    <w:p>
      <w:pPr>
        <w:pStyle w:val="BodyText"/>
        <w:spacing w:before="0" w:after="200"/>
        <w:rPr/>
      </w:pPr>
      <w:r>
        <w:rPr/>
        <w:t>Relevant future opportunity changes.</w:t>
      </w:r>
    </w:p>
    <w:p>
      <w:pPr>
        <w:pStyle w:val="BodyText"/>
        <w:spacing w:before="0" w:after="200"/>
        <w:rPr/>
      </w:pPr>
      <w:r>
        <w:rPr/>
        <w:t>Relevant Future State Space changes.</w:t>
      </w:r>
    </w:p>
    <w:p>
      <w:pPr>
        <w:pStyle w:val="BodyText"/>
        <w:spacing w:before="0" w:after="200"/>
        <w:rPr/>
      </w:pPr>
      <w:r>
        <w:rPr/>
        <w:t>Assessment Horizons affected.</w:t>
      </w:r>
    </w:p>
    <w:p>
      <w:pPr>
        <w:pStyle w:val="BodyText"/>
        <w:spacing w:before="0" w:after="200"/>
        <w:rPr/>
      </w:pPr>
      <w:r>
        <w:rPr/>
        <w:t>Materiality of major changes.</w:t>
      </w:r>
    </w:p>
    <w:p>
      <w:pPr>
        <w:pStyle w:val="BodyText"/>
        <w:spacing w:before="0" w:after="200"/>
        <w:rPr/>
      </w:pPr>
      <w:r>
        <w:rPr/>
        <w:t>Uncertainty and confidence.</w:t>
      </w:r>
    </w:p>
    <w:p>
      <w:pPr>
        <w:pStyle w:val="BodyText"/>
        <w:spacing w:before="0" w:after="200"/>
        <w:rPr/>
      </w:pPr>
      <w:r>
        <w:rPr/>
        <w:t>Relevant alternative transitions, when available.</w:t>
      </w:r>
    </w:p>
    <w:p>
      <w:pPr>
        <w:pStyle w:val="BodyText"/>
        <w:spacing w:before="0" w:after="200"/>
        <w:rPr/>
      </w:pPr>
      <w:r>
        <w:rPr/>
        <w:t>A transition that omits any material category should disclose the omission and reflect it in confidence when appropriate.</w:t>
      </w:r>
    </w:p>
    <w:p>
      <w:pPr>
        <w:pStyle w:val="Heading3"/>
        <w:ind w:hanging="0" w:left="0"/>
        <w:rPr/>
      </w:pPr>
      <w:r>
        <w:rPr/>
        <w:t>Common World Context Transition Errors</w:t>
      </w:r>
    </w:p>
    <w:p>
      <w:pPr>
        <w:pStyle w:val="BodyText"/>
        <w:spacing w:before="0" w:after="200"/>
        <w:rPr/>
      </w:pPr>
      <w:r>
        <w:rPr/>
        <w:t>The methodology should avoid several common errors.</w:t>
      </w:r>
    </w:p>
    <w:p>
      <w:pPr>
        <w:pStyle w:val="BodyText"/>
        <w:spacing w:before="0" w:after="200"/>
        <w:rPr/>
      </w:pPr>
      <w:r>
        <w:rPr/>
        <w:t>First, it should avoid outcome substitution, where an immediate outcome is treated as the entire transition.</w:t>
      </w:r>
    </w:p>
    <w:p>
      <w:pPr>
        <w:pStyle w:val="BodyText"/>
        <w:spacing w:before="0" w:after="200"/>
        <w:rPr/>
      </w:pPr>
      <w:r>
        <w:rPr/>
        <w:t>Second, it should avoid aggregate substitution, where aggregate flourishing replaces the World Context Transition.</w:t>
      </w:r>
    </w:p>
    <w:p>
      <w:pPr>
        <w:pStyle w:val="BodyText"/>
        <w:spacing w:before="0" w:after="200"/>
        <w:rPr/>
      </w:pPr>
      <w:r>
        <w:rPr/>
        <w:t>Third, it should avoid entity-only assessment, where relationship, policy, institutional, information, and future-state-space changes are excluded.</w:t>
      </w:r>
    </w:p>
    <w:p>
      <w:pPr>
        <w:pStyle w:val="BodyText"/>
        <w:spacing w:before="0" w:after="200"/>
        <w:rPr/>
      </w:pPr>
      <w:r>
        <w:rPr/>
        <w:t>Fourth, it should avoid means blindness, where the action’s method is ignored once the operational objective is achieved.</w:t>
      </w:r>
    </w:p>
    <w:p>
      <w:pPr>
        <w:pStyle w:val="BodyText"/>
        <w:spacing w:before="0" w:after="200"/>
        <w:rPr/>
      </w:pPr>
      <w:r>
        <w:rPr/>
        <w:t>Fifth, it should avoid horizon collapse, where immediate and long-term transitions are merged into a single undifferentiated judgment.</w:t>
      </w:r>
    </w:p>
    <w:p>
      <w:pPr>
        <w:pStyle w:val="BodyText"/>
        <w:spacing w:before="0" w:after="200"/>
        <w:rPr/>
      </w:pPr>
      <w:r>
        <w:rPr/>
        <w:t>Sixth, it should avoid certainty inflation, where uncertain predictions are presented as known outcomes.</w:t>
      </w:r>
    </w:p>
    <w:p>
      <w:pPr>
        <w:pStyle w:val="BodyText"/>
        <w:spacing w:before="0" w:after="200"/>
        <w:rPr/>
      </w:pPr>
      <w:r>
        <w:rPr/>
        <w:t>Seventh, it should avoid implementation narrowing, where the limits of a particular software model are mistaken for the limits of the moral assessment.</w:t>
      </w:r>
    </w:p>
    <w:p>
      <w:pPr>
        <w:pStyle w:val="BodyText"/>
        <w:spacing w:before="0" w:after="200"/>
        <w:rPr/>
      </w:pPr>
      <w:r>
        <w:rPr/>
        <w:t>Avoiding these errors is necessary to preserve the fidelity of the methodology.</w:t>
      </w:r>
    </w:p>
    <w:p>
      <w:pPr>
        <w:pStyle w:val="Heading3"/>
        <w:ind w:hanging="0" w:left="0"/>
        <w:rPr/>
      </w:pPr>
      <w:r>
        <w:rPr/>
        <w:t>Methodological Boundary</w:t>
      </w:r>
    </w:p>
    <w:p>
      <w:pPr>
        <w:pStyle w:val="BodyText"/>
        <w:spacing w:before="0" w:after="200"/>
        <w:rPr/>
      </w:pPr>
      <w:r>
        <w:rPr/>
        <w:t>This section defines how the methodology integrates material state changes into the World Context Transition. It does not prescribe a final scoring model, optimization method, causal engine, probability model, database schema, visualization, or software implementation.</w:t>
      </w:r>
    </w:p>
    <w:p>
      <w:pPr>
        <w:pStyle w:val="BodyText"/>
        <w:spacing w:before="0" w:after="200"/>
        <w:rPr/>
      </w:pPr>
      <w:r>
        <w:rPr/>
        <w:t>Those details may be developed in later formal sections, appendices, or implementations.</w:t>
      </w:r>
    </w:p>
    <w:p>
      <w:pPr>
        <w:pStyle w:val="BodyText"/>
        <w:spacing w:before="0" w:after="200"/>
        <w:rPr/>
      </w:pPr>
      <w:r>
        <w:rPr/>
        <w:t>The requirement at this level is that the World Context Transition be explicit, structured, traceable, horizon-aware, uncertainty-aware, and capable of representing changes to entities, Associations, policies, institutions, information, constraints, authority conditions, future opportunities, and future state space.</w:t>
      </w:r>
    </w:p>
    <w:p>
      <w:pPr>
        <w:pStyle w:val="BodyText"/>
        <w:spacing w:before="0" w:after="200"/>
        <w:rPr/>
      </w:pPr>
      <w:r>
        <w:rPr/>
        <w:t>The final moral assessment evaluates the transition from World Context₀ to World Context₁. A methodology that fails to represent the transition with sufficient fidelity risks reducing moral reasoning to isolated outcomes, actor preferences, aggregate scores, or short-term consequences.</w:t>
      </w:r>
    </w:p>
    <w:p>
      <w:pPr>
        <w:pStyle w:val="Normal"/>
        <w:widowControl/>
        <w:bidi w:val="0"/>
        <w:spacing w:lineRule="auto" w:line="276"/>
        <w:jc w:val="left"/>
        <w:rPr/>
      </w:pPr>
      <w:r>
        <w:rPr/>
      </w:r>
    </w:p>
    <w:p>
      <w:pPr>
        <w:pStyle w:val="Heading2"/>
        <w:ind w:hanging="0" w:left="0"/>
        <w:rPr/>
      </w:pPr>
      <w:r>
        <w:rPr/>
        <w:t>Stochastic Assessment</w:t>
      </w:r>
    </w:p>
    <w:p>
      <w:pPr>
        <w:pStyle w:val="BodyText"/>
        <w:spacing w:before="0" w:after="200"/>
        <w:rPr/>
      </w:pPr>
      <w:r>
        <w:rPr/>
        <w:t>Stochastic Assessment defines how the Moral Assessment Methodology evaluates an Assessed Action when the relevant World Context, evidence, causal pathways, future consequences, policy updates, and flourishing transitions cannot be known with certainty.</w:t>
      </w:r>
    </w:p>
    <w:p>
      <w:pPr>
        <w:pStyle w:val="BodyText"/>
        <w:spacing w:before="0" w:after="200"/>
        <w:rPr/>
      </w:pPr>
      <w:r>
        <w:rPr>
          <w:b w:val="false"/>
          <w:bCs w:val="false"/>
        </w:rPr>
        <w:t>C</w:t>
      </w:r>
      <w:r>
        <w:rPr>
          <w:rStyle w:val="Strong"/>
          <w:b w:val="false"/>
          <w:bCs w:val="false"/>
        </w:rPr>
        <w:t>onfidence</w:t>
      </w:r>
      <w:r>
        <w:rPr>
          <w:b w:val="false"/>
          <w:bCs w:val="false"/>
        </w:rPr>
        <w:t xml:space="preserve"> </w:t>
      </w:r>
      <w:r>
        <w:rPr/>
        <w:t>as the key integrator in this section.  Probability describes what may happen, but confidence describes how much trust to place in the assessment of what may happen.</w:t>
      </w:r>
    </w:p>
    <w:p>
      <w:pPr>
        <w:pStyle w:val="BodyText"/>
        <w:spacing w:before="0" w:after="200"/>
        <w:rPr/>
      </w:pPr>
      <w:r>
        <w:rPr/>
        <w:t>Moral assessment almost always occurs under uncertainty. The Actor may not possess complete information. The assessor may not know the full baseline World Context. Future consequences may depend on uncertain causal pathways. Long-Term Flourishing may be difficult to measure. Distributed Policy Updates may unfold probabilistically across many agents and institutions. Multi-horizon assessment may involve effects that become less predictable as the time horizon extends.</w:t>
      </w:r>
    </w:p>
    <w:p>
      <w:pPr>
        <w:pStyle w:val="BodyText"/>
        <w:spacing w:before="0" w:after="200"/>
        <w:rPr/>
      </w:pPr>
      <w:r>
        <w:rPr/>
        <w:t>The purpose of Stochastic Assessment is not to eliminate uncertainty. Its purpose is to represent uncertainty explicitly, propagate it through the assessment, and produce confidence-bounded conclusions rather than pretending that moral assessment can operate from certainty.</w:t>
      </w:r>
    </w:p>
    <w:p>
      <w:pPr>
        <w:pStyle w:val="BodyText"/>
        <w:spacing w:before="0" w:after="200"/>
        <w:rPr/>
      </w:pPr>
      <w:r>
        <w:rPr/>
        <w:t>Stochastic Assessment therefore supports the framework’s commitment to explicit assumptions, evidence-sensitive reasoning, probabilistic assessment, graceful degradation, and transparent confidence reporting.</w:t>
      </w:r>
    </w:p>
    <w:p>
      <w:pPr>
        <w:pStyle w:val="Heading3"/>
        <w:ind w:hanging="0" w:left="0"/>
        <w:rPr/>
      </w:pPr>
      <w:r>
        <w:rPr/>
        <w:t>Purpose of Stochastic Assessment</w:t>
      </w:r>
    </w:p>
    <w:p>
      <w:pPr>
        <w:pStyle w:val="BodyText"/>
        <w:spacing w:before="0" w:after="200"/>
        <w:rPr/>
      </w:pPr>
      <w:r>
        <w:rPr/>
        <w:t>The purpose of Stochastic Assessment is to make uncertainty visible and methodologically useful.</w:t>
      </w:r>
    </w:p>
    <w:p>
      <w:pPr>
        <w:pStyle w:val="BodyText"/>
        <w:spacing w:before="0" w:after="200"/>
        <w:rPr/>
      </w:pPr>
      <w:r>
        <w:rPr/>
        <w:t>Without stochastic assessment, the framework would risk presenting speculative predictions as certain conclusions. It would also risk refusing to assess actions merely because information is incomplete. Neither approach is acceptable. Moral agents often must act under uncertainty, especially in medicine, law, governance, autonomous systems, public policy, ecological intervention, and AI safety.</w:t>
      </w:r>
    </w:p>
    <w:p>
      <w:pPr>
        <w:pStyle w:val="BodyText"/>
        <w:spacing w:before="0" w:after="200"/>
        <w:rPr/>
      </w:pPr>
      <w:r>
        <w:rPr/>
        <w:t>Stochastic Assessment allows the methodology to:</w:t>
      </w:r>
    </w:p>
    <w:p>
      <w:pPr>
        <w:pStyle w:val="BodyText"/>
        <w:spacing w:before="0" w:after="200"/>
        <w:rPr/>
      </w:pPr>
      <w:r>
        <w:rPr/>
        <w:t>Represent incomplete information.</w:t>
      </w:r>
    </w:p>
    <w:p>
      <w:pPr>
        <w:pStyle w:val="BodyText"/>
        <w:spacing w:before="0" w:after="200"/>
        <w:rPr/>
      </w:pPr>
      <w:r>
        <w:rPr/>
        <w:t>Estimate probable consequences.</w:t>
      </w:r>
    </w:p>
    <w:p>
      <w:pPr>
        <w:pStyle w:val="BodyText"/>
        <w:spacing w:before="0" w:after="200"/>
        <w:rPr/>
      </w:pPr>
      <w:r>
        <w:rPr/>
        <w:t>Compare uncertain State Transitions.</w:t>
      </w:r>
    </w:p>
    <w:p>
      <w:pPr>
        <w:pStyle w:val="BodyText"/>
        <w:spacing w:before="0" w:after="200"/>
        <w:rPr/>
      </w:pPr>
      <w:r>
        <w:rPr/>
        <w:t>Evaluate low-probability but high-severity risks.</w:t>
      </w:r>
    </w:p>
    <w:p>
      <w:pPr>
        <w:pStyle w:val="BodyText"/>
        <w:spacing w:before="0" w:after="200"/>
        <w:rPr/>
      </w:pPr>
      <w:r>
        <w:rPr/>
        <w:t>Propagate confidence across assessment steps.</w:t>
      </w:r>
    </w:p>
    <w:p>
      <w:pPr>
        <w:pStyle w:val="BodyText"/>
        <w:spacing w:before="0" w:after="200"/>
        <w:rPr/>
      </w:pPr>
      <w:r>
        <w:rPr/>
        <w:t>Update assessments as new evidence becomes available.</w:t>
      </w:r>
    </w:p>
    <w:p>
      <w:pPr>
        <w:pStyle w:val="BodyText"/>
        <w:spacing w:before="0" w:after="200"/>
        <w:rPr/>
      </w:pPr>
      <w:r>
        <w:rPr/>
        <w:t>Distinguish uncertainty about facts from uncertainty about models.</w:t>
      </w:r>
    </w:p>
    <w:p>
      <w:pPr>
        <w:pStyle w:val="BodyText"/>
        <w:spacing w:before="0" w:after="200"/>
        <w:rPr/>
      </w:pPr>
      <w:r>
        <w:rPr/>
        <w:t>Distinguish uncertainty about outcomes from uncertainty about moral evaluation.</w:t>
      </w:r>
    </w:p>
    <w:p>
      <w:pPr>
        <w:pStyle w:val="BodyText"/>
        <w:spacing w:before="0" w:after="200"/>
        <w:rPr/>
      </w:pPr>
      <w:r>
        <w:rPr/>
        <w:t>Produce confidence-bounded moral assessments.</w:t>
      </w:r>
    </w:p>
    <w:p>
      <w:pPr>
        <w:pStyle w:val="BodyText"/>
        <w:spacing w:before="0" w:after="200"/>
        <w:rPr/>
      </w:pPr>
      <w:r>
        <w:rPr/>
        <w:t>The methodology should therefore treat uncertainty as a first-class part of the assessment rather than as an exception to the assessment.</w:t>
      </w:r>
    </w:p>
    <w:p>
      <w:pPr>
        <w:pStyle w:val="Heading3"/>
        <w:ind w:hanging="0" w:left="0"/>
        <w:rPr/>
      </w:pPr>
      <w:r>
        <w:rPr/>
        <w:t>Uncertainty</w:t>
      </w:r>
    </w:p>
    <w:p>
      <w:pPr>
        <w:pStyle w:val="BodyText"/>
        <w:spacing w:before="0" w:after="200"/>
        <w:rPr/>
      </w:pPr>
      <w:r>
        <w:rPr/>
        <w:t>Uncertainty is the condition in which some relevant aspect of the assessment is unknown, incomplete, contested, estimated, probabilistic, or difficult to measure.</w:t>
      </w:r>
    </w:p>
    <w:p>
      <w:pPr>
        <w:pStyle w:val="BodyText"/>
        <w:spacing w:before="0" w:after="200"/>
        <w:rPr/>
      </w:pPr>
      <w:r>
        <w:rPr/>
        <w:t>Uncertainty may occur at every stage of the methodology. The baseline World Context may be incomplete. The Assessment Boundary may exclude information that later becomes relevant. The Situational Context may contain conflicting evidence. The Actor’s Decision Context may be disputed. The Accessible Context may be difficult to establish. Consequences may be uncertain. Distributed Policy Updates may be difficult to predict. Long-Term Flourishing may be incompletely formalized. Future State Space may be only partially knowable.</w:t>
      </w:r>
    </w:p>
    <w:p>
      <w:pPr>
        <w:pStyle w:val="BodyText"/>
        <w:spacing w:before="0" w:after="200"/>
        <w:rPr/>
      </w:pPr>
      <w:r>
        <w:rPr/>
        <w:t>The methodology should identify uncertainty explicitly rather than allowing it to remain hidden in the final assessment. Uncertainty should be attached to the relevant assessment component, such as an entity state, Association state, evidence source, causal pathway, policy update, flourishing transition, future opportunity, or World Context Transition.</w:t>
      </w:r>
    </w:p>
    <w:p>
      <w:pPr>
        <w:pStyle w:val="BodyText"/>
        <w:spacing w:before="0" w:after="200"/>
        <w:rPr/>
      </w:pPr>
      <w:r>
        <w:rPr/>
        <w:t>Uncertainty should not automatically prevent assessment. Instead, it should reduce confidence, trigger scenario analysis where appropriate, and identify where additional evidence would improve the assessment.</w:t>
      </w:r>
    </w:p>
    <w:p>
      <w:pPr>
        <w:pStyle w:val="Heading3"/>
        <w:ind w:hanging="0" w:left="0"/>
        <w:rPr/>
      </w:pPr>
      <w:r>
        <w:rPr/>
        <w:t>Types of Uncertainty</w:t>
      </w:r>
    </w:p>
    <w:p>
      <w:pPr>
        <w:pStyle w:val="BodyText"/>
        <w:spacing w:before="0" w:after="200"/>
        <w:rPr/>
      </w:pPr>
      <w:r>
        <w:rPr/>
        <w:t>The methodology should distinguish among different types of uncertainty because different uncertainties affect the assessment in different ways.</w:t>
      </w:r>
    </w:p>
    <w:p>
      <w:pPr>
        <w:pStyle w:val="BodyText"/>
        <w:spacing w:before="0" w:after="200"/>
        <w:rPr/>
      </w:pPr>
      <w:r>
        <w:rPr/>
        <w:t>Evidence uncertainty arises when information is incomplete, unreliable, biased, conflicting, unavailable, or difficult to interpret.</w:t>
      </w:r>
    </w:p>
    <w:p>
      <w:pPr>
        <w:pStyle w:val="BodyText"/>
        <w:spacing w:before="0" w:after="200"/>
        <w:rPr/>
      </w:pPr>
      <w:r>
        <w:rPr/>
        <w:t>Baseline uncertainty arises when the initial state of the relevant World Context is not fully known.</w:t>
      </w:r>
    </w:p>
    <w:p>
      <w:pPr>
        <w:pStyle w:val="BodyText"/>
        <w:spacing w:before="0" w:after="200"/>
        <w:rPr/>
      </w:pPr>
      <w:r>
        <w:rPr/>
        <w:t>Causal uncertainty arises when the connection between the Assessed Action and a predicted or observed consequence is unclear.</w:t>
      </w:r>
    </w:p>
    <w:p>
      <w:pPr>
        <w:pStyle w:val="BodyText"/>
        <w:spacing w:before="0" w:after="200"/>
        <w:rPr/>
      </w:pPr>
      <w:r>
        <w:rPr/>
        <w:t>Measurement uncertainty arises when a state variable is difficult to measure or represent with precision.</w:t>
      </w:r>
    </w:p>
    <w:p>
      <w:pPr>
        <w:pStyle w:val="BodyText"/>
        <w:spacing w:before="0" w:after="200"/>
        <w:rPr/>
      </w:pPr>
      <w:r>
        <w:rPr/>
        <w:t>Entity-classification uncertainty arises when it is unclear whether an Object qualifies as a Flourishing Entity, Moral Agent, Actor, affected entity, observer, responder, or institutional participant.</w:t>
      </w:r>
    </w:p>
    <w:p>
      <w:pPr>
        <w:pStyle w:val="BodyText"/>
        <w:spacing w:before="0" w:after="200"/>
        <w:rPr/>
      </w:pPr>
      <w:r>
        <w:rPr/>
        <w:t>Model uncertainty arises when the assessment depends on an uncertain representation of how the relevant system behaves.</w:t>
      </w:r>
    </w:p>
    <w:p>
      <w:pPr>
        <w:pStyle w:val="BodyText"/>
        <w:spacing w:before="0" w:after="200"/>
        <w:rPr/>
      </w:pPr>
      <w:r>
        <w:rPr/>
        <w:t>Prediction uncertainty arises when future outcomes, policy updates, flourishing transitions, or future state-space changes are difficult to forecast.</w:t>
      </w:r>
    </w:p>
    <w:p>
      <w:pPr>
        <w:pStyle w:val="BodyText"/>
        <w:spacing w:before="0" w:after="200"/>
        <w:rPr/>
      </w:pPr>
      <w:r>
        <w:rPr/>
        <w:t>Horizon uncertainty arises when confidence decreases or changes across immediate, short-term, long-term, multi-generational, or civilizational horizons.</w:t>
      </w:r>
    </w:p>
    <w:p>
      <w:pPr>
        <w:pStyle w:val="BodyText"/>
        <w:spacing w:before="0" w:after="200"/>
        <w:rPr/>
      </w:pPr>
      <w:r>
        <w:rPr/>
        <w:t>Moral-interpretation uncertainty arises when the relevant facts are reasonably understood, but their significance under the Foundational Axiom remains contested or difficult to evaluate.</w:t>
      </w:r>
    </w:p>
    <w:p>
      <w:pPr>
        <w:pStyle w:val="BodyText"/>
        <w:spacing w:before="0" w:after="200"/>
        <w:rPr/>
      </w:pPr>
      <w:r>
        <w:rPr/>
        <w:t>Distinguishing these types of uncertainty allows the final assessment to explain where confidence is strong, where it is weak, and why.</w:t>
      </w:r>
    </w:p>
    <w:p>
      <w:pPr>
        <w:pStyle w:val="Heading3"/>
        <w:ind w:hanging="0" w:left="0"/>
        <w:rPr/>
      </w:pPr>
      <w:r>
        <w:rPr/>
        <w:t>Probability</w:t>
      </w:r>
    </w:p>
    <w:p>
      <w:pPr>
        <w:pStyle w:val="BodyText"/>
        <w:spacing w:before="0" w:after="200"/>
        <w:rPr/>
      </w:pPr>
      <w:r>
        <w:rPr/>
        <w:t>Probability represents the estimated likelihood that a state, event, consequence, policy update, flourishing transition, or World Context Transition will occur or has occurred.</w:t>
      </w:r>
    </w:p>
    <w:p>
      <w:pPr>
        <w:pStyle w:val="BodyText"/>
        <w:spacing w:before="0" w:after="200"/>
        <w:rPr/>
      </w:pPr>
      <w:r>
        <w:rPr/>
        <w:t>Probability is used because the methodology often evaluates possible futures rather than known outcomes. A proposed action may produce multiple plausible resulting World Contexts. Each possible transition may have different effects on entities, relationships, institutions, future opportunities, policy states, and Long-Term Flourishing.</w:t>
      </w:r>
    </w:p>
    <w:p>
      <w:pPr>
        <w:pStyle w:val="BodyText"/>
        <w:spacing w:before="0" w:after="200"/>
        <w:rPr/>
      </w:pPr>
      <w:r>
        <w:rPr/>
        <w:t>The methodology may use probability to represent:</w:t>
      </w:r>
    </w:p>
    <w:p>
      <w:pPr>
        <w:pStyle w:val="BodyText"/>
        <w:spacing w:before="0" w:after="200"/>
        <w:rPr/>
      </w:pPr>
      <w:r>
        <w:rPr/>
        <w:t>Likelihood that a consequence will occur.</w:t>
      </w:r>
    </w:p>
    <w:p>
      <w:pPr>
        <w:pStyle w:val="BodyText"/>
        <w:spacing w:before="0" w:after="200"/>
        <w:rPr/>
      </w:pPr>
      <w:r>
        <w:rPr/>
        <w:t>Likelihood that an entity will be affected.</w:t>
      </w:r>
    </w:p>
    <w:p>
      <w:pPr>
        <w:pStyle w:val="BodyText"/>
        <w:spacing w:before="0" w:after="200"/>
        <w:rPr/>
      </w:pPr>
      <w:r>
        <w:rPr/>
        <w:t>Likelihood that a causal pathway is correct.</w:t>
      </w:r>
    </w:p>
    <w:p>
      <w:pPr>
        <w:pStyle w:val="BodyText"/>
        <w:spacing w:before="0" w:after="200"/>
        <w:rPr/>
      </w:pPr>
      <w:r>
        <w:rPr/>
        <w:t>Likelihood that a policy update will occur.</w:t>
      </w:r>
    </w:p>
    <w:p>
      <w:pPr>
        <w:pStyle w:val="BodyText"/>
        <w:spacing w:before="0" w:after="200"/>
        <w:rPr/>
      </w:pPr>
      <w:r>
        <w:rPr/>
        <w:t>Likelihood that a harm will be severe.</w:t>
      </w:r>
    </w:p>
    <w:p>
      <w:pPr>
        <w:pStyle w:val="BodyText"/>
        <w:spacing w:before="0" w:after="200"/>
        <w:rPr/>
      </w:pPr>
      <w:r>
        <w:rPr/>
        <w:t>Likelihood that a benefit will persist.</w:t>
      </w:r>
    </w:p>
    <w:p>
      <w:pPr>
        <w:pStyle w:val="BodyText"/>
        <w:spacing w:before="0" w:after="200"/>
        <w:rPr/>
      </w:pPr>
      <w:r>
        <w:rPr/>
        <w:t>Likelihood that an institution will respond in a particular way.</w:t>
      </w:r>
    </w:p>
    <w:p>
      <w:pPr>
        <w:pStyle w:val="BodyText"/>
        <w:spacing w:before="0" w:after="200"/>
        <w:rPr/>
      </w:pPr>
      <w:r>
        <w:rPr/>
        <w:t>Likelihood that future state space will narrow or expand.</w:t>
      </w:r>
    </w:p>
    <w:p>
      <w:pPr>
        <w:pStyle w:val="BodyText"/>
        <w:spacing w:before="0" w:after="200"/>
        <w:rPr/>
      </w:pPr>
      <w:r>
        <w:rPr/>
        <w:t>Likelihood that a transition scenario is more plausible than alternatives.</w:t>
      </w:r>
    </w:p>
    <w:p>
      <w:pPr>
        <w:pStyle w:val="BodyText"/>
        <w:spacing w:before="0" w:after="200"/>
        <w:rPr/>
      </w:pPr>
      <w:r>
        <w:rPr/>
        <w:t>Probability should not be confused with moral approval. A highly probable outcome may be morally harmful. A low-probability outcome may be morally significant if the potential harm is severe, irreversible, or civilizational in scale.</w:t>
      </w:r>
    </w:p>
    <w:p>
      <w:pPr>
        <w:pStyle w:val="Heading3"/>
        <w:ind w:hanging="0" w:left="0"/>
        <w:rPr/>
      </w:pPr>
      <w:r>
        <w:rPr/>
        <w:t>Probability and Materiality</w:t>
      </w:r>
    </w:p>
    <w:p>
      <w:pPr>
        <w:pStyle w:val="BodyText"/>
        <w:spacing w:before="0" w:after="200"/>
        <w:rPr/>
      </w:pPr>
      <w:r>
        <w:rPr/>
        <w:t>A consequence does not need to be highly probable to be morally material.</w:t>
      </w:r>
    </w:p>
    <w:p>
      <w:pPr>
        <w:pStyle w:val="BodyText"/>
        <w:spacing w:before="0" w:after="200"/>
        <w:rPr/>
      </w:pPr>
      <w:r>
        <w:rPr/>
        <w:t>Some low-probability events are material because their impact would be severe, irreversible, systemic, or catastrophic. This is especially important in domains such as AI safety, public health, environmental stewardship, autonomous systems, medicine, and civilizational risk.</w:t>
      </w:r>
    </w:p>
    <w:p>
      <w:pPr>
        <w:pStyle w:val="BodyText"/>
        <w:spacing w:before="0" w:after="200"/>
        <w:rPr/>
      </w:pPr>
      <w:r>
        <w:rPr/>
        <w:t>The methodology should therefore consider both probability and severity. A high-probability minor inconvenience may be less morally significant than a low-probability catastrophic failure. Similarly, a low-probability Distributed Policy Update may matter if it could propagate widely through an institution, social system, or artificial agent.</w:t>
      </w:r>
    </w:p>
    <w:p>
      <w:pPr>
        <w:pStyle w:val="BodyText"/>
        <w:spacing w:before="0" w:after="200"/>
        <w:rPr/>
      </w:pPr>
      <w:r>
        <w:rPr/>
        <w:t>Materiality should consider probability, severity, reversibility, affected entities, time horizon, institutional propagation, effect on Long-Term Flourishing, and effect on future state space.</w:t>
      </w:r>
    </w:p>
    <w:p>
      <w:pPr>
        <w:pStyle w:val="Heading3"/>
        <w:ind w:hanging="0" w:left="0"/>
        <w:rPr/>
      </w:pPr>
      <w:r>
        <w:rPr/>
        <w:t>Confidence</w:t>
      </w:r>
    </w:p>
    <w:p>
      <w:pPr>
        <w:pStyle w:val="BodyText"/>
        <w:spacing w:before="0" w:after="200"/>
        <w:rPr/>
      </w:pPr>
      <w:r>
        <w:rPr/>
        <w:t>Confidence represents the reliability of the assessment or assessment component given the available evidence, state representation, causal model, prediction method, and uncertainty.</w:t>
      </w:r>
    </w:p>
    <w:p>
      <w:pPr>
        <w:pStyle w:val="BodyText"/>
        <w:spacing w:before="0" w:after="200"/>
        <w:rPr/>
      </w:pPr>
      <w:r>
        <w:rPr/>
        <w:t>Confidence is distinct from probability. Probability describes the estimated likelihood of an event, consequence, transition, or scenario. Confidence describes how strongly the methodology should trust that estimate.</w:t>
      </w:r>
    </w:p>
    <w:p>
      <w:pPr>
        <w:pStyle w:val="BodyText"/>
        <w:spacing w:before="0" w:after="200"/>
        <w:rPr/>
      </w:pPr>
      <w:r>
        <w:rPr/>
        <w:t>For example, an assessment may assign a high probability to a short-term consequence with high confidence because the evidence is strong. It may assign a high probability to a long-term institutional effect with low confidence because the causal pathway is plausible but weakly evidenced. It may assign a low probability to a catastrophic outcome with moderate confidence because the evidence supports a rare but material risk.</w:t>
      </w:r>
    </w:p>
    <w:p>
      <w:pPr>
        <w:pStyle w:val="BodyText"/>
        <w:spacing w:before="0" w:after="200"/>
        <w:rPr/>
      </w:pPr>
      <w:r>
        <w:rPr/>
        <w:t>The methodology should therefore avoid a single undifferentiated confidence value when different assessment components have different confidence levels. Confidence may differ for baseline state, evidence quality, causal attribution, entity effects, policy updates, flourishing transitions, aggregate flourishing, and the final World Context Transition.</w:t>
      </w:r>
    </w:p>
    <w:p>
      <w:pPr>
        <w:pStyle w:val="Heading3"/>
        <w:ind w:hanging="0" w:left="0"/>
        <w:rPr/>
      </w:pPr>
      <w:r>
        <w:rPr/>
        <w:t>Confidence Propagation</w:t>
      </w:r>
    </w:p>
    <w:p>
      <w:pPr>
        <w:pStyle w:val="BodyText"/>
        <w:spacing w:before="0" w:after="200"/>
        <w:rPr/>
      </w:pPr>
      <w:r>
        <w:rPr/>
        <w:t>Confidence should be propagated through the assessment workflow.</w:t>
      </w:r>
    </w:p>
    <w:p>
      <w:pPr>
        <w:pStyle w:val="BodyText"/>
        <w:spacing w:before="0" w:after="200"/>
        <w:rPr/>
      </w:pPr>
      <w:r>
        <w:rPr/>
        <w:t>Uncertainty in earlier steps affects later conclusions. If the baseline state is uncertain, then the State Transition estimate may be uncertain. If evidence quality is low, causal attribution may be uncertain. If policy updates are difficult to estimate, the long-term World Context Transition may have reduced confidence. If Long-Term Flourishing dimensions are incompletely formalized, flourishing estimates may carry lower confidence.</w:t>
      </w:r>
    </w:p>
    <w:p>
      <w:pPr>
        <w:pStyle w:val="BodyText"/>
        <w:spacing w:before="0" w:after="200"/>
        <w:rPr/>
      </w:pPr>
      <w:r>
        <w:rPr/>
        <w:t>Confidence propagation means that uncertainty should not disappear as the assessment proceeds. Instead, uncertainty should be carried forward into later components and reflected in the final Moral Assessment.</w:t>
      </w:r>
    </w:p>
    <w:p>
      <w:pPr>
        <w:pStyle w:val="BodyText"/>
        <w:spacing w:before="0" w:after="200"/>
        <w:rPr/>
      </w:pPr>
      <w:r>
        <w:rPr/>
        <w:t>Confidence should be affected by:</w:t>
      </w:r>
    </w:p>
    <w:p>
      <w:pPr>
        <w:pStyle w:val="BodyText"/>
        <w:spacing w:before="0" w:after="200"/>
        <w:rPr/>
      </w:pPr>
      <w:r>
        <w:rPr/>
        <w:t>Evidence quality.</w:t>
      </w:r>
    </w:p>
    <w:p>
      <w:pPr>
        <w:pStyle w:val="BodyText"/>
        <w:spacing w:before="0" w:after="200"/>
        <w:rPr/>
      </w:pPr>
      <w:r>
        <w:rPr/>
        <w:t>Evidence completeness.</w:t>
      </w:r>
    </w:p>
    <w:p>
      <w:pPr>
        <w:pStyle w:val="BodyText"/>
        <w:spacing w:before="0" w:after="200"/>
        <w:rPr/>
      </w:pPr>
      <w:r>
        <w:rPr/>
        <w:t>Evidence relevance.</w:t>
      </w:r>
    </w:p>
    <w:p>
      <w:pPr>
        <w:pStyle w:val="BodyText"/>
        <w:spacing w:before="0" w:after="200"/>
        <w:rPr/>
      </w:pPr>
      <w:r>
        <w:rPr/>
        <w:t>Baseline state uncertainty.</w:t>
      </w:r>
    </w:p>
    <w:p>
      <w:pPr>
        <w:pStyle w:val="BodyText"/>
        <w:spacing w:before="0" w:after="200"/>
        <w:rPr/>
      </w:pPr>
      <w:r>
        <w:rPr/>
        <w:t>Causal uncertainty.</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Assessment horizon.</w:t>
      </w:r>
    </w:p>
    <w:p>
      <w:pPr>
        <w:pStyle w:val="BodyText"/>
        <w:spacing w:before="0" w:after="200"/>
        <w:rPr/>
      </w:pPr>
      <w:r>
        <w:rPr/>
        <w:t>Entity classification uncertainty.</w:t>
      </w:r>
    </w:p>
    <w:p>
      <w:pPr>
        <w:pStyle w:val="BodyText"/>
        <w:spacing w:before="0" w:after="200"/>
        <w:rPr/>
      </w:pPr>
      <w:r>
        <w:rPr/>
        <w:t>Flourishing formalization uncertainty.</w:t>
      </w:r>
    </w:p>
    <w:p>
      <w:pPr>
        <w:pStyle w:val="BodyText"/>
        <w:spacing w:before="0" w:after="200"/>
        <w:rPr/>
      </w:pPr>
      <w:r>
        <w:rPr/>
        <w:t>Policy update uncertainty.</w:t>
      </w:r>
    </w:p>
    <w:p>
      <w:pPr>
        <w:pStyle w:val="BodyText"/>
        <w:spacing w:before="0" w:after="200"/>
        <w:rPr/>
      </w:pPr>
      <w:r>
        <w:rPr/>
        <w:t>Computational approximation.</w:t>
      </w:r>
    </w:p>
    <w:p>
      <w:pPr>
        <w:pStyle w:val="BodyText"/>
        <w:spacing w:before="0" w:after="200"/>
        <w:rPr/>
      </w:pPr>
      <w:r>
        <w:rPr/>
        <w:t>Conflicting evidence.</w:t>
      </w:r>
    </w:p>
    <w:p>
      <w:pPr>
        <w:pStyle w:val="BodyText"/>
        <w:spacing w:before="0" w:after="200"/>
        <w:rPr/>
      </w:pPr>
      <w:r>
        <w:rPr/>
        <w:t>The final assessment should identify the most important sources of confidence reduction.</w:t>
      </w:r>
    </w:p>
    <w:p>
      <w:pPr>
        <w:pStyle w:val="Heading3"/>
        <w:ind w:hanging="0" w:left="0"/>
        <w:rPr/>
      </w:pPr>
      <w:r>
        <w:rPr/>
        <w:t>Incomplete Information</w:t>
      </w:r>
    </w:p>
    <w:p>
      <w:pPr>
        <w:pStyle w:val="BodyText"/>
        <w:spacing w:before="0" w:after="200"/>
        <w:rPr/>
      </w:pPr>
      <w:r>
        <w:rPr/>
        <w:t>Incomplete information occurs when relevant facts, states, evidence, causal mechanisms, or future effects are unavailable, missing, inaccessible, unknown, or only partially represented.</w:t>
      </w:r>
    </w:p>
    <w:p>
      <w:pPr>
        <w:pStyle w:val="BodyText"/>
        <w:spacing w:before="0" w:after="200"/>
        <w:rPr/>
      </w:pPr>
      <w:r>
        <w:rPr/>
        <w:t>Incomplete information is expected in moral assessment. The full World Context cannot be known. Future consequences cannot be predicted perfectly. Some evidence may be missing or withheld. Some state variables may be difficult to observe. Some affected entities may not be known at the time of action.</w:t>
      </w:r>
    </w:p>
    <w:p>
      <w:pPr>
        <w:pStyle w:val="BodyText"/>
        <w:spacing w:before="0" w:after="200"/>
        <w:rPr/>
      </w:pPr>
      <w:r>
        <w:rPr/>
        <w:t>The methodology should respond to incomplete information through graceful degradation. Incomplete information should reduce confidence rather than automatically prevent assessment whenever practical.</w:t>
      </w:r>
    </w:p>
    <w:p>
      <w:pPr>
        <w:pStyle w:val="BodyText"/>
        <w:spacing w:before="0" w:after="200"/>
        <w:rPr/>
      </w:pPr>
      <w:r>
        <w:rPr/>
        <w:t>The assessment should identify:</w:t>
      </w:r>
    </w:p>
    <w:p>
      <w:pPr>
        <w:pStyle w:val="BodyText"/>
        <w:spacing w:before="0" w:after="200"/>
        <w:rPr/>
      </w:pPr>
      <w:r>
        <w:rPr/>
        <w:t>What information is missing.</w:t>
      </w:r>
    </w:p>
    <w:p>
      <w:pPr>
        <w:pStyle w:val="BodyText"/>
        <w:spacing w:before="0" w:after="200"/>
        <w:rPr/>
      </w:pPr>
      <w:r>
        <w:rPr/>
        <w:t>Why the information is missing.</w:t>
      </w:r>
    </w:p>
    <w:p>
      <w:pPr>
        <w:pStyle w:val="BodyText"/>
        <w:spacing w:before="0" w:after="200"/>
        <w:rPr/>
      </w:pPr>
      <w:r>
        <w:rPr/>
        <w:t>Whether the information was reasonably obtainable.</w:t>
      </w:r>
    </w:p>
    <w:p>
      <w:pPr>
        <w:pStyle w:val="BodyText"/>
        <w:spacing w:before="0" w:after="200"/>
        <w:rPr/>
      </w:pPr>
      <w:r>
        <w:rPr/>
        <w:t>Whether the Actor had epistemic responsibility to obtain it.</w:t>
      </w:r>
    </w:p>
    <w:p>
      <w:pPr>
        <w:pStyle w:val="BodyText"/>
        <w:spacing w:before="0" w:after="200"/>
        <w:rPr/>
      </w:pPr>
      <w:r>
        <w:rPr/>
        <w:t>Whether the missing information is material.</w:t>
      </w:r>
    </w:p>
    <w:p>
      <w:pPr>
        <w:pStyle w:val="BodyText"/>
        <w:spacing w:before="0" w:after="200"/>
        <w:rPr/>
      </w:pPr>
      <w:r>
        <w:rPr/>
        <w:t>How the missing information affects confidence.</w:t>
      </w:r>
    </w:p>
    <w:p>
      <w:pPr>
        <w:pStyle w:val="BodyText"/>
        <w:spacing w:before="0" w:after="200"/>
        <w:rPr/>
      </w:pPr>
      <w:r>
        <w:rPr/>
        <w:t>Whether additional inquiry is required before action.</w:t>
      </w:r>
    </w:p>
    <w:p>
      <w:pPr>
        <w:pStyle w:val="BodyText"/>
        <w:spacing w:before="0" w:after="200"/>
        <w:rPr/>
      </w:pPr>
      <w:r>
        <w:rPr/>
        <w:t>Whether precaution, delay, mitigation, escalation, or refusal is warranted.</w:t>
      </w:r>
    </w:p>
    <w:p>
      <w:pPr>
        <w:pStyle w:val="BodyText"/>
        <w:spacing w:before="0" w:after="200"/>
        <w:rPr/>
      </w:pPr>
      <w:r>
        <w:rPr/>
        <w:t>Incomplete information may itself be morally relevant. An Actor or institution may be responsible for failing to obtain, preserve, disclose, or consider material information that was reasonably obtainable within the Situational Context.</w:t>
      </w:r>
    </w:p>
    <w:p>
      <w:pPr>
        <w:pStyle w:val="Heading3"/>
        <w:ind w:hanging="0" w:left="0"/>
        <w:rPr/>
      </w:pPr>
      <w:r>
        <w:rPr/>
        <w:t>Bayesian-Style Updates</w:t>
      </w:r>
    </w:p>
    <w:p>
      <w:pPr>
        <w:pStyle w:val="BodyText"/>
        <w:spacing w:before="0" w:after="200"/>
        <w:rPr/>
      </w:pPr>
      <w:r>
        <w:rPr/>
        <w:t>Bayesian-style updates describe the revision of assessment beliefs as new evidence becomes available.</w:t>
      </w:r>
    </w:p>
    <w:p>
      <w:pPr>
        <w:pStyle w:val="BodyText"/>
        <w:spacing w:before="0" w:after="200"/>
        <w:rPr/>
      </w:pPr>
      <w:r>
        <w:rPr/>
        <w:t>The methodology does not require a strict Bayesian formalism in every implementation. However, it should preserve the general principle that assessments should be revised when new evidence changes the likelihood of relevant states, consequences, causal pathways, flourishing transitions, policy updates, or World Context Transitions.</w:t>
      </w:r>
    </w:p>
    <w:p>
      <w:pPr>
        <w:pStyle w:val="BodyText"/>
        <w:spacing w:before="0" w:after="200"/>
        <w:rPr/>
      </w:pPr>
      <w:r>
        <w:rPr/>
        <w:t>A Bayesian-style update may occur when:</w:t>
      </w:r>
    </w:p>
    <w:p>
      <w:pPr>
        <w:pStyle w:val="BodyText"/>
        <w:spacing w:before="0" w:after="200"/>
        <w:rPr/>
      </w:pPr>
      <w:r>
        <w:rPr/>
        <w:t>New evidence changes the estimated baseline state.</w:t>
      </w:r>
    </w:p>
    <w:p>
      <w:pPr>
        <w:pStyle w:val="BodyText"/>
        <w:spacing w:before="0" w:after="200"/>
        <w:rPr/>
      </w:pPr>
      <w:r>
        <w:rPr/>
        <w:t>Observed outcomes confirm or contradict predicted consequences.</w:t>
      </w:r>
    </w:p>
    <w:p>
      <w:pPr>
        <w:pStyle w:val="BodyText"/>
        <w:spacing w:before="0" w:after="200"/>
        <w:rPr/>
      </w:pPr>
      <w:r>
        <w:rPr/>
        <w:t>Additional evidence changes causal attribution.</w:t>
      </w:r>
    </w:p>
    <w:p>
      <w:pPr>
        <w:pStyle w:val="BodyText"/>
        <w:spacing w:before="0" w:after="200"/>
        <w:rPr/>
      </w:pPr>
      <w:r>
        <w:rPr/>
        <w:t>New information changes whether a consequence was foreseeable.</w:t>
      </w:r>
    </w:p>
    <w:p>
      <w:pPr>
        <w:pStyle w:val="BodyText"/>
        <w:spacing w:before="0" w:after="200"/>
        <w:rPr/>
      </w:pPr>
      <w:r>
        <w:rPr/>
        <w:t>Observed behavior reveals a policy update.</w:t>
      </w:r>
    </w:p>
    <w:p>
      <w:pPr>
        <w:pStyle w:val="BodyText"/>
        <w:spacing w:before="0" w:after="200"/>
        <w:rPr/>
      </w:pPr>
      <w:r>
        <w:rPr/>
        <w:t>Later institutional response changes the predicted long-term transition.</w:t>
      </w:r>
    </w:p>
    <w:p>
      <w:pPr>
        <w:pStyle w:val="BodyText"/>
        <w:spacing w:before="0" w:after="200"/>
        <w:rPr/>
      </w:pPr>
      <w:r>
        <w:rPr/>
        <w:t>New scientific or domain evidence changes the model.</w:t>
      </w:r>
    </w:p>
    <w:p>
      <w:pPr>
        <w:pStyle w:val="BodyText"/>
        <w:spacing w:before="0" w:after="200"/>
        <w:rPr/>
      </w:pPr>
      <w:r>
        <w:rPr/>
        <w:t>Additional data changes confidence in a flourishing transition.</w:t>
      </w:r>
    </w:p>
    <w:p>
      <w:pPr>
        <w:pStyle w:val="BodyText"/>
        <w:spacing w:before="0" w:after="200"/>
        <w:rPr/>
      </w:pPr>
      <w:r>
        <w:rPr/>
        <w:t>A previously low-confidence scenario becomes more or less plausible.</w:t>
      </w:r>
    </w:p>
    <w:p>
      <w:pPr>
        <w:pStyle w:val="BodyText"/>
        <w:spacing w:before="0" w:after="200"/>
        <w:rPr/>
      </w:pPr>
      <w:r>
        <w:rPr/>
        <w:t>Bayesian-style updating supports continuous refinement. It prevents the methodology from treating an initial assessment as final when better evidence becomes available.</w:t>
      </w:r>
    </w:p>
    <w:p>
      <w:pPr>
        <w:pStyle w:val="Heading3"/>
        <w:ind w:hanging="0" w:left="0"/>
        <w:rPr/>
      </w:pPr>
      <w:r>
        <w:rPr/>
        <w:t>Prior Assumptions and Evidence Updates</w:t>
      </w:r>
    </w:p>
    <w:p>
      <w:pPr>
        <w:pStyle w:val="BodyText"/>
        <w:spacing w:before="0" w:after="200"/>
        <w:rPr/>
      </w:pPr>
      <w:r>
        <w:rPr/>
        <w:t>Every assessment begins with some prior assumptions.</w:t>
      </w:r>
    </w:p>
    <w:p>
      <w:pPr>
        <w:pStyle w:val="BodyText"/>
        <w:spacing w:before="0" w:after="200"/>
        <w:rPr/>
      </w:pPr>
      <w:r>
        <w:rPr/>
        <w:t>Prior assumptions may concern baseline states, causal relationships, entity classifications, domain norms, likely consequences, institutional responses, policy behavior, or future horizons. These assumptions may be explicit, implicit, evidence-based, domain-derived, or implementation-specific.</w:t>
      </w:r>
    </w:p>
    <w:p>
      <w:pPr>
        <w:pStyle w:val="BodyText"/>
        <w:spacing w:before="0" w:after="200"/>
        <w:rPr/>
      </w:pPr>
      <w:r>
        <w:rPr/>
        <w:t>The methodology should make material prior assumptions explicit. When new evidence appears, the assessment should update those assumptions rather than preserve them through inertia.</w:t>
      </w:r>
    </w:p>
    <w:p>
      <w:pPr>
        <w:pStyle w:val="BodyText"/>
        <w:spacing w:before="0" w:after="200"/>
        <w:rPr/>
      </w:pPr>
      <w:r>
        <w:rPr/>
        <w:t>For example, an assessment may initially assume that a medical treatment is likely to preserve long-term flourishing based on clinical evidence. New evidence of severe side effects may update that estimate. An assessment may initially assume that an institution will respond transparently to error. Later concealment may update the predicted institutional policy state. An assessment may initially assume that an AI system will refuse harmful requests. Observed unsafe behavior may update the model of its future policy state.</w:t>
      </w:r>
    </w:p>
    <w:p>
      <w:pPr>
        <w:pStyle w:val="BodyText"/>
        <w:spacing w:before="0" w:after="200"/>
        <w:rPr/>
      </w:pPr>
      <w:r>
        <w:rPr/>
        <w:t>The key methodological requirement is that evidence changes should be capable of changing assessment conclusions.</w:t>
      </w:r>
    </w:p>
    <w:p>
      <w:pPr>
        <w:pStyle w:val="Heading3"/>
        <w:ind w:hanging="0" w:left="0"/>
        <w:rPr/>
      </w:pPr>
      <w:r>
        <w:rPr/>
        <w:t>Model Uncertainty</w:t>
      </w:r>
    </w:p>
    <w:p>
      <w:pPr>
        <w:pStyle w:val="BodyText"/>
        <w:spacing w:before="0" w:after="200"/>
        <w:rPr/>
      </w:pPr>
      <w:r>
        <w:rPr/>
        <w:t>Model uncertainty arises when the representation used to understand the moral system may be incomplete, inaccurate, oversimplified, biased, or poorly matched to the actual World Context.</w:t>
      </w:r>
    </w:p>
    <w:p>
      <w:pPr>
        <w:pStyle w:val="BodyText"/>
        <w:spacing w:before="0" w:after="200"/>
        <w:rPr/>
      </w:pPr>
      <w:r>
        <w:rPr/>
        <w:t>A model may represent some entities but omit relevant Associations. It may capture immediate consequences but miss institutional effects. It may estimate entity-level flourishing but fail to represent Distributed Policy Updates. It may predict behavior under normal conditions but fail in extreme cases. It may rely on domain assumptions that do not hold in the specific Situational Context.</w:t>
      </w:r>
    </w:p>
    <w:p>
      <w:pPr>
        <w:pStyle w:val="BodyText"/>
        <w:spacing w:before="0" w:after="200"/>
        <w:rPr/>
      </w:pPr>
      <w:r>
        <w:rPr/>
        <w:t>Model uncertainty may arise from:</w:t>
      </w:r>
    </w:p>
    <w:p>
      <w:pPr>
        <w:pStyle w:val="BodyText"/>
        <w:spacing w:before="0" w:after="200"/>
        <w:rPr/>
      </w:pPr>
      <w:r>
        <w:rPr/>
        <w:t>Incomplete theory of Long-Term Flourishing.</w:t>
      </w:r>
    </w:p>
    <w:p>
      <w:pPr>
        <w:pStyle w:val="BodyText"/>
        <w:spacing w:before="0" w:after="200"/>
        <w:rPr/>
      </w:pPr>
      <w:r>
        <w:rPr/>
        <w:t>Incomplete representation of World Context.</w:t>
      </w:r>
    </w:p>
    <w:p>
      <w:pPr>
        <w:pStyle w:val="BodyText"/>
        <w:spacing w:before="0" w:after="200"/>
        <w:rPr/>
      </w:pPr>
      <w:r>
        <w:rPr/>
        <w:t>Weak causal models.</w:t>
      </w:r>
    </w:p>
    <w:p>
      <w:pPr>
        <w:pStyle w:val="BodyText"/>
        <w:spacing w:before="0" w:after="200"/>
        <w:rPr/>
      </w:pPr>
      <w:r>
        <w:rPr/>
        <w:t>Poorly understood entity behavior.</w:t>
      </w:r>
    </w:p>
    <w:p>
      <w:pPr>
        <w:pStyle w:val="BodyText"/>
        <w:spacing w:before="0" w:after="200"/>
        <w:rPr/>
      </w:pPr>
      <w:r>
        <w:rPr/>
        <w:t>Simplified institutional models.</w:t>
      </w:r>
    </w:p>
    <w:p>
      <w:pPr>
        <w:pStyle w:val="BodyText"/>
        <w:spacing w:before="0" w:after="200"/>
        <w:rPr/>
      </w:pPr>
      <w:r>
        <w:rPr/>
        <w:t>Inadequate policy update models.</w:t>
      </w:r>
    </w:p>
    <w:p>
      <w:pPr>
        <w:pStyle w:val="BodyText"/>
        <w:spacing w:before="0" w:after="200"/>
        <w:rPr/>
      </w:pPr>
      <w:r>
        <w:rPr/>
        <w:t>Biased training data or evidence sources.</w:t>
      </w:r>
    </w:p>
    <w:p>
      <w:pPr>
        <w:pStyle w:val="BodyText"/>
        <w:spacing w:before="0" w:after="200"/>
        <w:rPr/>
      </w:pPr>
      <w:r>
        <w:rPr/>
        <w:t>Limited domain knowledge.</w:t>
      </w:r>
    </w:p>
    <w:p>
      <w:pPr>
        <w:pStyle w:val="BodyText"/>
        <w:spacing w:before="0" w:after="200"/>
        <w:rPr/>
      </w:pPr>
      <w:r>
        <w:rPr/>
        <w:t>Overfitting to prior cases.</w:t>
      </w:r>
    </w:p>
    <w:p>
      <w:pPr>
        <w:pStyle w:val="BodyText"/>
        <w:spacing w:before="0" w:after="200"/>
        <w:rPr/>
      </w:pPr>
      <w:r>
        <w:rPr/>
        <w:t>Failure to model rare but severe risks.</w:t>
      </w:r>
    </w:p>
    <w:p>
      <w:pPr>
        <w:pStyle w:val="BodyText"/>
        <w:spacing w:before="0" w:after="200"/>
        <w:rPr/>
      </w:pPr>
      <w:r>
        <w:rPr/>
        <w:t>Unclear cross-entity comparison.</w:t>
      </w:r>
    </w:p>
    <w:p>
      <w:pPr>
        <w:pStyle w:val="BodyText"/>
        <w:spacing w:before="0" w:after="200"/>
        <w:rPr/>
      </w:pPr>
      <w:r>
        <w:rPr/>
        <w:t>Model uncertainty should reduce confidence and may require scenario analysis, additional evidence, expert review, broader Assessment Boundaries, or alternative modeling approaches.</w:t>
      </w:r>
    </w:p>
    <w:p>
      <w:pPr>
        <w:pStyle w:val="Heading3"/>
        <w:ind w:hanging="0" w:left="0"/>
        <w:rPr/>
      </w:pPr>
      <w:r>
        <w:rPr/>
        <w:t>Prediction Uncertainty</w:t>
      </w:r>
    </w:p>
    <w:p>
      <w:pPr>
        <w:pStyle w:val="BodyText"/>
        <w:spacing w:before="0" w:after="200"/>
        <w:rPr/>
      </w:pPr>
      <w:r>
        <w:rPr/>
        <w:t>Prediction uncertainty arises when future consequences, state transitions, policy updates, flourishing changes, or World Context Transitions cannot be forecast with certainty.</w:t>
      </w:r>
    </w:p>
    <w:p>
      <w:pPr>
        <w:pStyle w:val="BodyText"/>
        <w:spacing w:before="0" w:after="200"/>
        <w:rPr/>
      </w:pPr>
      <w:r>
        <w:rPr/>
        <w:t>Prediction uncertainty is especially important because the methodology often evaluates proposed actions before their consequences occur. Even when the baseline state and model are strong, the future may remain uncertain due to complex causal interactions, human behavior, institutional response, ecological dynamics, technological change, strategic behavior, or stochastic events.</w:t>
      </w:r>
    </w:p>
    <w:p>
      <w:pPr>
        <w:pStyle w:val="BodyText"/>
        <w:spacing w:before="0" w:after="200"/>
        <w:rPr/>
      </w:pPr>
      <w:r>
        <w:rPr/>
        <w:t>Prediction uncertainty may affect:</w:t>
      </w:r>
    </w:p>
    <w:p>
      <w:pPr>
        <w:pStyle w:val="BodyText"/>
        <w:spacing w:before="0" w:after="200"/>
        <w:rPr/>
      </w:pPr>
      <w:r>
        <w:rPr/>
        <w:t>Entity transitions.</w:t>
      </w:r>
    </w:p>
    <w:p>
      <w:pPr>
        <w:pStyle w:val="BodyText"/>
        <w:spacing w:before="0" w:after="200"/>
        <w:rPr/>
      </w:pPr>
      <w:r>
        <w:rPr/>
        <w:t>Association transitions.</w:t>
      </w:r>
    </w:p>
    <w:p>
      <w:pPr>
        <w:pStyle w:val="BodyText"/>
        <w:spacing w:before="0" w:after="200"/>
        <w:rPr/>
      </w:pPr>
      <w:r>
        <w:rPr/>
        <w:t>Policy updates.</w:t>
      </w:r>
    </w:p>
    <w:p>
      <w:pPr>
        <w:pStyle w:val="BodyText"/>
        <w:spacing w:before="0" w:after="200"/>
        <w:rPr/>
      </w:pPr>
      <w:r>
        <w:rPr/>
        <w:t>Institutional responses.</w:t>
      </w:r>
    </w:p>
    <w:p>
      <w:pPr>
        <w:pStyle w:val="BodyText"/>
        <w:spacing w:before="0" w:after="200"/>
        <w:rPr/>
      </w:pPr>
      <w:r>
        <w:rPr/>
        <w:t>Information-state changes.</w:t>
      </w:r>
    </w:p>
    <w:p>
      <w:pPr>
        <w:pStyle w:val="BodyText"/>
        <w:spacing w:before="0" w:after="200"/>
        <w:rPr/>
      </w:pPr>
      <w:r>
        <w:rPr/>
        <w:t>Future opportunities.</w:t>
      </w:r>
    </w:p>
    <w:p>
      <w:pPr>
        <w:pStyle w:val="BodyText"/>
        <w:spacing w:before="0" w:after="200"/>
        <w:rPr/>
      </w:pPr>
      <w:r>
        <w:rPr/>
        <w:t>Future state-space transitions.</w:t>
      </w:r>
    </w:p>
    <w:p>
      <w:pPr>
        <w:pStyle w:val="BodyText"/>
        <w:spacing w:before="0" w:after="200"/>
        <w:rPr/>
      </w:pPr>
      <w:r>
        <w:rPr/>
        <w:t>Long-Term Flourishing changes.</w:t>
      </w:r>
    </w:p>
    <w:p>
      <w:pPr>
        <w:pStyle w:val="BodyText"/>
        <w:spacing w:before="0" w:after="200"/>
        <w:rPr/>
      </w:pPr>
      <w:r>
        <w:rPr/>
        <w:t>Aggregate flourishing estimates.</w:t>
      </w:r>
    </w:p>
    <w:p>
      <w:pPr>
        <w:pStyle w:val="BodyText"/>
        <w:spacing w:before="0" w:after="200"/>
        <w:rPr/>
      </w:pPr>
      <w:r>
        <w:rPr/>
        <w:t>World Context Transition scenarios.</w:t>
      </w:r>
    </w:p>
    <w:p>
      <w:pPr>
        <w:pStyle w:val="BodyText"/>
        <w:spacing w:before="0" w:after="200"/>
        <w:rPr/>
      </w:pPr>
      <w:r>
        <w:rPr/>
        <w:t>Prediction uncertainty generally increases across longer horizons, but temporal distance is not the only factor. Some long-term patterns may be predictable with reasonable confidence, while some immediate outcomes may remain uncertain because of poor evidence or unstable conditions.</w:t>
      </w:r>
    </w:p>
    <w:p>
      <w:pPr>
        <w:pStyle w:val="Heading3"/>
        <w:ind w:hanging="0" w:left="0"/>
        <w:rPr/>
      </w:pPr>
      <w:r>
        <w:rPr/>
        <w:t>Scenario-Based Stochastic Assessment</w:t>
      </w:r>
    </w:p>
    <w:p>
      <w:pPr>
        <w:pStyle w:val="BodyText"/>
        <w:spacing w:before="0" w:after="200"/>
        <w:rPr/>
      </w:pPr>
      <w:r>
        <w:rPr/>
        <w:t>When uncertainty is material, the methodology may represent multiple transition scenarios.</w:t>
      </w:r>
    </w:p>
    <w:p>
      <w:pPr>
        <w:pStyle w:val="BodyText"/>
        <w:spacing w:before="0" w:after="200"/>
        <w:rPr/>
      </w:pPr>
      <w:r>
        <w:rPr/>
        <w:t>A scenario is a plausible pathway from World Context₀ to a possible World Context₁. Each scenario should include assumptions, predicted consequences, affected entities, policy updates, flourishing transitions, future state-space effects, and confidence estimates.</w:t>
      </w:r>
    </w:p>
    <w:p>
      <w:pPr>
        <w:pStyle w:val="BodyText"/>
        <w:spacing w:before="0" w:after="200"/>
        <w:rPr/>
      </w:pPr>
      <w:r>
        <w:rPr/>
        <w:t>Scenario-based assessment is useful when a single expected transition would create false precision. It allows the methodology to represent multiple plausible futures and compare their moral significance.</w:t>
      </w:r>
    </w:p>
    <w:p>
      <w:pPr>
        <w:pStyle w:val="BodyText"/>
        <w:spacing w:before="0" w:after="200"/>
        <w:rPr/>
      </w:pPr>
      <w:r>
        <w:rPr/>
        <w:t>Scenarios may include:</w:t>
      </w:r>
    </w:p>
    <w:p>
      <w:pPr>
        <w:pStyle w:val="BodyText"/>
        <w:spacing w:before="0" w:after="200"/>
        <w:rPr/>
      </w:pPr>
      <w:r>
        <w:rPr/>
        <w:t>Best-supported expected transition.</w:t>
      </w:r>
    </w:p>
    <w:p>
      <w:pPr>
        <w:pStyle w:val="BodyText"/>
        <w:spacing w:before="0" w:after="200"/>
        <w:rPr/>
      </w:pPr>
      <w:r>
        <w:rPr/>
        <w:t>High-benefit scenario.</w:t>
      </w:r>
    </w:p>
    <w:p>
      <w:pPr>
        <w:pStyle w:val="BodyText"/>
        <w:spacing w:before="0" w:after="200"/>
        <w:rPr/>
      </w:pPr>
      <w:r>
        <w:rPr/>
        <w:t>High-harm scenario.</w:t>
      </w:r>
    </w:p>
    <w:p>
      <w:pPr>
        <w:pStyle w:val="BodyText"/>
        <w:spacing w:before="0" w:after="200"/>
        <w:rPr/>
      </w:pPr>
      <w:r>
        <w:rPr/>
        <w:t>Low-probability catastrophic scenario.</w:t>
      </w:r>
    </w:p>
    <w:p>
      <w:pPr>
        <w:pStyle w:val="BodyText"/>
        <w:spacing w:before="0" w:after="200"/>
        <w:rPr/>
      </w:pPr>
      <w:r>
        <w:rPr/>
        <w:t>Institutional degradation scenario.</w:t>
      </w:r>
    </w:p>
    <w:p>
      <w:pPr>
        <w:pStyle w:val="BodyText"/>
        <w:spacing w:before="0" w:after="200"/>
        <w:rPr/>
      </w:pPr>
      <w:r>
        <w:rPr/>
        <w:t>Policy-update propagation scenario.</w:t>
      </w:r>
    </w:p>
    <w:p>
      <w:pPr>
        <w:pStyle w:val="BodyText"/>
        <w:spacing w:before="0" w:after="200"/>
        <w:rPr/>
      </w:pPr>
      <w:r>
        <w:rPr/>
        <w:t>No-action or omission scenario.</w:t>
      </w:r>
    </w:p>
    <w:p>
      <w:pPr>
        <w:pStyle w:val="BodyText"/>
        <w:spacing w:before="0" w:after="200"/>
        <w:rPr/>
      </w:pPr>
      <w:r>
        <w:rPr/>
        <w:t>Alternative-action scenarios.</w:t>
      </w:r>
    </w:p>
    <w:p>
      <w:pPr>
        <w:pStyle w:val="BodyText"/>
        <w:spacing w:before="0" w:after="200"/>
        <w:rPr/>
      </w:pPr>
      <w:r>
        <w:rPr/>
        <w:t>Scenario-based assessment is especially useful in public policy, medical ethics, ecological intervention, autonomous systems, AI safety, and other domains where long-term effects are uncertain and potentially severe.</w:t>
      </w:r>
    </w:p>
    <w:p>
      <w:pPr>
        <w:pStyle w:val="Heading3"/>
        <w:ind w:hanging="0" w:left="0"/>
        <w:rPr/>
      </w:pPr>
      <w:r>
        <w:rPr/>
        <w:t>Expected Effects and Risk Profiles</w:t>
      </w:r>
    </w:p>
    <w:p>
      <w:pPr>
        <w:pStyle w:val="BodyText"/>
        <w:spacing w:before="0" w:after="200"/>
        <w:rPr/>
      </w:pPr>
      <w:r>
        <w:rPr/>
        <w:t>Stochastic Assessment should distinguish expected effects from risk profiles.</w:t>
      </w:r>
    </w:p>
    <w:p>
      <w:pPr>
        <w:pStyle w:val="BodyText"/>
        <w:spacing w:before="0" w:after="200"/>
        <w:rPr/>
      </w:pPr>
      <w:r>
        <w:rPr/>
        <w:t>Expected effects summarize what is most likely to happen or what the average predicted effect may be. Risk profiles describe the range, distribution, severity, and likelihood of possible outcomes, including low-probability high-impact outcomes.</w:t>
      </w:r>
    </w:p>
    <w:p>
      <w:pPr>
        <w:pStyle w:val="BodyText"/>
        <w:spacing w:before="0" w:after="200"/>
        <w:rPr/>
      </w:pPr>
      <w:r>
        <w:rPr/>
        <w:t>A moral assessment should not rely only on expected effects when the downside risk is severe. An action with a favorable expected effect may still be morally problematic if it creates a meaningful probability of catastrophic harm, irreversible diminishment, institutional collapse, or severe future state-space narrowing.</w:t>
      </w:r>
    </w:p>
    <w:p>
      <w:pPr>
        <w:pStyle w:val="BodyText"/>
        <w:spacing w:before="0" w:after="200"/>
        <w:rPr/>
      </w:pPr>
      <w:r>
        <w:rPr/>
        <w:t>The methodology should therefore evaluate both the expected World Context Transition and the risk profile surrounding that transition.</w:t>
      </w:r>
    </w:p>
    <w:p>
      <w:pPr>
        <w:pStyle w:val="Heading3"/>
        <w:ind w:hanging="0" w:left="0"/>
        <w:rPr/>
      </w:pPr>
      <w:r>
        <w:rPr/>
        <w:t>Confidence-Bounded Moral Assessment</w:t>
      </w:r>
    </w:p>
    <w:p>
      <w:pPr>
        <w:pStyle w:val="BodyText"/>
        <w:spacing w:before="0" w:after="200"/>
        <w:rPr/>
      </w:pPr>
      <w:r>
        <w:rPr/>
        <w:t>The final Moral Assessment should be confidence-bounded.</w:t>
      </w:r>
    </w:p>
    <w:p>
      <w:pPr>
        <w:pStyle w:val="BodyText"/>
        <w:spacing w:before="0" w:after="200"/>
        <w:rPr/>
      </w:pPr>
      <w:r>
        <w:rPr/>
        <w:t>A confidence-bounded assessment states not only the assessment result, but also how reliable that result is given the evidence, uncertainty, model limitations, and prediction difficulty. The assessment should distinguish high-confidence conclusions from low-confidence or provisional conclusions.</w:t>
      </w:r>
    </w:p>
    <w:p>
      <w:pPr>
        <w:pStyle w:val="BodyText"/>
        <w:spacing w:before="0" w:after="200"/>
        <w:rPr/>
      </w:pPr>
      <w:r>
        <w:rPr/>
        <w:t>A confidence-bounded assessment may indicate:</w:t>
      </w:r>
    </w:p>
    <w:p>
      <w:pPr>
        <w:pStyle w:val="BodyText"/>
        <w:spacing w:before="0" w:after="200"/>
        <w:rPr/>
      </w:pPr>
      <w:r>
        <w:rPr/>
        <w:t>The action appears morally supportable with high confidence.</w:t>
      </w:r>
    </w:p>
    <w:p>
      <w:pPr>
        <w:pStyle w:val="BodyText"/>
        <w:spacing w:before="0" w:after="200"/>
        <w:rPr/>
      </w:pPr>
      <w:r>
        <w:rPr/>
        <w:t>The action appears morally harmful with moderate confidence.</w:t>
      </w:r>
    </w:p>
    <w:p>
      <w:pPr>
        <w:pStyle w:val="BodyText"/>
        <w:spacing w:before="0" w:after="200"/>
        <w:rPr/>
      </w:pPr>
      <w:r>
        <w:rPr/>
        <w:t>The action presents severe low-probability risks requiring mitigation.</w:t>
      </w:r>
    </w:p>
    <w:p>
      <w:pPr>
        <w:pStyle w:val="BodyText"/>
        <w:spacing w:before="0" w:after="200"/>
        <w:rPr/>
      </w:pPr>
      <w:r>
        <w:rPr/>
        <w:t>The assessment is inconclusive because critical information is missing.</w:t>
      </w:r>
    </w:p>
    <w:p>
      <w:pPr>
        <w:pStyle w:val="BodyText"/>
        <w:spacing w:before="0" w:after="200"/>
        <w:rPr/>
      </w:pPr>
      <w:r>
        <w:rPr/>
        <w:t>The action should be delayed pending additional evidence.</w:t>
      </w:r>
    </w:p>
    <w:p>
      <w:pPr>
        <w:pStyle w:val="BodyText"/>
        <w:spacing w:before="0" w:after="200"/>
        <w:rPr/>
      </w:pPr>
      <w:r>
        <w:rPr/>
        <w:t>The action may be permissible only under safeguards.</w:t>
      </w:r>
    </w:p>
    <w:p>
      <w:pPr>
        <w:pStyle w:val="BodyText"/>
        <w:spacing w:before="0" w:after="200"/>
        <w:rPr/>
      </w:pPr>
      <w:r>
        <w:rPr/>
        <w:t>The action should be rejected because uncertainty concerns severe irreversible harm.</w:t>
      </w:r>
    </w:p>
    <w:p>
      <w:pPr>
        <w:pStyle w:val="BodyText"/>
        <w:spacing w:before="0" w:after="200"/>
        <w:rPr/>
      </w:pPr>
      <w:r>
        <w:rPr/>
        <w:t>Confidence-bounded assessment is especially important when the methodology is used for decision support. A low-confidence beneficial assessment should not be treated the same as a high-confidence beneficial assessment.</w:t>
      </w:r>
    </w:p>
    <w:p>
      <w:pPr>
        <w:pStyle w:val="Heading3"/>
        <w:ind w:hanging="0" w:left="0"/>
        <w:rPr/>
      </w:pPr>
      <w:r>
        <w:rPr/>
        <w:t>Uncertainty and the Foundational Axiom</w:t>
      </w:r>
    </w:p>
    <w:p>
      <w:pPr>
        <w:pStyle w:val="BodyText"/>
        <w:spacing w:before="0" w:after="200"/>
        <w:rPr/>
      </w:pPr>
      <w:r>
        <w:rPr/>
        <w:t>The Foundational Axiom relies on the best available evidence within the Situational Context rather than certainty.</w:t>
      </w:r>
    </w:p>
    <w:p>
      <w:pPr>
        <w:pStyle w:val="BodyText"/>
        <w:spacing w:before="0" w:after="200"/>
        <w:rPr/>
      </w:pPr>
      <w:r>
        <w:rPr/>
        <w:t>This means that moral assessment does not wait for perfect knowledge. It evaluates the action using the best evidence reasonably available, while representing uncertainty explicitly. Probability and confidence belong to the methodology rather than the axiom itself.</w:t>
      </w:r>
    </w:p>
    <w:p>
      <w:pPr>
        <w:pStyle w:val="BodyText"/>
        <w:spacing w:before="0" w:after="200"/>
        <w:rPr/>
      </w:pPr>
      <w:r>
        <w:rPr/>
        <w:t>The methodology should therefore ask:</w:t>
      </w:r>
    </w:p>
    <w:p>
      <w:pPr>
        <w:pStyle w:val="BodyText"/>
        <w:spacing w:before="0" w:after="200"/>
        <w:rPr/>
      </w:pPr>
      <w:r>
        <w:rPr/>
        <w:t>What does the best available evidence suggest?</w:t>
      </w:r>
    </w:p>
    <w:p>
      <w:pPr>
        <w:pStyle w:val="BodyText"/>
        <w:spacing w:before="0" w:after="200"/>
        <w:rPr/>
      </w:pPr>
      <w:r>
        <w:rPr/>
        <w:t>What remains uncertain?</w:t>
      </w:r>
    </w:p>
    <w:p>
      <w:pPr>
        <w:pStyle w:val="BodyText"/>
        <w:spacing w:before="0" w:after="200"/>
        <w:rPr/>
      </w:pPr>
      <w:r>
        <w:rPr/>
        <w:t>Could the Actor reasonably have obtained better evidence?</w:t>
      </w:r>
    </w:p>
    <w:p>
      <w:pPr>
        <w:pStyle w:val="BodyText"/>
        <w:spacing w:before="0" w:after="200"/>
        <w:rPr/>
      </w:pPr>
      <w:r>
        <w:rPr/>
        <w:t>Does uncertainty involve material diminishment?</w:t>
      </w:r>
    </w:p>
    <w:p>
      <w:pPr>
        <w:pStyle w:val="BodyText"/>
        <w:spacing w:before="0" w:after="200"/>
        <w:rPr/>
      </w:pPr>
      <w:r>
        <w:rPr/>
        <w:t>Does uncertainty involve severe or irreversible harm?</w:t>
      </w:r>
    </w:p>
    <w:p>
      <w:pPr>
        <w:pStyle w:val="BodyText"/>
        <w:spacing w:before="0" w:after="200"/>
        <w:rPr/>
      </w:pPr>
      <w:r>
        <w:rPr/>
        <w:t>Does uncertainty require precaution, delay, escalation, mitigation, or refusal?</w:t>
      </w:r>
    </w:p>
    <w:p>
      <w:pPr>
        <w:pStyle w:val="BodyText"/>
        <w:spacing w:before="0" w:after="200"/>
        <w:rPr/>
      </w:pPr>
      <w:r>
        <w:rPr/>
        <w:t>An action may be morally problematic not only because known consequences are harmful, but because the Actor proceeds under unjustified uncertainty where additional diligence was required.</w:t>
      </w:r>
    </w:p>
    <w:p>
      <w:pPr>
        <w:pStyle w:val="Heading3"/>
        <w:ind w:hanging="0" w:left="0"/>
        <w:rPr/>
      </w:pPr>
      <w:r>
        <w:rPr/>
        <w:t>Uncertainty and Material Diminishment</w:t>
      </w:r>
    </w:p>
    <w:p>
      <w:pPr>
        <w:pStyle w:val="BodyText"/>
        <w:spacing w:before="0" w:after="200"/>
        <w:rPr/>
      </w:pPr>
      <w:r>
        <w:rPr/>
        <w:t>Uncertainty is especially important when material diminishment is possible.</w:t>
      </w:r>
    </w:p>
    <w:p>
      <w:pPr>
        <w:pStyle w:val="BodyText"/>
        <w:spacing w:before="0" w:after="200"/>
        <w:rPr/>
      </w:pPr>
      <w:r>
        <w:rPr/>
        <w:t>If an action may materially diminish the Long-Term Flourishing of a relevant Flourishing Entity, the methodology should consider the probability, severity, reversibility, and confidence associated with that potential diminishment.</w:t>
      </w:r>
    </w:p>
    <w:p>
      <w:pPr>
        <w:pStyle w:val="BodyText"/>
        <w:spacing w:before="0" w:after="200"/>
        <w:rPr/>
      </w:pPr>
      <w:r>
        <w:rPr/>
        <w:t>A low-confidence estimate of minor harm may not alter the assessment significantly. A moderate-confidence estimate of severe irreversible harm may dominate the assessment. A low-probability but catastrophic material diminishment may require precaution if the potential World Context Transition is sufficiently severe.</w:t>
      </w:r>
    </w:p>
    <w:p>
      <w:pPr>
        <w:pStyle w:val="BodyText"/>
        <w:spacing w:before="0" w:after="200"/>
        <w:rPr/>
      </w:pPr>
      <w:r>
        <w:rPr/>
        <w:t>The methodology should avoid both extremes: ignoring uncertain harms because they are uncertain, and treating every speculative harm as decisive. The assessment should represent probability, severity, evidence, and confidence together.</w:t>
      </w:r>
    </w:p>
    <w:p>
      <w:pPr>
        <w:pStyle w:val="Heading3"/>
        <w:ind w:hanging="0" w:left="0"/>
        <w:rPr/>
      </w:pPr>
      <w:r>
        <w:rPr/>
        <w:t>Uncertainty and Distributed Policy Updates</w:t>
      </w:r>
    </w:p>
    <w:p>
      <w:pPr>
        <w:pStyle w:val="BodyText"/>
        <w:spacing w:before="0" w:after="200"/>
        <w:rPr/>
      </w:pPr>
      <w:r>
        <w:rPr/>
        <w:t>Distributed Policy Updates are often uncertain but may be morally significant.</w:t>
      </w:r>
    </w:p>
    <w:p>
      <w:pPr>
        <w:pStyle w:val="BodyText"/>
        <w:spacing w:before="0" w:after="200"/>
        <w:rPr/>
      </w:pPr>
      <w:r>
        <w:rPr/>
        <w:t>The methodology may not know exactly how an Actor, observer, responder, collaborator, institution, or artificial system will update its future policy state. However, prior behavior, incentives, institutional norms, observed responses, system logs, training dynamics, and historical patterns may support probabilistic estimates.</w:t>
      </w:r>
    </w:p>
    <w:p>
      <w:pPr>
        <w:pStyle w:val="BodyText"/>
        <w:spacing w:before="0" w:after="200"/>
        <w:rPr/>
      </w:pPr>
      <w:r>
        <w:rPr/>
        <w:t>A policy update should not be excluded merely because it is difficult to measure. If a harmful means is likely to normalize future harmful behavior, that policy update should be represented with appropriate uncertainty and confidence.</w:t>
      </w:r>
    </w:p>
    <w:p>
      <w:pPr>
        <w:pStyle w:val="BodyText"/>
        <w:spacing w:before="0" w:after="200"/>
        <w:rPr/>
      </w:pPr>
      <w:r>
        <w:rPr/>
        <w:t>Similarly, beneficial policy updates should be represented when the evidence supports them. Transparency, accountability, restraint, or correction may improve future policy states, but the magnitude and durability of those improvements may remain uncertain.</w:t>
      </w:r>
    </w:p>
    <w:p>
      <w:pPr>
        <w:pStyle w:val="Heading3"/>
        <w:ind w:hanging="0" w:left="0"/>
        <w:rPr/>
      </w:pPr>
      <w:r>
        <w:rPr/>
        <w:t>Uncertainty Across Assessment Horizons</w:t>
      </w:r>
    </w:p>
    <w:p>
      <w:pPr>
        <w:pStyle w:val="BodyText"/>
        <w:spacing w:before="0" w:after="200"/>
        <w:rPr/>
      </w:pPr>
      <w:r>
        <w:rPr/>
        <w:t>Uncertainty should be evaluated separately across Assessment Horizons.</w:t>
      </w:r>
    </w:p>
    <w:p>
      <w:pPr>
        <w:pStyle w:val="BodyText"/>
        <w:spacing w:before="0" w:after="200"/>
        <w:rPr/>
      </w:pPr>
      <w:r>
        <w:rPr/>
        <w:t>Immediate consequences may have high confidence while long-term effects have lower confidence. However, this pattern is not automatic. Some immediate consequences may be uncertain, and some long-term patterns may be well supported by strong evidence.</w:t>
      </w:r>
    </w:p>
    <w:p>
      <w:pPr>
        <w:pStyle w:val="BodyText"/>
        <w:spacing w:before="0" w:after="200"/>
        <w:rPr/>
      </w:pPr>
      <w:r>
        <w:rPr/>
        <w:t>Horizon-specific uncertainty should be represented for:</w:t>
      </w:r>
    </w:p>
    <w:p>
      <w:pPr>
        <w:pStyle w:val="BodyText"/>
        <w:spacing w:before="0" w:after="200"/>
        <w:rPr/>
      </w:pPr>
      <w:r>
        <w:rPr/>
        <w:t>Entity transitions.</w:t>
      </w:r>
    </w:p>
    <w:p>
      <w:pPr>
        <w:pStyle w:val="BodyText"/>
        <w:spacing w:before="0" w:after="200"/>
        <w:rPr/>
      </w:pPr>
      <w:r>
        <w:rPr/>
        <w:t>Association transitions.</w:t>
      </w:r>
    </w:p>
    <w:p>
      <w:pPr>
        <w:pStyle w:val="BodyText"/>
        <w:spacing w:before="0" w:after="200"/>
        <w:rPr/>
      </w:pPr>
      <w:r>
        <w:rPr/>
        <w:t>Flourishing transitions.</w:t>
      </w:r>
    </w:p>
    <w:p>
      <w:pPr>
        <w:pStyle w:val="BodyText"/>
        <w:spacing w:before="0" w:after="200"/>
        <w:rPr/>
      </w:pPr>
      <w:r>
        <w:rPr/>
        <w:t>Policy updates.</w:t>
      </w:r>
    </w:p>
    <w:p>
      <w:pPr>
        <w:pStyle w:val="BodyText"/>
        <w:spacing w:before="0" w:after="200"/>
        <w:rPr/>
      </w:pPr>
      <w:r>
        <w:rPr/>
        <w:t>Institutional effects.</w:t>
      </w:r>
    </w:p>
    <w:p>
      <w:pPr>
        <w:pStyle w:val="BodyText"/>
        <w:spacing w:before="0" w:after="200"/>
        <w:rPr/>
      </w:pPr>
      <w:r>
        <w:rPr/>
        <w:t>Information-state changes.</w:t>
      </w:r>
    </w:p>
    <w:p>
      <w:pPr>
        <w:pStyle w:val="BodyText"/>
        <w:spacing w:before="0" w:after="200"/>
        <w:rPr/>
      </w:pPr>
      <w:r>
        <w:rPr/>
        <w:t>Future opportunity changes.</w:t>
      </w:r>
    </w:p>
    <w:p>
      <w:pPr>
        <w:pStyle w:val="BodyText"/>
        <w:spacing w:before="0" w:after="200"/>
        <w:rPr/>
      </w:pPr>
      <w:r>
        <w:rPr/>
        <w:t>Future state-space transitions.</w:t>
      </w:r>
    </w:p>
    <w:p>
      <w:pPr>
        <w:pStyle w:val="BodyText"/>
        <w:spacing w:before="0" w:after="200"/>
        <w:rPr/>
      </w:pPr>
      <w:r>
        <w:rPr/>
        <w:t>Aggregate flourishing estimates.</w:t>
      </w:r>
    </w:p>
    <w:p>
      <w:pPr>
        <w:pStyle w:val="BodyText"/>
        <w:spacing w:before="0" w:after="200"/>
        <w:rPr/>
      </w:pPr>
      <w:r>
        <w:rPr/>
        <w:t>World Context Transition scenarios.</w:t>
      </w:r>
    </w:p>
    <w:p>
      <w:pPr>
        <w:pStyle w:val="BodyText"/>
        <w:spacing w:before="0" w:after="200"/>
        <w:rPr/>
      </w:pPr>
      <w:r>
        <w:rPr/>
        <w:t>The final assessment should not conceal horizon-specific uncertainty inside a single confidence number when those differences materially affect the assessment.</w:t>
      </w:r>
    </w:p>
    <w:p>
      <w:pPr>
        <w:pStyle w:val="Heading3"/>
        <w:ind w:hanging="0" w:left="0"/>
        <w:rPr/>
      </w:pPr>
      <w:r>
        <w:rPr/>
        <w:t>Stochastic Assessment and Graceful Degradation</w:t>
      </w:r>
    </w:p>
    <w:p>
      <w:pPr>
        <w:pStyle w:val="BodyText"/>
        <w:spacing w:before="0" w:after="200"/>
        <w:rPr/>
      </w:pPr>
      <w:r>
        <w:rPr/>
        <w:t>The methodology should degrade gracefully under uncertainty.</w:t>
      </w:r>
    </w:p>
    <w:p>
      <w:pPr>
        <w:pStyle w:val="BodyText"/>
        <w:spacing w:before="0" w:after="200"/>
        <w:rPr/>
      </w:pPr>
      <w:r>
        <w:rPr/>
        <w:t>When information is incomplete, models are imperfect, or predictions are uncertain, the assessment should still proceed when practical, but with reduced confidence and explicit limitations. The result may be provisional, conditional, scenario-based, or limited to decision-support flags rather than a definitive judgment.</w:t>
      </w:r>
    </w:p>
    <w:p>
      <w:pPr>
        <w:pStyle w:val="BodyText"/>
        <w:spacing w:before="0" w:after="200"/>
        <w:rPr/>
      </w:pPr>
      <w:r>
        <w:rPr/>
        <w:t>Graceful degradation may produce outputs such as:</w:t>
      </w:r>
    </w:p>
    <w:p>
      <w:pPr>
        <w:pStyle w:val="BodyText"/>
        <w:spacing w:before="0" w:after="200"/>
        <w:rPr/>
      </w:pPr>
      <w:r>
        <w:rPr/>
        <w:t>Assessment cannot be completed with adequate confidence.</w:t>
      </w:r>
    </w:p>
    <w:p>
      <w:pPr>
        <w:pStyle w:val="BodyText"/>
        <w:spacing w:before="0" w:after="200"/>
        <w:rPr/>
      </w:pPr>
      <w:r>
        <w:rPr/>
        <w:t>Assessment is provisional pending additional evidence.</w:t>
      </w:r>
    </w:p>
    <w:p>
      <w:pPr>
        <w:pStyle w:val="BodyText"/>
        <w:spacing w:before="0" w:after="200"/>
        <w:rPr/>
      </w:pPr>
      <w:r>
        <w:rPr/>
        <w:t>Assessment supports action only with safeguards.</w:t>
      </w:r>
    </w:p>
    <w:p>
      <w:pPr>
        <w:pStyle w:val="BodyText"/>
        <w:spacing w:before="0" w:after="200"/>
        <w:rPr/>
      </w:pPr>
      <w:r>
        <w:rPr/>
        <w:t>Assessment identifies severe uncertainty requiring escalation.</w:t>
      </w:r>
    </w:p>
    <w:p>
      <w:pPr>
        <w:pStyle w:val="BodyText"/>
        <w:spacing w:before="0" w:after="200"/>
        <w:rPr/>
      </w:pPr>
      <w:r>
        <w:rPr/>
        <w:t>Assessment favors one action under current evidence but remains sensitive to specified assumptions.</w:t>
      </w:r>
    </w:p>
    <w:p>
      <w:pPr>
        <w:pStyle w:val="BodyText"/>
        <w:spacing w:before="0" w:after="200"/>
        <w:rPr/>
      </w:pPr>
      <w:r>
        <w:rPr/>
        <w:t>Assessment identifies material risks but insufficient evidence for final judgment.</w:t>
      </w:r>
    </w:p>
    <w:p>
      <w:pPr>
        <w:pStyle w:val="BodyText"/>
        <w:spacing w:before="0" w:after="200"/>
        <w:rPr/>
      </w:pPr>
      <w:r>
        <w:rPr/>
        <w:t>Graceful degradation preserves usefulness while avoiding false certainty.</w:t>
      </w:r>
    </w:p>
    <w:p>
      <w:pPr>
        <w:pStyle w:val="Heading3"/>
        <w:ind w:hanging="0" w:left="0"/>
        <w:rPr/>
      </w:pPr>
      <w:r>
        <w:rPr/>
        <w:t>Stochastic Assessment and Additional Evidence</w:t>
      </w:r>
    </w:p>
    <w:p>
      <w:pPr>
        <w:pStyle w:val="BodyText"/>
        <w:spacing w:before="0" w:after="200"/>
        <w:rPr/>
      </w:pPr>
      <w:r>
        <w:rPr/>
        <w:t>Stochastic Assessment should identify where additional evidence would most improve confidence.</w:t>
      </w:r>
    </w:p>
    <w:p>
      <w:pPr>
        <w:pStyle w:val="BodyText"/>
        <w:spacing w:before="0" w:after="200"/>
        <w:rPr/>
      </w:pPr>
      <w:r>
        <w:rPr/>
        <w:t>Not all missing information matters equally. The methodology should identify the evidence gaps that are most material to the assessment. Additional evidence may be especially valuable when it affects material diminishment, irreversible harm, severe uncertainty, policy update propagation, institutional response, or future state-space effects.</w:t>
      </w:r>
    </w:p>
    <w:p>
      <w:pPr>
        <w:pStyle w:val="BodyText"/>
        <w:spacing w:before="0" w:after="200"/>
        <w:rPr/>
      </w:pPr>
      <w:r>
        <w:rPr/>
        <w:t>The assessment may recommend:</w:t>
      </w:r>
    </w:p>
    <w:p>
      <w:pPr>
        <w:pStyle w:val="BodyText"/>
        <w:spacing w:before="0" w:after="200"/>
        <w:rPr/>
      </w:pPr>
      <w:r>
        <w:rPr/>
        <w:t>Additional investigation.</w:t>
      </w:r>
    </w:p>
    <w:p>
      <w:pPr>
        <w:pStyle w:val="BodyText"/>
        <w:spacing w:before="0" w:after="200"/>
        <w:rPr/>
      </w:pPr>
      <w:r>
        <w:rPr/>
        <w:t>Expert review.</w:t>
      </w:r>
    </w:p>
    <w:p>
      <w:pPr>
        <w:pStyle w:val="BodyText"/>
        <w:spacing w:before="0" w:after="200"/>
        <w:rPr/>
      </w:pPr>
      <w:r>
        <w:rPr/>
        <w:t>Testing or simulation.</w:t>
      </w:r>
    </w:p>
    <w:p>
      <w:pPr>
        <w:pStyle w:val="BodyText"/>
        <w:spacing w:before="0" w:after="200"/>
        <w:rPr/>
      </w:pPr>
      <w:r>
        <w:rPr/>
        <w:t>Stakeholder consultation.</w:t>
      </w:r>
    </w:p>
    <w:p>
      <w:pPr>
        <w:pStyle w:val="BodyText"/>
        <w:spacing w:before="0" w:after="200"/>
        <w:rPr/>
      </w:pPr>
      <w:r>
        <w:rPr/>
        <w:t>Monitoring.</w:t>
      </w:r>
    </w:p>
    <w:p>
      <w:pPr>
        <w:pStyle w:val="BodyText"/>
        <w:spacing w:before="0" w:after="200"/>
        <w:rPr/>
      </w:pPr>
      <w:r>
        <w:rPr/>
        <w:t>Documentation.</w:t>
      </w:r>
    </w:p>
    <w:p>
      <w:pPr>
        <w:pStyle w:val="BodyText"/>
        <w:spacing w:before="0" w:after="200"/>
        <w:rPr/>
      </w:pPr>
      <w:r>
        <w:rPr/>
        <w:t>Delay.</w:t>
      </w:r>
    </w:p>
    <w:p>
      <w:pPr>
        <w:pStyle w:val="BodyText"/>
        <w:spacing w:before="0" w:after="200"/>
        <w:rPr/>
      </w:pPr>
      <w:r>
        <w:rPr/>
        <w:t>Limited action with safeguards.</w:t>
      </w:r>
    </w:p>
    <w:p>
      <w:pPr>
        <w:pStyle w:val="BodyText"/>
        <w:spacing w:before="0" w:after="200"/>
        <w:rPr/>
      </w:pPr>
      <w:r>
        <w:rPr/>
        <w:t>Reassessment after new evidence.</w:t>
      </w:r>
    </w:p>
    <w:p>
      <w:pPr>
        <w:pStyle w:val="BodyText"/>
        <w:spacing w:before="0" w:after="200"/>
        <w:rPr/>
      </w:pPr>
      <w:r>
        <w:rPr/>
        <w:t>This allows the methodology to guide responsible action under uncertainty rather than merely report uncertainty.</w:t>
      </w:r>
    </w:p>
    <w:p>
      <w:pPr>
        <w:pStyle w:val="Heading3"/>
        <w:ind w:hanging="0" w:left="0"/>
        <w:rPr/>
      </w:pPr>
      <w:r>
        <w:rPr/>
        <w:t>Stochastic Assessment in Proposed, Ongoing, and Completed Actions</w:t>
      </w:r>
    </w:p>
    <w:p>
      <w:pPr>
        <w:pStyle w:val="BodyText"/>
        <w:spacing w:before="0" w:after="200"/>
        <w:rPr/>
      </w:pPr>
      <w:r>
        <w:rPr/>
        <w:t>Stochastic Assessment applies differently depending on whether the Assessed Action is proposed, ongoing, or completed.</w:t>
      </w:r>
    </w:p>
    <w:p>
      <w:pPr>
        <w:pStyle w:val="BodyText"/>
        <w:spacing w:before="0" w:after="200"/>
        <w:rPr/>
      </w:pPr>
      <w:r>
        <w:rPr/>
        <w:t>For a proposed action, uncertainty centers on predicted consequences, possible World Context₁ states, future policy updates, and long-term flourishing effects.</w:t>
      </w:r>
    </w:p>
    <w:p>
      <w:pPr>
        <w:pStyle w:val="BodyText"/>
        <w:spacing w:before="0" w:after="200"/>
        <w:rPr/>
      </w:pPr>
      <w:r>
        <w:rPr/>
        <w:t>For an ongoing action, uncertainty includes emerging evidence, partial outcomes, shifting constraints, and whether intervention or correction can still alter the transition.</w:t>
      </w:r>
    </w:p>
    <w:p>
      <w:pPr>
        <w:pStyle w:val="BodyText"/>
        <w:spacing w:before="0" w:after="200"/>
        <w:rPr/>
      </w:pPr>
      <w:r>
        <w:rPr/>
        <w:t>For a completed action, uncertainty may concern causation, baseline state, foreseeability, responsibility, long-term effects, and later-discovered evidence.</w:t>
      </w:r>
    </w:p>
    <w:p>
      <w:pPr>
        <w:pStyle w:val="BodyText"/>
        <w:spacing w:before="0" w:after="200"/>
        <w:rPr/>
      </w:pPr>
      <w:r>
        <w:rPr/>
        <w:t>In all cases, the methodology should distinguish what is predicted, what is observed, what is inferred, what is revised, and what remains uncertain.</w:t>
      </w:r>
    </w:p>
    <w:p>
      <w:pPr>
        <w:pStyle w:val="Heading3"/>
        <w:ind w:hanging="0" w:left="0"/>
        <w:rPr/>
      </w:pPr>
      <w:r>
        <w:rPr/>
        <w:t>Stochastic Assessment and Implementation Independence</w:t>
      </w:r>
    </w:p>
    <w:p>
      <w:pPr>
        <w:pStyle w:val="BodyText"/>
        <w:spacing w:before="0" w:after="200"/>
        <w:rPr/>
      </w:pPr>
      <w:r>
        <w:rPr/>
        <w:t>The methodology does not require a specific stochastic technique.</w:t>
      </w:r>
    </w:p>
    <w:p>
      <w:pPr>
        <w:pStyle w:val="BodyText"/>
        <w:spacing w:before="0" w:after="200"/>
        <w:rPr/>
      </w:pPr>
      <w:r>
        <w:rPr/>
        <w:t>Different implementations may use expert judgment, probabilistic models, Bayesian networks, simulations, scenario analysis, causal models, machine learning, formal decision analysis, qualitative confidence bands, or future computational methods. The architecture and methodology should remain independent of any single technique.</w:t>
      </w:r>
    </w:p>
    <w:p>
      <w:pPr>
        <w:pStyle w:val="BodyText"/>
        <w:spacing w:before="0" w:after="200"/>
        <w:rPr/>
      </w:pPr>
      <w:r>
        <w:rPr/>
        <w:t>The requirement is not that every implementation use the same probability model. The requirement is that uncertainty, probability, confidence, incomplete information, model uncertainty, and prediction uncertainty be represented explicitly and propagated through the assessment.</w:t>
      </w:r>
    </w:p>
    <w:p>
      <w:pPr>
        <w:pStyle w:val="BodyText"/>
        <w:spacing w:before="0" w:after="200"/>
        <w:rPr/>
      </w:pPr>
      <w:r>
        <w:rPr/>
        <w:t>This preserves implementation independence while allowing the methodology to improve as better tools become available.</w:t>
      </w:r>
    </w:p>
    <w:p>
      <w:pPr>
        <w:pStyle w:val="Heading3"/>
        <w:ind w:hanging="0" w:left="0"/>
        <w:rPr/>
      </w:pPr>
      <w:r>
        <w:rPr/>
        <w:t>Minimum Representation for Stochastic Assessment</w:t>
      </w:r>
    </w:p>
    <w:p>
      <w:pPr>
        <w:pStyle w:val="BodyText"/>
        <w:spacing w:before="0" w:after="200"/>
        <w:rPr/>
      </w:pPr>
      <w:r>
        <w:rPr/>
        <w:t>A minimally adequate Stochastic Assessment should identify:</w:t>
      </w:r>
    </w:p>
    <w:p>
      <w:pPr>
        <w:pStyle w:val="BodyText"/>
        <w:spacing w:before="0" w:after="200"/>
        <w:rPr/>
      </w:pPr>
      <w:r>
        <w:rPr/>
        <w:t>The major uncertainties affecting the assessment.</w:t>
      </w:r>
    </w:p>
    <w:p>
      <w:pPr>
        <w:pStyle w:val="BodyText"/>
        <w:spacing w:before="0" w:after="200"/>
        <w:rPr/>
      </w:pPr>
      <w:r>
        <w:rPr/>
        <w:t>The probability or plausibility of material consequences where estimable.</w:t>
      </w:r>
    </w:p>
    <w:p>
      <w:pPr>
        <w:pStyle w:val="BodyText"/>
        <w:spacing w:before="0" w:after="200"/>
        <w:rPr/>
      </w:pPr>
      <w:r>
        <w:rPr/>
        <w:t>The confidence attached to material estimates.</w:t>
      </w:r>
    </w:p>
    <w:p>
      <w:pPr>
        <w:pStyle w:val="BodyText"/>
        <w:spacing w:before="0" w:after="200"/>
        <w:rPr/>
      </w:pPr>
      <w:r>
        <w:rPr/>
        <w:t>Incomplete information and its significance.</w:t>
      </w:r>
    </w:p>
    <w:p>
      <w:pPr>
        <w:pStyle w:val="BodyText"/>
        <w:spacing w:before="0" w:after="200"/>
        <w:rPr/>
      </w:pPr>
      <w:r>
        <w:rPr/>
        <w:t>Evidence quality and evidence gaps.</w:t>
      </w:r>
    </w:p>
    <w:p>
      <w:pPr>
        <w:pStyle w:val="BodyText"/>
        <w:spacing w:before="0" w:after="200"/>
        <w:rPr/>
      </w:pPr>
      <w:r>
        <w:rPr/>
        <w:t>Baseline uncertainty.</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Horizon-specific uncertainty.</w:t>
      </w:r>
    </w:p>
    <w:p>
      <w:pPr>
        <w:pStyle w:val="BodyText"/>
        <w:spacing w:before="0" w:after="200"/>
        <w:rPr/>
      </w:pPr>
      <w:r>
        <w:rPr/>
        <w:t>Uncertainty in Long-Term Flourishing estimates.</w:t>
      </w:r>
    </w:p>
    <w:p>
      <w:pPr>
        <w:pStyle w:val="BodyText"/>
        <w:spacing w:before="0" w:after="200"/>
        <w:rPr/>
      </w:pPr>
      <w:r>
        <w:rPr/>
        <w:t>Uncertainty in Distributed Policy Updates.</w:t>
      </w:r>
    </w:p>
    <w:p>
      <w:pPr>
        <w:pStyle w:val="BodyText"/>
        <w:spacing w:before="0" w:after="200"/>
        <w:rPr/>
      </w:pPr>
      <w:r>
        <w:rPr/>
        <w:t>Uncertainty in the World Context Transition.</w:t>
      </w:r>
    </w:p>
    <w:p>
      <w:pPr>
        <w:pStyle w:val="BodyText"/>
        <w:spacing w:before="0" w:after="200"/>
        <w:rPr/>
      </w:pPr>
      <w:r>
        <w:rPr/>
        <w:t>Any Bayesian-style updates triggered by new evidence.</w:t>
      </w:r>
    </w:p>
    <w:p>
      <w:pPr>
        <w:pStyle w:val="BodyText"/>
        <w:spacing w:before="0" w:after="200"/>
        <w:rPr/>
      </w:pPr>
      <w:r>
        <w:rPr/>
        <w:t>Any scenarios required to represent materially different possible outcomes.</w:t>
      </w:r>
    </w:p>
    <w:p>
      <w:pPr>
        <w:pStyle w:val="BodyText"/>
        <w:spacing w:before="0" w:after="200"/>
        <w:rPr/>
      </w:pPr>
      <w:r>
        <w:rPr/>
        <w:t>The effect of uncertainty on the final Moral Assessment.</w:t>
      </w:r>
    </w:p>
    <w:p>
      <w:pPr>
        <w:pStyle w:val="BodyText"/>
        <w:spacing w:before="0" w:after="200"/>
        <w:rPr/>
      </w:pPr>
      <w:r>
        <w:rPr/>
        <w:t>If any of these elements cannot be estimated, the assessment should state the limitation rather than imply certainty.</w:t>
      </w:r>
    </w:p>
    <w:p>
      <w:pPr>
        <w:pStyle w:val="Heading3"/>
        <w:ind w:hanging="0" w:left="0"/>
        <w:rPr/>
      </w:pPr>
      <w:r>
        <w:rPr/>
        <w:t>Common Stochastic Assessment Errors</w:t>
      </w:r>
    </w:p>
    <w:p>
      <w:pPr>
        <w:pStyle w:val="BodyText"/>
        <w:spacing w:before="0" w:after="200"/>
        <w:rPr/>
      </w:pPr>
      <w:r>
        <w:rPr/>
        <w:t>The methodology should avoid several common errors.</w:t>
      </w:r>
    </w:p>
    <w:p>
      <w:pPr>
        <w:pStyle w:val="BodyText"/>
        <w:spacing w:before="0" w:after="200"/>
        <w:rPr/>
      </w:pPr>
      <w:r>
        <w:rPr/>
        <w:t>First, it should avoid false certainty, where uncertain estimates are presented as known facts.</w:t>
      </w:r>
    </w:p>
    <w:p>
      <w:pPr>
        <w:pStyle w:val="BodyText"/>
        <w:spacing w:before="0" w:after="200"/>
        <w:rPr/>
      </w:pPr>
      <w:r>
        <w:rPr/>
        <w:t>Second, it should avoid uncertainty paralysis, where incomplete information prevents any assessment even when action is required.</w:t>
      </w:r>
    </w:p>
    <w:p>
      <w:pPr>
        <w:pStyle w:val="BodyText"/>
        <w:spacing w:before="0" w:after="200"/>
        <w:rPr/>
      </w:pPr>
      <w:r>
        <w:rPr/>
        <w:t>Third, it should avoid probability-only reasoning, where severity, reversibility, and materiality are ignored.</w:t>
      </w:r>
    </w:p>
    <w:p>
      <w:pPr>
        <w:pStyle w:val="BodyText"/>
        <w:spacing w:before="0" w:after="200"/>
        <w:rPr/>
      </w:pPr>
      <w:r>
        <w:rPr/>
        <w:t>Fourth, it should avoid confidence collapse, where all uncertainties are merged into one vague confidence statement.</w:t>
      </w:r>
    </w:p>
    <w:p>
      <w:pPr>
        <w:pStyle w:val="BodyText"/>
        <w:spacing w:before="0" w:after="200"/>
        <w:rPr/>
      </w:pPr>
      <w:r>
        <w:rPr/>
        <w:t>Fifth, it should avoid horizon blindness, where uncertainty across time is not represented.</w:t>
      </w:r>
    </w:p>
    <w:p>
      <w:pPr>
        <w:pStyle w:val="BodyText"/>
        <w:spacing w:before="0" w:after="200"/>
        <w:rPr/>
      </w:pPr>
      <w:r>
        <w:rPr/>
        <w:t>Sixth, it should avoid model overconfidence, where the limits of the model are mistaken for the limits of reality.</w:t>
      </w:r>
    </w:p>
    <w:p>
      <w:pPr>
        <w:pStyle w:val="BodyText"/>
        <w:spacing w:before="0" w:after="200"/>
        <w:rPr/>
      </w:pPr>
      <w:r>
        <w:rPr/>
        <w:t>Seventh, it should avoid evidence neglect, where new evidence does not update the assessment.</w:t>
      </w:r>
    </w:p>
    <w:p>
      <w:pPr>
        <w:pStyle w:val="BodyText"/>
        <w:spacing w:before="0" w:after="200"/>
        <w:rPr/>
      </w:pPr>
      <w:r>
        <w:rPr/>
        <w:t>Eighth, it should avoid speculative inflation, where weakly supported possibilities are treated as decisive without evidence or confidence limits.</w:t>
      </w:r>
    </w:p>
    <w:p>
      <w:pPr>
        <w:pStyle w:val="BodyText"/>
        <w:spacing w:before="0" w:after="200"/>
        <w:rPr/>
      </w:pPr>
      <w:r>
        <w:rPr/>
        <w:t>A robust Stochastic Assessment should balance humility with actionability.</w:t>
      </w:r>
    </w:p>
    <w:p>
      <w:pPr>
        <w:pStyle w:val="Heading3"/>
        <w:ind w:hanging="0" w:left="0"/>
        <w:rPr/>
      </w:pPr>
      <w:r>
        <w:rPr/>
        <w:t>Methodological Boundary</w:t>
      </w:r>
    </w:p>
    <w:p>
      <w:pPr>
        <w:pStyle w:val="BodyText"/>
        <w:spacing w:before="0" w:after="200"/>
        <w:rPr/>
      </w:pPr>
      <w:r>
        <w:rPr/>
        <w:t>This section defines the role of uncertainty, probability, confidence, incomplete information, Bayesian-style updates, model uncertainty, and prediction uncertainty within the Moral Assessment Methodology.</w:t>
      </w:r>
    </w:p>
    <w:p>
      <w:pPr>
        <w:pStyle w:val="BodyText"/>
        <w:spacing w:before="0" w:after="200"/>
        <w:rPr/>
      </w:pPr>
      <w:r>
        <w:rPr/>
        <w:t>It does not prescribe a final probability calculus, Bayesian formalism, simulation method, scoring rule, confidence algorithm, or implementation-specific model. Those may be developed in later formal sections, appendices, or implementations.</w:t>
      </w:r>
    </w:p>
    <w:p>
      <w:pPr>
        <w:pStyle w:val="BodyText"/>
        <w:spacing w:before="0" w:after="200"/>
        <w:rPr/>
      </w:pPr>
      <w:r>
        <w:rPr/>
        <w:t>The methodological requirement is that uncertainty be explicit, confidence be propagated, evidence updates be incorporated, and conclusions remain bounded by the reliability of the information and models used.</w:t>
      </w:r>
    </w:p>
    <w:p>
      <w:pPr>
        <w:pStyle w:val="BodyText"/>
        <w:spacing w:before="0" w:after="200"/>
        <w:rPr/>
      </w:pPr>
      <w:r>
        <w:rPr/>
        <w:t>A moral assessment that ignores uncertainty risks false precision. A moral assessment that refuses to act under uncertainty risks moral paralysis. Stochastic Assessment provides the framework for responsible, transparent, confidence-bounded moral reasoning under incomplete knowledge.</w:t>
      </w:r>
    </w:p>
    <w:p>
      <w:pPr>
        <w:pStyle w:val="Normal"/>
        <w:widowControl/>
        <w:bidi w:val="0"/>
        <w:spacing w:lineRule="auto" w:line="276"/>
        <w:jc w:val="left"/>
        <w:rPr/>
      </w:pPr>
      <w:r>
        <w:rPr/>
      </w:r>
    </w:p>
    <w:p>
      <w:pPr>
        <w:pStyle w:val="Heading2"/>
        <w:ind w:hanging="0" w:left="0"/>
        <w:rPr/>
      </w:pPr>
      <w:r>
        <w:rPr/>
        <w:t>Probability</w:t>
      </w:r>
    </w:p>
    <w:p>
      <w:pPr>
        <w:pStyle w:val="BodyText"/>
        <w:spacing w:before="0" w:after="200"/>
        <w:rPr/>
      </w:pPr>
      <w:r>
        <w:rPr/>
        <w:t>Probability describes the estimated likelihood that a state, event, consequence, transition, policy update, flourishing change, or World Context Transition will occur, has occurred, or is causally connected to the Assessed Action.</w:t>
      </w:r>
    </w:p>
    <w:p>
      <w:pPr>
        <w:pStyle w:val="BodyText"/>
        <w:spacing w:before="0" w:after="200"/>
        <w:rPr/>
      </w:pPr>
      <w:r>
        <w:rPr/>
        <w:t>The Moral Assessment Methodology uses probability because moral assessment often concerns uncertain conditions and possible futures. The full World Context is never completely known. Evidence is often incomplete. The Actor’s Decision Context may be disputed. Consequences may unfold through uncertain causal pathways. Distributed Policy Updates may propagate through multiple agents and institutions. Long-Term Flourishing may change differently across horizons. Future state space cannot be represented with certainty.</w:t>
      </w:r>
    </w:p>
    <w:p>
      <w:pPr>
        <w:pStyle w:val="BodyText"/>
        <w:spacing w:before="0" w:after="200"/>
        <w:rPr/>
      </w:pPr>
      <w:r>
        <w:rPr/>
        <w:t>Probability allows the methodology to represent these uncertainties without pretending they do not exist and without refusing assessment whenever certainty is unavailable.</w:t>
      </w:r>
    </w:p>
    <w:p>
      <w:pPr>
        <w:pStyle w:val="BodyText"/>
        <w:spacing w:before="0" w:after="200"/>
        <w:rPr/>
      </w:pPr>
      <w:r>
        <w:rPr/>
        <w:t>Probability is not the same as moral judgment. A probable outcome may be harmful. An improbable outcome may be morally significant if the harm would be severe, irreversible, systemic, or civilizational. Probability is one component of moral assessment, not the assessment itself.</w:t>
      </w:r>
    </w:p>
    <w:p>
      <w:pPr>
        <w:pStyle w:val="Heading3"/>
        <w:ind w:hanging="0" w:left="0"/>
        <w:rPr/>
      </w:pPr>
      <w:r>
        <w:rPr/>
        <w:t>Purpose of Probability in Moral Assessment</w:t>
      </w:r>
    </w:p>
    <w:p>
      <w:pPr>
        <w:pStyle w:val="BodyText"/>
        <w:spacing w:before="0" w:after="200"/>
        <w:rPr/>
      </w:pPr>
      <w:r>
        <w:rPr/>
        <w:t>The purpose of probability is to support disciplined reasoning under uncertainty.</w:t>
      </w:r>
    </w:p>
    <w:p>
      <w:pPr>
        <w:pStyle w:val="BodyText"/>
        <w:spacing w:before="0" w:after="200"/>
        <w:rPr/>
      </w:pPr>
      <w:r>
        <w:rPr/>
        <w:t>Probability allows the methodology to estimate which consequences are likely, which transitions are plausible, which policy updates may occur, which harms are remote, which benefits are speculative, and which possible World Contexts deserve serious consideration.</w:t>
      </w:r>
    </w:p>
    <w:p>
      <w:pPr>
        <w:pStyle w:val="BodyText"/>
        <w:spacing w:before="0" w:after="200"/>
        <w:rPr/>
      </w:pPr>
      <w:r>
        <w:rPr/>
        <w:t>Probability supports several methodological functions:</w:t>
      </w:r>
    </w:p>
    <w:p>
      <w:pPr>
        <w:pStyle w:val="BodyText"/>
        <w:spacing w:before="0" w:after="200"/>
        <w:rPr/>
      </w:pPr>
      <w:r>
        <w:rPr/>
        <w:t>It helps estimate likely State Transitions.</w:t>
      </w:r>
    </w:p>
    <w:p>
      <w:pPr>
        <w:pStyle w:val="BodyText"/>
        <w:spacing w:before="0" w:after="200"/>
        <w:rPr/>
      </w:pPr>
      <w:r>
        <w:rPr/>
        <w:t>It helps compare candidate actions under uncertainty.</w:t>
      </w:r>
    </w:p>
    <w:p>
      <w:pPr>
        <w:pStyle w:val="BodyText"/>
        <w:spacing w:before="0" w:after="200"/>
        <w:rPr/>
      </w:pPr>
      <w:r>
        <w:rPr/>
        <w:t>It helps represent competing transition scenarios.</w:t>
      </w:r>
    </w:p>
    <w:p>
      <w:pPr>
        <w:pStyle w:val="BodyText"/>
        <w:spacing w:before="0" w:after="200"/>
        <w:rPr/>
      </w:pPr>
      <w:r>
        <w:rPr/>
        <w:t>It helps distinguish likely harms from speculative harms.</w:t>
      </w:r>
    </w:p>
    <w:p>
      <w:pPr>
        <w:pStyle w:val="BodyText"/>
        <w:spacing w:before="0" w:after="200"/>
        <w:rPr/>
      </w:pPr>
      <w:r>
        <w:rPr/>
        <w:t>It helps identify low-probability, high-severity risks.</w:t>
      </w:r>
    </w:p>
    <w:p>
      <w:pPr>
        <w:pStyle w:val="BodyText"/>
        <w:spacing w:before="0" w:after="200"/>
        <w:rPr/>
      </w:pPr>
      <w:r>
        <w:rPr/>
        <w:t>It helps update assessments when new evidence becomes available.</w:t>
      </w:r>
    </w:p>
    <w:p>
      <w:pPr>
        <w:pStyle w:val="BodyText"/>
        <w:spacing w:before="0" w:after="200"/>
        <w:rPr/>
      </w:pPr>
      <w:r>
        <w:rPr/>
        <w:t>It helps express confidence-bounded conclusions.</w:t>
      </w:r>
    </w:p>
    <w:p>
      <w:pPr>
        <w:pStyle w:val="BodyText"/>
        <w:spacing w:before="0" w:after="200"/>
        <w:rPr/>
      </w:pPr>
      <w:r>
        <w:rPr/>
        <w:t>It helps avoid both false certainty and moral paralysis.</w:t>
      </w:r>
    </w:p>
    <w:p>
      <w:pPr>
        <w:pStyle w:val="BodyText"/>
        <w:spacing w:before="0" w:after="200"/>
        <w:rPr/>
      </w:pPr>
      <w:r>
        <w:rPr/>
        <w:t>Probability should therefore be used to make uncertainty explicit, not to conceal it behind technical language or false precision.</w:t>
      </w:r>
    </w:p>
    <w:p>
      <w:pPr>
        <w:pStyle w:val="Heading3"/>
        <w:ind w:hanging="0" w:left="0"/>
        <w:rPr/>
      </w:pPr>
      <w:r>
        <w:rPr/>
        <w:t>Probability as Likelihood, Not Moral Weight</w:t>
      </w:r>
    </w:p>
    <w:p>
      <w:pPr>
        <w:pStyle w:val="BodyText"/>
        <w:spacing w:before="0" w:after="200"/>
        <w:rPr/>
      </w:pPr>
      <w:r>
        <w:rPr/>
        <w:t>Probability represents likelihood, not moral weight.</w:t>
      </w:r>
    </w:p>
    <w:p>
      <w:pPr>
        <w:pStyle w:val="BodyText"/>
        <w:spacing w:before="0" w:after="200"/>
        <w:rPr/>
      </w:pPr>
      <w:r>
        <w:rPr/>
        <w:t>A highly probable consequence is not necessarily morally decisive. A low-probability consequence is not necessarily irrelevant. Moral significance depends on probability, severity, reversibility, affected entities, materiality, time horizon, policy effects, institutional effects, and future state-space consequences.</w:t>
      </w:r>
    </w:p>
    <w:p>
      <w:pPr>
        <w:pStyle w:val="BodyText"/>
        <w:spacing w:before="0" w:after="200"/>
        <w:rPr/>
      </w:pPr>
      <w:r>
        <w:rPr/>
        <w:t>For example, a minor inconvenience that is highly probable may matter less than a low-probability catastrophic failure. A likely short-term benefit may matter less than a plausible long-term institutional degradation. A probable operational success may not justify a detrimental Actor Policy Update that makes future harmful conduct more likely.</w:t>
      </w:r>
    </w:p>
    <w:p>
      <w:pPr>
        <w:pStyle w:val="BodyText"/>
        <w:spacing w:before="0" w:after="200"/>
        <w:rPr/>
      </w:pPr>
      <w:r>
        <w:rPr/>
        <w:t>The methodology should therefore evaluate probability together with materiality. Probability helps estimate likelihood; it does not by itself determine moral importance.</w:t>
      </w:r>
    </w:p>
    <w:p>
      <w:pPr>
        <w:pStyle w:val="Heading3"/>
        <w:ind w:hanging="0" w:left="0"/>
        <w:rPr/>
      </w:pPr>
      <w:r>
        <w:rPr/>
        <w:t>Probability Objects</w:t>
      </w:r>
    </w:p>
    <w:p>
      <w:pPr>
        <w:pStyle w:val="BodyText"/>
        <w:spacing w:before="0" w:after="200"/>
        <w:rPr/>
      </w:pPr>
      <w:r>
        <w:rPr/>
        <w:t>The methodology may assign probability estimates to different kinds of assessment objects.</w:t>
      </w:r>
    </w:p>
    <w:p>
      <w:pPr>
        <w:pStyle w:val="BodyText"/>
        <w:spacing w:before="0" w:after="200"/>
        <w:rPr/>
      </w:pPr>
      <w:r>
        <w:rPr/>
        <w:t>These may include:</w:t>
      </w:r>
    </w:p>
    <w:p>
      <w:pPr>
        <w:pStyle w:val="BodyText"/>
        <w:spacing w:before="0" w:after="200"/>
        <w:rPr/>
      </w:pPr>
      <w:r>
        <w:rPr/>
        <w:t>The probability that a baseline state is accurately represented.</w:t>
      </w:r>
    </w:p>
    <w:p>
      <w:pPr>
        <w:pStyle w:val="BodyText"/>
        <w:spacing w:before="0" w:after="200"/>
        <w:rPr/>
      </w:pPr>
      <w:r>
        <w:rPr/>
        <w:t>The probability that a particular consequence will occur.</w:t>
      </w:r>
    </w:p>
    <w:p>
      <w:pPr>
        <w:pStyle w:val="BodyText"/>
        <w:spacing w:before="0" w:after="200"/>
        <w:rPr/>
      </w:pPr>
      <w:r>
        <w:rPr/>
        <w:t>The probability that a consequence was caused by the Assessed Action.</w:t>
      </w:r>
    </w:p>
    <w:p>
      <w:pPr>
        <w:pStyle w:val="BodyText"/>
        <w:spacing w:before="0" w:after="200"/>
        <w:rPr/>
      </w:pPr>
      <w:r>
        <w:rPr/>
        <w:t>The probability that an entity will be affected.</w:t>
      </w:r>
    </w:p>
    <w:p>
      <w:pPr>
        <w:pStyle w:val="BodyText"/>
        <w:spacing w:before="0" w:after="200"/>
        <w:rPr/>
      </w:pPr>
      <w:r>
        <w:rPr/>
        <w:t>The probability that an Association will change.</w:t>
      </w:r>
    </w:p>
    <w:p>
      <w:pPr>
        <w:pStyle w:val="BodyText"/>
        <w:spacing w:before="0" w:after="200"/>
        <w:rPr/>
      </w:pPr>
      <w:r>
        <w:rPr/>
        <w:t>The probability that a policy update will occur.</w:t>
      </w:r>
    </w:p>
    <w:p>
      <w:pPr>
        <w:pStyle w:val="BodyText"/>
        <w:spacing w:before="0" w:after="200"/>
        <w:rPr/>
      </w:pPr>
      <w:r>
        <w:rPr/>
        <w:t>The probability that a Distributed Policy Effect will propagate.</w:t>
      </w:r>
    </w:p>
    <w:p>
      <w:pPr>
        <w:pStyle w:val="BodyText"/>
        <w:spacing w:before="0" w:after="200"/>
        <w:rPr/>
      </w:pPr>
      <w:r>
        <w:rPr/>
        <w:t>The probability that Long-Term Flourishing will increase or diminish.</w:t>
      </w:r>
    </w:p>
    <w:p>
      <w:pPr>
        <w:pStyle w:val="BodyText"/>
        <w:spacing w:before="0" w:after="200"/>
        <w:rPr/>
      </w:pPr>
      <w:r>
        <w:rPr/>
        <w:t>The probability that material diminishment will occur.</w:t>
      </w:r>
    </w:p>
    <w:p>
      <w:pPr>
        <w:pStyle w:val="BodyText"/>
        <w:spacing w:before="0" w:after="200"/>
        <w:rPr/>
      </w:pPr>
      <w:r>
        <w:rPr/>
        <w:t>The probability that an institution will respond in a particular way.</w:t>
      </w:r>
    </w:p>
    <w:p>
      <w:pPr>
        <w:pStyle w:val="BodyText"/>
        <w:spacing w:before="0" w:after="200"/>
        <w:rPr/>
      </w:pPr>
      <w:r>
        <w:rPr/>
        <w:t>The probability that future opportunities will be preserved or foreclosed.</w:t>
      </w:r>
    </w:p>
    <w:p>
      <w:pPr>
        <w:pStyle w:val="BodyText"/>
        <w:spacing w:before="0" w:after="200"/>
        <w:rPr/>
      </w:pPr>
      <w:r>
        <w:rPr/>
        <w:t>The probability that future state space will expand, narrow, or destabilize.</w:t>
      </w:r>
    </w:p>
    <w:p>
      <w:pPr>
        <w:pStyle w:val="BodyText"/>
        <w:spacing w:before="0" w:after="200"/>
        <w:rPr/>
      </w:pPr>
      <w:r>
        <w:rPr/>
        <w:t>The probability that a particular World Context₁ scenario will result.</w:t>
      </w:r>
    </w:p>
    <w:p>
      <w:pPr>
        <w:pStyle w:val="BodyText"/>
        <w:spacing w:before="0" w:after="200"/>
        <w:rPr/>
      </w:pPr>
      <w:r>
        <w:rPr/>
        <w:t>The methodology should identify what the probability estimate refers to. A probability estimate is ambiguous unless the event, state, transition, or scenario being estimated is clearly defined.</w:t>
      </w:r>
    </w:p>
    <w:p>
      <w:pPr>
        <w:pStyle w:val="Heading3"/>
        <w:ind w:hanging="0" w:left="0"/>
        <w:rPr/>
      </w:pPr>
      <w:r>
        <w:rPr/>
        <w:t>Probability and Confidence</w:t>
      </w:r>
    </w:p>
    <w:p>
      <w:pPr>
        <w:pStyle w:val="BodyText"/>
        <w:spacing w:before="0" w:after="200"/>
        <w:rPr/>
      </w:pPr>
      <w:r>
        <w:rPr/>
        <w:t>Probability and confidence are related but distinct.</w:t>
      </w:r>
    </w:p>
    <w:p>
      <w:pPr>
        <w:pStyle w:val="BodyText"/>
        <w:spacing w:before="0" w:after="200"/>
        <w:rPr/>
      </w:pPr>
      <w:r>
        <w:rPr/>
        <w:t>Probability estimates likelihood. Confidence estimates how reliable the probability estimate is.</w:t>
      </w:r>
    </w:p>
    <w:p>
      <w:pPr>
        <w:pStyle w:val="BodyText"/>
        <w:spacing w:before="0" w:after="200"/>
        <w:rPr/>
      </w:pPr>
      <w:r>
        <w:rPr/>
        <w:t>For example, an assessment may estimate that a harmful institutional response is highly probable, but with low confidence because the evidence is weak. Another assessment may estimate that a catastrophic failure is low probability, but with moderate confidence because the causal model is well understood. A third assessment may estimate that an immediate consequence is highly probable with high confidence because it is directly evidenced.</w:t>
      </w:r>
    </w:p>
    <w:p>
      <w:pPr>
        <w:pStyle w:val="BodyText"/>
        <w:spacing w:before="0" w:after="200"/>
        <w:rPr/>
      </w:pPr>
      <w:r>
        <w:rPr/>
        <w:t>The methodology should therefore avoid treating probability and confidence as interchangeable.</w:t>
      </w:r>
    </w:p>
    <w:p>
      <w:pPr>
        <w:pStyle w:val="BodyText"/>
        <w:spacing w:before="0" w:after="200"/>
        <w:rPr/>
      </w:pPr>
      <w:r>
        <w:rPr/>
        <w:t>A useful assessment should distinguish:</w:t>
      </w:r>
    </w:p>
    <w:p>
      <w:pPr>
        <w:pStyle w:val="BodyText"/>
        <w:spacing w:before="0" w:after="200"/>
        <w:rPr/>
      </w:pPr>
      <w:r>
        <w:rPr/>
        <w:t>The probability of the event or transition.</w:t>
      </w:r>
    </w:p>
    <w:p>
      <w:pPr>
        <w:pStyle w:val="BodyText"/>
        <w:spacing w:before="0" w:after="200"/>
        <w:rPr/>
      </w:pPr>
      <w:r>
        <w:rPr/>
        <w:t>The confidence in that probability estimate.</w:t>
      </w:r>
    </w:p>
    <w:p>
      <w:pPr>
        <w:pStyle w:val="BodyText"/>
        <w:spacing w:before="0" w:after="200"/>
        <w:rPr/>
      </w:pPr>
      <w:r>
        <w:rPr/>
        <w:t>The evidence supporting the estimate.</w:t>
      </w:r>
    </w:p>
    <w:p>
      <w:pPr>
        <w:pStyle w:val="BodyText"/>
        <w:spacing w:before="0" w:after="200"/>
        <w:rPr/>
      </w:pPr>
      <w:r>
        <w:rPr/>
        <w:t>The uncertainty affecting the estimate.</w:t>
      </w:r>
    </w:p>
    <w:p>
      <w:pPr>
        <w:pStyle w:val="BodyText"/>
        <w:spacing w:before="0" w:after="200"/>
        <w:rPr/>
      </w:pPr>
      <w:r>
        <w:rPr/>
        <w:t>The assessment horizon to which the estimate applies.</w:t>
      </w:r>
    </w:p>
    <w:p>
      <w:pPr>
        <w:pStyle w:val="BodyText"/>
        <w:spacing w:before="0" w:after="200"/>
        <w:rPr/>
      </w:pPr>
      <w:r>
        <w:rPr/>
        <w:t>The materiality of the estimated event or transition.</w:t>
      </w:r>
    </w:p>
    <w:p>
      <w:pPr>
        <w:pStyle w:val="BodyText"/>
        <w:spacing w:before="0" w:after="200"/>
        <w:rPr/>
      </w:pPr>
      <w:r>
        <w:rPr/>
        <w:t>This distinction is essential because a numerical or qualitative probability without confidence can create false precision.</w:t>
      </w:r>
    </w:p>
    <w:p>
      <w:pPr>
        <w:pStyle w:val="Heading3"/>
        <w:ind w:hanging="0" w:left="0"/>
        <w:rPr/>
      </w:pPr>
      <w:r>
        <w:rPr/>
        <w:t>Confidence as Reliability of Assessment</w:t>
      </w:r>
    </w:p>
    <w:p>
      <w:pPr>
        <w:pStyle w:val="BodyText"/>
        <w:spacing w:before="0" w:after="200"/>
        <w:rPr/>
      </w:pPr>
      <w:r>
        <w:rPr/>
        <w:t>Confidence represents the reliability of an assessment component given the available evidence, assumptions, model quality, uncertainty, and prediction difficulty.</w:t>
      </w:r>
    </w:p>
    <w:p>
      <w:pPr>
        <w:pStyle w:val="BodyText"/>
        <w:spacing w:before="0" w:after="200"/>
        <w:rPr/>
      </w:pPr>
      <w:r>
        <w:rPr/>
        <w:t>Confidence may attach to the baseline state, the evidence, the causal pathway, the predicted consequence, the policy update, the flourishing transition, the aggregate flourishing estimate, or the World Context Transition. Confidence may also attach to the final Moral Assessment.</w:t>
      </w:r>
    </w:p>
    <w:p>
      <w:pPr>
        <w:pStyle w:val="BodyText"/>
        <w:spacing w:before="0" w:after="200"/>
        <w:rPr/>
      </w:pPr>
      <w:r>
        <w:rPr/>
        <w:t>Confidence should reflect:</w:t>
      </w:r>
    </w:p>
    <w:p>
      <w:pPr>
        <w:pStyle w:val="BodyText"/>
        <w:spacing w:before="0" w:after="200"/>
        <w:rPr/>
      </w:pPr>
      <w:r>
        <w:rPr/>
        <w:t>Evidence quality.</w:t>
      </w:r>
    </w:p>
    <w:p>
      <w:pPr>
        <w:pStyle w:val="BodyText"/>
        <w:spacing w:before="0" w:after="200"/>
        <w:rPr/>
      </w:pPr>
      <w:r>
        <w:rPr/>
        <w:t>Evidence completeness.</w:t>
      </w:r>
    </w:p>
    <w:p>
      <w:pPr>
        <w:pStyle w:val="BodyText"/>
        <w:spacing w:before="0" w:after="200"/>
        <w:rPr/>
      </w:pPr>
      <w:r>
        <w:rPr/>
        <w:t>Evidence relevance.</w:t>
      </w:r>
    </w:p>
    <w:p>
      <w:pPr>
        <w:pStyle w:val="BodyText"/>
        <w:spacing w:before="0" w:after="200"/>
        <w:rPr/>
      </w:pPr>
      <w:r>
        <w:rPr/>
        <w:t>Source reliability.</w:t>
      </w:r>
    </w:p>
    <w:p>
      <w:pPr>
        <w:pStyle w:val="BodyText"/>
        <w:spacing w:before="0" w:after="200"/>
        <w:rPr/>
      </w:pPr>
      <w:r>
        <w:rPr/>
        <w:t>Baseline uncertainty.</w:t>
      </w:r>
    </w:p>
    <w:p>
      <w:pPr>
        <w:pStyle w:val="BodyText"/>
        <w:spacing w:before="0" w:after="200"/>
        <w:rPr/>
      </w:pPr>
      <w:r>
        <w:rPr/>
        <w:t>Causal uncertainty.</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Horizon distance.</w:t>
      </w:r>
    </w:p>
    <w:p>
      <w:pPr>
        <w:pStyle w:val="BodyText"/>
        <w:spacing w:before="0" w:after="200"/>
        <w:rPr/>
      </w:pPr>
      <w:r>
        <w:rPr/>
        <w:t>Conflicting evidence.</w:t>
      </w:r>
    </w:p>
    <w:p>
      <w:pPr>
        <w:pStyle w:val="BodyText"/>
        <w:spacing w:before="0" w:after="200"/>
        <w:rPr/>
      </w:pPr>
      <w:r>
        <w:rPr/>
        <w:t>Entity-classification uncertainty.</w:t>
      </w:r>
    </w:p>
    <w:p>
      <w:pPr>
        <w:pStyle w:val="BodyText"/>
        <w:spacing w:before="0" w:after="200"/>
        <w:rPr/>
      </w:pPr>
      <w:r>
        <w:rPr/>
        <w:t>Uncertainty in Long-Term Flourishing formalization.</w:t>
      </w:r>
    </w:p>
    <w:p>
      <w:pPr>
        <w:pStyle w:val="BodyText"/>
        <w:spacing w:before="0" w:after="200"/>
        <w:rPr/>
      </w:pPr>
      <w:r>
        <w:rPr/>
        <w:t>Uncertainty in Distributed Policy Updates.</w:t>
      </w:r>
    </w:p>
    <w:p>
      <w:pPr>
        <w:pStyle w:val="BodyText"/>
        <w:spacing w:before="0" w:after="200"/>
        <w:rPr/>
      </w:pPr>
      <w:r>
        <w:rPr/>
        <w:t>Computational or representational limits.</w:t>
      </w:r>
    </w:p>
    <w:p>
      <w:pPr>
        <w:pStyle w:val="BodyText"/>
        <w:spacing w:before="0" w:after="200"/>
        <w:rPr/>
      </w:pPr>
      <w:r>
        <w:rPr/>
        <w:t>A final assessment should not present high confidence if its most material components depend on weak evidence, fragile assumptions, or highly uncertain predictions.</w:t>
      </w:r>
    </w:p>
    <w:p>
      <w:pPr>
        <w:pStyle w:val="Heading3"/>
        <w:ind w:hanging="0" w:left="0"/>
        <w:rPr/>
      </w:pPr>
      <w:r>
        <w:rPr/>
        <w:t>Confidence Levels and Confidence Bands</w:t>
      </w:r>
    </w:p>
    <w:p>
      <w:pPr>
        <w:pStyle w:val="BodyText"/>
        <w:spacing w:before="0" w:after="200"/>
        <w:rPr/>
      </w:pPr>
      <w:r>
        <w:rPr/>
        <w:t>The methodology may represent confidence through qualitative levels, numerical estimates, probability ranges, confidence bands, or structured descriptors.</w:t>
      </w:r>
    </w:p>
    <w:p>
      <w:pPr>
        <w:pStyle w:val="BodyText"/>
        <w:spacing w:before="0" w:after="200"/>
        <w:rPr/>
      </w:pPr>
      <w:r>
        <w:rPr/>
        <w:t>For example, an implementation may use categories such as high confidence, moderate confidence, low confidence, or indeterminate confidence. Another implementation may use numerical confidence ranges. Another may represent confidence through scenario plausibility and evidence strength.</w:t>
      </w:r>
    </w:p>
    <w:p>
      <w:pPr>
        <w:pStyle w:val="BodyText"/>
        <w:spacing w:before="0" w:after="200"/>
        <w:rPr/>
      </w:pPr>
      <w:r>
        <w:rPr/>
        <w:t>The methodology does not require a single confidence scale. It requires that confidence be explicit, traceable, and appropriate to the evidence.</w:t>
      </w:r>
    </w:p>
    <w:p>
      <w:pPr>
        <w:pStyle w:val="BodyText"/>
        <w:spacing w:before="0" w:after="200"/>
        <w:rPr/>
      </w:pPr>
      <w:r>
        <w:rPr/>
        <w:t>A confidence representation should indicate:</w:t>
      </w:r>
    </w:p>
    <w:p>
      <w:pPr>
        <w:pStyle w:val="BodyText"/>
        <w:spacing w:before="0" w:after="200"/>
        <w:rPr/>
      </w:pPr>
      <w:r>
        <w:rPr/>
        <w:t>What conclusion the confidence value applies to.</w:t>
      </w:r>
    </w:p>
    <w:p>
      <w:pPr>
        <w:pStyle w:val="BodyText"/>
        <w:spacing w:before="0" w:after="200"/>
        <w:rPr/>
      </w:pPr>
      <w:r>
        <w:rPr/>
        <w:t>What evidence supports the conclusion.</w:t>
      </w:r>
    </w:p>
    <w:p>
      <w:pPr>
        <w:pStyle w:val="BodyText"/>
        <w:spacing w:before="0" w:after="200"/>
        <w:rPr/>
      </w:pPr>
      <w:r>
        <w:rPr/>
        <w:t>What uncertainty reduces confidence.</w:t>
      </w:r>
    </w:p>
    <w:p>
      <w:pPr>
        <w:pStyle w:val="BodyText"/>
        <w:spacing w:before="0" w:after="200"/>
        <w:rPr/>
      </w:pPr>
      <w:r>
        <w:rPr/>
        <w:t>Whether confidence differs across horizons.</w:t>
      </w:r>
    </w:p>
    <w:p>
      <w:pPr>
        <w:pStyle w:val="BodyText"/>
        <w:spacing w:before="0" w:after="200"/>
        <w:rPr/>
      </w:pPr>
      <w:r>
        <w:rPr/>
        <w:t>Whether confidence differs across entities or dimensions.</w:t>
      </w:r>
    </w:p>
    <w:p>
      <w:pPr>
        <w:pStyle w:val="BodyText"/>
        <w:spacing w:before="0" w:after="200"/>
        <w:rPr/>
      </w:pPr>
      <w:r>
        <w:rPr/>
        <w:t>Whether confidence would change with additional evidence.</w:t>
      </w:r>
    </w:p>
    <w:p>
      <w:pPr>
        <w:pStyle w:val="BodyText"/>
        <w:spacing w:before="0" w:after="200"/>
        <w:rPr/>
      </w:pPr>
      <w:r>
        <w:rPr/>
        <w:t>Confidence should not be used as a rhetorical signal of certainty. It should function as an assessment artifact that allows later review, revision, and comparison.</w:t>
      </w:r>
    </w:p>
    <w:p>
      <w:pPr>
        <w:pStyle w:val="Heading3"/>
        <w:ind w:hanging="0" w:left="0"/>
        <w:rPr/>
      </w:pPr>
      <w:r>
        <w:rPr/>
        <w:t>Probability Under Incomplete Information</w:t>
      </w:r>
    </w:p>
    <w:p>
      <w:pPr>
        <w:pStyle w:val="BodyText"/>
        <w:spacing w:before="0" w:after="200"/>
        <w:rPr/>
      </w:pPr>
      <w:r>
        <w:rPr/>
        <w:t>Probability estimates are often made under incomplete information.</w:t>
      </w:r>
    </w:p>
    <w:p>
      <w:pPr>
        <w:pStyle w:val="BodyText"/>
        <w:spacing w:before="0" w:after="200"/>
        <w:rPr/>
      </w:pPr>
      <w:r>
        <w:rPr/>
        <w:t>Incomplete information may concern the baseline World Context, the Actor’s Decision Context, the Accessible Context, affected entities, causal mechanisms, future responses, institutional behavior, Long-Term Flourishing dimensions, or future state space.</w:t>
      </w:r>
    </w:p>
    <w:p>
      <w:pPr>
        <w:pStyle w:val="BodyText"/>
        <w:spacing w:before="0" w:after="200"/>
        <w:rPr/>
      </w:pPr>
      <w:r>
        <w:rPr/>
        <w:t>When information is incomplete, the methodology should not automatically refuse assessment. It should estimate probability where possible, identify missing information, reduce confidence where appropriate, and indicate whether additional evidence is required before action.</w:t>
      </w:r>
    </w:p>
    <w:p>
      <w:pPr>
        <w:pStyle w:val="BodyText"/>
        <w:spacing w:before="0" w:after="200"/>
        <w:rPr/>
      </w:pPr>
      <w:r>
        <w:rPr/>
        <w:t>The assessment should distinguish:</w:t>
      </w:r>
    </w:p>
    <w:p>
      <w:pPr>
        <w:pStyle w:val="BodyText"/>
        <w:spacing w:before="0" w:after="200"/>
        <w:rPr/>
      </w:pPr>
      <w:r>
        <w:rPr/>
        <w:t>Information that is missing but immaterial.</w:t>
      </w:r>
    </w:p>
    <w:p>
      <w:pPr>
        <w:pStyle w:val="BodyText"/>
        <w:spacing w:before="0" w:after="200"/>
        <w:rPr/>
      </w:pPr>
      <w:r>
        <w:rPr/>
        <w:t>Information that is missing and material.</w:t>
      </w:r>
    </w:p>
    <w:p>
      <w:pPr>
        <w:pStyle w:val="BodyText"/>
        <w:spacing w:before="0" w:after="200"/>
        <w:rPr/>
      </w:pPr>
      <w:r>
        <w:rPr/>
        <w:t>Information that was unavailable despite reasonable diligence.</w:t>
      </w:r>
    </w:p>
    <w:p>
      <w:pPr>
        <w:pStyle w:val="BodyText"/>
        <w:spacing w:before="0" w:after="200"/>
        <w:rPr/>
      </w:pPr>
      <w:r>
        <w:rPr/>
        <w:t>Information that was reasonably obtainable but ignored.</w:t>
      </w:r>
    </w:p>
    <w:p>
      <w:pPr>
        <w:pStyle w:val="BodyText"/>
        <w:spacing w:before="0" w:after="200"/>
        <w:rPr/>
      </w:pPr>
      <w:r>
        <w:rPr/>
        <w:t>Information that became available only after the action.</w:t>
      </w:r>
    </w:p>
    <w:p>
      <w:pPr>
        <w:pStyle w:val="BodyText"/>
        <w:spacing w:before="0" w:after="200"/>
        <w:rPr/>
      </w:pPr>
      <w:r>
        <w:rPr/>
        <w:t>Information that would likely change the assessment if obtained.</w:t>
      </w:r>
    </w:p>
    <w:p>
      <w:pPr>
        <w:pStyle w:val="BodyText"/>
        <w:spacing w:before="0" w:after="200"/>
        <w:rPr/>
      </w:pPr>
      <w:r>
        <w:rPr/>
        <w:t>Incomplete information affects both probability and confidence. It may widen probability ranges, require scenario analysis, lower confidence, or trigger precautionary reasoning when severe harm is possible.</w:t>
      </w:r>
    </w:p>
    <w:p>
      <w:pPr>
        <w:pStyle w:val="Heading3"/>
        <w:ind w:hanging="0" w:left="0"/>
        <w:rPr/>
      </w:pPr>
      <w:r>
        <w:rPr/>
        <w:t>Probability and Epistemic Responsibility</w:t>
      </w:r>
    </w:p>
    <w:p>
      <w:pPr>
        <w:pStyle w:val="BodyText"/>
        <w:spacing w:before="0" w:after="200"/>
        <w:rPr/>
      </w:pPr>
      <w:r>
        <w:rPr/>
        <w:t>Probability estimation should be connected to epistemic responsibility.</w:t>
      </w:r>
    </w:p>
    <w:p>
      <w:pPr>
        <w:pStyle w:val="BodyText"/>
        <w:spacing w:before="0" w:after="200"/>
        <w:rPr/>
      </w:pPr>
      <w:r>
        <w:rPr/>
        <w:t>An Actor may not be responsible for every outcome that was possible, but may be responsible for failing to investigate material probabilities that a competent Moral Agent could reasonably have estimated within the same Situational Context.</w:t>
      </w:r>
    </w:p>
    <w:p>
      <w:pPr>
        <w:pStyle w:val="BodyText"/>
        <w:spacing w:before="0" w:after="200"/>
        <w:rPr/>
      </w:pPr>
      <w:r>
        <w:rPr/>
        <w:t>For example, if a severe risk was reasonably knowable and the Actor ignored available evidence, the Actor’s epistemic failure becomes part of the moral assessment. If a risk was genuinely unknowable despite reasonable diligence, responsibility may be reduced even if the resulting World Context was harmful.</w:t>
      </w:r>
    </w:p>
    <w:p>
      <w:pPr>
        <w:pStyle w:val="BodyText"/>
        <w:spacing w:before="0" w:after="200"/>
        <w:rPr/>
      </w:pPr>
      <w:r>
        <w:rPr/>
        <w:t>The methodology should therefore distinguish:</w:t>
      </w:r>
    </w:p>
    <w:p>
      <w:pPr>
        <w:pStyle w:val="BodyText"/>
        <w:spacing w:before="0" w:after="200"/>
        <w:rPr/>
      </w:pPr>
      <w:r>
        <w:rPr/>
        <w:t>What probabilities the Actor actually considered.</w:t>
      </w:r>
    </w:p>
    <w:p>
      <w:pPr>
        <w:pStyle w:val="BodyText"/>
        <w:spacing w:before="0" w:after="200"/>
        <w:rPr/>
      </w:pPr>
      <w:r>
        <w:rPr/>
        <w:t>What probabilities the Actor claimed to have considered.</w:t>
      </w:r>
    </w:p>
    <w:p>
      <w:pPr>
        <w:pStyle w:val="BodyText"/>
        <w:spacing w:before="0" w:after="200"/>
        <w:rPr/>
      </w:pPr>
      <w:r>
        <w:rPr/>
        <w:t>What probabilities were reasonably knowable.</w:t>
      </w:r>
    </w:p>
    <w:p>
      <w:pPr>
        <w:pStyle w:val="BodyText"/>
        <w:spacing w:before="0" w:after="200"/>
        <w:rPr/>
      </w:pPr>
      <w:r>
        <w:rPr/>
        <w:t>What probabilities required further investigation.</w:t>
      </w:r>
    </w:p>
    <w:p>
      <w:pPr>
        <w:pStyle w:val="BodyText"/>
        <w:spacing w:before="0" w:after="200"/>
        <w:rPr/>
      </w:pPr>
      <w:r>
        <w:rPr/>
        <w:t>What probabilities became known only later.</w:t>
      </w:r>
    </w:p>
    <w:p>
      <w:pPr>
        <w:pStyle w:val="BodyText"/>
        <w:spacing w:before="0" w:after="200"/>
        <w:rPr/>
      </w:pPr>
      <w:r>
        <w:rPr/>
        <w:t>What probability estimates the assessor can now make.</w:t>
      </w:r>
    </w:p>
    <w:p>
      <w:pPr>
        <w:pStyle w:val="BodyText"/>
        <w:spacing w:before="0" w:after="200"/>
        <w:rPr/>
      </w:pPr>
      <w:r>
        <w:rPr/>
        <w:t>This distinction prevents both unfair hindsight judgment and irresponsible ignorance.</w:t>
      </w:r>
    </w:p>
    <w:p>
      <w:pPr>
        <w:pStyle w:val="Heading3"/>
        <w:ind w:hanging="0" w:left="0"/>
        <w:rPr/>
      </w:pPr>
      <w:r>
        <w:rPr/>
        <w:t>Bayesian-Style Updating</w:t>
      </w:r>
    </w:p>
    <w:p>
      <w:pPr>
        <w:pStyle w:val="BodyText"/>
        <w:spacing w:before="0" w:after="200"/>
        <w:rPr/>
      </w:pPr>
      <w:r>
        <w:rPr/>
        <w:t>Bayesian-style updating describes the revision of probability estimates as new evidence becomes available.</w:t>
      </w:r>
    </w:p>
    <w:p>
      <w:pPr>
        <w:pStyle w:val="BodyText"/>
        <w:spacing w:before="0" w:after="200"/>
        <w:rPr/>
      </w:pPr>
      <w:r>
        <w:rPr/>
        <w:t>The methodology does not require a strict Bayesian mathematical implementation in every case. However, it should preserve the Bayesian-style principle that assessments should update when evidence changes the likelihood of relevant states, consequences, causal pathways, flourishing transitions, policy updates, or World Context Transition scenarios.</w:t>
      </w:r>
    </w:p>
    <w:p>
      <w:pPr>
        <w:pStyle w:val="BodyText"/>
        <w:spacing w:before="0" w:after="200"/>
        <w:rPr/>
      </w:pPr>
      <w:r>
        <w:rPr/>
        <w:t>A Bayesian-style update may change:</w:t>
      </w:r>
    </w:p>
    <w:p>
      <w:pPr>
        <w:pStyle w:val="BodyText"/>
        <w:spacing w:before="0" w:after="200"/>
        <w:rPr/>
      </w:pPr>
      <w:r>
        <w:rPr/>
        <w:t>The estimated probability of a consequence.</w:t>
      </w:r>
    </w:p>
    <w:p>
      <w:pPr>
        <w:pStyle w:val="BodyText"/>
        <w:spacing w:before="0" w:after="200"/>
        <w:rPr/>
      </w:pPr>
      <w:r>
        <w:rPr/>
        <w:t>The estimated probability of causal attribution.</w:t>
      </w:r>
    </w:p>
    <w:p>
      <w:pPr>
        <w:pStyle w:val="BodyText"/>
        <w:spacing w:before="0" w:after="200"/>
        <w:rPr/>
      </w:pPr>
      <w:r>
        <w:rPr/>
        <w:t>The estimated probability that a policy update occurred.</w:t>
      </w:r>
    </w:p>
    <w:p>
      <w:pPr>
        <w:pStyle w:val="BodyText"/>
        <w:spacing w:before="0" w:after="200"/>
        <w:rPr/>
      </w:pPr>
      <w:r>
        <w:rPr/>
        <w:t>The estimated probability of material diminishment.</w:t>
      </w:r>
    </w:p>
    <w:p>
      <w:pPr>
        <w:pStyle w:val="BodyText"/>
        <w:spacing w:before="0" w:after="200"/>
        <w:rPr/>
      </w:pPr>
      <w:r>
        <w:rPr/>
        <w:t>The probability assigned to competing transition scenarios.</w:t>
      </w:r>
    </w:p>
    <w:p>
      <w:pPr>
        <w:pStyle w:val="BodyText"/>
        <w:spacing w:before="0" w:after="200"/>
        <w:rPr/>
      </w:pPr>
      <w:r>
        <w:rPr/>
        <w:t>The confidence in a previous probability estimate.</w:t>
      </w:r>
    </w:p>
    <w:p>
      <w:pPr>
        <w:pStyle w:val="BodyText"/>
        <w:spacing w:before="0" w:after="200"/>
        <w:rPr/>
      </w:pPr>
      <w:r>
        <w:rPr/>
        <w:t>The expected direction or magnitude of a Flourishing Transition.</w:t>
      </w:r>
    </w:p>
    <w:p>
      <w:pPr>
        <w:pStyle w:val="BodyText"/>
        <w:spacing w:before="0" w:after="200"/>
        <w:rPr/>
      </w:pPr>
      <w:r>
        <w:rPr/>
        <w:t>The estimated risk of future state-space narrowing.</w:t>
      </w:r>
    </w:p>
    <w:p>
      <w:pPr>
        <w:pStyle w:val="BodyText"/>
        <w:spacing w:before="0" w:after="200"/>
        <w:rPr/>
      </w:pPr>
      <w:r>
        <w:rPr/>
        <w:t>Bayesian-style updating is essential because moral assessments are often made before all evidence is available. A responsible methodology must allow assessments to improve over time rather than treating first estimates as fixed.</w:t>
      </w:r>
    </w:p>
    <w:p>
      <w:pPr>
        <w:pStyle w:val="Heading3"/>
        <w:ind w:hanging="0" w:left="0"/>
        <w:rPr/>
      </w:pPr>
      <w:r>
        <w:rPr/>
        <w:t>Prior Assumptions</w:t>
      </w:r>
    </w:p>
    <w:p>
      <w:pPr>
        <w:pStyle w:val="BodyText"/>
        <w:spacing w:before="0" w:after="200"/>
        <w:rPr/>
      </w:pPr>
      <w:r>
        <w:rPr/>
        <w:t>Prior assumptions are the starting beliefs, estimates, models, or expectations used before new evidence is incorporated.</w:t>
      </w:r>
    </w:p>
    <w:p>
      <w:pPr>
        <w:pStyle w:val="BodyText"/>
        <w:spacing w:before="0" w:after="200"/>
        <w:rPr/>
      </w:pPr>
      <w:r>
        <w:rPr/>
        <w:t>Prior assumptions may concern causal patterns, domain risks, institutional behavior, Actor reliability, likely consequences, entity classification, policy-update propagation, or future state-space effects.</w:t>
      </w:r>
    </w:p>
    <w:p>
      <w:pPr>
        <w:pStyle w:val="BodyText"/>
        <w:spacing w:before="0" w:after="200"/>
        <w:rPr/>
      </w:pPr>
      <w:r>
        <w:rPr/>
        <w:t>Prior assumptions should be explicit when they materially affect the assessment. Hidden priors can make an assessment appear objective while actually encoding unexamined assumptions.</w:t>
      </w:r>
    </w:p>
    <w:p>
      <w:pPr>
        <w:pStyle w:val="BodyText"/>
        <w:spacing w:before="0" w:after="200"/>
        <w:rPr/>
      </w:pPr>
      <w:r>
        <w:rPr/>
        <w:t>For example, an assessment may assume that a hospital will follow disclosure protocols, that a regulator will enforce rules consistently, that an AI model will behave similarly to prior tests, or that a community will interpret a policy as legitimate. If these assumptions materially affect probability estimates, they should be stated.</w:t>
      </w:r>
    </w:p>
    <w:p>
      <w:pPr>
        <w:pStyle w:val="BodyText"/>
        <w:spacing w:before="0" w:after="200"/>
        <w:rPr/>
      </w:pPr>
      <w:r>
        <w:rPr/>
        <w:t>When new evidence contradicts a prior assumption, the assessment should update.</w:t>
      </w:r>
    </w:p>
    <w:p>
      <w:pPr>
        <w:pStyle w:val="Heading3"/>
        <w:ind w:hanging="0" w:left="0"/>
        <w:rPr/>
      </w:pPr>
      <w:r>
        <w:rPr/>
        <w:t>Evidence Updates</w:t>
      </w:r>
    </w:p>
    <w:p>
      <w:pPr>
        <w:pStyle w:val="BodyText"/>
        <w:spacing w:before="0" w:after="200"/>
        <w:rPr/>
      </w:pPr>
      <w:r>
        <w:rPr/>
        <w:t>Evidence updates occur when new information changes the probability or confidence assigned to an assessment component.</w:t>
      </w:r>
    </w:p>
    <w:p>
      <w:pPr>
        <w:pStyle w:val="BodyText"/>
        <w:spacing w:before="0" w:after="200"/>
        <w:rPr/>
      </w:pPr>
      <w:r>
        <w:rPr/>
        <w:t>Evidence updates may include observed outcomes, new testimony, system logs, expert review, experimental results, institutional responses, later consequences, audit findings, or additional contextual information.</w:t>
      </w:r>
    </w:p>
    <w:p>
      <w:pPr>
        <w:pStyle w:val="BodyText"/>
        <w:spacing w:before="0" w:after="200"/>
        <w:rPr/>
      </w:pPr>
      <w:r>
        <w:rPr/>
        <w:t>An evidence update may increase confidence, decrease confidence, shift probability from one scenario to another, reveal a previously hidden consequence, or show that an earlier causal model was incomplete.</w:t>
      </w:r>
    </w:p>
    <w:p>
      <w:pPr>
        <w:pStyle w:val="BodyText"/>
        <w:spacing w:before="0" w:after="200"/>
        <w:rPr/>
      </w:pPr>
      <w:r>
        <w:rPr/>
        <w:t>Evidence updates should be incorporated into the assessment when they materially affect:</w:t>
      </w:r>
    </w:p>
    <w:p>
      <w:pPr>
        <w:pStyle w:val="BodyText"/>
        <w:spacing w:before="0" w:after="200"/>
        <w:rPr/>
      </w:pPr>
      <w:r>
        <w:rPr/>
        <w:t>Baseline state.</w:t>
      </w:r>
    </w:p>
    <w:p>
      <w:pPr>
        <w:pStyle w:val="BodyText"/>
        <w:spacing w:before="0" w:after="200"/>
        <w:rPr/>
      </w:pPr>
      <w:r>
        <w:rPr/>
        <w:t>State Transition.</w:t>
      </w:r>
    </w:p>
    <w:p>
      <w:pPr>
        <w:pStyle w:val="BodyText"/>
        <w:spacing w:before="0" w:after="200"/>
        <w:rPr/>
      </w:pPr>
      <w:r>
        <w:rPr/>
        <w:t>Policy Update.</w:t>
      </w:r>
    </w:p>
    <w:p>
      <w:pPr>
        <w:pStyle w:val="BodyText"/>
        <w:spacing w:before="0" w:after="200"/>
        <w:rPr/>
      </w:pPr>
      <w:r>
        <w:rPr/>
        <w:t>Flourishing Transition.</w:t>
      </w:r>
    </w:p>
    <w:p>
      <w:pPr>
        <w:pStyle w:val="BodyText"/>
        <w:spacing w:before="0" w:after="200"/>
        <w:rPr/>
      </w:pPr>
      <w:r>
        <w:rPr/>
        <w:t>Aggregate Flourishing.</w:t>
      </w:r>
    </w:p>
    <w:p>
      <w:pPr>
        <w:pStyle w:val="BodyText"/>
        <w:spacing w:before="0" w:after="200"/>
        <w:rPr/>
      </w:pPr>
      <w:r>
        <w:rPr/>
        <w:t>World Context Transition.</w:t>
      </w:r>
    </w:p>
    <w:p>
      <w:pPr>
        <w:pStyle w:val="BodyText"/>
        <w:spacing w:before="0" w:after="200"/>
        <w:rPr/>
      </w:pPr>
      <w:r>
        <w:rPr/>
        <w:t>Responsibility assessment.</w:t>
      </w:r>
    </w:p>
    <w:p>
      <w:pPr>
        <w:pStyle w:val="BodyText"/>
        <w:spacing w:before="0" w:after="200"/>
        <w:rPr/>
      </w:pPr>
      <w:r>
        <w:rPr/>
        <w:t>Final Moral Assessment.</w:t>
      </w:r>
    </w:p>
    <w:p>
      <w:pPr>
        <w:pStyle w:val="BodyText"/>
        <w:spacing w:before="0" w:after="200"/>
        <w:rPr/>
      </w:pPr>
      <w:r>
        <w:rPr/>
        <w:t>The methodology should preserve the history of major updates when auditability matters, especially in institutional, legal, medical, autonomous-system, and AI contexts.</w:t>
      </w:r>
    </w:p>
    <w:p>
      <w:pPr>
        <w:pStyle w:val="Heading3"/>
        <w:ind w:hanging="0" w:left="0"/>
        <w:rPr/>
      </w:pPr>
      <w:r>
        <w:rPr/>
        <w:t>Model Uncertainty</w:t>
      </w:r>
    </w:p>
    <w:p>
      <w:pPr>
        <w:pStyle w:val="BodyText"/>
        <w:spacing w:before="0" w:after="200"/>
        <w:rPr/>
      </w:pPr>
      <w:r>
        <w:rPr/>
        <w:t>Model uncertainty occurs when the model used to estimate probabilities may be incomplete, inaccurate, biased, oversimplified, or poorly suited to the Situational Context.</w:t>
      </w:r>
    </w:p>
    <w:p>
      <w:pPr>
        <w:pStyle w:val="BodyText"/>
        <w:spacing w:before="0" w:after="200"/>
        <w:rPr/>
      </w:pPr>
      <w:r>
        <w:rPr/>
        <w:t>A probability estimate is only as reliable as the model that supports it. If the model omits relevant entities, ignores Associations, fails to capture institutional effects, excludes policy updates, or poorly represents Long-Term Flourishing, its probability estimates may be misleading.</w:t>
      </w:r>
    </w:p>
    <w:p>
      <w:pPr>
        <w:pStyle w:val="BodyText"/>
        <w:spacing w:before="0" w:after="200"/>
        <w:rPr/>
      </w:pPr>
      <w:r>
        <w:rPr/>
        <w:t>Model uncertainty may arise from:</w:t>
      </w:r>
    </w:p>
    <w:p>
      <w:pPr>
        <w:pStyle w:val="BodyText"/>
        <w:spacing w:before="0" w:after="200"/>
        <w:rPr/>
      </w:pPr>
      <w:r>
        <w:rPr/>
        <w:t>Incomplete representation of the World Context.</w:t>
      </w:r>
    </w:p>
    <w:p>
      <w:pPr>
        <w:pStyle w:val="BodyText"/>
        <w:spacing w:before="0" w:after="200"/>
        <w:rPr/>
      </w:pPr>
      <w:r>
        <w:rPr/>
        <w:t>Weak causal theory.</w:t>
      </w:r>
    </w:p>
    <w:p>
      <w:pPr>
        <w:pStyle w:val="BodyText"/>
        <w:spacing w:before="0" w:after="200"/>
        <w:rPr/>
      </w:pPr>
      <w:r>
        <w:rPr/>
        <w:t>Insufficient domain knowledge.</w:t>
      </w:r>
    </w:p>
    <w:p>
      <w:pPr>
        <w:pStyle w:val="BodyText"/>
        <w:spacing w:before="0" w:after="200"/>
        <w:rPr/>
      </w:pPr>
      <w:r>
        <w:rPr/>
        <w:t>Biased data.</w:t>
      </w:r>
    </w:p>
    <w:p>
      <w:pPr>
        <w:pStyle w:val="BodyText"/>
        <w:spacing w:before="0" w:after="200"/>
        <w:rPr/>
      </w:pPr>
      <w:r>
        <w:rPr/>
        <w:t>Unreliable assumptions.</w:t>
      </w:r>
    </w:p>
    <w:p>
      <w:pPr>
        <w:pStyle w:val="BodyText"/>
        <w:spacing w:before="0" w:after="200"/>
        <w:rPr/>
      </w:pPr>
      <w:r>
        <w:rPr/>
        <w:t>Inadequate representation of rare events.</w:t>
      </w:r>
    </w:p>
    <w:p>
      <w:pPr>
        <w:pStyle w:val="BodyText"/>
        <w:spacing w:before="0" w:after="200"/>
        <w:rPr/>
      </w:pPr>
      <w:r>
        <w:rPr/>
        <w:t>Inability to model strategic behavior.</w:t>
      </w:r>
    </w:p>
    <w:p>
      <w:pPr>
        <w:pStyle w:val="BodyText"/>
        <w:spacing w:before="0" w:after="200"/>
        <w:rPr/>
      </w:pPr>
      <w:r>
        <w:rPr/>
        <w:t>Failure to model institutional dynamics.</w:t>
      </w:r>
    </w:p>
    <w:p>
      <w:pPr>
        <w:pStyle w:val="BodyText"/>
        <w:spacing w:before="0" w:after="200"/>
        <w:rPr/>
      </w:pPr>
      <w:r>
        <w:rPr/>
        <w:t>Failure to model artificial-system behavior.</w:t>
      </w:r>
    </w:p>
    <w:p>
      <w:pPr>
        <w:pStyle w:val="BodyText"/>
        <w:spacing w:before="0" w:after="200"/>
        <w:rPr/>
      </w:pPr>
      <w:r>
        <w:rPr/>
        <w:t>Incomplete formalization of Long-Term Flourishing.</w:t>
      </w:r>
    </w:p>
    <w:p>
      <w:pPr>
        <w:pStyle w:val="BodyText"/>
        <w:spacing w:before="0" w:after="200"/>
        <w:rPr/>
      </w:pPr>
      <w:r>
        <w:rPr/>
        <w:t>Model uncertainty should reduce confidence in probability estimates. It may also require alternative models, competing scenarios, expert review, or expanded assessment boundaries.</w:t>
      </w:r>
    </w:p>
    <w:p>
      <w:pPr>
        <w:pStyle w:val="Heading3"/>
        <w:ind w:hanging="0" w:left="0"/>
        <w:rPr/>
      </w:pPr>
      <w:r>
        <w:rPr/>
        <w:t>Prediction Uncertainty</w:t>
      </w:r>
    </w:p>
    <w:p>
      <w:pPr>
        <w:pStyle w:val="BodyText"/>
        <w:spacing w:before="0" w:after="200"/>
        <w:rPr/>
      </w:pPr>
      <w:r>
        <w:rPr/>
        <w:t>Prediction uncertainty occurs when future states, consequences, policy updates, or World Context Transitions cannot be forecast with certainty.</w:t>
      </w:r>
    </w:p>
    <w:p>
      <w:pPr>
        <w:pStyle w:val="BodyText"/>
        <w:spacing w:before="0" w:after="200"/>
        <w:rPr/>
      </w:pPr>
      <w:r>
        <w:rPr/>
        <w:t>Prediction uncertainty may remain even when the baseline state is well represented and the model is strong. Future outcomes may depend on human choices, institutional responses, environmental changes, strategic behavior, technological shifts, artificial-system behavior, or stochastic events.</w:t>
      </w:r>
    </w:p>
    <w:p>
      <w:pPr>
        <w:pStyle w:val="BodyText"/>
        <w:spacing w:before="0" w:after="200"/>
        <w:rPr/>
      </w:pPr>
      <w:r>
        <w:rPr/>
        <w:t>Prediction uncertainty affects:</w:t>
      </w:r>
    </w:p>
    <w:p>
      <w:pPr>
        <w:pStyle w:val="BodyText"/>
        <w:spacing w:before="0" w:after="200"/>
        <w:rPr/>
      </w:pPr>
      <w:r>
        <w:rPr/>
        <w:t>Future entity states.</w:t>
      </w:r>
    </w:p>
    <w:p>
      <w:pPr>
        <w:pStyle w:val="BodyText"/>
        <w:spacing w:before="0" w:after="200"/>
        <w:rPr/>
      </w:pPr>
      <w:r>
        <w:rPr/>
        <w:t>Future Association states.</w:t>
      </w:r>
    </w:p>
    <w:p>
      <w:pPr>
        <w:pStyle w:val="BodyText"/>
        <w:spacing w:before="0" w:after="200"/>
        <w:rPr/>
      </w:pPr>
      <w:r>
        <w:rPr/>
        <w:t>Future policy states.</w:t>
      </w:r>
    </w:p>
    <w:p>
      <w:pPr>
        <w:pStyle w:val="BodyText"/>
        <w:spacing w:before="0" w:after="200"/>
        <w:rPr/>
      </w:pPr>
      <w:r>
        <w:rPr/>
        <w:t>Future institutional conditions.</w:t>
      </w:r>
    </w:p>
    <w:p>
      <w:pPr>
        <w:pStyle w:val="BodyText"/>
        <w:spacing w:before="0" w:after="200"/>
        <w:rPr/>
      </w:pPr>
      <w:r>
        <w:rPr/>
        <w:t>Future information states.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Long-Term Flourishing.</w:t>
      </w:r>
    </w:p>
    <w:p>
      <w:pPr>
        <w:pStyle w:val="BodyText"/>
        <w:spacing w:before="0" w:after="200"/>
        <w:rPr/>
      </w:pPr>
      <w:r>
        <w:rPr/>
        <w:t>Aggregate flourishing.</w:t>
      </w:r>
    </w:p>
    <w:p>
      <w:pPr>
        <w:pStyle w:val="BodyText"/>
        <w:spacing w:before="0" w:after="200"/>
        <w:rPr/>
      </w:pPr>
      <w:r>
        <w:rPr/>
        <w:t>World Context₁ scenarios.</w:t>
      </w:r>
    </w:p>
    <w:p>
      <w:pPr>
        <w:pStyle w:val="BodyText"/>
        <w:spacing w:before="0" w:after="200"/>
        <w:rPr/>
      </w:pPr>
      <w:r>
        <w:rPr/>
        <w:t>Prediction uncertainty usually increases across longer horizons, but not always. Some long-term dynamics may be stable and well evidenced, while some immediate outcomes may be uncertain because of missing or conflicting information.</w:t>
      </w:r>
    </w:p>
    <w:p>
      <w:pPr>
        <w:pStyle w:val="BodyText"/>
        <w:spacing w:before="0" w:after="200"/>
        <w:rPr/>
      </w:pPr>
      <w:r>
        <w:rPr/>
        <w:t>The methodology should represent prediction uncertainty directly rather than hiding it inside a single expected outcome.</w:t>
      </w:r>
    </w:p>
    <w:p>
      <w:pPr>
        <w:pStyle w:val="Heading3"/>
        <w:ind w:hanging="0" w:left="0"/>
        <w:rPr/>
      </w:pPr>
      <w:r>
        <w:rPr/>
        <w:t>Probability Across Assessment Horizons</w:t>
      </w:r>
    </w:p>
    <w:p>
      <w:pPr>
        <w:pStyle w:val="BodyText"/>
        <w:spacing w:before="0" w:after="200"/>
        <w:rPr/>
      </w:pPr>
      <w:r>
        <w:rPr/>
        <w:t>Probability estimates should be horizon-specific when the likelihood of outcomes changes over time.</w:t>
      </w:r>
    </w:p>
    <w:p>
      <w:pPr>
        <w:pStyle w:val="BodyText"/>
        <w:spacing w:before="0" w:after="200"/>
        <w:rPr/>
      </w:pPr>
      <w:r>
        <w:rPr/>
        <w:t>An immediate consequence may be likely, while a long-term consequence may be uncertain. A short-term benefit may be probable, while a multi-generational harm may be plausible but difficult to estimate. A policy update may be modest immediately but become more likely through repetition, institutionalization, or observer learning.</w:t>
      </w:r>
    </w:p>
    <w:p>
      <w:pPr>
        <w:pStyle w:val="BodyText"/>
        <w:spacing w:before="0" w:after="200"/>
        <w:rPr/>
      </w:pPr>
      <w:r>
        <w:rPr/>
        <w:t>Horizon-specific probability estimates may apply to:</w:t>
      </w:r>
    </w:p>
    <w:p>
      <w:pPr>
        <w:pStyle w:val="BodyText"/>
        <w:spacing w:before="0" w:after="200"/>
        <w:rPr/>
      </w:pPr>
      <w:r>
        <w:rPr/>
        <w:t>Immediate outcomes.</w:t>
      </w:r>
    </w:p>
    <w:p>
      <w:pPr>
        <w:pStyle w:val="BodyText"/>
        <w:spacing w:before="0" w:after="200"/>
        <w:rPr/>
      </w:pPr>
      <w:r>
        <w:rPr/>
        <w:t>Short-term consequences.</w:t>
      </w:r>
    </w:p>
    <w:p>
      <w:pPr>
        <w:pStyle w:val="BodyText"/>
        <w:spacing w:before="0" w:after="200"/>
        <w:rPr/>
      </w:pPr>
      <w:r>
        <w:rPr/>
        <w:t>Long-term flourishing effects.</w:t>
      </w:r>
    </w:p>
    <w:p>
      <w:pPr>
        <w:pStyle w:val="BodyText"/>
        <w:spacing w:before="0" w:after="200"/>
        <w:rPr/>
      </w:pPr>
      <w:r>
        <w:rPr/>
        <w:t>Multi-generational institutional effects.</w:t>
      </w:r>
    </w:p>
    <w:p>
      <w:pPr>
        <w:pStyle w:val="BodyText"/>
        <w:spacing w:before="0" w:after="200"/>
        <w:rPr/>
      </w:pPr>
      <w:r>
        <w:rPr/>
        <w:t>Civilizational future state-space changes.</w:t>
      </w:r>
    </w:p>
    <w:p>
      <w:pPr>
        <w:pStyle w:val="BodyText"/>
        <w:spacing w:before="0" w:after="200"/>
        <w:rPr/>
      </w:pPr>
      <w:r>
        <w:rPr/>
        <w:t>The methodology should avoid collapsing horizon-specific probabilities into one undifferentiated estimate when the temporal structure is material.</w:t>
      </w:r>
    </w:p>
    <w:p>
      <w:pPr>
        <w:pStyle w:val="Heading3"/>
        <w:ind w:hanging="0" w:left="0"/>
        <w:rPr/>
      </w:pPr>
      <w:r>
        <w:rPr/>
        <w:t>Probability of Material Diminishment</w:t>
      </w:r>
    </w:p>
    <w:p>
      <w:pPr>
        <w:pStyle w:val="BodyText"/>
        <w:spacing w:before="0" w:after="200"/>
        <w:rPr/>
      </w:pPr>
      <w:r>
        <w:rPr/>
        <w:t>The methodology should explicitly consider the probability that an Assessed Action will materially diminish the Long-Term Flourishing of any relevant Flourishing Entity.</w:t>
      </w:r>
    </w:p>
    <w:p>
      <w:pPr>
        <w:pStyle w:val="BodyText"/>
        <w:spacing w:before="0" w:after="200"/>
        <w:rPr/>
      </w:pPr>
      <w:r>
        <w:rPr/>
        <w:t>This estimate should consider both likelihood and severity. A high-probability minor burden may not constitute material diminishment. A lower-probability severe and irreversible harm may be morally significant. A difficult-to-estimate harm may require precaution when the possible diminishment is large enough.</w:t>
      </w:r>
    </w:p>
    <w:p>
      <w:pPr>
        <w:pStyle w:val="BodyText"/>
        <w:spacing w:before="0" w:after="200"/>
        <w:rPr/>
      </w:pPr>
      <w:r>
        <w:rPr/>
        <w:t>The probability of material diminishment should be assessed by entity, dimension, and horizon where practical. It should also be linked to confidence and evidence quality.</w:t>
      </w:r>
    </w:p>
    <w:p>
      <w:pPr>
        <w:pStyle w:val="BodyText"/>
        <w:spacing w:before="0" w:after="200"/>
        <w:rPr/>
      </w:pPr>
      <w:r>
        <w:rPr/>
        <w:t>The assessment should identify whether material diminishment is:</w:t>
      </w:r>
    </w:p>
    <w:p>
      <w:pPr>
        <w:pStyle w:val="BodyText"/>
        <w:spacing w:before="0" w:after="200"/>
        <w:rPr/>
      </w:pPr>
      <w:r>
        <w:rPr/>
        <w:t>Highly probable.</w:t>
      </w:r>
    </w:p>
    <w:p>
      <w:pPr>
        <w:pStyle w:val="BodyText"/>
        <w:spacing w:before="0" w:after="200"/>
        <w:rPr/>
      </w:pPr>
      <w:r>
        <w:rPr/>
        <w:t>Moderately probable.</w:t>
      </w:r>
    </w:p>
    <w:p>
      <w:pPr>
        <w:pStyle w:val="BodyText"/>
        <w:spacing w:before="0" w:after="200"/>
        <w:rPr/>
      </w:pPr>
      <w:r>
        <w:rPr/>
        <w:t>Low probability but severe.</w:t>
      </w:r>
    </w:p>
    <w:p>
      <w:pPr>
        <w:pStyle w:val="BodyText"/>
        <w:spacing w:before="0" w:after="200"/>
        <w:rPr/>
      </w:pPr>
      <w:r>
        <w:rPr/>
        <w:t>Plausible but weakly evidenced.</w:t>
      </w:r>
    </w:p>
    <w:p>
      <w:pPr>
        <w:pStyle w:val="BodyText"/>
        <w:spacing w:before="0" w:after="200"/>
        <w:rPr/>
      </w:pPr>
      <w:r>
        <w:rPr/>
        <w:t>Speculative.</w:t>
      </w:r>
    </w:p>
    <w:p>
      <w:pPr>
        <w:pStyle w:val="BodyText"/>
        <w:spacing w:before="0" w:after="200"/>
        <w:rPr/>
      </w:pPr>
      <w:r>
        <w:rPr/>
        <w:t>Unknown because evidence is insufficient.</w:t>
      </w:r>
    </w:p>
    <w:p>
      <w:pPr>
        <w:pStyle w:val="BodyText"/>
        <w:spacing w:before="0" w:after="200"/>
        <w:rPr/>
      </w:pPr>
      <w:r>
        <w:rPr/>
        <w:t>This helps distinguish serious uncertainty from unsupported speculation.</w:t>
      </w:r>
    </w:p>
    <w:p>
      <w:pPr>
        <w:pStyle w:val="Heading3"/>
        <w:ind w:hanging="0" w:left="0"/>
        <w:rPr/>
      </w:pPr>
      <w:r>
        <w:rPr/>
        <w:t>Probability of Distributed Policy Updates</w:t>
      </w:r>
    </w:p>
    <w:p>
      <w:pPr>
        <w:pStyle w:val="BodyText"/>
        <w:spacing w:before="0" w:after="200"/>
        <w:rPr/>
      </w:pPr>
      <w:r>
        <w:rPr/>
        <w:t>The methodology should estimate the probability of material Distributed Policy Updates.</w:t>
      </w:r>
    </w:p>
    <w:p>
      <w:pPr>
        <w:pStyle w:val="BodyText"/>
        <w:spacing w:before="0" w:after="200"/>
        <w:rPr/>
      </w:pPr>
      <w:r>
        <w:rPr/>
        <w:t>A harmful means may probabilistically alter the Actor’s future policy state, observer expectations, collaborator behavior, responder strategies, institutional precedent, or artificial-system behavior. These updates may vary in likelihood, magnitude, and confidence.</w:t>
      </w:r>
    </w:p>
    <w:p>
      <w:pPr>
        <w:pStyle w:val="BodyText"/>
        <w:spacing w:before="0" w:after="200"/>
        <w:rPr/>
      </w:pPr>
      <w:r>
        <w:rPr/>
        <w:t>Probability estimates for policy updates should consider:</w:t>
      </w:r>
    </w:p>
    <w:p>
      <w:pPr>
        <w:pStyle w:val="BodyText"/>
        <w:spacing w:before="0" w:after="200"/>
        <w:rPr/>
      </w:pPr>
      <w:r>
        <w:rPr/>
        <w:t>Past behavior.</w:t>
      </w:r>
    </w:p>
    <w:p>
      <w:pPr>
        <w:pStyle w:val="BodyText"/>
        <w:spacing w:before="0" w:after="200"/>
        <w:rPr/>
      </w:pPr>
      <w:r>
        <w:rPr/>
        <w:t>Incentives.</w:t>
      </w:r>
    </w:p>
    <w:p>
      <w:pPr>
        <w:pStyle w:val="BodyText"/>
        <w:spacing w:before="0" w:after="200"/>
        <w:rPr/>
      </w:pPr>
      <w:r>
        <w:rPr/>
        <w:t>Institutional norms.</w:t>
      </w:r>
    </w:p>
    <w:p>
      <w:pPr>
        <w:pStyle w:val="BodyText"/>
        <w:spacing w:before="0" w:after="200"/>
        <w:rPr/>
      </w:pPr>
      <w:r>
        <w:rPr/>
        <w:t>Visibility of the action.</w:t>
      </w:r>
    </w:p>
    <w:p>
      <w:pPr>
        <w:pStyle w:val="BodyText"/>
        <w:spacing w:before="0" w:after="200"/>
        <w:rPr/>
      </w:pPr>
      <w:r>
        <w:rPr/>
        <w:t>Reward or punishment.</w:t>
      </w:r>
    </w:p>
    <w:p>
      <w:pPr>
        <w:pStyle w:val="BodyText"/>
        <w:spacing w:before="0" w:after="200"/>
        <w:rPr/>
      </w:pPr>
      <w:r>
        <w:rPr/>
        <w:t>Authority signals.</w:t>
      </w:r>
    </w:p>
    <w:p>
      <w:pPr>
        <w:pStyle w:val="BodyText"/>
        <w:spacing w:before="0" w:after="200"/>
        <w:rPr/>
      </w:pPr>
      <w:r>
        <w:rPr/>
        <w:t>Observer interpretation.</w:t>
      </w:r>
    </w:p>
    <w:p>
      <w:pPr>
        <w:pStyle w:val="BodyText"/>
        <w:spacing w:before="0" w:after="200"/>
        <w:rPr/>
      </w:pPr>
      <w:r>
        <w:rPr/>
        <w:t>System learning mechanisms.</w:t>
      </w:r>
    </w:p>
    <w:p>
      <w:pPr>
        <w:pStyle w:val="BodyText"/>
        <w:spacing w:before="0" w:after="200"/>
        <w:rPr/>
      </w:pPr>
      <w:r>
        <w:rPr/>
        <w:t>Cultural or organizational context.</w:t>
      </w:r>
    </w:p>
    <w:p>
      <w:pPr>
        <w:pStyle w:val="BodyText"/>
        <w:spacing w:before="0" w:after="200"/>
        <w:rPr/>
      </w:pPr>
      <w:r>
        <w:rPr/>
        <w:t>Repetition likelihood.</w:t>
      </w:r>
    </w:p>
    <w:p>
      <w:pPr>
        <w:pStyle w:val="BodyText"/>
        <w:spacing w:before="0" w:after="200"/>
        <w:rPr/>
      </w:pPr>
      <w:r>
        <w:rPr/>
        <w:t>Opportunity for correction or mitigation.</w:t>
      </w:r>
    </w:p>
    <w:p>
      <w:pPr>
        <w:pStyle w:val="BodyText"/>
        <w:spacing w:before="0" w:after="200"/>
        <w:rPr/>
      </w:pPr>
      <w:r>
        <w:rPr/>
        <w:t>Because policy updates are often difficult to observe directly, their probability estimates should be confidence-bounded and evidence-sensitive.</w:t>
      </w:r>
    </w:p>
    <w:p>
      <w:pPr>
        <w:pStyle w:val="Heading3"/>
        <w:ind w:hanging="0" w:left="0"/>
        <w:rPr/>
      </w:pPr>
      <w:r>
        <w:rPr/>
        <w:t>Low-Probability High-Severity Risks</w:t>
      </w:r>
    </w:p>
    <w:p>
      <w:pPr>
        <w:pStyle w:val="BodyText"/>
        <w:spacing w:before="0" w:after="200"/>
        <w:rPr/>
      </w:pPr>
      <w:r>
        <w:rPr/>
        <w:t>Low-probability high-severity risks require special attention.</w:t>
      </w:r>
    </w:p>
    <w:p>
      <w:pPr>
        <w:pStyle w:val="BodyText"/>
        <w:spacing w:before="0" w:after="200"/>
        <w:rPr/>
      </w:pPr>
      <w:r>
        <w:rPr/>
        <w:t>A risk should not be ignored merely because it is unlikely if the possible harm is severe, irreversible, systemic, or civilizational. Such risks may involve death, severe injury, institutional collapse, ecological damage, loss of future state space, catastrophic AI behavior, or irreversible material diminishment of relevant Flourishing Entities.</w:t>
      </w:r>
    </w:p>
    <w:p>
      <w:pPr>
        <w:pStyle w:val="BodyText"/>
        <w:spacing w:before="0" w:after="200"/>
        <w:rPr/>
      </w:pPr>
      <w:r>
        <w:rPr/>
        <w:t>The methodology should evaluate:</w:t>
      </w:r>
    </w:p>
    <w:p>
      <w:pPr>
        <w:pStyle w:val="BodyText"/>
        <w:spacing w:before="0" w:after="200"/>
        <w:rPr/>
      </w:pPr>
      <w:r>
        <w:rPr/>
        <w:t>Probability of the severe outcome.</w:t>
      </w:r>
    </w:p>
    <w:p>
      <w:pPr>
        <w:pStyle w:val="BodyText"/>
        <w:spacing w:before="0" w:after="200"/>
        <w:rPr/>
      </w:pPr>
      <w:r>
        <w:rPr/>
        <w:t>Severity of the outcome.</w:t>
      </w:r>
    </w:p>
    <w:p>
      <w:pPr>
        <w:pStyle w:val="BodyText"/>
        <w:spacing w:before="0" w:after="200"/>
        <w:rPr/>
      </w:pPr>
      <w:r>
        <w:rPr/>
        <w:t>Reversibility.</w:t>
      </w:r>
    </w:p>
    <w:p>
      <w:pPr>
        <w:pStyle w:val="BodyText"/>
        <w:spacing w:before="0" w:after="200"/>
        <w:rPr/>
      </w:pPr>
      <w:r>
        <w:rPr/>
        <w:t>Affected entities.</w:t>
      </w:r>
    </w:p>
    <w:p>
      <w:pPr>
        <w:pStyle w:val="BodyText"/>
        <w:spacing w:before="0" w:after="200"/>
        <w:rPr/>
      </w:pPr>
      <w:r>
        <w:rPr/>
        <w:t>Assessment horizon.</w:t>
      </w:r>
    </w:p>
    <w:p>
      <w:pPr>
        <w:pStyle w:val="BodyText"/>
        <w:spacing w:before="0" w:after="200"/>
        <w:rPr/>
      </w:pPr>
      <w:r>
        <w:rPr/>
        <w:t>Evidence quality.</w:t>
      </w:r>
    </w:p>
    <w:p>
      <w:pPr>
        <w:pStyle w:val="BodyText"/>
        <w:spacing w:before="0" w:after="200"/>
        <w:rPr/>
      </w:pPr>
      <w:r>
        <w:rPr/>
        <w:t>Model uncertainty.</w:t>
      </w:r>
    </w:p>
    <w:p>
      <w:pPr>
        <w:pStyle w:val="BodyText"/>
        <w:spacing w:before="0" w:after="200"/>
        <w:rPr/>
      </w:pPr>
      <w:r>
        <w:rPr/>
        <w:t>Possibility of mitigation.</w:t>
      </w:r>
    </w:p>
    <w:p>
      <w:pPr>
        <w:pStyle w:val="BodyText"/>
        <w:spacing w:before="0" w:after="200"/>
        <w:rPr/>
      </w:pPr>
      <w:r>
        <w:rPr/>
        <w:t>Availability of safer alternatives.</w:t>
      </w:r>
    </w:p>
    <w:p>
      <w:pPr>
        <w:pStyle w:val="BodyText"/>
        <w:spacing w:before="0" w:after="200"/>
        <w:rPr/>
      </w:pPr>
      <w:r>
        <w:rPr/>
        <w:t>Effect on future state space.</w:t>
      </w:r>
    </w:p>
    <w:p>
      <w:pPr>
        <w:pStyle w:val="BodyText"/>
        <w:spacing w:before="0" w:after="200"/>
        <w:rPr/>
      </w:pPr>
      <w:r>
        <w:rPr/>
        <w:t>Low-probability high-severity risks may warrant delay, safeguards, escalation, monitoring, or refusal even when expected aggregate flourishing appears positive.</w:t>
      </w:r>
    </w:p>
    <w:p>
      <w:pPr>
        <w:pStyle w:val="Heading3"/>
        <w:ind w:hanging="0" w:left="0"/>
        <w:rPr/>
      </w:pPr>
      <w:r>
        <w:rPr/>
        <w:t>Probability Ranges and Scenario Probabilities</w:t>
      </w:r>
    </w:p>
    <w:p>
      <w:pPr>
        <w:pStyle w:val="BodyText"/>
        <w:spacing w:before="0" w:after="200"/>
        <w:rPr/>
      </w:pPr>
      <w:r>
        <w:rPr/>
        <w:t>When exact probability estimates are not justified, the methodology may use probability ranges, qualitative likelihood categories, or scenario probabilities.</w:t>
      </w:r>
    </w:p>
    <w:p>
      <w:pPr>
        <w:pStyle w:val="BodyText"/>
        <w:spacing w:before="0" w:after="200"/>
        <w:rPr/>
      </w:pPr>
      <w:r>
        <w:rPr/>
        <w:t>For example, an assessment may distinguish between likely, plausible, unlikely, speculative, and unknown. It may assign broad probability bands rather than precise values. It may compare the relative plausibility of scenarios instead of assigning exact numerical probabilities.</w:t>
      </w:r>
    </w:p>
    <w:p>
      <w:pPr>
        <w:pStyle w:val="BodyText"/>
        <w:spacing w:before="0" w:after="200"/>
        <w:rPr/>
      </w:pPr>
      <w:r>
        <w:rPr/>
        <w:t>This is often more honest than artificial precision. A qualitative probability estimate with clear evidence and confidence may be more useful than a numerical estimate unsupported by the available information.</w:t>
      </w:r>
    </w:p>
    <w:p>
      <w:pPr>
        <w:pStyle w:val="BodyText"/>
        <w:spacing w:before="0" w:after="200"/>
        <w:rPr/>
      </w:pPr>
      <w:r>
        <w:rPr/>
        <w:t>Scenario probabilities should identify the assumptions and evidence that make each scenario more or less plausible.</w:t>
      </w:r>
    </w:p>
    <w:p>
      <w:pPr>
        <w:pStyle w:val="Heading3"/>
        <w:ind w:hanging="0" w:left="0"/>
        <w:rPr/>
      </w:pPr>
      <w:r>
        <w:rPr/>
        <w:t>Probability and Aggregate Flourishing</w:t>
      </w:r>
    </w:p>
    <w:p>
      <w:pPr>
        <w:pStyle w:val="BodyText"/>
        <w:spacing w:before="0" w:after="200"/>
        <w:rPr/>
      </w:pPr>
      <w:r>
        <w:rPr/>
        <w:t>Aggregate Flourishing estimates may depend on probability.</w:t>
      </w:r>
    </w:p>
    <w:p>
      <w:pPr>
        <w:pStyle w:val="BodyText"/>
        <w:spacing w:before="0" w:after="200"/>
        <w:rPr/>
      </w:pPr>
      <w:r>
        <w:rPr/>
        <w:t>If individual Flourishing Transitions are uncertain, aggregate flourishing should reflect the probability and confidence of those transitions. Aggregation should not make uncertain estimates appear certain.</w:t>
      </w:r>
    </w:p>
    <w:p>
      <w:pPr>
        <w:pStyle w:val="BodyText"/>
        <w:spacing w:before="0" w:after="200"/>
        <w:rPr/>
      </w:pPr>
      <w:r>
        <w:rPr/>
        <w:t>The methodology may distinguish:</w:t>
      </w:r>
    </w:p>
    <w:p>
      <w:pPr>
        <w:pStyle w:val="BodyText"/>
        <w:numPr>
          <w:ilvl w:val="0"/>
          <w:numId w:val="23"/>
        </w:numPr>
        <w:spacing w:before="0" w:after="200"/>
        <w:rPr/>
      </w:pPr>
      <w:r>
        <w:rPr/>
        <w:t>Expected aggregate flourishing.</w:t>
      </w:r>
    </w:p>
    <w:p>
      <w:pPr>
        <w:pStyle w:val="BodyText"/>
        <w:numPr>
          <w:ilvl w:val="0"/>
          <w:numId w:val="23"/>
        </w:numPr>
        <w:spacing w:before="0" w:after="200"/>
        <w:rPr/>
      </w:pPr>
      <w:r>
        <w:rPr/>
        <w:t>Best-supported aggregate scenario.</w:t>
      </w:r>
    </w:p>
    <w:p>
      <w:pPr>
        <w:pStyle w:val="BodyText"/>
        <w:numPr>
          <w:ilvl w:val="0"/>
          <w:numId w:val="23"/>
        </w:numPr>
        <w:spacing w:before="0" w:after="200"/>
        <w:rPr/>
      </w:pPr>
      <w:r>
        <w:rPr/>
        <w:t>High-harm aggregate scenario.</w:t>
      </w:r>
    </w:p>
    <w:p>
      <w:pPr>
        <w:pStyle w:val="BodyText"/>
        <w:numPr>
          <w:ilvl w:val="0"/>
          <w:numId w:val="23"/>
        </w:numPr>
        <w:spacing w:before="0" w:after="200"/>
        <w:rPr/>
      </w:pPr>
      <w:r>
        <w:rPr/>
        <w:t>High-benefit aggregate scenario.</w:t>
      </w:r>
    </w:p>
    <w:p>
      <w:pPr>
        <w:pStyle w:val="BodyText"/>
        <w:numPr>
          <w:ilvl w:val="0"/>
          <w:numId w:val="23"/>
        </w:numPr>
        <w:spacing w:before="0" w:after="200"/>
        <w:rPr/>
      </w:pPr>
      <w:r>
        <w:rPr/>
        <w:t>Horizon-specific aggregate probabilities.</w:t>
      </w:r>
    </w:p>
    <w:p>
      <w:pPr>
        <w:pStyle w:val="BodyText"/>
        <w:numPr>
          <w:ilvl w:val="0"/>
          <w:numId w:val="23"/>
        </w:numPr>
        <w:spacing w:before="0" w:after="200"/>
        <w:rPr/>
      </w:pPr>
      <w:r>
        <w:rPr/>
        <w:t>Confidence-bounded aggregate estimates.</w:t>
      </w:r>
    </w:p>
    <w:p>
      <w:pPr>
        <w:pStyle w:val="BodyText"/>
        <w:spacing w:before="0" w:after="200"/>
        <w:rPr/>
      </w:pPr>
      <w:r>
        <w:rPr/>
        <w:t>Aggregate probability should remain traceable to entity-specific and horizon-specific flourishing estimates. It should not conceal severe low-probability harms or material diminishment to particular entities.</w:t>
      </w:r>
    </w:p>
    <w:p>
      <w:pPr>
        <w:pStyle w:val="Heading3"/>
        <w:ind w:hanging="0" w:left="0"/>
        <w:rPr/>
      </w:pPr>
      <w:r>
        <w:rPr/>
        <w:t>Probability and World Context Transition</w:t>
      </w:r>
    </w:p>
    <w:p>
      <w:pPr>
        <w:pStyle w:val="BodyText"/>
        <w:spacing w:before="0" w:after="200"/>
        <w:rPr/>
      </w:pPr>
      <w:r>
        <w:rPr/>
        <w:t>Probability ultimately informs the assessment of possible World Context Transitions.</w:t>
      </w:r>
    </w:p>
    <w:p>
      <w:pPr>
        <w:pStyle w:val="BodyText"/>
        <w:spacing w:before="0" w:after="200"/>
        <w:rPr/>
      </w:pPr>
      <w:r>
        <w:rPr/>
        <w:t>For a proposed action, there may be several plausible World Context₁ states. Each may have different entity effects, Association changes, policy updates, institutional changes, information-state effects, constraints, future opportunities, future state-space consequences, and Long-Term Flourishing outcomes.</w:t>
      </w:r>
    </w:p>
    <w:p>
      <w:pPr>
        <w:pStyle w:val="BodyText"/>
        <w:spacing w:before="0" w:after="200"/>
        <w:rPr/>
      </w:pPr>
      <w:r>
        <w:rPr/>
        <w:t>The methodology may therefore represent a probability distribution over possible World Context Transitions, or a structured set of scenarios with relative likelihood and confidence.</w:t>
      </w:r>
    </w:p>
    <w:p>
      <w:pPr>
        <w:pStyle w:val="BodyText"/>
        <w:spacing w:before="0" w:after="200"/>
        <w:rPr/>
      </w:pPr>
      <w:r>
        <w:rPr/>
        <w:t>The final Moral Assessment should consider not only the most probable World Context₁, but also materially significant alternatives, especially when downside risks are severe or when uncertainty is high.</w:t>
      </w:r>
    </w:p>
    <w:p>
      <w:pPr>
        <w:pStyle w:val="Heading3"/>
        <w:ind w:hanging="0" w:left="0"/>
        <w:rPr/>
      </w:pPr>
      <w:r>
        <w:rPr/>
        <w:t>Probability and Decision Support</w:t>
      </w:r>
    </w:p>
    <w:p>
      <w:pPr>
        <w:pStyle w:val="BodyText"/>
        <w:spacing w:before="0" w:after="200"/>
        <w:rPr/>
      </w:pPr>
      <w:r>
        <w:rPr/>
        <w:t>Probability can support decision-making, but it should not replace judgment.</w:t>
      </w:r>
    </w:p>
    <w:p>
      <w:pPr>
        <w:pStyle w:val="BodyText"/>
        <w:spacing w:before="0" w:after="200"/>
        <w:rPr/>
      </w:pPr>
      <w:r>
        <w:rPr/>
        <w:t>A probability-informed assessment may recommend action, delay, mitigation, further evidence gathering, alternative action, escalation, or refusal. The recommendation should depend on the probability of outcomes, confidence in those probabilities, severity of potential harms, material diminishment, available alternatives, and effects on future state space.</w:t>
      </w:r>
    </w:p>
    <w:p>
      <w:pPr>
        <w:pStyle w:val="BodyText"/>
        <w:spacing w:before="0" w:after="200"/>
        <w:rPr/>
      </w:pPr>
      <w:r>
        <w:rPr/>
        <w:t>For example:</w:t>
      </w:r>
    </w:p>
    <w:p>
      <w:pPr>
        <w:pStyle w:val="BodyText"/>
        <w:numPr>
          <w:ilvl w:val="0"/>
          <w:numId w:val="22"/>
        </w:numPr>
        <w:spacing w:before="0" w:after="200"/>
        <w:rPr/>
      </w:pPr>
      <w:r>
        <w:rPr/>
        <w:t>A high-probability beneficial transition with high confidence may support proceeding.</w:t>
      </w:r>
    </w:p>
    <w:p>
      <w:pPr>
        <w:pStyle w:val="BodyText"/>
        <w:numPr>
          <w:ilvl w:val="0"/>
          <w:numId w:val="22"/>
        </w:numPr>
        <w:spacing w:before="0" w:after="200"/>
        <w:rPr/>
      </w:pPr>
      <w:r>
        <w:rPr/>
        <w:t>A high-probability harmful transition may support rejecting or modifying the action.</w:t>
      </w:r>
    </w:p>
    <w:p>
      <w:pPr>
        <w:pStyle w:val="BodyText"/>
        <w:numPr>
          <w:ilvl w:val="0"/>
          <w:numId w:val="22"/>
        </w:numPr>
        <w:spacing w:before="0" w:after="200"/>
        <w:rPr/>
      </w:pPr>
      <w:r>
        <w:rPr/>
        <w:t>A low-probability catastrophic risk may support safeguards, escalation, or refusal.</w:t>
      </w:r>
    </w:p>
    <w:p>
      <w:pPr>
        <w:pStyle w:val="BodyText"/>
        <w:numPr>
          <w:ilvl w:val="0"/>
          <w:numId w:val="22"/>
        </w:numPr>
        <w:spacing w:before="0" w:after="200"/>
        <w:rPr/>
      </w:pPr>
      <w:r>
        <w:rPr/>
        <w:t>A low-confidence beneficial estimate may support additional evidence gathering.</w:t>
      </w:r>
    </w:p>
    <w:p>
      <w:pPr>
        <w:pStyle w:val="BodyText"/>
        <w:numPr>
          <w:ilvl w:val="0"/>
          <w:numId w:val="22"/>
        </w:numPr>
        <w:spacing w:before="0" w:after="200"/>
        <w:rPr/>
      </w:pPr>
      <w:r>
        <w:rPr/>
        <w:t>A high-confidence mixed transition may support mitigation and monitoring.</w:t>
      </w:r>
    </w:p>
    <w:p>
      <w:pPr>
        <w:pStyle w:val="BodyText"/>
        <w:spacing w:before="0" w:after="200"/>
        <w:rPr/>
      </w:pPr>
      <w:r>
        <w:rPr/>
        <w:t>Probability supports disciplined decision-making, but the final assessment remains grounded in the World Context Transition.</w:t>
      </w:r>
    </w:p>
    <w:p>
      <w:pPr>
        <w:pStyle w:val="Heading3"/>
        <w:ind w:hanging="0" w:left="0"/>
        <w:rPr/>
      </w:pPr>
      <w:r>
        <w:rPr/>
        <w:t>Revising Probability Over Time</w:t>
      </w:r>
    </w:p>
    <w:p>
      <w:pPr>
        <w:pStyle w:val="BodyText"/>
        <w:spacing w:before="0" w:after="200"/>
        <w:rPr/>
      </w:pPr>
      <w:r>
        <w:rPr/>
        <w:t>Probability estimates should be revisable.</w:t>
      </w:r>
    </w:p>
    <w:p>
      <w:pPr>
        <w:pStyle w:val="BodyText"/>
        <w:spacing w:before="0" w:after="200"/>
        <w:rPr/>
      </w:pPr>
      <w:r>
        <w:rPr/>
        <w:t>As an action moves from proposed to ongoing to completed, new evidence may become available. Observed outcomes may confirm or contradict predicted transitions. Institutional responses may differ from expectations. Policy updates may become visible. Long-term flourishing effects may emerge gradually.</w:t>
      </w:r>
    </w:p>
    <w:p>
      <w:pPr>
        <w:pStyle w:val="BodyText"/>
        <w:spacing w:before="0" w:after="200"/>
        <w:rPr/>
      </w:pPr>
      <w:r>
        <w:rPr/>
        <w:t>The methodology should support revision of:</w:t>
      </w:r>
    </w:p>
    <w:p>
      <w:pPr>
        <w:pStyle w:val="BodyText"/>
        <w:numPr>
          <w:ilvl w:val="0"/>
          <w:numId w:val="21"/>
        </w:numPr>
        <w:spacing w:before="0" w:after="200"/>
        <w:rPr/>
      </w:pPr>
      <w:r>
        <w:rPr/>
        <w:t>Baseline probabilities.</w:t>
      </w:r>
    </w:p>
    <w:p>
      <w:pPr>
        <w:pStyle w:val="BodyText"/>
        <w:numPr>
          <w:ilvl w:val="0"/>
          <w:numId w:val="21"/>
        </w:numPr>
        <w:spacing w:before="0" w:after="200"/>
        <w:rPr/>
      </w:pPr>
      <w:r>
        <w:rPr/>
        <w:t>Consequence probabilities.</w:t>
      </w:r>
    </w:p>
    <w:p>
      <w:pPr>
        <w:pStyle w:val="BodyText"/>
        <w:numPr>
          <w:ilvl w:val="0"/>
          <w:numId w:val="21"/>
        </w:numPr>
        <w:spacing w:before="0" w:after="200"/>
        <w:rPr/>
      </w:pPr>
      <w:r>
        <w:rPr/>
        <w:t>Causal attribution probabilities.</w:t>
      </w:r>
    </w:p>
    <w:p>
      <w:pPr>
        <w:pStyle w:val="BodyText"/>
        <w:numPr>
          <w:ilvl w:val="0"/>
          <w:numId w:val="21"/>
        </w:numPr>
        <w:spacing w:before="0" w:after="200"/>
        <w:rPr/>
      </w:pPr>
      <w:r>
        <w:rPr/>
        <w:t>Policy update probabilities.</w:t>
      </w:r>
    </w:p>
    <w:p>
      <w:pPr>
        <w:pStyle w:val="BodyText"/>
        <w:numPr>
          <w:ilvl w:val="0"/>
          <w:numId w:val="21"/>
        </w:numPr>
        <w:spacing w:before="0" w:after="200"/>
        <w:rPr/>
      </w:pPr>
      <w:r>
        <w:rPr/>
        <w:t>Flourishing transition probabilities.</w:t>
      </w:r>
    </w:p>
    <w:p>
      <w:pPr>
        <w:pStyle w:val="BodyText"/>
        <w:numPr>
          <w:ilvl w:val="0"/>
          <w:numId w:val="21"/>
        </w:numPr>
        <w:spacing w:before="0" w:after="200"/>
        <w:rPr/>
      </w:pPr>
      <w:r>
        <w:rPr/>
        <w:t>Material diminishment probabilities.</w:t>
      </w:r>
    </w:p>
    <w:p>
      <w:pPr>
        <w:pStyle w:val="BodyText"/>
        <w:numPr>
          <w:ilvl w:val="0"/>
          <w:numId w:val="21"/>
        </w:numPr>
        <w:spacing w:before="0" w:after="200"/>
        <w:rPr/>
      </w:pPr>
      <w:r>
        <w:rPr/>
        <w:t>Scenario probabilities.</w:t>
      </w:r>
    </w:p>
    <w:p>
      <w:pPr>
        <w:pStyle w:val="BodyText"/>
        <w:numPr>
          <w:ilvl w:val="0"/>
          <w:numId w:val="21"/>
        </w:numPr>
        <w:spacing w:before="0" w:after="200"/>
        <w:rPr/>
      </w:pPr>
      <w:r>
        <w:rPr/>
        <w:t>World Context Transition probabilities.</w:t>
      </w:r>
    </w:p>
    <w:p>
      <w:pPr>
        <w:pStyle w:val="BodyText"/>
        <w:numPr>
          <w:ilvl w:val="0"/>
          <w:numId w:val="21"/>
        </w:numPr>
        <w:spacing w:before="0" w:after="200"/>
        <w:rPr/>
      </w:pPr>
      <w:r>
        <w:rPr/>
        <w:t>Final confidence estimates.</w:t>
      </w:r>
    </w:p>
    <w:p>
      <w:pPr>
        <w:pStyle w:val="BodyText"/>
        <w:spacing w:before="0" w:after="200"/>
        <w:rPr/>
      </w:pPr>
      <w:r>
        <w:rPr/>
        <w:t>Revision is not a failure of the methodology. It is a sign that the methodology remains evidence-sensitive and adaptive.</w:t>
      </w:r>
    </w:p>
    <w:p>
      <w:pPr>
        <w:pStyle w:val="Heading3"/>
        <w:ind w:hanging="0" w:left="0"/>
        <w:rPr/>
      </w:pPr>
      <w:r>
        <w:rPr/>
        <w:t>Probability Reporting</w:t>
      </w:r>
    </w:p>
    <w:p>
      <w:pPr>
        <w:pStyle w:val="BodyText"/>
        <w:spacing w:before="0" w:after="200"/>
        <w:rPr/>
      </w:pPr>
      <w:r>
        <w:rPr/>
        <w:t>Probability estimates should be reported in a way that is understandable, traceable, and confidence-bounded.</w:t>
      </w:r>
    </w:p>
    <w:p>
      <w:pPr>
        <w:pStyle w:val="BodyText"/>
        <w:spacing w:before="0" w:after="200"/>
        <w:rPr/>
      </w:pPr>
      <w:r>
        <w:rPr/>
        <w:t>A probability report should identify:</w:t>
      </w:r>
    </w:p>
    <w:p>
      <w:pPr>
        <w:pStyle w:val="BodyText"/>
        <w:numPr>
          <w:ilvl w:val="0"/>
          <w:numId w:val="20"/>
        </w:numPr>
        <w:spacing w:before="0" w:after="200"/>
        <w:rPr/>
      </w:pPr>
      <w:r>
        <w:rPr/>
        <w:t>The event, state, transition, or scenario being estimated.</w:t>
      </w:r>
    </w:p>
    <w:p>
      <w:pPr>
        <w:pStyle w:val="BodyText"/>
        <w:numPr>
          <w:ilvl w:val="0"/>
          <w:numId w:val="20"/>
        </w:numPr>
        <w:spacing w:before="0" w:after="200"/>
        <w:rPr/>
      </w:pPr>
      <w:r>
        <w:rPr/>
        <w:t>The estimated probability or probability range.</w:t>
      </w:r>
    </w:p>
    <w:p>
      <w:pPr>
        <w:pStyle w:val="BodyText"/>
        <w:numPr>
          <w:ilvl w:val="0"/>
          <w:numId w:val="20"/>
        </w:numPr>
        <w:spacing w:before="0" w:after="200"/>
        <w:rPr/>
      </w:pPr>
      <w:r>
        <w:rPr/>
        <w:t>The evidence supporting the estimate.</w:t>
      </w:r>
    </w:p>
    <w:p>
      <w:pPr>
        <w:pStyle w:val="BodyText"/>
        <w:numPr>
          <w:ilvl w:val="0"/>
          <w:numId w:val="20"/>
        </w:numPr>
        <w:spacing w:before="0" w:after="200"/>
        <w:rPr/>
      </w:pPr>
      <w:r>
        <w:rPr/>
        <w:t>The confidence in the estimate.</w:t>
      </w:r>
    </w:p>
    <w:p>
      <w:pPr>
        <w:pStyle w:val="BodyText"/>
        <w:numPr>
          <w:ilvl w:val="0"/>
          <w:numId w:val="20"/>
        </w:numPr>
        <w:spacing w:before="0" w:after="200"/>
        <w:rPr/>
      </w:pPr>
      <w:r>
        <w:rPr/>
        <w:t>The major uncertainty sources.</w:t>
      </w:r>
    </w:p>
    <w:p>
      <w:pPr>
        <w:pStyle w:val="BodyText"/>
        <w:numPr>
          <w:ilvl w:val="0"/>
          <w:numId w:val="20"/>
        </w:numPr>
        <w:spacing w:before="0" w:after="200"/>
        <w:rPr/>
      </w:pPr>
      <w:r>
        <w:rPr/>
        <w:t>The Assessment Horizon.</w:t>
      </w:r>
    </w:p>
    <w:p>
      <w:pPr>
        <w:pStyle w:val="BodyText"/>
        <w:numPr>
          <w:ilvl w:val="0"/>
          <w:numId w:val="20"/>
        </w:numPr>
        <w:spacing w:before="0" w:after="200"/>
        <w:rPr/>
      </w:pPr>
      <w:r>
        <w:rPr/>
        <w:t>The materiality of the estimate.</w:t>
      </w:r>
    </w:p>
    <w:p>
      <w:pPr>
        <w:pStyle w:val="BodyText"/>
        <w:numPr>
          <w:ilvl w:val="0"/>
          <w:numId w:val="20"/>
        </w:numPr>
        <w:spacing w:before="0" w:after="200"/>
        <w:rPr/>
      </w:pPr>
      <w:r>
        <w:rPr/>
        <w:t>The consequences of being wrong.</w:t>
      </w:r>
    </w:p>
    <w:p>
      <w:pPr>
        <w:pStyle w:val="BodyText"/>
        <w:numPr>
          <w:ilvl w:val="0"/>
          <w:numId w:val="20"/>
        </w:numPr>
        <w:spacing w:before="0" w:after="200"/>
        <w:rPr/>
      </w:pPr>
      <w:r>
        <w:rPr/>
        <w:t>Whether additional evidence could improve the estimate.</w:t>
      </w:r>
    </w:p>
    <w:p>
      <w:pPr>
        <w:pStyle w:val="BodyText"/>
        <w:numPr>
          <w:ilvl w:val="0"/>
          <w:numId w:val="20"/>
        </w:numPr>
        <w:spacing w:before="0" w:after="200"/>
        <w:rPr/>
      </w:pPr>
      <w:r>
        <w:rPr/>
        <w:t>Whether the estimate has been updated over time.</w:t>
      </w:r>
    </w:p>
    <w:p>
      <w:pPr>
        <w:pStyle w:val="BodyText"/>
        <w:spacing w:before="0" w:after="200"/>
        <w:rPr/>
      </w:pPr>
      <w:r>
        <w:rPr/>
        <w:t>Probability reporting should avoid unsupported precision. It should also avoid vague language that hides meaningful probability differences.</w:t>
      </w:r>
    </w:p>
    <w:p>
      <w:pPr>
        <w:pStyle w:val="Heading3"/>
        <w:ind w:hanging="0" w:left="0"/>
        <w:rPr/>
      </w:pPr>
      <w:r>
        <w:rPr/>
        <w:t>Common Probability Errors</w:t>
      </w:r>
    </w:p>
    <w:p>
      <w:pPr>
        <w:pStyle w:val="BodyText"/>
        <w:spacing w:before="0" w:after="200"/>
        <w:rPr/>
      </w:pPr>
      <w:r>
        <w:rPr/>
        <w:t>The methodology should avoid several common probability errors.</w:t>
      </w:r>
    </w:p>
    <w:p>
      <w:pPr>
        <w:pStyle w:val="BodyText"/>
        <w:spacing w:before="0" w:after="200"/>
        <w:rPr/>
      </w:pPr>
      <w:r>
        <w:rPr/>
        <w:t>First, it should avoid probability-morality confusion, where likelihood is treated as moral importance.</w:t>
      </w:r>
    </w:p>
    <w:p>
      <w:pPr>
        <w:pStyle w:val="BodyText"/>
        <w:spacing w:before="0" w:after="200"/>
        <w:rPr/>
      </w:pPr>
      <w:r>
        <w:rPr/>
        <w:t>Second, it should avoid false precision, where unsupported numerical estimates appear more reliable than the evidence allows.</w:t>
      </w:r>
    </w:p>
    <w:p>
      <w:pPr>
        <w:pStyle w:val="BodyText"/>
        <w:spacing w:before="0" w:after="200"/>
        <w:rPr/>
      </w:pPr>
      <w:r>
        <w:rPr/>
        <w:t>Third, it should avoid probability neglect, where uncertain but material risks are ignored.</w:t>
      </w:r>
    </w:p>
    <w:p>
      <w:pPr>
        <w:pStyle w:val="BodyText"/>
        <w:spacing w:before="0" w:after="200"/>
        <w:rPr/>
      </w:pPr>
      <w:r>
        <w:rPr/>
        <w:t>Fourth, it should avoid base-rate neglect, where relevant prior patterns are ignored.</w:t>
      </w:r>
    </w:p>
    <w:p>
      <w:pPr>
        <w:pStyle w:val="BodyText"/>
        <w:spacing w:before="0" w:after="200"/>
        <w:rPr/>
      </w:pPr>
      <w:r>
        <w:rPr/>
        <w:t>Fifth, it should avoid evidence inertia, where probability estimates are not updated after new evidence appears.</w:t>
      </w:r>
    </w:p>
    <w:p>
      <w:pPr>
        <w:pStyle w:val="BodyText"/>
        <w:spacing w:before="0" w:after="200"/>
        <w:rPr/>
      </w:pPr>
      <w:r>
        <w:rPr/>
        <w:t>Sixth, it should avoid horizon collapse, where probabilities across different time horizons are merged without preserving temporal structure.</w:t>
      </w:r>
    </w:p>
    <w:p>
      <w:pPr>
        <w:pStyle w:val="BodyText"/>
        <w:spacing w:before="0" w:after="200"/>
        <w:rPr/>
      </w:pPr>
      <w:r>
        <w:rPr/>
        <w:t>Seventh, it should avoid expected-value blindness, where low-probability catastrophic harms are hidden inside favorable expected averages.</w:t>
      </w:r>
    </w:p>
    <w:p>
      <w:pPr>
        <w:pStyle w:val="BodyText"/>
        <w:spacing w:before="0" w:after="200"/>
        <w:rPr/>
      </w:pPr>
      <w:r>
        <w:rPr/>
        <w:t>Eighth, it should avoid model overconfidence, where the probability estimate is treated as stronger than the underlying model justifies.</w:t>
      </w:r>
    </w:p>
    <w:p>
      <w:pPr>
        <w:pStyle w:val="BodyText"/>
        <w:spacing w:before="0" w:after="200"/>
        <w:rPr/>
      </w:pPr>
      <w:r>
        <w:rPr/>
        <w:t>Avoiding these errors helps preserve transparent and responsible probabilistic moral reasoning.</w:t>
      </w:r>
    </w:p>
    <w:p>
      <w:pPr>
        <w:pStyle w:val="Heading3"/>
        <w:ind w:hanging="0" w:left="0"/>
        <w:rPr/>
      </w:pPr>
      <w:r>
        <w:rPr/>
        <w:t>Methodological Boundary</w:t>
      </w:r>
    </w:p>
    <w:p>
      <w:pPr>
        <w:pStyle w:val="BodyText"/>
        <w:spacing w:before="0" w:after="200"/>
        <w:rPr/>
      </w:pPr>
      <w:r>
        <w:rPr/>
        <w:t>This section defines the role of probability within the Moral Assessment Methodology. It does not prescribe a final probability calculus, Bayesian formalism, statistical model, scoring method, risk engine, simulation architecture, or implementation-specific representation.</w:t>
      </w:r>
    </w:p>
    <w:p>
      <w:pPr>
        <w:pStyle w:val="BodyText"/>
        <w:spacing w:before="0" w:after="200"/>
        <w:rPr/>
      </w:pPr>
      <w:r>
        <w:rPr/>
        <w:t>Different implementations may use qualitative likelihood categories, probability ranges, Bayesian networks, causal models, Monte Carlo simulations, expert elicitation, scenario analysis, machine-learning models, or future computational methods.</w:t>
      </w:r>
    </w:p>
    <w:p>
      <w:pPr>
        <w:pStyle w:val="BodyText"/>
        <w:spacing w:before="0" w:after="200"/>
        <w:rPr/>
      </w:pPr>
      <w:r>
        <w:rPr/>
        <w:t>The methodological requirement is that probability estimates be explicit, evidence-sensitive, confidence-bounded, horizon-aware, updateable, and connected to the World Context Transition.</w:t>
      </w:r>
    </w:p>
    <w:p>
      <w:pPr>
        <w:pStyle w:val="BodyText"/>
        <w:spacing w:before="0" w:after="200"/>
        <w:rPr/>
      </w:pPr>
      <w:r>
        <w:rPr/>
        <w:t>Probability helps the methodology reason under uncertainty. It does not replace moral judgment, Long-Term Flourishing assessment, Distributed Policy Updates, or evaluation of the resulting World Context.</w:t>
      </w:r>
    </w:p>
    <w:p>
      <w:pPr>
        <w:pStyle w:val="Heading2"/>
        <w:ind w:hanging="0" w:left="0"/>
        <w:rPr/>
      </w:pPr>
      <w:r>
        <w:rPr/>
        <w:t>Multi-Horizon Assessment</w:t>
      </w:r>
    </w:p>
    <w:p>
      <w:pPr>
        <w:pStyle w:val="BodyText"/>
        <w:spacing w:before="0" w:after="200"/>
        <w:rPr/>
      </w:pPr>
      <w:r>
        <w:rPr/>
        <w:t>Multi-Horizon Assessment evaluates an Assessed Action across multiple timeframes. It recognizes that the moral significance of an action may change as its consequences unfold, propagate, stabilize, compound, or dissipate over time.</w:t>
      </w:r>
    </w:p>
    <w:p>
      <w:pPr>
        <w:pStyle w:val="BodyText"/>
        <w:spacing w:before="0" w:after="200"/>
        <w:rPr/>
      </w:pPr>
      <w:r>
        <w:rPr/>
        <w:t>An action may appear beneficial in the immediate horizon while producing long-term harm. Another action may impose short-term burden while preserving Long-Term Flourishing, institutional legitimacy, adaptive capacity, or future state space over longer horizons. A methodology that evaluates only one timeframe risks confusing immediate outcome with moral assessment.</w:t>
      </w:r>
    </w:p>
    <w:p>
      <w:pPr>
        <w:pStyle w:val="BodyText"/>
        <w:spacing w:before="0" w:after="200"/>
        <w:rPr/>
      </w:pPr>
      <w:r>
        <w:rPr/>
        <w:t>The Moral Assessment Methodology therefore evaluates the World Context Transition across multiple Assessment Horizons: immediate, short-term, medium-term, long-term, multi-generational, and civilizational. These horizons are methodological defaults. Specific domains or implementations may refine their durations, add intermediate horizons, or collapse horizons when appropriate, but they should preserve the underlying principle that moral assessment must be temporally structured.</w:t>
      </w:r>
    </w:p>
    <w:p>
      <w:pPr>
        <w:pStyle w:val="Heading3"/>
        <w:ind w:hanging="0" w:left="0"/>
        <w:rPr/>
      </w:pPr>
      <w:r>
        <w:rPr/>
        <w:t>Purpose of Multi-Horizon Assessment</w:t>
      </w:r>
    </w:p>
    <w:p>
      <w:pPr>
        <w:pStyle w:val="BodyText"/>
        <w:spacing w:before="0" w:after="200"/>
        <w:rPr/>
      </w:pPr>
      <w:r>
        <w:rPr/>
        <w:t>The purpose of Multi-Horizon Assessment is to preserve the temporal structure of moral consequences.</w:t>
      </w:r>
    </w:p>
    <w:p>
      <w:pPr>
        <w:pStyle w:val="BodyText"/>
        <w:spacing w:before="0" w:after="200"/>
        <w:rPr/>
      </w:pPr>
      <w:r>
        <w:rPr/>
        <w:t>Actions do not transform the World Context all at once. Some effects occur immediately. Others emerge through relationships, institutions, incentives, policy updates, ecological processes, social learning, technological change, or future decisions. Some effects are brief and reversible. Others are durable, compounding, irreversible, or transmitted across generations.</w:t>
      </w:r>
    </w:p>
    <w:p>
      <w:pPr>
        <w:pStyle w:val="BodyText"/>
        <w:spacing w:before="0" w:after="200"/>
        <w:rPr/>
      </w:pPr>
      <w:r>
        <w:rPr/>
        <w:t>Multi-Horizon Assessment supports several methodological functions:</w:t>
      </w:r>
    </w:p>
    <w:p>
      <w:pPr>
        <w:pStyle w:val="BodyText"/>
        <w:spacing w:before="0" w:after="200"/>
        <w:rPr/>
      </w:pPr>
      <w:r>
        <w:rPr/>
        <w:t>It distinguishes immediate effects from delayed effects.</w:t>
      </w:r>
    </w:p>
    <w:p>
      <w:pPr>
        <w:pStyle w:val="BodyText"/>
        <w:spacing w:before="0" w:after="200"/>
        <w:rPr/>
      </w:pPr>
      <w:r>
        <w:rPr/>
        <w:t>It identifies short-term benefits that may produce long-term harm.</w:t>
      </w:r>
    </w:p>
    <w:p>
      <w:pPr>
        <w:pStyle w:val="BodyText"/>
        <w:spacing w:before="0" w:after="200"/>
        <w:rPr/>
      </w:pPr>
      <w:r>
        <w:rPr/>
        <w:t>It identifies short-term burdens that may preserve long-term flourishing.</w:t>
      </w:r>
    </w:p>
    <w:p>
      <w:pPr>
        <w:pStyle w:val="BodyText"/>
        <w:spacing w:before="0" w:after="200"/>
        <w:rPr/>
      </w:pPr>
      <w:r>
        <w:rPr/>
        <w:t>It evaluates horizon-specific Long-Term Flourishing transitions.</w:t>
      </w:r>
    </w:p>
    <w:p>
      <w:pPr>
        <w:pStyle w:val="BodyText"/>
        <w:spacing w:before="0" w:after="200"/>
        <w:rPr/>
      </w:pPr>
      <w:r>
        <w:rPr/>
        <w:t>It evaluates horizon-specific Distributed Policy Updates.</w:t>
      </w:r>
    </w:p>
    <w:p>
      <w:pPr>
        <w:pStyle w:val="BodyText"/>
        <w:spacing w:before="0" w:after="200"/>
        <w:rPr/>
      </w:pPr>
      <w:r>
        <w:rPr/>
        <w:t>It evaluates institutional and future state-space effects that may not be visible immediately.</w:t>
      </w:r>
    </w:p>
    <w:p>
      <w:pPr>
        <w:pStyle w:val="BodyText"/>
        <w:spacing w:before="0" w:after="200"/>
        <w:rPr/>
      </w:pPr>
      <w:r>
        <w:rPr/>
        <w:t>It supports horizon-specific confidence estimation.</w:t>
      </w:r>
    </w:p>
    <w:p>
      <w:pPr>
        <w:pStyle w:val="BodyText"/>
        <w:spacing w:before="0" w:after="200"/>
        <w:rPr/>
      </w:pPr>
      <w:r>
        <w:rPr/>
        <w:t>It prevents the final assessment from collapsing time-dependent effects into a single undifferentiated judgment.</w:t>
      </w:r>
    </w:p>
    <w:p>
      <w:pPr>
        <w:pStyle w:val="BodyText"/>
        <w:spacing w:before="0" w:after="200"/>
        <w:rPr/>
      </w:pPr>
      <w:r>
        <w:rPr/>
        <w:t>The methodology should therefore treat time horizon as a core dimension of assessment rather than as a reporting detail.</w:t>
      </w:r>
    </w:p>
    <w:p>
      <w:pPr>
        <w:pStyle w:val="Heading3"/>
        <w:ind w:hanging="0" w:left="0"/>
        <w:rPr/>
      </w:pPr>
      <w:r>
        <w:rPr/>
        <w:t>Assessment Horizons</w:t>
      </w:r>
    </w:p>
    <w:p>
      <w:pPr>
        <w:pStyle w:val="BodyText"/>
        <w:spacing w:before="0" w:after="200"/>
        <w:rPr/>
      </w:pPr>
      <w:r>
        <w:rPr/>
        <w:t>An Assessment Horizon is a timeframe over which the consequences of an Assessed Action are evaluated.</w:t>
      </w:r>
    </w:p>
    <w:p>
      <w:pPr>
        <w:pStyle w:val="BodyText"/>
        <w:spacing w:before="0" w:after="200"/>
        <w:rPr/>
      </w:pPr>
      <w:r>
        <w:rPr/>
        <w:t>The default horizons are:</w:t>
      </w:r>
    </w:p>
    <w:p>
      <w:pPr>
        <w:pStyle w:val="BodyText"/>
        <w:spacing w:before="0" w:after="200"/>
        <w:rPr/>
      </w:pPr>
      <w:r>
        <w:rPr/>
        <w:t>Immediate.</w:t>
      </w:r>
    </w:p>
    <w:p>
      <w:pPr>
        <w:pStyle w:val="BodyText"/>
        <w:spacing w:before="0" w:after="200"/>
        <w:rPr/>
      </w:pPr>
      <w:r>
        <w:rPr/>
        <w:t>Short-term.</w:t>
      </w:r>
    </w:p>
    <w:p>
      <w:pPr>
        <w:pStyle w:val="BodyText"/>
        <w:spacing w:before="0" w:after="200"/>
        <w:rPr/>
      </w:pPr>
      <w:r>
        <w:rPr/>
        <w:t>Medium-term.</w:t>
      </w:r>
    </w:p>
    <w:p>
      <w:pPr>
        <w:pStyle w:val="BodyText"/>
        <w:spacing w:before="0" w:after="200"/>
        <w:rPr/>
      </w:pPr>
      <w:r>
        <w:rPr/>
        <w:t>Long-term.</w:t>
      </w:r>
    </w:p>
    <w:p>
      <w:pPr>
        <w:pStyle w:val="BodyText"/>
        <w:spacing w:before="0" w:after="200"/>
        <w:rPr/>
      </w:pPr>
      <w:r>
        <w:rPr/>
        <w:t>Multi-generational.</w:t>
      </w:r>
    </w:p>
    <w:p>
      <w:pPr>
        <w:pStyle w:val="BodyText"/>
        <w:spacing w:before="0" w:after="200"/>
        <w:rPr/>
      </w:pPr>
      <w:r>
        <w:rPr/>
        <w:t>Civilizational.</w:t>
      </w:r>
    </w:p>
    <w:p>
      <w:pPr>
        <w:pStyle w:val="BodyText"/>
        <w:spacing w:before="0" w:after="200"/>
        <w:rPr/>
      </w:pPr>
      <w:r>
        <w:rPr/>
        <w:t>These horizons are not intended to impose rigid clock durations across every domain. The appropriate duration of each horizon depends on the Situational Context. In emergency medicine, the immediate horizon may be seconds or minutes. In public policy, it may be days or weeks. In ecological assessment, the long-term horizon may be decades. In AI safety or civilizational-risk assessment, the civilizational horizon may extend beyond presently measurable institutional timelines.</w:t>
      </w:r>
    </w:p>
    <w:p>
      <w:pPr>
        <w:pStyle w:val="BodyText"/>
        <w:spacing w:before="0" w:after="200"/>
        <w:rPr/>
      </w:pPr>
      <w:r>
        <w:rPr/>
        <w:t>The methodology should define the working duration or interpretation of each horizon when the assessment requires precision.</w:t>
      </w:r>
    </w:p>
    <w:p>
      <w:pPr>
        <w:pStyle w:val="Heading3"/>
        <w:ind w:hanging="0" w:left="0"/>
        <w:rPr/>
      </w:pPr>
      <w:r>
        <w:rPr/>
        <w:t>Immediate Horizon</w:t>
      </w:r>
    </w:p>
    <w:p>
      <w:pPr>
        <w:pStyle w:val="BodyText"/>
        <w:spacing w:before="0" w:after="200"/>
        <w:rPr/>
      </w:pPr>
      <w:r>
        <w:rPr/>
        <w:t>The immediate horizon evaluates effects that occur during or directly after the Assessed Action.</w:t>
      </w:r>
    </w:p>
    <w:p>
      <w:pPr>
        <w:pStyle w:val="BodyText"/>
        <w:spacing w:before="0" w:after="200"/>
        <w:rPr/>
      </w:pPr>
      <w:r>
        <w:rPr/>
        <w:t>Immediate effects are often the most visible. They may include physical harm or benefit, direct resource transfer, immediate safety changes, immediate disclosure or concealment of information, direct compliance, direct refusal, direct rescue, direct injury, direct system output, or immediate operational success or failure.</w:t>
      </w:r>
    </w:p>
    <w:p>
      <w:pPr>
        <w:pStyle w:val="BodyText"/>
        <w:spacing w:before="0" w:after="200"/>
        <w:rPr/>
      </w:pPr>
      <w:r>
        <w:rPr/>
        <w:t>The immediate horizon answers questions such as:</w:t>
      </w:r>
    </w:p>
    <w:p>
      <w:pPr>
        <w:pStyle w:val="BodyText"/>
        <w:spacing w:before="0" w:after="200"/>
        <w:rPr/>
      </w:pPr>
      <w:r>
        <w:rPr/>
        <w:t>What happens as the action occurs?</w:t>
      </w:r>
    </w:p>
    <w:p>
      <w:pPr>
        <w:pStyle w:val="BodyText"/>
        <w:spacing w:before="0" w:after="200"/>
        <w:rPr/>
      </w:pPr>
      <w:r>
        <w:rPr/>
        <w:t>Who or what is directly affected?</w:t>
      </w:r>
    </w:p>
    <w:p>
      <w:pPr>
        <w:pStyle w:val="BodyText"/>
        <w:spacing w:before="0" w:after="200"/>
        <w:rPr/>
      </w:pPr>
      <w:r>
        <w:rPr/>
        <w:t>What immediate state variables change?</w:t>
      </w:r>
    </w:p>
    <w:p>
      <w:pPr>
        <w:pStyle w:val="BodyText"/>
        <w:spacing w:before="0" w:after="200"/>
        <w:rPr/>
      </w:pPr>
      <w:r>
        <w:rPr/>
        <w:t>Is there immediate harm, benefit, protection, coercion, deception, disclosure, or relief?</w:t>
      </w:r>
    </w:p>
    <w:p>
      <w:pPr>
        <w:pStyle w:val="BodyText"/>
        <w:spacing w:before="0" w:after="200"/>
        <w:rPr/>
      </w:pPr>
      <w:r>
        <w:rPr/>
        <w:t>What immediate risks are created or avoided?</w:t>
      </w:r>
    </w:p>
    <w:p>
      <w:pPr>
        <w:pStyle w:val="BodyText"/>
        <w:spacing w:before="0" w:after="200"/>
        <w:rPr/>
      </w:pPr>
      <w:r>
        <w:rPr/>
        <w:t>What information is available at the moment of action?</w:t>
      </w:r>
    </w:p>
    <w:p>
      <w:pPr>
        <w:pStyle w:val="BodyText"/>
        <w:spacing w:before="0" w:after="200"/>
        <w:rPr/>
      </w:pPr>
      <w:r>
        <w:rPr/>
        <w:t>Immediate effects are important, but they should not dominate the entire assessment. An immediate benefit may be outweighed by later institutional, relational, or policy-state degradation. An immediate burden may be justified if it prevents greater harm or preserves long-term flourishing.</w:t>
      </w:r>
    </w:p>
    <w:p>
      <w:pPr>
        <w:pStyle w:val="Heading3"/>
        <w:ind w:hanging="0" w:left="0"/>
        <w:rPr/>
      </w:pPr>
      <w:r>
        <w:rPr/>
        <w:t>Short-Term Horizon</w:t>
      </w:r>
    </w:p>
    <w:p>
      <w:pPr>
        <w:pStyle w:val="BodyText"/>
        <w:spacing w:before="0" w:after="200"/>
        <w:rPr/>
      </w:pPr>
      <w:r>
        <w:rPr/>
        <w:t>The short-term horizon evaluates effects that emerge soon after the Assessed Action, once direct consequences begin to interact with the surrounding context.</w:t>
      </w:r>
    </w:p>
    <w:p>
      <w:pPr>
        <w:pStyle w:val="BodyText"/>
        <w:spacing w:before="0" w:after="200"/>
        <w:rPr/>
      </w:pPr>
      <w:r>
        <w:rPr/>
        <w:t>Short-term effects may include early recovery, initial behavioral responses, emerging trust or distrust, early institutional reaction, short-term resource changes, early relationship effects, immediate policy updates, compliance changes, short-term uncertainty reduction, or early evidence of harm.</w:t>
      </w:r>
    </w:p>
    <w:p>
      <w:pPr>
        <w:pStyle w:val="BodyText"/>
        <w:spacing w:before="0" w:after="200"/>
        <w:rPr/>
      </w:pPr>
      <w:r>
        <w:rPr/>
        <w:t>The short-term horizon answers questions such as:</w:t>
      </w:r>
    </w:p>
    <w:p>
      <w:pPr>
        <w:pStyle w:val="BodyText"/>
        <w:spacing w:before="0" w:after="200"/>
        <w:rPr/>
      </w:pPr>
      <w:r>
        <w:rPr/>
        <w:t>How do affected entities respond after the immediate action?</w:t>
      </w:r>
    </w:p>
    <w:p>
      <w:pPr>
        <w:pStyle w:val="BodyText"/>
        <w:spacing w:before="0" w:after="200"/>
        <w:rPr/>
      </w:pPr>
      <w:r>
        <w:rPr/>
        <w:t>Do early consequences confirm or challenge the predicted transition?</w:t>
      </w:r>
    </w:p>
    <w:p>
      <w:pPr>
        <w:pStyle w:val="BodyText"/>
        <w:spacing w:before="0" w:after="200"/>
        <w:rPr/>
      </w:pPr>
      <w:r>
        <w:rPr/>
        <w:t>Are relationships strengthened, strained, or damaged?</w:t>
      </w:r>
    </w:p>
    <w:p>
      <w:pPr>
        <w:pStyle w:val="BodyText"/>
        <w:spacing w:before="0" w:after="200"/>
        <w:rPr/>
      </w:pPr>
      <w:r>
        <w:rPr/>
        <w:t>Do observers begin updating their expectations?</w:t>
      </w:r>
    </w:p>
    <w:p>
      <w:pPr>
        <w:pStyle w:val="BodyText"/>
        <w:spacing w:before="0" w:after="200"/>
        <w:rPr/>
      </w:pPr>
      <w:r>
        <w:rPr/>
        <w:t>Do institutions respond appropriately?</w:t>
      </w:r>
    </w:p>
    <w:p>
      <w:pPr>
        <w:pStyle w:val="BodyText"/>
        <w:spacing w:before="0" w:after="200"/>
        <w:rPr/>
      </w:pPr>
      <w:r>
        <w:rPr/>
        <w:t>Do short-term benefits persist or fade?</w:t>
      </w:r>
    </w:p>
    <w:p>
      <w:pPr>
        <w:pStyle w:val="BodyText"/>
        <w:spacing w:before="0" w:after="200"/>
        <w:rPr/>
      </w:pPr>
      <w:r>
        <w:rPr/>
        <w:t>Do short-term harms intensify or resolve?</w:t>
      </w:r>
    </w:p>
    <w:p>
      <w:pPr>
        <w:pStyle w:val="BodyText"/>
        <w:spacing w:before="0" w:after="200"/>
        <w:rPr/>
      </w:pPr>
      <w:r>
        <w:rPr/>
        <w:t>The short-term horizon is often where initial consequences become socially, institutionally, or behaviorally meaningful. It may reveal whether an immediate result was stable, fragile, deceptive, or incomplete.</w:t>
      </w:r>
    </w:p>
    <w:p>
      <w:pPr>
        <w:pStyle w:val="Heading3"/>
        <w:ind w:hanging="0" w:left="0"/>
        <w:rPr/>
      </w:pPr>
      <w:r>
        <w:rPr/>
        <w:t>Medium-Term Horizon</w:t>
      </w:r>
    </w:p>
    <w:p>
      <w:pPr>
        <w:pStyle w:val="BodyText"/>
        <w:spacing w:before="0" w:after="200"/>
        <w:rPr/>
      </w:pPr>
      <w:r>
        <w:rPr/>
        <w:t>The medium-term horizon evaluates effects that emerge after short-term reactions have stabilized but before long-term systemic consequences are fully visible.</w:t>
      </w:r>
    </w:p>
    <w:p>
      <w:pPr>
        <w:pStyle w:val="BodyText"/>
        <w:spacing w:before="0" w:after="200"/>
        <w:rPr/>
      </w:pPr>
      <w:r>
        <w:rPr/>
        <w:t>Medium-term assessment is useful because many morally significant effects do not appear immediately, but also do not require generational timescales. They may emerge through repeated behavior, institutional adaptation, relationship repair or deterioration, policy implementation, health progression, economic adjustment, social learning, or system retraining.</w:t>
      </w:r>
    </w:p>
    <w:p>
      <w:pPr>
        <w:pStyle w:val="BodyText"/>
        <w:spacing w:before="0" w:after="200"/>
        <w:rPr/>
      </w:pPr>
      <w:r>
        <w:rPr/>
        <w:t>The medium-term horizon answers questions such as:</w:t>
      </w:r>
    </w:p>
    <w:p>
      <w:pPr>
        <w:pStyle w:val="BodyText"/>
        <w:spacing w:before="0" w:after="200"/>
        <w:rPr/>
      </w:pPr>
      <w:r>
        <w:rPr/>
        <w:t>Do short-term effects become stable patterns?</w:t>
      </w:r>
    </w:p>
    <w:p>
      <w:pPr>
        <w:pStyle w:val="BodyText"/>
        <w:spacing w:before="0" w:after="200"/>
        <w:rPr/>
      </w:pPr>
      <w:r>
        <w:rPr/>
        <w:t>Are early policy updates repeated or corrected?</w:t>
      </w:r>
    </w:p>
    <w:p>
      <w:pPr>
        <w:pStyle w:val="BodyText"/>
        <w:spacing w:before="0" w:after="200"/>
        <w:rPr/>
      </w:pPr>
      <w:r>
        <w:rPr/>
        <w:t>Do affected entities regain, lose, or alter future opportunities?</w:t>
      </w:r>
    </w:p>
    <w:p>
      <w:pPr>
        <w:pStyle w:val="BodyText"/>
        <w:spacing w:before="0" w:after="200"/>
        <w:rPr/>
      </w:pPr>
      <w:r>
        <w:rPr/>
        <w:t>Do institutions normalize, reverse, or mitigate the action?</w:t>
      </w:r>
    </w:p>
    <w:p>
      <w:pPr>
        <w:pStyle w:val="BodyText"/>
        <w:spacing w:before="0" w:after="200"/>
        <w:rPr/>
      </w:pPr>
      <w:r>
        <w:rPr/>
        <w:t>Does trust recover or continue to deteriorate?</w:t>
      </w:r>
    </w:p>
    <w:p>
      <w:pPr>
        <w:pStyle w:val="BodyText"/>
        <w:spacing w:before="0" w:after="200"/>
        <w:rPr/>
      </w:pPr>
      <w:r>
        <w:rPr/>
        <w:t>Do safeguards work as intended?</w:t>
      </w:r>
    </w:p>
    <w:p>
      <w:pPr>
        <w:pStyle w:val="BodyText"/>
        <w:spacing w:before="0" w:after="200"/>
        <w:rPr/>
      </w:pPr>
      <w:r>
        <w:rPr/>
        <w:t>Do harms compound, dissipate, or become manageable?</w:t>
      </w:r>
    </w:p>
    <w:p>
      <w:pPr>
        <w:pStyle w:val="BodyText"/>
        <w:spacing w:before="0" w:after="200"/>
        <w:rPr/>
      </w:pPr>
      <w:r>
        <w:rPr/>
        <w:t>Does the action create dependency, resilience, or fragility?</w:t>
      </w:r>
    </w:p>
    <w:p>
      <w:pPr>
        <w:pStyle w:val="BodyText"/>
        <w:spacing w:before="0" w:after="200"/>
        <w:rPr/>
      </w:pPr>
      <w:r>
        <w:rPr/>
        <w:t>The medium-term horizon is especially useful in organizational, medical, legal, educational, technological, and governance assessments. It captures the period in which immediate outcomes begin to become patterns.</w:t>
      </w:r>
    </w:p>
    <w:p>
      <w:pPr>
        <w:pStyle w:val="Heading3"/>
        <w:ind w:hanging="0" w:left="0"/>
        <w:rPr/>
      </w:pPr>
      <w:r>
        <w:rPr/>
        <w:t>Long-Term Horizon</w:t>
      </w:r>
    </w:p>
    <w:p>
      <w:pPr>
        <w:pStyle w:val="BodyText"/>
        <w:spacing w:before="0" w:after="200"/>
        <w:rPr/>
      </w:pPr>
      <w:r>
        <w:rPr/>
        <w:t>The long-term horizon evaluates durable effects that persist, compound, or become structurally embedded over extended time.</w:t>
      </w:r>
    </w:p>
    <w:p>
      <w:pPr>
        <w:pStyle w:val="BodyText"/>
        <w:spacing w:before="0" w:after="200"/>
        <w:rPr/>
      </w:pPr>
      <w:r>
        <w:rPr/>
        <w:t>Long-term effects may include changes to Long-Term Flourishing, adaptive capacity, institutional legitimacy, policy states, future opportunities, trust, ecosystem resilience, organizational culture, legal precedent, health trajectory, social stability, or technological risk.</w:t>
      </w:r>
    </w:p>
    <w:p>
      <w:pPr>
        <w:pStyle w:val="BodyText"/>
        <w:spacing w:before="0" w:after="200"/>
        <w:rPr/>
      </w:pPr>
      <w:r>
        <w:rPr/>
        <w:t>The long-term horizon answers questions such as:</w:t>
      </w:r>
    </w:p>
    <w:p>
      <w:pPr>
        <w:pStyle w:val="BodyText"/>
        <w:spacing w:before="0" w:after="200"/>
        <w:rPr/>
      </w:pPr>
      <w:r>
        <w:rPr/>
        <w:t>Does the action preserve or diminish Long-Term Flourishing?</w:t>
      </w:r>
    </w:p>
    <w:p>
      <w:pPr>
        <w:pStyle w:val="BodyText"/>
        <w:spacing w:before="0" w:after="200"/>
        <w:rPr/>
      </w:pPr>
      <w:r>
        <w:rPr/>
        <w:t>Do institutions become stronger, weaker, more legitimate, or more corrupt?</w:t>
      </w:r>
    </w:p>
    <w:p>
      <w:pPr>
        <w:pStyle w:val="BodyText"/>
        <w:spacing w:before="0" w:after="200"/>
        <w:rPr/>
      </w:pPr>
      <w:r>
        <w:rPr/>
        <w:t>Do policy updates become durable behavioral tendencies?</w:t>
      </w:r>
    </w:p>
    <w:p>
      <w:pPr>
        <w:pStyle w:val="BodyText"/>
        <w:spacing w:before="0" w:after="200"/>
        <w:rPr/>
      </w:pPr>
      <w:r>
        <w:rPr/>
        <w:t>Does the action expand or narrow beneficial future state space?</w:t>
      </w:r>
    </w:p>
    <w:p>
      <w:pPr>
        <w:pStyle w:val="BodyText"/>
        <w:spacing w:before="0" w:after="200"/>
        <w:rPr/>
      </w:pPr>
      <w:r>
        <w:rPr/>
        <w:t>Do affected entities gain or lose adaptive capacity?</w:t>
      </w:r>
    </w:p>
    <w:p>
      <w:pPr>
        <w:pStyle w:val="BodyText"/>
        <w:spacing w:before="0" w:after="200"/>
        <w:rPr/>
      </w:pPr>
      <w:r>
        <w:rPr/>
        <w:t>Do initial harms become reversible, persistent, or irreversible?</w:t>
      </w:r>
    </w:p>
    <w:p>
      <w:pPr>
        <w:pStyle w:val="BodyText"/>
        <w:spacing w:before="0" w:after="200"/>
        <w:rPr/>
      </w:pPr>
      <w:r>
        <w:rPr/>
        <w:t>Do initial benefits remain beneficial over time?</w:t>
      </w:r>
    </w:p>
    <w:p>
      <w:pPr>
        <w:pStyle w:val="BodyText"/>
        <w:spacing w:before="0" w:after="200"/>
        <w:rPr/>
      </w:pPr>
      <w:r>
        <w:rPr/>
        <w:t>Long-term assessment is central to the framework because the primary objective concerns Long-Term Flourishing rather than immediate preference satisfaction or short-term operational success.</w:t>
      </w:r>
    </w:p>
    <w:p>
      <w:pPr>
        <w:pStyle w:val="Heading3"/>
        <w:ind w:hanging="0" w:left="0"/>
        <w:rPr/>
      </w:pPr>
      <w:r>
        <w:rPr/>
        <w:t>Multi-Generational Horizon</w:t>
      </w:r>
    </w:p>
    <w:p>
      <w:pPr>
        <w:pStyle w:val="BodyText"/>
        <w:spacing w:before="0" w:after="200"/>
        <w:rPr/>
      </w:pPr>
      <w:r>
        <w:rPr/>
        <w:t>The multi-generational horizon evaluates effects that may persist across generations of people, organisms, institutions, ecosystems, cultures, technologies, or artificial systems.</w:t>
      </w:r>
    </w:p>
    <w:p>
      <w:pPr>
        <w:pStyle w:val="BodyText"/>
        <w:spacing w:before="0" w:after="200"/>
        <w:rPr/>
      </w:pPr>
      <w:r>
        <w:rPr/>
        <w:t>Multi-generational effects may include inherited harms, institutional memory, cultural norms, ecological recovery or collapse, intergenerational trauma, educational opportunity, public trust, legal systems, environmental stability, genetic or biological effects, accumulated debt, infrastructure, and transmitted policy states.</w:t>
      </w:r>
    </w:p>
    <w:p>
      <w:pPr>
        <w:pStyle w:val="BodyText"/>
        <w:spacing w:before="0" w:after="200"/>
        <w:rPr/>
      </w:pPr>
      <w:r>
        <w:rPr/>
        <w:t>The multi-generational horizon answers questions such as:</w:t>
      </w:r>
    </w:p>
    <w:p>
      <w:pPr>
        <w:pStyle w:val="BodyText"/>
        <w:spacing w:before="0" w:after="200"/>
        <w:rPr/>
      </w:pPr>
      <w:r>
        <w:rPr/>
        <w:t>Does the action affect future generations of Flourishing Entities?</w:t>
      </w:r>
    </w:p>
    <w:p>
      <w:pPr>
        <w:pStyle w:val="BodyText"/>
        <w:spacing w:before="0" w:after="200"/>
        <w:rPr/>
      </w:pPr>
      <w:r>
        <w:rPr/>
        <w:t>Does it transmit benefits, harms, opportunities, constraints, or risks?</w:t>
      </w:r>
    </w:p>
    <w:p>
      <w:pPr>
        <w:pStyle w:val="BodyText"/>
        <w:spacing w:before="0" w:after="200"/>
        <w:rPr/>
      </w:pPr>
      <w:r>
        <w:rPr/>
        <w:t>Does it preserve or degrade institutions that future entities depend on?</w:t>
      </w:r>
    </w:p>
    <w:p>
      <w:pPr>
        <w:pStyle w:val="BodyText"/>
        <w:spacing w:before="0" w:after="200"/>
        <w:rPr/>
      </w:pPr>
      <w:r>
        <w:rPr/>
        <w:t>Does it alter ecological or social systems in ways that future entities inherit?</w:t>
      </w:r>
    </w:p>
    <w:p>
      <w:pPr>
        <w:pStyle w:val="BodyText"/>
        <w:spacing w:before="0" w:after="200"/>
        <w:rPr/>
      </w:pPr>
      <w:r>
        <w:rPr/>
        <w:t>Does it create obligations that future Moral Agents must manage?</w:t>
      </w:r>
    </w:p>
    <w:p>
      <w:pPr>
        <w:pStyle w:val="BodyText"/>
        <w:spacing w:before="0" w:after="200"/>
        <w:rPr/>
      </w:pPr>
      <w:r>
        <w:rPr/>
        <w:t>Does it preserve or foreclose future possibilities for entities not yet present?</w:t>
      </w:r>
    </w:p>
    <w:p>
      <w:pPr>
        <w:pStyle w:val="BodyText"/>
        <w:spacing w:before="0" w:after="200"/>
        <w:rPr/>
      </w:pPr>
      <w:r>
        <w:rPr/>
        <w:t>This horizon is necessary because some actions cannot be adequately assessed within the lifespan or operating period of the immediate Actor. Environmental destruction, institutional corruption, public debt, constitutional design, AI development, and large-scale technological deployment may all produce multi-generational consequences.</w:t>
      </w:r>
    </w:p>
    <w:p>
      <w:pPr>
        <w:pStyle w:val="Heading3"/>
        <w:ind w:hanging="0" w:left="0"/>
        <w:rPr/>
      </w:pPr>
      <w:r>
        <w:rPr/>
        <w:t>Civilizational Horizon</w:t>
      </w:r>
    </w:p>
    <w:p>
      <w:pPr>
        <w:pStyle w:val="BodyText"/>
        <w:spacing w:before="0" w:after="200"/>
        <w:rPr/>
      </w:pPr>
      <w:r>
        <w:rPr/>
        <w:t>The civilizational horizon evaluates effects on the long-term viability, trajectory, resilience, and future state space of civilization-scale systems.</w:t>
      </w:r>
    </w:p>
    <w:p>
      <w:pPr>
        <w:pStyle w:val="BodyText"/>
        <w:spacing w:before="0" w:after="200"/>
        <w:rPr/>
      </w:pPr>
      <w:r>
        <w:rPr/>
        <w:t>Civilizational effects may include existential risk, catastrophic risk, large-scale ecological collapse, irreversible technological lock-in, degradation or preservation of governance systems, civilizational learning capacity, global institutional legitimacy, future artificial moral agency, and the long-term preservation of beneficial future state space.</w:t>
      </w:r>
    </w:p>
    <w:p>
      <w:pPr>
        <w:pStyle w:val="BodyText"/>
        <w:spacing w:before="0" w:after="200"/>
        <w:rPr/>
      </w:pPr>
      <w:r>
        <w:rPr/>
        <w:t>The civilizational horizon answers questions such as:</w:t>
      </w:r>
    </w:p>
    <w:p>
      <w:pPr>
        <w:pStyle w:val="BodyText"/>
        <w:spacing w:before="0" w:after="200"/>
        <w:rPr/>
      </w:pPr>
      <w:r>
        <w:rPr/>
        <w:t>Does the action affect civilization-scale future state space?</w:t>
      </w:r>
    </w:p>
    <w:p>
      <w:pPr>
        <w:pStyle w:val="BodyText"/>
        <w:spacing w:before="0" w:after="200"/>
        <w:rPr/>
      </w:pPr>
      <w:r>
        <w:rPr/>
        <w:t>Does it increase or decrease existential or catastrophic risk?</w:t>
      </w:r>
    </w:p>
    <w:p>
      <w:pPr>
        <w:pStyle w:val="BodyText"/>
        <w:spacing w:before="0" w:after="200"/>
        <w:rPr/>
      </w:pPr>
      <w:r>
        <w:rPr/>
        <w:t>Does it alter the trajectory of technological, ecological, institutional, or moral development?</w:t>
      </w:r>
    </w:p>
    <w:p>
      <w:pPr>
        <w:pStyle w:val="BodyText"/>
        <w:spacing w:before="0" w:after="200"/>
        <w:rPr/>
      </w:pPr>
      <w:r>
        <w:rPr/>
        <w:t>Does it preserve conditions under which future Flourishing Entities can exist and flourish?</w:t>
      </w:r>
    </w:p>
    <w:p>
      <w:pPr>
        <w:pStyle w:val="BodyText"/>
        <w:spacing w:before="0" w:after="200"/>
        <w:rPr/>
      </w:pPr>
      <w:r>
        <w:rPr/>
        <w:t>Does it create irreversible path dependence?</w:t>
      </w:r>
    </w:p>
    <w:p>
      <w:pPr>
        <w:pStyle w:val="BodyText"/>
        <w:spacing w:before="0" w:after="200"/>
        <w:rPr/>
      </w:pPr>
      <w:r>
        <w:rPr/>
        <w:t>Does it improve or degrade civilization’s capacity to correct future errors?</w:t>
      </w:r>
    </w:p>
    <w:p>
      <w:pPr>
        <w:pStyle w:val="BodyText"/>
        <w:spacing w:before="0" w:after="200"/>
        <w:rPr/>
      </w:pPr>
      <w:r>
        <w:rPr/>
        <w:t>Civilizational assessment is not required for every action at full resolution. Many local actions will have negligible civilizational effects. However, the horizon should remain available because some actions, especially in public policy, climate, biotechnology, artificial intelligence, warfare, governance, and infrastructure, may materially affect civilizational futures.</w:t>
      </w:r>
    </w:p>
    <w:p>
      <w:pPr>
        <w:pStyle w:val="Heading3"/>
        <w:ind w:hanging="0" w:left="0"/>
        <w:rPr/>
      </w:pPr>
      <w:r>
        <w:rPr/>
        <w:t>Horizon-Specific State Transitions</w:t>
      </w:r>
    </w:p>
    <w:p>
      <w:pPr>
        <w:pStyle w:val="BodyText"/>
        <w:spacing w:before="0" w:after="200"/>
        <w:rPr/>
      </w:pPr>
      <w:r>
        <w:rPr/>
        <w:t>Each Assessment Horizon should evaluate relevant state transitions separately.</w:t>
      </w:r>
    </w:p>
    <w:p>
      <w:pPr>
        <w:pStyle w:val="BodyText"/>
        <w:spacing w:before="0" w:after="200"/>
        <w:rPr/>
      </w:pPr>
      <w:r>
        <w:rPr/>
        <w:t>The methodology should identify how entities, Associations, policy states, institutions, information states, constraints, future opportunities, and future state space change across each horizon. The resulting assessment should preserve differences among horizons rather than collapsing them into one overall consequence.</w:t>
      </w:r>
    </w:p>
    <w:p>
      <w:pPr>
        <w:pStyle w:val="BodyText"/>
        <w:spacing w:before="0" w:after="200"/>
        <w:rPr/>
      </w:pPr>
      <w:r>
        <w:rPr/>
        <w:t>A horizon-specific transition may include:</w:t>
      </w:r>
    </w:p>
    <w:p>
      <w:pPr>
        <w:pStyle w:val="BodyText"/>
        <w:spacing w:before="0" w:after="200"/>
        <w:rPr/>
      </w:pPr>
      <w:r>
        <w:rPr/>
        <w:t>Immediate entity-state changes.</w:t>
      </w:r>
    </w:p>
    <w:p>
      <w:pPr>
        <w:pStyle w:val="BodyText"/>
        <w:spacing w:before="0" w:after="200"/>
        <w:rPr/>
      </w:pPr>
      <w:r>
        <w:rPr/>
        <w:t>Short-term relationship changes.</w:t>
      </w:r>
    </w:p>
    <w:p>
      <w:pPr>
        <w:pStyle w:val="BodyText"/>
        <w:spacing w:before="0" w:after="200"/>
        <w:rPr/>
      </w:pPr>
      <w:r>
        <w:rPr/>
        <w:t>Medium-term behavioral pattern formation.</w:t>
      </w:r>
    </w:p>
    <w:p>
      <w:pPr>
        <w:pStyle w:val="BodyText"/>
        <w:spacing w:before="0" w:after="200"/>
        <w:rPr/>
      </w:pPr>
      <w:r>
        <w:rPr/>
        <w:t>Long-term institutional changes.</w:t>
      </w:r>
    </w:p>
    <w:p>
      <w:pPr>
        <w:pStyle w:val="BodyText"/>
        <w:spacing w:before="0" w:after="200"/>
        <w:rPr/>
      </w:pPr>
      <w:r>
        <w:rPr/>
        <w:t>Multi-generational ecological or social inheritance.</w:t>
      </w:r>
    </w:p>
    <w:p>
      <w:pPr>
        <w:pStyle w:val="BodyText"/>
        <w:spacing w:before="0" w:after="200"/>
        <w:rPr/>
      </w:pPr>
      <w:r>
        <w:rPr/>
        <w:t>Civilizational future state-space effects.</w:t>
      </w:r>
    </w:p>
    <w:p>
      <w:pPr>
        <w:pStyle w:val="BodyText"/>
        <w:spacing w:before="0" w:after="200"/>
        <w:rPr/>
      </w:pPr>
      <w:r>
        <w:rPr/>
        <w:t>The same Assessed Action may produce different transition profiles across different horizons. These differences should remain visible in the final Moral Assessment.</w:t>
      </w:r>
    </w:p>
    <w:p>
      <w:pPr>
        <w:pStyle w:val="Heading3"/>
        <w:ind w:hanging="0" w:left="0"/>
        <w:rPr/>
      </w:pPr>
      <w:r>
        <w:rPr/>
        <w:t>Horizon-Specific Flourishing Transitions</w:t>
      </w:r>
    </w:p>
    <w:p>
      <w:pPr>
        <w:pStyle w:val="BodyText"/>
        <w:spacing w:before="0" w:after="200"/>
        <w:rPr/>
      </w:pPr>
      <w:r>
        <w:rPr/>
        <w:t>Each relevant Flourishing Entity should have an estimated change in Long-Term Flourishing across each relevant horizon.</w:t>
      </w:r>
    </w:p>
    <w:p>
      <w:pPr>
        <w:pStyle w:val="BodyText"/>
        <w:spacing w:before="0" w:after="200"/>
        <w:rPr/>
      </w:pPr>
      <w:r>
        <w:rPr/>
        <w:t>A Flourishing Transition may be positive in one horizon and negative in another. For example, an action may increase immediate safety while reducing long-term autonomy. It may impose short-term hardship while preserving long-term adaptive capacity. It may produce current benefits while shifting costs to future entities.</w:t>
      </w:r>
    </w:p>
    <w:p>
      <w:pPr>
        <w:pStyle w:val="BodyText"/>
        <w:spacing w:before="0" w:after="200"/>
        <w:rPr/>
      </w:pPr>
      <w:r>
        <w:rPr/>
        <w:t>Horizon-specific flourishing assessment should consider:</w:t>
      </w:r>
    </w:p>
    <w:p>
      <w:pPr>
        <w:pStyle w:val="BodyText"/>
        <w:spacing w:before="0" w:after="200"/>
        <w:rPr/>
      </w:pPr>
      <w:r>
        <w:rPr/>
        <w:t>Direction of change.</w:t>
      </w:r>
    </w:p>
    <w:p>
      <w:pPr>
        <w:pStyle w:val="BodyText"/>
        <w:spacing w:before="0" w:after="200"/>
        <w:rPr/>
      </w:pPr>
      <w:r>
        <w:rPr/>
        <w:t>Magnitude of change.</w:t>
      </w:r>
    </w:p>
    <w:p>
      <w:pPr>
        <w:pStyle w:val="BodyText"/>
        <w:spacing w:before="0" w:after="200"/>
        <w:rPr/>
      </w:pPr>
      <w:r>
        <w:rPr/>
        <w:t>Flourishing dimensions affected.</w:t>
      </w:r>
    </w:p>
    <w:p>
      <w:pPr>
        <w:pStyle w:val="BodyText"/>
        <w:spacing w:before="0" w:after="200"/>
        <w:rPr/>
      </w:pPr>
      <w:r>
        <w:rPr/>
        <w:t>Material diminishment.</w:t>
      </w:r>
    </w:p>
    <w:p>
      <w:pPr>
        <w:pStyle w:val="BodyText"/>
        <w:spacing w:before="0" w:after="200"/>
        <w:rPr/>
      </w:pPr>
      <w:r>
        <w:rPr/>
        <w:t>Uncertainty.</w:t>
      </w:r>
    </w:p>
    <w:p>
      <w:pPr>
        <w:pStyle w:val="BodyText"/>
        <w:spacing w:before="0" w:after="200"/>
        <w:rPr/>
      </w:pPr>
      <w:r>
        <w:rPr/>
        <w:t>Confidence.</w:t>
      </w:r>
    </w:p>
    <w:p>
      <w:pPr>
        <w:pStyle w:val="BodyText"/>
        <w:spacing w:before="0" w:after="200"/>
        <w:rPr/>
      </w:pPr>
      <w:r>
        <w:rPr/>
        <w:t>Reversibility.</w:t>
      </w:r>
    </w:p>
    <w:p>
      <w:pPr>
        <w:pStyle w:val="BodyText"/>
        <w:spacing w:before="0" w:after="200"/>
        <w:rPr/>
      </w:pPr>
      <w:r>
        <w:rPr/>
        <w:t>Future opportunity effects.</w:t>
      </w:r>
    </w:p>
    <w:p>
      <w:pPr>
        <w:pStyle w:val="BodyText"/>
        <w:spacing w:before="0" w:after="200"/>
        <w:rPr/>
      </w:pPr>
      <w:r>
        <w:rPr/>
        <w:t>Future state-space effects.</w:t>
      </w:r>
    </w:p>
    <w:p>
      <w:pPr>
        <w:pStyle w:val="BodyText"/>
        <w:spacing w:before="0" w:after="200"/>
        <w:rPr/>
      </w:pPr>
      <w:r>
        <w:rPr/>
        <w:t>This allows the methodology to preserve the temporal structure of Long-Term Flourishing rather than treating it as a single momentary state.</w:t>
      </w:r>
    </w:p>
    <w:p>
      <w:pPr>
        <w:pStyle w:val="Heading3"/>
        <w:ind w:hanging="0" w:left="0"/>
        <w:rPr/>
      </w:pPr>
      <w:r>
        <w:rPr/>
        <w:t>Horizon-Specific Policy Updates</w:t>
      </w:r>
    </w:p>
    <w:p>
      <w:pPr>
        <w:pStyle w:val="BodyText"/>
        <w:spacing w:before="0" w:after="200"/>
        <w:rPr/>
      </w:pPr>
      <w:r>
        <w:rPr/>
        <w:t>Distributed Policy Updates should also be evaluated across horizons.</w:t>
      </w:r>
    </w:p>
    <w:p>
      <w:pPr>
        <w:pStyle w:val="BodyText"/>
        <w:spacing w:before="0" w:after="200"/>
        <w:rPr/>
      </w:pPr>
      <w:r>
        <w:rPr/>
        <w:t>Some policy updates occur immediately. Others develop through repetition, normalization, precedent, institutionalization, or social learning. A harmful means may not visibly change behavior at once but may increase the probability of future harmful conduct over time. A beneficial means may gradually strengthen norms of trust, accountability, transparency, or restraint.</w:t>
      </w:r>
    </w:p>
    <w:p>
      <w:pPr>
        <w:pStyle w:val="BodyText"/>
        <w:spacing w:before="0" w:after="200"/>
        <w:rPr/>
      </w:pPr>
      <w:r>
        <w:rPr/>
        <w:t>Horizon-specific policy assessment should consider:</w:t>
      </w:r>
    </w:p>
    <w:p>
      <w:pPr>
        <w:pStyle w:val="BodyText"/>
        <w:spacing w:before="0" w:after="200"/>
        <w:rPr/>
      </w:pPr>
      <w:r>
        <w:rPr/>
        <w:t>Immediate Actor Policy Updates.</w:t>
      </w:r>
    </w:p>
    <w:p>
      <w:pPr>
        <w:pStyle w:val="BodyText"/>
        <w:spacing w:before="0" w:after="200"/>
        <w:rPr/>
      </w:pPr>
      <w:r>
        <w:rPr/>
        <w:t>Short-term observer reactions.</w:t>
      </w:r>
    </w:p>
    <w:p>
      <w:pPr>
        <w:pStyle w:val="BodyText"/>
        <w:spacing w:before="0" w:after="200"/>
        <w:rPr/>
      </w:pPr>
      <w:r>
        <w:rPr/>
        <w:t>Medium-term repetition or correction.</w:t>
      </w:r>
    </w:p>
    <w:p>
      <w:pPr>
        <w:pStyle w:val="BodyText"/>
        <w:spacing w:before="0" w:after="200"/>
        <w:rPr/>
      </w:pPr>
      <w:r>
        <w:rPr/>
        <w:t>Long-term institutionalization.</w:t>
      </w:r>
    </w:p>
    <w:p>
      <w:pPr>
        <w:pStyle w:val="BodyText"/>
        <w:spacing w:before="0" w:after="200"/>
        <w:rPr/>
      </w:pPr>
      <w:r>
        <w:rPr/>
        <w:t>Multi-generational norm transmission.</w:t>
      </w:r>
    </w:p>
    <w:p>
      <w:pPr>
        <w:pStyle w:val="BodyText"/>
        <w:spacing w:before="0" w:after="200"/>
        <w:rPr/>
      </w:pPr>
      <w:r>
        <w:rPr/>
        <w:t>Civilizational changes in governance, technological safety, or moral learning.</w:t>
      </w:r>
    </w:p>
    <w:p>
      <w:pPr>
        <w:pStyle w:val="BodyText"/>
        <w:spacing w:before="0" w:after="200"/>
        <w:rPr/>
      </w:pPr>
      <w:r>
        <w:rPr/>
        <w:t>This is especially important because policy updates are one of the main ways in which means become part of the resulting World Context.</w:t>
      </w:r>
    </w:p>
    <w:p>
      <w:pPr>
        <w:pStyle w:val="Heading3"/>
        <w:ind w:hanging="0" w:left="0"/>
        <w:rPr/>
      </w:pPr>
      <w:r>
        <w:rPr/>
        <w:t>Horizon-Specific Institutional Effects</w:t>
      </w:r>
    </w:p>
    <w:p>
      <w:pPr>
        <w:pStyle w:val="BodyText"/>
        <w:spacing w:before="0" w:after="200"/>
        <w:rPr/>
      </w:pPr>
      <w:r>
        <w:rPr/>
        <w:t>Institutions often change over time rather than immediately.</w:t>
      </w:r>
    </w:p>
    <w:p>
      <w:pPr>
        <w:pStyle w:val="BodyText"/>
        <w:spacing w:before="0" w:after="200"/>
        <w:rPr/>
      </w:pPr>
      <w:r>
        <w:rPr/>
        <w:t>An institution may appear stable in the immediate horizon while suffering long-term legitimacy loss. A procedural violation may in the immediate horizon while suffering long-term legitimacy loss. A procedural violation may seem minor at first but become precedent. A transparent correction may create short-term reputational cost but strengthen long-term accountability. A policy may produce medium-term compliance while undermining multi-generational trust.</w:t>
      </w:r>
    </w:p>
    <w:p>
      <w:pPr>
        <w:pStyle w:val="BodyText"/>
        <w:spacing w:before="0" w:after="200"/>
        <w:rPr/>
      </w:pPr>
      <w:r>
        <w:rPr/>
        <w:t>Multi-Horizon Assessment should therefore evaluate institutional effects separately across horizons.</w:t>
      </w:r>
    </w:p>
    <w:p>
      <w:pPr>
        <w:pStyle w:val="BodyText"/>
        <w:spacing w:before="0" w:after="200"/>
        <w:rPr/>
      </w:pPr>
      <w:r>
        <w:rPr/>
        <w:t>Relevant institutional effects may include:</w:t>
      </w:r>
    </w:p>
    <w:p>
      <w:pPr>
        <w:pStyle w:val="BodyText"/>
        <w:spacing w:before="0" w:after="200"/>
        <w:rPr/>
      </w:pPr>
      <w:r>
        <w:rPr/>
        <w:t>Legitimacy.</w:t>
      </w:r>
    </w:p>
    <w:p>
      <w:pPr>
        <w:pStyle w:val="BodyText"/>
        <w:spacing w:before="0" w:after="200"/>
        <w:rPr/>
      </w:pPr>
      <w:r>
        <w:rPr/>
        <w:t>Trust.</w:t>
      </w:r>
    </w:p>
    <w:p>
      <w:pPr>
        <w:pStyle w:val="BodyText"/>
        <w:spacing w:before="0" w:after="200"/>
        <w:rPr/>
      </w:pPr>
      <w:r>
        <w:rPr/>
        <w:t>Accountability.</w:t>
      </w:r>
    </w:p>
    <w:p>
      <w:pPr>
        <w:pStyle w:val="BodyText"/>
        <w:spacing w:before="0" w:after="200"/>
        <w:rPr/>
      </w:pPr>
      <w:r>
        <w:rPr/>
        <w:t>Procedural integrity.</w:t>
      </w:r>
    </w:p>
    <w:p>
      <w:pPr>
        <w:pStyle w:val="BodyText"/>
        <w:spacing w:before="0" w:after="200"/>
        <w:rPr/>
      </w:pPr>
      <w:r>
        <w:rPr/>
        <w:t>Rule consistency.</w:t>
      </w:r>
    </w:p>
    <w:p>
      <w:pPr>
        <w:pStyle w:val="BodyText"/>
        <w:spacing w:before="0" w:after="200"/>
        <w:rPr/>
      </w:pPr>
      <w:r>
        <w:rPr/>
        <w:t>Enforcement reliability.</w:t>
      </w:r>
    </w:p>
    <w:p>
      <w:pPr>
        <w:pStyle w:val="BodyText"/>
        <w:spacing w:before="0" w:after="200"/>
        <w:rPr/>
      </w:pPr>
      <w:r>
        <w:rPr/>
        <w:t>Corruption.</w:t>
      </w:r>
    </w:p>
    <w:p>
      <w:pPr>
        <w:pStyle w:val="BodyText"/>
        <w:spacing w:before="0" w:after="200"/>
        <w:rPr/>
      </w:pPr>
      <w:r>
        <w:rPr/>
        <w:t>Capacity for correction.</w:t>
      </w:r>
    </w:p>
    <w:p>
      <w:pPr>
        <w:pStyle w:val="BodyText"/>
        <w:spacing w:before="0" w:after="200"/>
        <w:rPr/>
      </w:pPr>
      <w:r>
        <w:rPr/>
        <w:t>Institutional memory.</w:t>
      </w:r>
    </w:p>
    <w:p>
      <w:pPr>
        <w:pStyle w:val="BodyText"/>
        <w:spacing w:before="0" w:after="200"/>
        <w:rPr/>
      </w:pPr>
      <w:r>
        <w:rPr/>
        <w:t>Precedent.</w:t>
      </w:r>
    </w:p>
    <w:p>
      <w:pPr>
        <w:pStyle w:val="BodyText"/>
        <w:spacing w:before="0" w:after="200"/>
        <w:rPr/>
      </w:pPr>
      <w:r>
        <w:rPr/>
        <w:t>Norm stability.</w:t>
      </w:r>
    </w:p>
    <w:p>
      <w:pPr>
        <w:pStyle w:val="BodyText"/>
        <w:spacing w:before="0" w:after="200"/>
        <w:rPr/>
      </w:pPr>
      <w:r>
        <w:rPr/>
        <w:t>Institutional effects may carry special weight because institutions shape many future World Context Transitions.</w:t>
      </w:r>
    </w:p>
    <w:p>
      <w:pPr>
        <w:pStyle w:val="Heading3"/>
        <w:ind w:hanging="0" w:left="0"/>
        <w:rPr/>
      </w:pPr>
      <w:r>
        <w:rPr/>
        <w:t>Horizon-Specific Future Opportunity Effects</w:t>
      </w:r>
    </w:p>
    <w:p>
      <w:pPr>
        <w:pStyle w:val="BodyText"/>
        <w:spacing w:before="0" w:after="200"/>
        <w:rPr/>
      </w:pPr>
      <w:r>
        <w:rPr/>
        <w:t>Future Opportunities should be evaluated across horizons because opportunities may be created, preserved, delayed, narrowed, or foreclosed at different times.</w:t>
      </w:r>
    </w:p>
    <w:p>
      <w:pPr>
        <w:pStyle w:val="BodyText"/>
        <w:spacing w:before="0" w:after="200"/>
        <w:rPr/>
      </w:pPr>
      <w:r>
        <w:rPr/>
        <w:t>An action may preserve immediate choice while narrowing long-term options. Another may restrict immediate choice while preserving future agency. Some opportunities may be recoverable; others may be permanently lost.</w:t>
      </w:r>
    </w:p>
    <w:p>
      <w:pPr>
        <w:pStyle w:val="BodyText"/>
        <w:spacing w:before="0" w:after="200"/>
        <w:rPr/>
      </w:pPr>
      <w:r>
        <w:rPr/>
        <w:t>The methodology should identify:</w:t>
      </w:r>
    </w:p>
    <w:p>
      <w:pPr>
        <w:pStyle w:val="BodyText"/>
        <w:spacing w:before="0" w:after="200"/>
        <w:rPr/>
      </w:pPr>
      <w:r>
        <w:rPr/>
        <w:t>Which opportunities are affected.</w:t>
      </w:r>
    </w:p>
    <w:p>
      <w:pPr>
        <w:pStyle w:val="BodyText"/>
        <w:spacing w:before="0" w:after="200"/>
        <w:rPr/>
      </w:pPr>
      <w:r>
        <w:rPr/>
        <w:t>Which entities are affected.</w:t>
      </w:r>
    </w:p>
    <w:p>
      <w:pPr>
        <w:pStyle w:val="BodyText"/>
        <w:spacing w:before="0" w:after="200"/>
        <w:rPr/>
      </w:pPr>
      <w:r>
        <w:rPr/>
        <w:t>When the opportunity change occurs.</w:t>
      </w:r>
    </w:p>
    <w:p>
      <w:pPr>
        <w:pStyle w:val="BodyText"/>
        <w:spacing w:before="0" w:after="200"/>
        <w:rPr/>
      </w:pPr>
      <w:r>
        <w:rPr/>
        <w:t>Whether the change is reversible.</w:t>
      </w:r>
    </w:p>
    <w:p>
      <w:pPr>
        <w:pStyle w:val="BodyText"/>
        <w:spacing w:before="0" w:after="200"/>
        <w:rPr/>
      </w:pPr>
      <w:r>
        <w:rPr/>
        <w:t>Whether the opportunity affects Long-Term Flourishing.</w:t>
      </w:r>
    </w:p>
    <w:p>
      <w:pPr>
        <w:pStyle w:val="BodyText"/>
        <w:spacing w:before="0" w:after="200"/>
        <w:rPr/>
      </w:pPr>
      <w:r>
        <w:rPr/>
        <w:t>Whether future entities are included.</w:t>
      </w:r>
    </w:p>
    <w:p>
      <w:pPr>
        <w:pStyle w:val="BodyText"/>
        <w:spacing w:before="0" w:after="200"/>
        <w:rPr/>
      </w:pPr>
      <w:r>
        <w:rPr/>
        <w:t>Whether the change expands or narrows future state space.</w:t>
      </w:r>
    </w:p>
    <w:p>
      <w:pPr>
        <w:pStyle w:val="BodyText"/>
        <w:spacing w:before="0" w:after="200"/>
        <w:rPr/>
      </w:pPr>
      <w:r>
        <w:rPr/>
        <w:t>Future opportunity effects are especially important for children, future populations, ecosystems, institutions, and artificial systems whose flourishing depends on future developmental pathways.</w:t>
      </w:r>
    </w:p>
    <w:p>
      <w:pPr>
        <w:pStyle w:val="Heading3"/>
        <w:ind w:hanging="0" w:left="0"/>
        <w:rPr/>
      </w:pPr>
      <w:r>
        <w:rPr/>
        <w:t>Horizon-Specific Future State Space Effects</w:t>
      </w:r>
    </w:p>
    <w:p>
      <w:pPr>
        <w:pStyle w:val="BodyText"/>
        <w:spacing w:before="0" w:after="200"/>
        <w:rPr/>
      </w:pPr>
      <w:r>
        <w:rPr/>
        <w:t>Future State Space may change differently across horizons.</w:t>
      </w:r>
    </w:p>
    <w:p>
      <w:pPr>
        <w:pStyle w:val="BodyText"/>
        <w:spacing w:before="0" w:after="200"/>
        <w:rPr/>
      </w:pPr>
      <w:r>
        <w:rPr/>
        <w:t>An action may have little immediate effect but substantially alter the set of reachable future World Contexts. It may create path dependence, lock-in, fragility, resilience, technological trajectory shifts, ecological tipping points, or institutional possibilities that unfold over long periods.</w:t>
      </w:r>
    </w:p>
    <w:p>
      <w:pPr>
        <w:pStyle w:val="BodyText"/>
        <w:spacing w:before="0" w:after="200"/>
        <w:rPr/>
      </w:pPr>
      <w:r>
        <w:rPr/>
        <w:t>The methodology should evaluate whether each horizon expands, preserves, narrows, redirects, or destabilizes beneficial future state space.</w:t>
      </w:r>
    </w:p>
    <w:p>
      <w:pPr>
        <w:pStyle w:val="BodyText"/>
        <w:spacing w:before="0" w:after="200"/>
        <w:rPr/>
      </w:pPr>
      <w:r>
        <w:rPr/>
        <w:t>This is especially important when assessing actions that affect environmental systems, artificial intelligence, biotechnology, governance, education, infrastructure, war, constitutional design, or large-scale institutional behavior.</w:t>
      </w:r>
    </w:p>
    <w:p>
      <w:pPr>
        <w:pStyle w:val="Heading3"/>
        <w:ind w:hanging="0" w:left="0"/>
        <w:rPr/>
      </w:pPr>
      <w:r>
        <w:rPr/>
        <w:t>Horizon-Specific Probability and Confidence</w:t>
      </w:r>
    </w:p>
    <w:p>
      <w:pPr>
        <w:pStyle w:val="BodyText"/>
        <w:spacing w:before="0" w:after="200"/>
        <w:rPr/>
      </w:pPr>
      <w:r>
        <w:rPr/>
        <w:t>Probability and confidence should be evaluated separately across Assessment Horizons.</w:t>
      </w:r>
    </w:p>
    <w:p>
      <w:pPr>
        <w:pStyle w:val="BodyText"/>
        <w:spacing w:before="0" w:after="200"/>
        <w:rPr/>
      </w:pPr>
      <w:r>
        <w:rPr/>
        <w:t>Confidence often decreases as the horizon extends, but this is not automatic. Some immediate outcomes may be uncertain, and some long-term patterns may be well supported. The methodology should assign confidence based on evidence quality, causal stability, model reliability, prediction difficulty, and horizon distance.</w:t>
      </w:r>
    </w:p>
    <w:p>
      <w:pPr>
        <w:pStyle w:val="BodyText"/>
        <w:spacing w:before="0" w:after="200"/>
        <w:rPr/>
      </w:pPr>
      <w:r>
        <w:rPr/>
        <w:t>A multi-horizon assessment may have:</w:t>
      </w:r>
    </w:p>
    <w:p>
      <w:pPr>
        <w:pStyle w:val="BodyText"/>
        <w:spacing w:before="0" w:after="200"/>
        <w:rPr/>
      </w:pPr>
      <w:r>
        <w:rPr/>
        <w:t>High confidence in immediate physical effects.</w:t>
      </w:r>
    </w:p>
    <w:p>
      <w:pPr>
        <w:pStyle w:val="BodyText"/>
        <w:spacing w:before="0" w:after="200"/>
        <w:rPr/>
      </w:pPr>
      <w:r>
        <w:rPr/>
        <w:t>Moderate confidence in short-term relationship effects.</w:t>
      </w:r>
    </w:p>
    <w:p>
      <w:pPr>
        <w:pStyle w:val="BodyText"/>
        <w:spacing w:before="0" w:after="200"/>
        <w:rPr/>
      </w:pPr>
      <w:r>
        <w:rPr/>
        <w:t>Lower confidence in medium-term institutional effects.</w:t>
      </w:r>
    </w:p>
    <w:p>
      <w:pPr>
        <w:pStyle w:val="BodyText"/>
        <w:spacing w:before="0" w:after="200"/>
        <w:rPr/>
      </w:pPr>
      <w:r>
        <w:rPr/>
        <w:t>Variable confidence in long-term flourishing effects.</w:t>
      </w:r>
    </w:p>
    <w:p>
      <w:pPr>
        <w:pStyle w:val="BodyText"/>
        <w:spacing w:before="0" w:after="200"/>
        <w:rPr/>
      </w:pPr>
      <w:r>
        <w:rPr/>
        <w:t>Low but still material confidence in civilizational risk effects.</w:t>
      </w:r>
    </w:p>
    <w:p>
      <w:pPr>
        <w:pStyle w:val="BodyText"/>
        <w:spacing w:before="0" w:after="200"/>
        <w:rPr/>
      </w:pPr>
      <w:r>
        <w:rPr/>
        <w:t>The final assessment should not hide these differences behind a single confidence value when horizon-specific uncertainty materially affects the conclusion.</w:t>
      </w:r>
    </w:p>
    <w:p>
      <w:pPr>
        <w:pStyle w:val="Heading3"/>
        <w:ind w:hanging="0" w:left="0"/>
        <w:rPr/>
      </w:pPr>
      <w:r>
        <w:rPr/>
        <w:t>Horizon Conflict</w:t>
      </w:r>
    </w:p>
    <w:p>
      <w:pPr>
        <w:pStyle w:val="BodyText"/>
        <w:spacing w:before="0" w:after="200"/>
        <w:rPr/>
      </w:pPr>
      <w:r>
        <w:rPr/>
        <w:t>Horizon conflict occurs when an action appears morally different across different Assessment Horizons.</w:t>
      </w:r>
    </w:p>
    <w:p>
      <w:pPr>
        <w:pStyle w:val="BodyText"/>
        <w:spacing w:before="0" w:after="200"/>
        <w:rPr/>
      </w:pPr>
      <w:r>
        <w:rPr/>
        <w:t>Examples include:</w:t>
      </w:r>
    </w:p>
    <w:p>
      <w:pPr>
        <w:pStyle w:val="BodyText"/>
        <w:spacing w:before="0" w:after="200"/>
        <w:rPr/>
      </w:pPr>
      <w:r>
        <w:rPr/>
        <w:t>Immediate benefit with long-term harm.</w:t>
      </w:r>
    </w:p>
    <w:p>
      <w:pPr>
        <w:pStyle w:val="BodyText"/>
        <w:spacing w:before="0" w:after="200"/>
        <w:rPr/>
      </w:pPr>
      <w:r>
        <w:rPr/>
        <w:t>Immediate harm with long-term benefit.</w:t>
      </w:r>
    </w:p>
    <w:p>
      <w:pPr>
        <w:pStyle w:val="BodyText"/>
        <w:spacing w:before="0" w:after="200"/>
        <w:rPr/>
      </w:pPr>
      <w:r>
        <w:rPr/>
        <w:t>Short-term institutional stability with long-term legitimacy loss.</w:t>
      </w:r>
    </w:p>
    <w:p>
      <w:pPr>
        <w:pStyle w:val="BodyText"/>
        <w:spacing w:before="0" w:after="200"/>
        <w:rPr/>
      </w:pPr>
      <w:r>
        <w:rPr/>
        <w:t>Medium-term economic gain with multi-generational ecological harm.</w:t>
      </w:r>
    </w:p>
    <w:p>
      <w:pPr>
        <w:pStyle w:val="BodyText"/>
        <w:spacing w:before="0" w:after="200"/>
        <w:rPr/>
      </w:pPr>
      <w:r>
        <w:rPr/>
        <w:t>Long-term technological progress with civilizational risk.</w:t>
      </w:r>
    </w:p>
    <w:p>
      <w:pPr>
        <w:pStyle w:val="BodyText"/>
        <w:spacing w:before="0" w:after="200"/>
        <w:rPr/>
      </w:pPr>
      <w:r>
        <w:rPr/>
        <w:t>Multi-Horizon Assessment should preserve these conflicts rather than prematurely resolving them. The final Moral Assessment should identify which horizons support the action, which horizons count against it, and which horizons remain uncertain.</w:t>
      </w:r>
    </w:p>
    <w:p>
      <w:pPr>
        <w:pStyle w:val="BodyText"/>
        <w:spacing w:before="0" w:after="200"/>
        <w:rPr/>
      </w:pPr>
      <w:r>
        <w:rPr/>
        <w:t>Horizon conflict is one reason aggregate flourishing cannot replace World Context Transition assessment. The moral significance of an action may depend on how effects are distributed across time.</w:t>
      </w:r>
    </w:p>
    <w:p>
      <w:pPr>
        <w:pStyle w:val="Heading3"/>
        <w:ind w:hanging="0" w:left="0"/>
        <w:rPr/>
      </w:pPr>
      <w:r>
        <w:rPr/>
        <w:t>Horizon Weighting</w:t>
      </w:r>
    </w:p>
    <w:p>
      <w:pPr>
        <w:pStyle w:val="BodyText"/>
        <w:spacing w:before="0" w:after="200"/>
        <w:rPr/>
      </w:pPr>
      <w:r>
        <w:rPr/>
        <w:t>The methodology may require horizon weighting when comparing candidate actions, but no final weighting rule is prescribed here.</w:t>
      </w:r>
    </w:p>
    <w:p>
      <w:pPr>
        <w:pStyle w:val="BodyText"/>
        <w:spacing w:before="0" w:after="200"/>
        <w:rPr/>
      </w:pPr>
      <w:r>
        <w:rPr/>
        <w:t>Horizon weighting concerns how much relevance is assigned to immediate, short-term, medium-term, long-term, multi-generational, and civilizational effects. Different domains may require different approaches. Emergency medicine may emphasize immediate and short-term outcomes while still considering long-term flourishing. Climate policy may emphasize long-term, multi-generational, and civilizational effects. AI safety may require special attention to long-term and civilizational risk.</w:t>
      </w:r>
    </w:p>
    <w:p>
      <w:pPr>
        <w:pStyle w:val="BodyText"/>
        <w:spacing w:before="0" w:after="200"/>
        <w:rPr/>
      </w:pPr>
      <w:r>
        <w:rPr/>
        <w:t>At this stage, the methodology requires that horizon relevance be explicit. If an assessment privileges one horizon over another, it should state why. Hidden horizon weighting can distort moral assessment by silently favoring present actors, immediate outcomes, or easily measured effects.</w:t>
      </w:r>
    </w:p>
    <w:p>
      <w:pPr>
        <w:pStyle w:val="Heading3"/>
        <w:ind w:hanging="0" w:left="0"/>
        <w:rPr/>
      </w:pPr>
      <w:r>
        <w:rPr/>
        <w:t>Horizon Selection and Contextual Refinement</w:t>
      </w:r>
    </w:p>
    <w:p>
      <w:pPr>
        <w:pStyle w:val="BodyText"/>
        <w:spacing w:before="0" w:after="200"/>
        <w:rPr/>
      </w:pPr>
      <w:r>
        <w:rPr/>
        <w:t>The default horizons should be used unless the Situational Context justifies refinement.</w:t>
      </w:r>
    </w:p>
    <w:p>
      <w:pPr>
        <w:pStyle w:val="BodyText"/>
        <w:spacing w:before="0" w:after="200"/>
        <w:rPr/>
      </w:pPr>
      <w:r>
        <w:rPr/>
        <w:t>An assessment may add more precise horizons when domain requirements demand it. Medical assessments may require seconds, minutes, hours, days, months, and years. Legal assessments may distinguish trial, appeal, precedent, and constitutional horizons. Environmental assessments may distinguish seasonal, decadal, and ecosystem-regeneration horizons. AI assessments may distinguish runtime, deployment, scaling, training-feedback, institutional-adoption, and civilizational horizons.</w:t>
      </w:r>
    </w:p>
    <w:p>
      <w:pPr>
        <w:pStyle w:val="BodyText"/>
        <w:spacing w:before="0" w:after="200"/>
        <w:rPr/>
      </w:pPr>
      <w:r>
        <w:rPr/>
        <w:t>The methodology should allow contextual refinement while preserving the default horizon structure. Refinement should make the assessment more faithful, not less.</w:t>
      </w:r>
    </w:p>
    <w:p>
      <w:pPr>
        <w:pStyle w:val="Heading3"/>
        <w:ind w:hanging="0" w:left="0"/>
        <w:rPr/>
      </w:pPr>
      <w:r>
        <w:rPr/>
        <w:t>Multi-Horizon Assessment and Material Diminishment</w:t>
      </w:r>
    </w:p>
    <w:p>
      <w:pPr>
        <w:pStyle w:val="BodyText"/>
        <w:spacing w:before="0" w:after="200"/>
        <w:rPr/>
      </w:pPr>
      <w:r>
        <w:rPr/>
        <w:t>Material diminishment should be evaluated across horizons.</w:t>
      </w:r>
    </w:p>
    <w:p>
      <w:pPr>
        <w:pStyle w:val="BodyText"/>
        <w:spacing w:before="0" w:after="200"/>
        <w:rPr/>
      </w:pPr>
      <w:r>
        <w:rPr/>
        <w:t>An action may not materially diminish a Flourishing Entity immediately but may do so over longer horizons. Conversely, an immediate burden may not constitute material diminishment if it is temporary, reversible, and necessary to preserve long-term flourishing.</w:t>
      </w:r>
    </w:p>
    <w:p>
      <w:pPr>
        <w:pStyle w:val="BodyText"/>
        <w:spacing w:before="0" w:after="200"/>
        <w:rPr/>
      </w:pPr>
      <w:r>
        <w:rPr/>
        <w:t>The methodology should identify:</w:t>
      </w:r>
    </w:p>
    <w:p>
      <w:pPr>
        <w:pStyle w:val="BodyText"/>
        <w:spacing w:before="0" w:after="200"/>
        <w:rPr/>
      </w:pPr>
      <w:r>
        <w:rPr/>
        <w:t>Whether material diminishment occurs.</w:t>
      </w:r>
    </w:p>
    <w:p>
      <w:pPr>
        <w:pStyle w:val="BodyText"/>
        <w:spacing w:before="0" w:after="200"/>
        <w:rPr/>
      </w:pPr>
      <w:r>
        <w:rPr/>
        <w:t>Which entity experiences it.</w:t>
      </w:r>
    </w:p>
    <w:p>
      <w:pPr>
        <w:pStyle w:val="BodyText"/>
        <w:spacing w:before="0" w:after="200"/>
        <w:rPr/>
      </w:pPr>
      <w:r>
        <w:rPr/>
        <w:t>Which flourishing dimensions are affected.</w:t>
      </w:r>
    </w:p>
    <w:p>
      <w:pPr>
        <w:pStyle w:val="BodyText"/>
        <w:spacing w:before="0" w:after="200"/>
        <w:rPr/>
      </w:pPr>
      <w:r>
        <w:rPr/>
        <w:t>Which horizon reveals it.</w:t>
      </w:r>
    </w:p>
    <w:p>
      <w:pPr>
        <w:pStyle w:val="BodyText"/>
        <w:spacing w:before="0" w:after="200"/>
        <w:rPr/>
      </w:pPr>
      <w:r>
        <w:rPr/>
        <w:t>Whether it is reversible.</w:t>
      </w:r>
    </w:p>
    <w:p>
      <w:pPr>
        <w:pStyle w:val="BodyText"/>
        <w:spacing w:before="0" w:after="200"/>
        <w:rPr/>
      </w:pPr>
      <w:r>
        <w:rPr/>
        <w:t>Whether it compounds.</w:t>
      </w:r>
    </w:p>
    <w:p>
      <w:pPr>
        <w:pStyle w:val="BodyText"/>
        <w:spacing w:before="0" w:after="200"/>
        <w:rPr/>
      </w:pPr>
      <w:r>
        <w:rPr/>
        <w:t>Whether it affects future state space.</w:t>
      </w:r>
    </w:p>
    <w:p>
      <w:pPr>
        <w:pStyle w:val="BodyText"/>
        <w:spacing w:before="0" w:after="200"/>
        <w:rPr/>
      </w:pPr>
      <w:r>
        <w:rPr/>
        <w:t>Whether confidence is sufficient to support the conclusion.</w:t>
      </w:r>
    </w:p>
    <w:p>
      <w:pPr>
        <w:pStyle w:val="BodyText"/>
        <w:spacing w:before="0" w:after="200"/>
        <w:rPr/>
      </w:pPr>
      <w:r>
        <w:rPr/>
        <w:t>This prevents the assessment from ignoring delayed or future harms merely because they are not immediately visible.</w:t>
      </w:r>
    </w:p>
    <w:p>
      <w:pPr>
        <w:pStyle w:val="Heading3"/>
        <w:ind w:hanging="0" w:left="0"/>
        <w:rPr/>
      </w:pPr>
      <w:r>
        <w:rPr/>
        <w:t>Multi-Horizon Assessment and Alternatives</w:t>
      </w:r>
    </w:p>
    <w:p>
      <w:pPr>
        <w:pStyle w:val="BodyText"/>
        <w:spacing w:before="0" w:after="200"/>
        <w:rPr/>
      </w:pPr>
      <w:r>
        <w:rPr/>
        <w:t>Candidate actions should be compared across horizons.</w:t>
      </w:r>
    </w:p>
    <w:p>
      <w:pPr>
        <w:pStyle w:val="BodyText"/>
        <w:spacing w:before="0" w:after="200"/>
        <w:rPr/>
      </w:pPr>
      <w:r>
        <w:rPr/>
        <w:t>An alternative that performs worse immediately may perform better long-term. An alternative that appears efficient short-term may create institutional or policy-state harm. An alternative that avoids civilizational risk may impose near-term cost.</w:t>
      </w:r>
    </w:p>
    <w:p>
      <w:pPr>
        <w:pStyle w:val="BodyText"/>
        <w:spacing w:before="0" w:after="200"/>
        <w:rPr/>
      </w:pPr>
      <w:r>
        <w:rPr/>
        <w:t>The methodology should compare alternative World Context Transitions across the same horizon structure when possible. This allows a decision-maker to see whether an action is preferable only under short-term analysis or remains preferable when longer horizons are included.</w:t>
      </w:r>
    </w:p>
    <w:p>
      <w:pPr>
        <w:pStyle w:val="Heading3"/>
        <w:ind w:hanging="0" w:left="0"/>
        <w:rPr/>
      </w:pPr>
      <w:r>
        <w:rPr/>
        <w:t>Multi-Horizon Assessment and Revision</w:t>
      </w:r>
    </w:p>
    <w:p>
      <w:pPr>
        <w:pStyle w:val="BodyText"/>
        <w:spacing w:before="0" w:after="200"/>
        <w:rPr/>
      </w:pPr>
      <w:r>
        <w:rPr/>
        <w:t>Multi-Horizon Assessment should support revision as evidence emerges.</w:t>
      </w:r>
    </w:p>
    <w:p>
      <w:pPr>
        <w:pStyle w:val="BodyText"/>
        <w:spacing w:before="0" w:after="200"/>
        <w:rPr/>
      </w:pPr>
      <w:r>
        <w:rPr/>
        <w:t>Immediate and short-term effects may become observable quickly. Medium-term and long-term effects may require monitoring. Multi-generational and civilizational effects may remain scenario-based, model-based, or confidence-limited.</w:t>
      </w:r>
    </w:p>
    <w:p>
      <w:pPr>
        <w:pStyle w:val="BodyText"/>
        <w:spacing w:before="0" w:after="200"/>
        <w:rPr/>
      </w:pPr>
      <w:r>
        <w:rPr/>
        <w:t>The methodology should allow assessments to be updated as:</w:t>
      </w:r>
    </w:p>
    <w:p>
      <w:pPr>
        <w:pStyle w:val="BodyText"/>
        <w:spacing w:before="0" w:after="200"/>
        <w:rPr/>
      </w:pPr>
      <w:r>
        <w:rPr/>
        <w:t>Predicted consequences are confirmed or contradicted.</w:t>
      </w:r>
    </w:p>
    <w:p>
      <w:pPr>
        <w:pStyle w:val="BodyText"/>
        <w:spacing w:before="0" w:after="200"/>
        <w:rPr/>
      </w:pPr>
      <w:r>
        <w:rPr/>
        <w:t>Policy updates become observable.</w:t>
      </w:r>
    </w:p>
    <w:p>
      <w:pPr>
        <w:pStyle w:val="BodyText"/>
        <w:spacing w:before="0" w:after="200"/>
        <w:rPr/>
      </w:pPr>
      <w:r>
        <w:rPr/>
        <w:t>Institutional responses emerge.</w:t>
      </w:r>
    </w:p>
    <w:p>
      <w:pPr>
        <w:pStyle w:val="BodyText"/>
        <w:spacing w:before="0" w:after="200"/>
        <w:rPr/>
      </w:pPr>
      <w:r>
        <w:rPr/>
        <w:t>Long-Term Flourishing effects develop.</w:t>
      </w:r>
    </w:p>
    <w:p>
      <w:pPr>
        <w:pStyle w:val="BodyText"/>
        <w:spacing w:before="0" w:after="200"/>
        <w:rPr/>
      </w:pPr>
      <w:r>
        <w:rPr/>
        <w:t>New evidence reduces uncertainty.</w:t>
      </w:r>
    </w:p>
    <w:p>
      <w:pPr>
        <w:pStyle w:val="BodyText"/>
        <w:spacing w:before="0" w:after="200"/>
        <w:rPr/>
      </w:pPr>
      <w:r>
        <w:rPr/>
        <w:t>Future state-space effects become clearer.</w:t>
      </w:r>
    </w:p>
    <w:p>
      <w:pPr>
        <w:pStyle w:val="BodyText"/>
        <w:spacing w:before="0" w:after="200"/>
        <w:rPr/>
      </w:pPr>
      <w:r>
        <w:rPr/>
        <w:t>Earlier assumptions prove mistaken.</w:t>
      </w:r>
    </w:p>
    <w:p>
      <w:pPr>
        <w:pStyle w:val="BodyText"/>
        <w:spacing w:before="0" w:after="200"/>
        <w:rPr/>
      </w:pPr>
      <w:r>
        <w:rPr/>
        <w:t>Revision is not a failure of the assessment. It reflects the methodology’s commitment to evidence-sensitive, confidence-bounded reasoning.</w:t>
      </w:r>
    </w:p>
    <w:p>
      <w:pPr>
        <w:pStyle w:val="Heading3"/>
        <w:ind w:hanging="0" w:left="0"/>
        <w:rPr/>
      </w:pPr>
      <w:r>
        <w:rPr/>
        <w:t>Horizon Assessment Output</w:t>
      </w:r>
    </w:p>
    <w:p>
      <w:pPr>
        <w:pStyle w:val="BodyText"/>
        <w:spacing w:before="0" w:after="200"/>
        <w:rPr/>
      </w:pPr>
      <w:r>
        <w:rPr/>
        <w:t>The output of Multi-Horizon Assessment should preserve horizon-specific structure.</w:t>
      </w:r>
    </w:p>
    <w:p>
      <w:pPr>
        <w:pStyle w:val="BodyText"/>
        <w:spacing w:before="0" w:after="200"/>
        <w:rPr/>
      </w:pPr>
      <w:r>
        <w:rPr/>
        <w:t>A useful output may include:</w:t>
      </w:r>
    </w:p>
    <w:p>
      <w:pPr>
        <w:pStyle w:val="BodyText"/>
        <w:spacing w:before="0" w:after="200"/>
        <w:rPr/>
      </w:pPr>
      <w:r>
        <w:rPr/>
        <w:t>Horizon-specific state transition summaries.</w:t>
      </w:r>
    </w:p>
    <w:p>
      <w:pPr>
        <w:pStyle w:val="BodyText"/>
        <w:spacing w:before="0" w:after="200"/>
        <w:rPr/>
      </w:pPr>
      <w:r>
        <w:rPr/>
        <w:t>Horizon-specific Flourishing Transitions.</w:t>
      </w:r>
    </w:p>
    <w:p>
      <w:pPr>
        <w:pStyle w:val="BodyText"/>
        <w:spacing w:before="0" w:after="200"/>
        <w:rPr/>
      </w:pPr>
      <w:r>
        <w:rPr/>
        <w:t>Horizon-specific Aggregate Flourishing estimates.</w:t>
      </w:r>
    </w:p>
    <w:p>
      <w:pPr>
        <w:pStyle w:val="BodyText"/>
        <w:spacing w:before="0" w:after="200"/>
        <w:rPr/>
      </w:pPr>
      <w:r>
        <w:rPr/>
        <w:t>Horizon-specific Distributed Policy Updates.</w:t>
      </w:r>
    </w:p>
    <w:p>
      <w:pPr>
        <w:pStyle w:val="BodyText"/>
        <w:spacing w:before="0" w:after="200"/>
        <w:rPr/>
      </w:pPr>
      <w:r>
        <w:rPr/>
        <w:t>Horizon-specific institutional effects.</w:t>
      </w:r>
    </w:p>
    <w:p>
      <w:pPr>
        <w:pStyle w:val="BodyText"/>
        <w:spacing w:before="0" w:after="200"/>
        <w:rPr/>
      </w:pPr>
      <w:r>
        <w:rPr/>
        <w:t>Horizon-specific future opportunity effects.</w:t>
      </w:r>
    </w:p>
    <w:p>
      <w:pPr>
        <w:pStyle w:val="BodyText"/>
        <w:spacing w:before="0" w:after="200"/>
        <w:rPr/>
      </w:pPr>
      <w:r>
        <w:rPr/>
        <w:t>Horizon-specific future state-space effects.</w:t>
      </w:r>
    </w:p>
    <w:p>
      <w:pPr>
        <w:pStyle w:val="BodyText"/>
        <w:spacing w:before="0" w:after="200"/>
        <w:rPr/>
      </w:pPr>
      <w:r>
        <w:rPr/>
        <w:t>Horizon-specific uncertainty and confidence.</w:t>
      </w:r>
    </w:p>
    <w:p>
      <w:pPr>
        <w:pStyle w:val="BodyText"/>
        <w:spacing w:before="0" w:after="200"/>
        <w:rPr/>
      </w:pPr>
      <w:r>
        <w:rPr/>
        <w:t>Horizon conflicts.</w:t>
      </w:r>
    </w:p>
    <w:p>
      <w:pPr>
        <w:pStyle w:val="BodyText"/>
        <w:spacing w:before="0" w:after="200"/>
        <w:rPr/>
      </w:pPr>
      <w:r>
        <w:rPr/>
        <w:t>Recommended mitigation, monitoring, or reassessment.</w:t>
      </w:r>
    </w:p>
    <w:p>
      <w:pPr>
        <w:pStyle w:val="BodyText"/>
        <w:spacing w:before="0" w:after="200"/>
        <w:rPr/>
      </w:pPr>
      <w:r>
        <w:rPr/>
        <w:t>This structure allows the final Moral Assessment to explain whether the action is beneficial, harmful, mixed, uncertain, or conditional across time.</w:t>
      </w:r>
    </w:p>
    <w:p>
      <w:pPr>
        <w:pStyle w:val="Heading3"/>
        <w:spacing w:before="0" w:after="200"/>
        <w:ind w:hanging="0" w:left="0"/>
        <w:rPr>
          <w:rFonts w:ascii="Aptos" w:hAnsi="Aptos"/>
          <w:color w:val="auto"/>
        </w:rPr>
      </w:pPr>
      <w:r>
        <w:rPr>
          <w:rFonts w:ascii="Aptos" w:hAnsi="Aptos"/>
          <w:color w:val="auto"/>
        </w:rPr>
        <w:t>Common Multi-Horizon Assessment Errors</w:t>
      </w:r>
    </w:p>
    <w:p>
      <w:pPr>
        <w:pStyle w:val="BodyText"/>
        <w:spacing w:before="0" w:after="200"/>
        <w:rPr/>
      </w:pPr>
      <w:r>
        <w:rPr/>
        <w:t>The methodology should avoid several common errors.</w:t>
      </w:r>
    </w:p>
    <w:p>
      <w:pPr>
        <w:pStyle w:val="BodyText"/>
        <w:spacing w:before="0" w:after="200"/>
        <w:rPr/>
      </w:pPr>
      <w:r>
        <w:rPr/>
        <w:t>First, it should avoid immediate-outcome bias, where the first visible consequence dominates the entire assessment.</w:t>
      </w:r>
    </w:p>
    <w:p>
      <w:pPr>
        <w:pStyle w:val="BodyText"/>
        <w:spacing w:before="0" w:after="200"/>
        <w:rPr/>
      </w:pPr>
      <w:r>
        <w:rPr/>
        <w:t>Second, it should avoid short-termism, where operational success is treated as moral success.</w:t>
      </w:r>
    </w:p>
    <w:p>
      <w:pPr>
        <w:pStyle w:val="BodyText"/>
        <w:spacing w:before="0" w:after="200"/>
        <w:rPr/>
      </w:pPr>
      <w:r>
        <w:rPr/>
        <w:t>Third, it should avoid long-term speculation inflation, where weakly supported future harms are treated as certain.</w:t>
      </w:r>
    </w:p>
    <w:p>
      <w:pPr>
        <w:pStyle w:val="BodyText"/>
        <w:spacing w:before="0" w:after="200"/>
        <w:rPr/>
      </w:pPr>
      <w:r>
        <w:rPr/>
        <w:t>Fourth, it should avoid horizon collapse, where effects across time are merged into a single undifferentiated judgment.</w:t>
      </w:r>
    </w:p>
    <w:p>
      <w:pPr>
        <w:pStyle w:val="BodyText"/>
        <w:spacing w:before="0" w:after="200"/>
        <w:rPr/>
      </w:pPr>
      <w:r>
        <w:rPr/>
        <w:t>Fifth, it should avoid present-entity bias, where future entities are ignored merely because they are not yet present.</w:t>
      </w:r>
    </w:p>
    <w:p>
      <w:pPr>
        <w:pStyle w:val="BodyText"/>
        <w:spacing w:before="0" w:after="200"/>
        <w:rPr/>
      </w:pPr>
      <w:r>
        <w:rPr/>
        <w:t>Sixth, it should avoid confidence flattening, where all horizons are assigned the same confidence.</w:t>
      </w:r>
    </w:p>
    <w:p>
      <w:pPr>
        <w:pStyle w:val="BodyText"/>
        <w:spacing w:before="0" w:after="200"/>
        <w:rPr/>
      </w:pPr>
      <w:r>
        <w:rPr/>
        <w:t>Seventh, it should avoid hidden horizon weighting, where the assessment implicitly favors one timeframe without explanation.</w:t>
      </w:r>
    </w:p>
    <w:p>
      <w:pPr>
        <w:pStyle w:val="BodyText"/>
        <w:spacing w:before="0" w:after="200"/>
        <w:rPr/>
      </w:pPr>
      <w:r>
        <w:rPr/>
        <w:t>Avoiding these errors is necessary for faithful evaluation of Long-Term Flourishing and World Context Transition.</w:t>
      </w:r>
    </w:p>
    <w:p>
      <w:pPr>
        <w:pStyle w:val="Heading3"/>
        <w:ind w:hanging="0" w:left="0"/>
        <w:rPr/>
      </w:pPr>
      <w:r>
        <w:rPr/>
        <w:t>Methodological Boundary</w:t>
      </w:r>
    </w:p>
    <w:p>
      <w:pPr>
        <w:pStyle w:val="BodyText"/>
        <w:spacing w:before="0" w:after="200"/>
        <w:rPr/>
      </w:pPr>
      <w:r>
        <w:rPr/>
        <w:t>This section defines the role of Multi-Horizon Assessment within the Moral Assessment Methodology. It does not prescribe fixed clock durations, final horizon weights, discount rates, temporal aggregation functions, or implementation-specific models.</w:t>
      </w:r>
    </w:p>
    <w:p>
      <w:pPr>
        <w:pStyle w:val="BodyText"/>
        <w:spacing w:before="0" w:after="200"/>
        <w:rPr/>
      </w:pPr>
      <w:r>
        <w:rPr/>
        <w:t>Those details may be developed in domain-specific methods, formal appendices, or implementations.</w:t>
      </w:r>
    </w:p>
    <w:p>
      <w:pPr>
        <w:pStyle w:val="BodyText"/>
        <w:spacing w:before="0" w:after="200"/>
        <w:rPr/>
      </w:pPr>
      <w:r>
        <w:rPr/>
        <w:t>The methodological requirement is that the assessment evaluate the Assessed Action across immediate, short-term, medium-term, long-term, multi-generational, and civilizational horizons when those horizons are relevant. The assessment should preserve horizon-specific effects, uncertainty, confidence, and conflicts rather than collapsing moral assessment into a single moment in time.</w:t>
      </w:r>
    </w:p>
    <w:p>
      <w:pPr>
        <w:pStyle w:val="BodyText"/>
        <w:spacing w:before="0" w:after="200"/>
        <w:rPr/>
      </w:pPr>
      <w:r>
        <w:rPr/>
        <w:t>Multi-Horizon Assessment ensures that the framework evaluates not only what an action does now, but what kind of World Context it helps create over time.</w:t>
      </w:r>
    </w:p>
    <w:p>
      <w:pPr>
        <w:pStyle w:val="Normal"/>
        <w:widowControl/>
        <w:bidi w:val="0"/>
        <w:spacing w:lineRule="auto" w:line="276"/>
        <w:jc w:val="left"/>
        <w:rPr/>
      </w:pPr>
      <w:r>
        <w:rPr/>
      </w:r>
    </w:p>
    <w:p>
      <w:pPr>
        <w:pStyle w:val="Heading2"/>
        <w:ind w:hanging="0" w:left="0"/>
        <w:rPr/>
      </w:pPr>
      <w:bookmarkStart w:id="8" w:name="__RefHeading___Toc2093_472873438"/>
      <w:bookmarkEnd w:id="8"/>
      <w:r>
        <w:rPr/>
        <w:t>Assessment Output</w:t>
      </w:r>
    </w:p>
    <w:p>
      <w:pPr>
        <w:pStyle w:val="BodyText"/>
        <w:spacing w:before="0" w:after="200"/>
        <w:rPr/>
      </w:pPr>
      <w:r>
        <w:rPr/>
        <w:t>Assessment Output defines the form and content of the result produced by the Moral Assessment Methodology after evaluating an Assessed Action.</w:t>
      </w:r>
    </w:p>
    <w:p>
      <w:pPr>
        <w:pStyle w:val="BodyText"/>
        <w:spacing w:before="0" w:after="200"/>
        <w:rPr/>
      </w:pPr>
      <w:r>
        <w:rPr/>
        <w:t>The output of an assessment should not be limited to a moral label, score, recommendation, or conclusion. A moral assessment is useful only if the reasoning behind it remains inspectable. The output should therefore preserve the structured path from the initial World Context to the resulting World Context, including evidence, assumptions, affected entities, state transitions, flourishing transitions, policy updates, uncertainty, and confidence.</w:t>
      </w:r>
    </w:p>
    <w:p>
      <w:pPr>
        <w:pStyle w:val="BodyText"/>
        <w:spacing w:before="0" w:after="200"/>
        <w:rPr/>
      </w:pPr>
      <w:r>
        <w:rPr/>
        <w:t>The Assessment Output is the methodological artifact that allows the assessment to be reviewed, audited, revised, compared, explained, or used by downstream decision-support systems. It is not merely a narrative summary. It is a structured representation of the assessment result and the reasoning artifacts that support it.</w:t>
      </w:r>
    </w:p>
    <w:p>
      <w:pPr>
        <w:pStyle w:val="Heading3"/>
        <w:ind w:hanging="0" w:left="0"/>
        <w:rPr/>
      </w:pPr>
      <w:r>
        <w:rPr/>
        <w:t>Purpose of Assessment Output</w:t>
      </w:r>
    </w:p>
    <w:p>
      <w:pPr>
        <w:pStyle w:val="BodyText"/>
        <w:spacing w:before="0" w:after="200"/>
        <w:rPr/>
      </w:pPr>
      <w:r>
        <w:rPr/>
        <w:t>The purpose of Assessment Output is to make the result of a moral assessment explicit, traceable, and usable.</w:t>
      </w:r>
    </w:p>
    <w:p>
      <w:pPr>
        <w:pStyle w:val="BodyText"/>
        <w:spacing w:before="0" w:after="200"/>
        <w:rPr/>
      </w:pPr>
      <w:r>
        <w:rPr/>
        <w:t>A completed assessment should show not only what conclusion was reached, but how that conclusion was reached. It should identify the Assessed Action, the relevant context, the affected entities, the evidence used, the assumptions made, the intermediate results produced, the predicted or observed World Context Transition, the confidence level, and any recommendations or decision-support flags.</w:t>
      </w:r>
    </w:p>
    <w:p>
      <w:pPr>
        <w:pStyle w:val="BodyText"/>
        <w:spacing w:before="0" w:after="200"/>
        <w:rPr/>
      </w:pPr>
      <w:r>
        <w:rPr/>
        <w:t>Assessment Output supports several functions:</w:t>
      </w:r>
    </w:p>
    <w:p>
      <w:pPr>
        <w:pStyle w:val="BodyText"/>
        <w:spacing w:before="0" w:after="200"/>
        <w:rPr/>
      </w:pPr>
      <w:r>
        <w:rPr/>
        <w:t>It communicates the assessment result.</w:t>
      </w:r>
    </w:p>
    <w:p>
      <w:pPr>
        <w:pStyle w:val="BodyText"/>
        <w:spacing w:before="0" w:after="200"/>
        <w:rPr/>
      </w:pPr>
      <w:r>
        <w:rPr/>
        <w:t>It preserves the reasoning path.</w:t>
      </w:r>
    </w:p>
    <w:p>
      <w:pPr>
        <w:pStyle w:val="BodyText"/>
        <w:spacing w:before="0" w:after="200"/>
        <w:rPr/>
      </w:pPr>
      <w:r>
        <w:rPr/>
        <w:t>It exposes evidence and assumptions.</w:t>
      </w:r>
    </w:p>
    <w:p>
      <w:pPr>
        <w:pStyle w:val="BodyText"/>
        <w:spacing w:before="0" w:after="200"/>
        <w:rPr/>
      </w:pPr>
      <w:r>
        <w:rPr/>
        <w:t>It reports confidence and uncertainty.</w:t>
      </w:r>
    </w:p>
    <w:p>
      <w:pPr>
        <w:pStyle w:val="BodyText"/>
        <w:spacing w:before="0" w:after="200"/>
        <w:rPr/>
      </w:pPr>
      <w:r>
        <w:rPr/>
        <w:t>It identifies affected entities and Associations.</w:t>
      </w:r>
    </w:p>
    <w:p>
      <w:pPr>
        <w:pStyle w:val="BodyText"/>
        <w:spacing w:before="0" w:after="200"/>
        <w:rPr/>
      </w:pPr>
      <w:r>
        <w:rPr/>
        <w:t>It summarizes the World Context Transition.</w:t>
      </w:r>
    </w:p>
    <w:p>
      <w:pPr>
        <w:pStyle w:val="BodyText"/>
        <w:spacing w:before="0" w:after="200"/>
        <w:rPr/>
      </w:pPr>
      <w:r>
        <w:rPr/>
        <w:t>It records Long-Term Flourishing changes.</w:t>
      </w:r>
    </w:p>
    <w:p>
      <w:pPr>
        <w:pStyle w:val="BodyText"/>
        <w:spacing w:before="0" w:after="200"/>
        <w:rPr/>
      </w:pPr>
      <w:r>
        <w:rPr/>
        <w:t>It records Distributed Policy Updates.</w:t>
      </w:r>
    </w:p>
    <w:p>
      <w:pPr>
        <w:pStyle w:val="BodyText"/>
        <w:spacing w:before="0" w:after="200"/>
        <w:rPr/>
      </w:pPr>
      <w:r>
        <w:rPr/>
        <w:t>It supports comparison among candidate actions.</w:t>
      </w:r>
    </w:p>
    <w:p>
      <w:pPr>
        <w:pStyle w:val="BodyText"/>
        <w:spacing w:before="0" w:after="200"/>
        <w:rPr/>
      </w:pPr>
      <w:r>
        <w:rPr/>
        <w:t>It supports audit, explanation, revision, and downstream implementation.</w:t>
      </w:r>
    </w:p>
    <w:p>
      <w:pPr>
        <w:pStyle w:val="BodyText"/>
        <w:spacing w:before="0" w:after="200"/>
        <w:rPr/>
      </w:pPr>
      <w:r>
        <w:rPr/>
        <w:t>The output should be structured enough to support computational use while remaining understandable enough to support human review.</w:t>
      </w:r>
    </w:p>
    <w:p>
      <w:pPr>
        <w:pStyle w:val="Heading3"/>
        <w:ind w:hanging="0" w:left="0"/>
        <w:rPr/>
      </w:pPr>
      <w:r>
        <w:rPr/>
        <w:t>Assessment Result</w:t>
      </w:r>
    </w:p>
    <w:p>
      <w:pPr>
        <w:pStyle w:val="BodyText"/>
        <w:spacing w:before="0" w:after="200"/>
        <w:rPr/>
      </w:pPr>
      <w:r>
        <w:rPr/>
        <w:t>The Assessment Result is the primary conclusion produced by the methodology.</w:t>
      </w:r>
    </w:p>
    <w:p>
      <w:pPr>
        <w:pStyle w:val="BodyText"/>
        <w:spacing w:before="0" w:after="200"/>
        <w:rPr/>
      </w:pPr>
      <w:r>
        <w:rPr/>
        <w:t>The result should summarize the moral status of the Assessed Action in relation to the resulting World Context Transition. It should not be presented as an unsupported verdict. It should remain traceable to the evidence, assumptions, intermediate results, and confidence estimates that support it.</w:t>
      </w:r>
    </w:p>
    <w:p>
      <w:pPr>
        <w:pStyle w:val="BodyText"/>
        <w:spacing w:before="0" w:after="200"/>
        <w:rPr/>
      </w:pPr>
      <w:r>
        <w:rPr/>
        <w:t>An Assessment Result may take several forms, depending on the domain, implementation, and assessment purpose. It may indicate that the Assessed Action is morally supportable, morally harmful, impermissible, conditionally permissible, preferable to available alternatives, inferior to available alternatives, mixed, inconclusive, confidence-limited, or requiring mitigation.</w:t>
      </w:r>
    </w:p>
    <w:p>
      <w:pPr>
        <w:pStyle w:val="BodyText"/>
        <w:spacing w:before="0" w:after="200"/>
        <w:rPr/>
      </w:pPr>
      <w:r>
        <w:rPr/>
        <w:t>The methodology should allow assessment results such as:</w:t>
      </w:r>
    </w:p>
    <w:p>
      <w:pPr>
        <w:pStyle w:val="BodyText"/>
        <w:spacing w:before="0" w:after="200"/>
        <w:rPr/>
      </w:pPr>
      <w:r>
        <w:rPr/>
        <w:t>Morally supportable with stated confidence.</w:t>
      </w:r>
    </w:p>
    <w:p>
      <w:pPr>
        <w:pStyle w:val="BodyText"/>
        <w:spacing w:before="0" w:after="200"/>
        <w:rPr/>
      </w:pPr>
      <w:r>
        <w:rPr/>
        <w:t>Morally harmful with stated confidence.</w:t>
      </w:r>
    </w:p>
    <w:p>
      <w:pPr>
        <w:pStyle w:val="BodyText"/>
        <w:spacing w:before="0" w:after="200"/>
        <w:rPr/>
      </w:pPr>
      <w:r>
        <w:rPr/>
        <w:t>Conditionally supportable if specified safeguards are added.</w:t>
      </w:r>
    </w:p>
    <w:p>
      <w:pPr>
        <w:pStyle w:val="BodyText"/>
        <w:spacing w:before="0" w:after="200"/>
        <w:rPr/>
      </w:pPr>
      <w:r>
        <w:rPr/>
        <w:t>Not supportable because of material diminishment.</w:t>
      </w:r>
    </w:p>
    <w:p>
      <w:pPr>
        <w:pStyle w:val="BodyText"/>
        <w:spacing w:before="0" w:after="200"/>
        <w:rPr/>
      </w:pPr>
      <w:r>
        <w:rPr/>
        <w:t>Not supportable because of detrimental policy updates.</w:t>
      </w:r>
    </w:p>
    <w:p>
      <w:pPr>
        <w:pStyle w:val="BodyText"/>
        <w:spacing w:before="0" w:after="200"/>
        <w:rPr/>
      </w:pPr>
      <w:r>
        <w:rPr/>
        <w:t>Inconclusive because of insufficient evidence.</w:t>
      </w:r>
    </w:p>
    <w:p>
      <w:pPr>
        <w:pStyle w:val="BodyText"/>
        <w:spacing w:before="0" w:after="200"/>
        <w:rPr/>
      </w:pPr>
      <w:r>
        <w:rPr/>
        <w:t>Requires escalation or human review.</w:t>
      </w:r>
    </w:p>
    <w:p>
      <w:pPr>
        <w:pStyle w:val="BodyText"/>
        <w:spacing w:before="0" w:after="200"/>
        <w:rPr/>
      </w:pPr>
      <w:r>
        <w:rPr/>
        <w:t>Requires additional evidence before action.</w:t>
      </w:r>
    </w:p>
    <w:p>
      <w:pPr>
        <w:pStyle w:val="BodyText"/>
        <w:spacing w:before="0" w:after="200"/>
        <w:rPr/>
      </w:pPr>
      <w:r>
        <w:rPr/>
        <w:t>Preferable to listed alternatives under current assumptions.</w:t>
      </w:r>
    </w:p>
    <w:p>
      <w:pPr>
        <w:pStyle w:val="BodyText"/>
        <w:spacing w:before="0" w:after="200"/>
        <w:rPr/>
      </w:pPr>
      <w:r>
        <w:rPr/>
        <w:t>Permissible only within stated Assessment Boundary limits.</w:t>
      </w:r>
    </w:p>
    <w:p>
      <w:pPr>
        <w:pStyle w:val="BodyText"/>
        <w:spacing w:before="0" w:after="200"/>
        <w:rPr/>
      </w:pPr>
      <w:r>
        <w:rPr/>
        <w:t>The Assessment Result should be concise, but it should not hide the complexity of the assessment. When the result is mixed or horizon-dependent, the output should say so explicitly.</w:t>
      </w:r>
    </w:p>
    <w:p>
      <w:pPr>
        <w:pStyle w:val="Heading3"/>
        <w:ind w:hanging="0" w:left="0"/>
        <w:rPr/>
      </w:pPr>
      <w:r>
        <w:rPr/>
        <w:t>Result Classification</w:t>
      </w:r>
    </w:p>
    <w:p>
      <w:pPr>
        <w:pStyle w:val="BodyText"/>
        <w:spacing w:before="0" w:after="200"/>
        <w:rPr/>
      </w:pPr>
      <w:r>
        <w:rPr/>
        <w:t>A result classification provides a structured category for the assessment result.</w:t>
      </w:r>
    </w:p>
    <w:p>
      <w:pPr>
        <w:pStyle w:val="BodyText"/>
        <w:spacing w:before="0" w:after="200"/>
        <w:rPr/>
      </w:pPr>
      <w:r>
        <w:rPr/>
        <w:t>The methodology does not require a single fixed classification system, but it should support consistent result categories within a given implementation or domain. Classification allows assessments to be compared, filtered, audited, or routed to downstream systems.</w:t>
      </w:r>
    </w:p>
    <w:p>
      <w:pPr>
        <w:pStyle w:val="BodyText"/>
        <w:spacing w:before="0" w:after="200"/>
        <w:rPr/>
      </w:pPr>
      <w:r>
        <w:rPr/>
        <w:t>Possible classification families include:</w:t>
      </w:r>
    </w:p>
    <w:p>
      <w:pPr>
        <w:pStyle w:val="BodyText"/>
        <w:spacing w:before="0" w:after="200"/>
        <w:rPr/>
      </w:pPr>
      <w:r>
        <w:rPr/>
        <w:t>Supportability classification.</w:t>
      </w:r>
    </w:p>
    <w:p>
      <w:pPr>
        <w:pStyle w:val="BodyText"/>
        <w:spacing w:before="0" w:after="200"/>
        <w:rPr/>
      </w:pPr>
      <w:r>
        <w:rPr/>
        <w:t>Risk classification.</w:t>
      </w:r>
    </w:p>
    <w:p>
      <w:pPr>
        <w:pStyle w:val="BodyText"/>
        <w:spacing w:before="0" w:after="200"/>
        <w:rPr/>
      </w:pPr>
      <w:r>
        <w:rPr/>
        <w:t>Permissibility classification.</w:t>
      </w:r>
    </w:p>
    <w:p>
      <w:pPr>
        <w:pStyle w:val="BodyText"/>
        <w:spacing w:before="0" w:after="200"/>
        <w:rPr/>
      </w:pPr>
      <w:r>
        <w:rPr/>
        <w:t>Recommendation classification.</w:t>
      </w:r>
    </w:p>
    <w:p>
      <w:pPr>
        <w:pStyle w:val="BodyText"/>
        <w:spacing w:before="0" w:after="200"/>
        <w:rPr/>
      </w:pPr>
      <w:r>
        <w:rPr/>
        <w:t>Comparative ranking.</w:t>
      </w:r>
    </w:p>
    <w:p>
      <w:pPr>
        <w:pStyle w:val="BodyText"/>
        <w:spacing w:before="0" w:after="200"/>
        <w:rPr/>
      </w:pPr>
      <w:r>
        <w:rPr/>
        <w:t>Escalation classification.</w:t>
      </w:r>
    </w:p>
    <w:p>
      <w:pPr>
        <w:pStyle w:val="BodyText"/>
        <w:spacing w:before="0" w:after="200"/>
        <w:rPr/>
      </w:pPr>
      <w:r>
        <w:rPr/>
        <w:t>Uncertainty classification.</w:t>
      </w:r>
    </w:p>
    <w:p>
      <w:pPr>
        <w:pStyle w:val="BodyText"/>
        <w:spacing w:before="0" w:after="200"/>
        <w:rPr/>
      </w:pPr>
      <w:r>
        <w:rPr/>
        <w:t>Material-diminishment classification.</w:t>
      </w:r>
    </w:p>
    <w:p>
      <w:pPr>
        <w:pStyle w:val="BodyText"/>
        <w:spacing w:before="0" w:after="200"/>
        <w:rPr/>
      </w:pPr>
      <w:r>
        <w:rPr/>
        <w:t>Policy-update classification.</w:t>
      </w:r>
    </w:p>
    <w:p>
      <w:pPr>
        <w:pStyle w:val="BodyText"/>
        <w:spacing w:before="0" w:after="200"/>
        <w:rPr/>
      </w:pPr>
      <w:r>
        <w:rPr/>
        <w:t>A classification should be treated as a summary of the underlying assessment, not as a replacement for it. A classification such as “supportable” or “not supportable” should remain connected to the World Context Transition and confidence level that justify it.</w:t>
      </w:r>
    </w:p>
    <w:p>
      <w:pPr>
        <w:pStyle w:val="Heading3"/>
        <w:ind w:hanging="0" w:left="0"/>
        <w:rPr/>
      </w:pPr>
      <w:r>
        <w:rPr/>
        <w:t>Confidence Level</w:t>
      </w:r>
    </w:p>
    <w:p>
      <w:pPr>
        <w:pStyle w:val="BodyText"/>
        <w:spacing w:before="0" w:after="200"/>
        <w:rPr/>
      </w:pPr>
      <w:r>
        <w:rPr/>
        <w:t>Every Assessment Output should include a confidence level.</w:t>
      </w:r>
    </w:p>
    <w:p>
      <w:pPr>
        <w:pStyle w:val="BodyText"/>
        <w:spacing w:before="0" w:after="200"/>
        <w:rPr/>
      </w:pPr>
      <w:r>
        <w:rPr/>
        <w:t>The confidence level represents the reliability of the assessment result given the available evidence, assumptions, state representation, causal model, probability estimates, prediction uncertainty, model uncertainty, incomplete information, and horizon-specific uncertainty.</w:t>
      </w:r>
    </w:p>
    <w:p>
      <w:pPr>
        <w:pStyle w:val="BodyText"/>
        <w:spacing w:before="0" w:after="200"/>
        <w:rPr/>
      </w:pPr>
      <w:r>
        <w:rPr/>
        <w:t>Confidence should not be treated as a decorative number attached to the conclusion. It is a substantive part of the assessment. A low-confidence recommendation should not be treated the same as a high-confidence recommendation. A high-confidence harmful assessment should trigger different decision support than a low-confidence harmful assessment. A low-confidence beneficial assessment may require additional evidence, safeguards, or escalation.</w:t>
      </w:r>
    </w:p>
    <w:p>
      <w:pPr>
        <w:pStyle w:val="BodyText"/>
        <w:spacing w:before="0" w:after="200"/>
        <w:rPr/>
      </w:pPr>
      <w:r>
        <w:rPr/>
        <w:t>The output should identify:</w:t>
      </w:r>
    </w:p>
    <w:p>
      <w:pPr>
        <w:pStyle w:val="BodyText"/>
        <w:spacing w:before="0" w:after="200"/>
        <w:rPr/>
      </w:pPr>
      <w:r>
        <w:rPr/>
        <w:t>Overall confidence in the Assessment Result.</w:t>
      </w:r>
    </w:p>
    <w:p>
      <w:pPr>
        <w:pStyle w:val="BodyText"/>
        <w:spacing w:before="0" w:after="200"/>
        <w:rPr/>
      </w:pPr>
      <w:r>
        <w:rPr/>
        <w:t>Confidence in the baseline World Context.</w:t>
      </w:r>
    </w:p>
    <w:p>
      <w:pPr>
        <w:pStyle w:val="BodyText"/>
        <w:spacing w:before="0" w:after="200"/>
        <w:rPr/>
      </w:pPr>
      <w:r>
        <w:rPr/>
        <w:t>Confidence in the predicted or observed State Transition.</w:t>
      </w:r>
    </w:p>
    <w:p>
      <w:pPr>
        <w:pStyle w:val="BodyText"/>
        <w:spacing w:before="0" w:after="200"/>
        <w:rPr/>
      </w:pPr>
      <w:r>
        <w:rPr/>
        <w:t>Confidence in Long-Term Flourishing estimates.</w:t>
      </w:r>
    </w:p>
    <w:p>
      <w:pPr>
        <w:pStyle w:val="BodyText"/>
        <w:spacing w:before="0" w:after="200"/>
        <w:rPr/>
      </w:pPr>
      <w:r>
        <w:rPr/>
        <w:t>Confidence in Distributed Policy Updates.</w:t>
      </w:r>
    </w:p>
    <w:p>
      <w:pPr>
        <w:pStyle w:val="BodyText"/>
        <w:spacing w:before="0" w:after="200"/>
        <w:rPr/>
      </w:pPr>
      <w:r>
        <w:rPr/>
        <w:t>Confidence in Aggregate Flourishing estimates, if used.</w:t>
      </w:r>
    </w:p>
    <w:p>
      <w:pPr>
        <w:pStyle w:val="BodyText"/>
        <w:spacing w:before="0" w:after="200"/>
        <w:rPr/>
      </w:pPr>
      <w:r>
        <w:rPr/>
        <w:t>Confidence in the World Context Transition.</w:t>
      </w:r>
    </w:p>
    <w:p>
      <w:pPr>
        <w:pStyle w:val="BodyText"/>
        <w:spacing w:before="0" w:after="200"/>
        <w:rPr/>
      </w:pPr>
      <w:r>
        <w:rPr/>
        <w:t>Confidence by Assessment Horizon.</w:t>
      </w:r>
    </w:p>
    <w:p>
      <w:pPr>
        <w:pStyle w:val="BodyText"/>
        <w:spacing w:before="0" w:after="200"/>
        <w:rPr/>
      </w:pPr>
      <w:r>
        <w:rPr/>
        <w:t>Major sources of confidence reduction.</w:t>
      </w:r>
    </w:p>
    <w:p>
      <w:pPr>
        <w:pStyle w:val="BodyText"/>
        <w:spacing w:before="0" w:after="200"/>
        <w:rPr/>
      </w:pPr>
      <w:r>
        <w:rPr/>
        <w:t>The methodology should avoid hiding multiple uncertainties inside a single confidence value when those uncertainties materially affect the assessment.</w:t>
      </w:r>
    </w:p>
    <w:p>
      <w:pPr>
        <w:pStyle w:val="Heading3"/>
        <w:ind w:hanging="0" w:left="0"/>
        <w:rPr/>
      </w:pPr>
      <w:r>
        <w:rPr/>
        <w:t>Confidence Explanation</w:t>
      </w:r>
    </w:p>
    <w:p>
      <w:pPr>
        <w:pStyle w:val="BodyText"/>
        <w:spacing w:before="0" w:after="200"/>
        <w:rPr/>
      </w:pPr>
      <w:r>
        <w:rPr/>
        <w:t>The Assessment Output should explain why the confidence level has been assigned.</w:t>
      </w:r>
    </w:p>
    <w:p>
      <w:pPr>
        <w:pStyle w:val="BodyText"/>
        <w:spacing w:before="0" w:after="200"/>
        <w:rPr/>
      </w:pPr>
      <w:r>
        <w:rPr/>
        <w:t>A confidence value without explanation may create false precision. The output should identify the major evidence strengths, evidence weaknesses, missing information, model limitations, prediction uncertainties, and scope constraints that affect confidence.</w:t>
      </w:r>
    </w:p>
    <w:p>
      <w:pPr>
        <w:pStyle w:val="BodyText"/>
        <w:spacing w:before="0" w:after="200"/>
        <w:rPr/>
      </w:pPr>
      <w:r>
        <w:rPr/>
        <w:t>A confidence explanation may state that confidence is high because evidence is direct, complete, recent, consistent, and supported by reliable domain knowledge. It may state that confidence is moderate because the immediate consequences are well understood but long-term policy effects remain uncertain. It may state that confidence is low because the baseline state is contested, future responses are unpredictable, or the model is weak.</w:t>
      </w:r>
    </w:p>
    <w:p>
      <w:pPr>
        <w:pStyle w:val="BodyText"/>
        <w:spacing w:before="0" w:after="200"/>
        <w:rPr/>
      </w:pPr>
      <w:r>
        <w:rPr/>
        <w:t>A useful confidence explanation should distinguish:</w:t>
      </w:r>
    </w:p>
    <w:p>
      <w:pPr>
        <w:pStyle w:val="BodyText"/>
        <w:spacing w:before="0" w:after="200"/>
        <w:rPr/>
      </w:pPr>
      <w:r>
        <w:rPr/>
        <w:t>Evidence uncertainty.</w:t>
      </w:r>
    </w:p>
    <w:p>
      <w:pPr>
        <w:pStyle w:val="BodyText"/>
        <w:spacing w:before="0" w:after="200"/>
        <w:rPr/>
      </w:pPr>
      <w:r>
        <w:rPr/>
        <w:t>Baseline uncertainty.</w:t>
      </w:r>
    </w:p>
    <w:p>
      <w:pPr>
        <w:pStyle w:val="BodyText"/>
        <w:spacing w:before="0" w:after="200"/>
        <w:rPr/>
      </w:pPr>
      <w:r>
        <w:rPr/>
        <w:t>Causal uncertainty.</w:t>
      </w:r>
    </w:p>
    <w:p>
      <w:pPr>
        <w:pStyle w:val="BodyText"/>
        <w:spacing w:before="0" w:after="200"/>
        <w:rPr/>
      </w:pPr>
      <w:r>
        <w:rPr/>
        <w:t>Prediction uncertainty.</w:t>
      </w:r>
    </w:p>
    <w:p>
      <w:pPr>
        <w:pStyle w:val="BodyText"/>
        <w:spacing w:before="0" w:after="200"/>
        <w:rPr/>
      </w:pPr>
      <w:r>
        <w:rPr/>
        <w:t>Model uncertainty.</w:t>
      </w:r>
    </w:p>
    <w:p>
      <w:pPr>
        <w:pStyle w:val="BodyText"/>
        <w:spacing w:before="0" w:after="200"/>
        <w:rPr/>
      </w:pPr>
      <w:r>
        <w:rPr/>
        <w:t>Horizon uncertainty.</w:t>
      </w:r>
    </w:p>
    <w:p>
      <w:pPr>
        <w:pStyle w:val="BodyText"/>
        <w:spacing w:before="0" w:after="200"/>
        <w:rPr/>
      </w:pPr>
      <w:r>
        <w:rPr/>
        <w:t>Entity-classification uncertainty.</w:t>
      </w:r>
    </w:p>
    <w:p>
      <w:pPr>
        <w:pStyle w:val="BodyText"/>
        <w:spacing w:before="0" w:after="200"/>
        <w:rPr/>
      </w:pPr>
      <w:r>
        <w:rPr/>
        <w:t>Flourishing-formalization uncertainty.</w:t>
      </w:r>
    </w:p>
    <w:p>
      <w:pPr>
        <w:pStyle w:val="BodyText"/>
        <w:spacing w:before="0" w:after="200"/>
        <w:rPr/>
      </w:pPr>
      <w:r>
        <w:rPr/>
        <w:t>Policy-update uncertainty.</w:t>
      </w:r>
    </w:p>
    <w:p>
      <w:pPr>
        <w:pStyle w:val="BodyText"/>
        <w:spacing w:before="0" w:after="200"/>
        <w:rPr/>
      </w:pPr>
      <w:r>
        <w:rPr/>
        <w:t>This allows users of the assessment to understand what the confidence level means and how it could be improved.</w:t>
      </w:r>
    </w:p>
    <w:p>
      <w:pPr>
        <w:pStyle w:val="Heading3"/>
        <w:ind w:hanging="0" w:left="0"/>
        <w:rPr/>
      </w:pPr>
      <w:r>
        <w:rPr/>
        <w:t>Structured Output</w:t>
      </w:r>
    </w:p>
    <w:p>
      <w:pPr>
        <w:pStyle w:val="BodyText"/>
        <w:spacing w:before="0" w:after="200"/>
        <w:rPr/>
      </w:pPr>
      <w:r>
        <w:rPr/>
        <w:t>Assessment Output should be structured.</w:t>
      </w:r>
    </w:p>
    <w:p>
      <w:pPr>
        <w:pStyle w:val="BodyText"/>
        <w:spacing w:before="0" w:after="200"/>
        <w:rPr/>
      </w:pPr>
      <w:r>
        <w:rPr/>
        <w:t>Structured output means that the assessment result and its supporting artifacts are organized in a consistent, inspectable format. The output may be rendered as prose, tables, data objects, reports, machine-readable artifacts, audit logs, visualizations, or domain-specific forms. The methodology should support structure without prescribing a single final schema at this level.</w:t>
      </w:r>
    </w:p>
    <w:p>
      <w:pPr>
        <w:pStyle w:val="BodyText"/>
        <w:spacing w:before="0" w:after="200"/>
        <w:rPr/>
      </w:pPr>
      <w:r>
        <w:rPr/>
        <w:t>Structured output should include the major components required to understand and review the assessment:</w:t>
      </w:r>
    </w:p>
    <w:p>
      <w:pPr>
        <w:pStyle w:val="BodyText"/>
        <w:spacing w:before="0" w:after="200"/>
        <w:rPr/>
      </w:pPr>
      <w:r>
        <w:rPr/>
        <w:t>Assessment result.</w:t>
      </w:r>
    </w:p>
    <w:p>
      <w:pPr>
        <w:pStyle w:val="BodyText"/>
        <w:spacing w:before="0" w:after="200"/>
        <w:rPr/>
      </w:pPr>
      <w:r>
        <w:rPr/>
        <w:t>Confidence level.</w:t>
      </w:r>
    </w:p>
    <w:p>
      <w:pPr>
        <w:pStyle w:val="BodyText"/>
        <w:spacing w:before="0" w:after="200"/>
        <w:rPr/>
      </w:pPr>
      <w:r>
        <w:rPr/>
        <w:t>Assessed Action.</w:t>
      </w:r>
    </w:p>
    <w:p>
      <w:pPr>
        <w:pStyle w:val="BodyText"/>
        <w:spacing w:before="0" w:after="200"/>
        <w:rPr/>
      </w:pPr>
      <w:r>
        <w:rPr/>
        <w:t>Assessment Boundary.</w:t>
      </w:r>
    </w:p>
    <w:p>
      <w:pPr>
        <w:pStyle w:val="BodyText"/>
        <w:spacing w:before="0" w:after="200"/>
        <w:rPr/>
      </w:pPr>
      <w:r>
        <w:rPr/>
        <w:t>Situational Context.</w:t>
      </w:r>
    </w:p>
    <w:p>
      <w:pPr>
        <w:pStyle w:val="BodyText"/>
        <w:spacing w:before="0" w:after="200"/>
        <w:rPr/>
      </w:pPr>
      <w:r>
        <w:rPr/>
        <w:t>Evidence references.</w:t>
      </w:r>
    </w:p>
    <w:p>
      <w:pPr>
        <w:pStyle w:val="BodyText"/>
        <w:spacing w:before="0" w:after="200"/>
        <w:rPr/>
      </w:pPr>
      <w:r>
        <w:rPr/>
        <w:t>Assumptions.</w:t>
      </w:r>
    </w:p>
    <w:p>
      <w:pPr>
        <w:pStyle w:val="BodyText"/>
        <w:spacing w:before="0" w:after="200"/>
        <w:rPr/>
      </w:pPr>
      <w:r>
        <w:rPr/>
        <w:t>Intermediate results.</w:t>
      </w:r>
    </w:p>
    <w:p>
      <w:pPr>
        <w:pStyle w:val="BodyText"/>
        <w:spacing w:before="0" w:after="200"/>
        <w:rPr/>
      </w:pPr>
      <w:r>
        <w:rPr/>
        <w:t>World Context Transition summary.</w:t>
      </w:r>
    </w:p>
    <w:p>
      <w:pPr>
        <w:pStyle w:val="BodyText"/>
        <w:spacing w:before="0" w:after="200"/>
        <w:rPr/>
      </w:pPr>
      <w:r>
        <w:rPr/>
        <w:t>Affected entities.</w:t>
      </w:r>
    </w:p>
    <w:p>
      <w:pPr>
        <w:pStyle w:val="BodyText"/>
        <w:spacing w:before="0" w:after="200"/>
        <w:rPr/>
      </w:pPr>
      <w:r>
        <w:rPr/>
        <w:t>Flourishing transitions.</w:t>
      </w:r>
    </w:p>
    <w:p>
      <w:pPr>
        <w:pStyle w:val="BodyText"/>
        <w:spacing w:before="0" w:after="200"/>
        <w:rPr/>
      </w:pPr>
      <w:r>
        <w:rPr/>
        <w:t>Aggregate flourishing, if used.</w:t>
      </w:r>
    </w:p>
    <w:p>
      <w:pPr>
        <w:pStyle w:val="BodyText"/>
        <w:spacing w:before="0" w:after="200"/>
        <w:rPr/>
      </w:pPr>
      <w:r>
        <w:rPr/>
        <w:t>Distributed Policy Updates.</w:t>
      </w:r>
    </w:p>
    <w:p>
      <w:pPr>
        <w:pStyle w:val="BodyText"/>
        <w:spacing w:before="0" w:after="200"/>
        <w:rPr/>
      </w:pPr>
      <w:r>
        <w:rPr/>
        <w:t>Uncertainty and confidence details.</w:t>
      </w:r>
    </w:p>
    <w:p>
      <w:pPr>
        <w:pStyle w:val="BodyText"/>
        <w:spacing w:before="0" w:after="200"/>
        <w:rPr/>
      </w:pPr>
      <w:r>
        <w:rPr/>
        <w:t>Recommendations or decision-support flags.</w:t>
      </w:r>
    </w:p>
    <w:p>
      <w:pPr>
        <w:pStyle w:val="BodyText"/>
        <w:spacing w:before="0" w:after="200"/>
        <w:rPr/>
      </w:pPr>
      <w:r>
        <w:rPr/>
        <w:t>The output should preserve the distinction between the assessment itself and explanations generated from the assessment. A downstream system may generate natural-language explanations, visualizations, or domain reports, but those explanations should remain traceable to the structured assessment artifact.</w:t>
      </w:r>
    </w:p>
    <w:p>
      <w:pPr>
        <w:pStyle w:val="Heading3"/>
        <w:ind w:hanging="0" w:left="0"/>
        <w:rPr/>
      </w:pPr>
      <w:r>
        <w:rPr/>
        <w:t>Evidence References</w:t>
      </w:r>
    </w:p>
    <w:p>
      <w:pPr>
        <w:pStyle w:val="BodyText"/>
        <w:spacing w:before="0" w:after="200"/>
        <w:rPr/>
      </w:pPr>
      <w:r>
        <w:rPr/>
        <w:t>Assessment Output should include evidence references.</w:t>
      </w:r>
    </w:p>
    <w:p>
      <w:pPr>
        <w:pStyle w:val="BodyText"/>
        <w:spacing w:before="0" w:after="200"/>
        <w:rPr/>
      </w:pPr>
      <w:r>
        <w:rPr/>
        <w:t>Evidence references identify the evidence used to construct the assessment. They may include documents, observations, testimony, records, data sources, expert opinions, system logs, model outputs, prior assessments, sensor data, legal sources, medical records, institutional policies, or other relevant evidence.</w:t>
      </w:r>
    </w:p>
    <w:p>
      <w:pPr>
        <w:pStyle w:val="BodyText"/>
        <w:spacing w:before="0" w:after="200"/>
        <w:rPr/>
      </w:pPr>
      <w:r>
        <w:rPr/>
        <w:t>Evidence references should support traceability. A reviewer should be able to determine which claims depend on which evidence. This is especially important when the assessment supports high-stakes decisions, institutional accountability, autonomous action, legal reasoning, medical judgment, or AI governance.</w:t>
      </w:r>
    </w:p>
    <w:p>
      <w:pPr>
        <w:pStyle w:val="BodyText"/>
        <w:spacing w:before="0" w:after="200"/>
        <w:rPr/>
      </w:pPr>
      <w:r>
        <w:rPr/>
        <w:t>Evidence references should identify:</w:t>
      </w:r>
    </w:p>
    <w:p>
      <w:pPr>
        <w:pStyle w:val="BodyText"/>
        <w:spacing w:before="0" w:after="200"/>
        <w:rPr/>
      </w:pPr>
      <w:r>
        <w:rPr/>
        <w:t>Evidence source.</w:t>
      </w:r>
    </w:p>
    <w:p>
      <w:pPr>
        <w:pStyle w:val="BodyText"/>
        <w:spacing w:before="0" w:after="200"/>
        <w:rPr/>
      </w:pPr>
      <w:r>
        <w:rPr/>
        <w:t>Evidence type.</w:t>
      </w:r>
    </w:p>
    <w:p>
      <w:pPr>
        <w:pStyle w:val="BodyText"/>
        <w:spacing w:before="0" w:after="200"/>
        <w:rPr/>
      </w:pPr>
      <w:r>
        <w:rPr/>
        <w:t>Relevance to the assessment.</w:t>
      </w:r>
    </w:p>
    <w:p>
      <w:pPr>
        <w:pStyle w:val="BodyText"/>
        <w:spacing w:before="0" w:after="200"/>
        <w:rPr/>
      </w:pPr>
      <w:r>
        <w:rPr/>
        <w:t>Reliability or quality.</w:t>
      </w:r>
    </w:p>
    <w:p>
      <w:pPr>
        <w:pStyle w:val="BodyText"/>
        <w:spacing w:before="0" w:after="200"/>
        <w:rPr/>
      </w:pPr>
      <w:r>
        <w:rPr/>
        <w:t>Date or temporal relevance.</w:t>
      </w:r>
    </w:p>
    <w:p>
      <w:pPr>
        <w:pStyle w:val="BodyText"/>
        <w:spacing w:before="0" w:after="200"/>
        <w:rPr/>
      </w:pPr>
      <w:r>
        <w:rPr/>
        <w:t>Connection to specific assessment claims.</w:t>
      </w:r>
    </w:p>
    <w:p>
      <w:pPr>
        <w:pStyle w:val="BodyText"/>
        <w:spacing w:before="0" w:after="200"/>
        <w:rPr/>
      </w:pPr>
      <w:r>
        <w:rPr/>
        <w:t>Known limitations.</w:t>
      </w:r>
    </w:p>
    <w:p>
      <w:pPr>
        <w:pStyle w:val="BodyText"/>
        <w:spacing w:before="0" w:after="200"/>
        <w:rPr/>
      </w:pPr>
      <w:r>
        <w:rPr/>
        <w:t>Conflicts with other evidence.</w:t>
      </w:r>
    </w:p>
    <w:p>
      <w:pPr>
        <w:pStyle w:val="BodyText"/>
        <w:spacing w:before="0" w:after="200"/>
        <w:rPr/>
      </w:pPr>
      <w:r>
        <w:rPr/>
        <w:t>The output should distinguish direct evidence from inference, observation from prediction, and strong evidence from weak evidence.</w:t>
      </w:r>
    </w:p>
    <w:p>
      <w:pPr>
        <w:pStyle w:val="Heading3"/>
        <w:ind w:hanging="0" w:left="0"/>
        <w:rPr/>
      </w:pPr>
      <w:r>
        <w:rPr/>
        <w:t>Assumptions</w:t>
      </w:r>
    </w:p>
    <w:p>
      <w:pPr>
        <w:pStyle w:val="BodyText"/>
        <w:spacing w:before="0" w:after="200"/>
        <w:rPr/>
      </w:pPr>
      <w:r>
        <w:rPr/>
        <w:t>Assessment Output should identify material assumptions.</w:t>
      </w:r>
    </w:p>
    <w:p>
      <w:pPr>
        <w:pStyle w:val="BodyText"/>
        <w:spacing w:before="0" w:after="200"/>
        <w:rPr/>
      </w:pPr>
      <w:r>
        <w:rPr/>
        <w:t>An assumption is a claim, premise, model condition, contextual interpretation, boundary choice, causal expectation, entity classification, or relevance judgment that materially affects the assessment but is not fully established by evidence.</w:t>
      </w:r>
    </w:p>
    <w:p>
      <w:pPr>
        <w:pStyle w:val="BodyText"/>
        <w:spacing w:before="0" w:after="200"/>
        <w:rPr/>
      </w:pPr>
      <w:r>
        <w:rPr/>
        <w:t>Assumptions may concern:</w:t>
      </w:r>
    </w:p>
    <w:p>
      <w:pPr>
        <w:pStyle w:val="BodyText"/>
        <w:spacing w:before="0" w:after="200"/>
        <w:rPr/>
      </w:pPr>
      <w:r>
        <w:rPr/>
        <w:t>Assessment Boundary.</w:t>
      </w:r>
    </w:p>
    <w:p>
      <w:pPr>
        <w:pStyle w:val="BodyText"/>
        <w:spacing w:before="0" w:after="200"/>
        <w:rPr/>
      </w:pPr>
      <w:r>
        <w:rPr/>
        <w:t>Relevant entities.</w:t>
      </w:r>
    </w:p>
    <w:p>
      <w:pPr>
        <w:pStyle w:val="BodyText"/>
        <w:spacing w:before="0" w:after="200"/>
        <w:rPr/>
      </w:pPr>
      <w:r>
        <w:rPr/>
        <w:t>Entity classification.</w:t>
      </w:r>
    </w:p>
    <w:p>
      <w:pPr>
        <w:pStyle w:val="BodyText"/>
        <w:spacing w:before="0" w:after="200"/>
        <w:rPr/>
      </w:pPr>
      <w:r>
        <w:rPr/>
        <w:t>Available alternatives.</w:t>
      </w:r>
    </w:p>
    <w:p>
      <w:pPr>
        <w:pStyle w:val="BodyText"/>
        <w:spacing w:before="0" w:after="200"/>
        <w:rPr/>
      </w:pPr>
      <w:r>
        <w:rPr/>
        <w:t>Causal pathways.</w:t>
      </w:r>
    </w:p>
    <w:p>
      <w:pPr>
        <w:pStyle w:val="BodyText"/>
        <w:spacing w:before="0" w:after="200"/>
        <w:rPr/>
      </w:pPr>
      <w:r>
        <w:rPr/>
        <w:t>Probability estimates.</w:t>
      </w:r>
    </w:p>
    <w:p>
      <w:pPr>
        <w:pStyle w:val="BodyText"/>
        <w:spacing w:before="0" w:after="200"/>
        <w:rPr/>
      </w:pPr>
      <w:r>
        <w:rPr/>
        <w:t>Policy update behavior.</w:t>
      </w:r>
    </w:p>
    <w:p>
      <w:pPr>
        <w:pStyle w:val="BodyText"/>
        <w:spacing w:before="0" w:after="200"/>
        <w:rPr/>
      </w:pPr>
      <w:r>
        <w:rPr/>
        <w:t>Institutional response.</w:t>
      </w:r>
    </w:p>
    <w:p>
      <w:pPr>
        <w:pStyle w:val="BodyText"/>
        <w:spacing w:before="0" w:after="200"/>
        <w:rPr/>
      </w:pPr>
      <w:r>
        <w:rPr/>
        <w:t>Long-Term Flourishing dimensions.</w:t>
      </w:r>
    </w:p>
    <w:p>
      <w:pPr>
        <w:pStyle w:val="BodyText"/>
        <w:spacing w:before="0" w:after="200"/>
        <w:rPr/>
      </w:pPr>
      <w:r>
        <w:rPr/>
        <w:t>Future state-space effects.</w:t>
      </w:r>
    </w:p>
    <w:p>
      <w:pPr>
        <w:pStyle w:val="BodyText"/>
        <w:spacing w:before="0" w:after="200"/>
        <w:rPr/>
      </w:pPr>
      <w:r>
        <w:rPr/>
        <w:t>Horizon definitions.</w:t>
      </w:r>
    </w:p>
    <w:p>
      <w:pPr>
        <w:pStyle w:val="BodyText"/>
        <w:spacing w:before="0" w:after="200"/>
        <w:rPr/>
      </w:pPr>
      <w:r>
        <w:rPr/>
        <w:t>Materiality thresholds.</w:t>
      </w:r>
    </w:p>
    <w:p>
      <w:pPr>
        <w:pStyle w:val="BodyText"/>
        <w:spacing w:before="0" w:after="200"/>
        <w:rPr/>
      </w:pPr>
      <w:r>
        <w:rPr/>
        <w:t>Authority or legitimacy conditions.</w:t>
      </w:r>
    </w:p>
    <w:p>
      <w:pPr>
        <w:pStyle w:val="BodyText"/>
        <w:spacing w:before="0" w:after="200"/>
        <w:rPr/>
      </w:pPr>
      <w:r>
        <w:rPr/>
        <w:t>Assumptions should be explicit because hidden assumptions can make an assessment appear more objective than it is. Explicit assumptions allow later review, disagreement, revision, and comparison.</w:t>
      </w:r>
    </w:p>
    <w:p>
      <w:pPr>
        <w:pStyle w:val="BodyText"/>
        <w:spacing w:before="0" w:after="200"/>
        <w:rPr/>
      </w:pPr>
      <w:r>
        <w:rPr/>
        <w:t>The output should also indicate whether an assumption is strong, weak, contested, domain-standard, provisional, or implementation-specific.</w:t>
      </w:r>
    </w:p>
    <w:p>
      <w:pPr>
        <w:pStyle w:val="Heading3"/>
        <w:ind w:hanging="0" w:left="0"/>
        <w:rPr/>
      </w:pPr>
      <w:r>
        <w:rPr/>
        <w:t>Intermediate Results</w:t>
      </w:r>
    </w:p>
    <w:p>
      <w:pPr>
        <w:pStyle w:val="BodyText"/>
        <w:spacing w:before="0" w:after="200"/>
        <w:rPr/>
      </w:pPr>
      <w:r>
        <w:rPr/>
        <w:t>Assessment Output should preserve intermediate results.</w:t>
      </w:r>
    </w:p>
    <w:p>
      <w:pPr>
        <w:pStyle w:val="BodyText"/>
        <w:spacing w:before="0" w:after="200"/>
        <w:rPr/>
      </w:pPr>
      <w:r>
        <w:rPr/>
        <w:t>Intermediate results are the structured conclusions produced during the assessment workflow before the final Assessment Result. They allow reviewers to trace how the final result emerged from the methodology.</w:t>
      </w:r>
    </w:p>
    <w:p>
      <w:pPr>
        <w:pStyle w:val="BodyText"/>
        <w:spacing w:before="0" w:after="200"/>
        <w:rPr/>
      </w:pPr>
      <w:r>
        <w:rPr/>
        <w:t>Intermediate results may include:</w:t>
      </w:r>
    </w:p>
    <w:p>
      <w:pPr>
        <w:pStyle w:val="BodyText"/>
        <w:spacing w:before="0" w:after="200"/>
        <w:rPr/>
      </w:pPr>
      <w:r>
        <w:rPr/>
        <w:t>Context selection results.</w:t>
      </w:r>
    </w:p>
    <w:p>
      <w:pPr>
        <w:pStyle w:val="BodyText"/>
        <w:spacing w:before="0" w:after="200"/>
        <w:rPr/>
      </w:pPr>
      <w:r>
        <w:rPr/>
        <w:t>Assessment Boundary determination.</w:t>
      </w:r>
    </w:p>
    <w:p>
      <w:pPr>
        <w:pStyle w:val="BodyText"/>
        <w:spacing w:before="0" w:after="200"/>
        <w:rPr/>
      </w:pPr>
      <w:r>
        <w:rPr/>
        <w:t>Relevant Objects and Associations.</w:t>
      </w:r>
    </w:p>
    <w:p>
      <w:pPr>
        <w:pStyle w:val="BodyText"/>
        <w:spacing w:before="0" w:after="200"/>
        <w:rPr/>
      </w:pPr>
      <w:r>
        <w:rPr/>
        <w:t>Flourishing Entity identification.</w:t>
      </w:r>
    </w:p>
    <w:p>
      <w:pPr>
        <w:pStyle w:val="BodyText"/>
        <w:spacing w:before="0" w:after="200"/>
        <w:rPr/>
      </w:pPr>
      <w:r>
        <w:rPr/>
        <w:t>Moral Agent identification.</w:t>
      </w:r>
    </w:p>
    <w:p>
      <w:pPr>
        <w:pStyle w:val="BodyText"/>
        <w:spacing w:before="0" w:after="200"/>
        <w:rPr/>
      </w:pPr>
      <w:r>
        <w:rPr/>
        <w:t>Actor and role assignments.</w:t>
      </w:r>
    </w:p>
    <w:p>
      <w:pPr>
        <w:pStyle w:val="BodyText"/>
        <w:spacing w:before="0" w:after="200"/>
        <w:rPr/>
      </w:pPr>
      <w:r>
        <w:rPr/>
        <w:t>Objective identification.</w:t>
      </w:r>
    </w:p>
    <w:p>
      <w:pPr>
        <w:pStyle w:val="BodyText"/>
        <w:spacing w:before="0" w:after="200"/>
        <w:rPr/>
      </w:pPr>
      <w:r>
        <w:rPr/>
        <w:t>Available alternatives.</w:t>
      </w:r>
    </w:p>
    <w:p>
      <w:pPr>
        <w:pStyle w:val="BodyText"/>
        <w:spacing w:before="0" w:after="200"/>
        <w:rPr/>
      </w:pPr>
      <w:r>
        <w:rPr/>
        <w:t>State variable selection.</w:t>
      </w:r>
    </w:p>
    <w:p>
      <w:pPr>
        <w:pStyle w:val="BodyText"/>
        <w:spacing w:before="0" w:after="200"/>
        <w:rPr/>
      </w:pPr>
      <w:r>
        <w:rPr/>
        <w:t>Baseline state representation.</w:t>
      </w:r>
    </w:p>
    <w:p>
      <w:pPr>
        <w:pStyle w:val="BodyText"/>
        <w:spacing w:before="0" w:after="200"/>
        <w:rPr/>
      </w:pPr>
      <w:r>
        <w:rPr/>
        <w:t>Predicted State Transition.</w:t>
      </w:r>
    </w:p>
    <w:p>
      <w:pPr>
        <w:pStyle w:val="BodyText"/>
        <w:spacing w:before="0" w:after="200"/>
        <w:rPr/>
      </w:pPr>
      <w:r>
        <w:rPr/>
        <w:t>Flourishing Transitions.</w:t>
      </w:r>
    </w:p>
    <w:p>
      <w:pPr>
        <w:pStyle w:val="BodyText"/>
        <w:spacing w:before="0" w:after="200"/>
        <w:rPr/>
      </w:pPr>
      <w:r>
        <w:rPr/>
        <w:t>Aggregate Flourishing estimates.</w:t>
      </w:r>
    </w:p>
    <w:p>
      <w:pPr>
        <w:pStyle w:val="BodyText"/>
        <w:spacing w:before="0" w:after="200"/>
        <w:rPr/>
      </w:pPr>
      <w:r>
        <w:rPr/>
        <w:t>Distributed Policy Updates.</w:t>
      </w:r>
    </w:p>
    <w:p>
      <w:pPr>
        <w:pStyle w:val="BodyText"/>
        <w:spacing w:before="0" w:after="200"/>
        <w:rPr/>
      </w:pPr>
      <w:r>
        <w:rPr/>
        <w:t>Probability estimates.</w:t>
      </w:r>
    </w:p>
    <w:p>
      <w:pPr>
        <w:pStyle w:val="BodyText"/>
        <w:spacing w:before="0" w:after="200"/>
        <w:rPr/>
      </w:pPr>
      <w:r>
        <w:rPr/>
        <w:t>Confidence estimates.</w:t>
      </w:r>
    </w:p>
    <w:p>
      <w:pPr>
        <w:pStyle w:val="BodyText"/>
        <w:spacing w:before="0" w:after="200"/>
        <w:rPr/>
      </w:pPr>
      <w:r>
        <w:rPr/>
        <w:t>Horizon-specific findings.</w:t>
      </w:r>
    </w:p>
    <w:p>
      <w:pPr>
        <w:pStyle w:val="BodyText"/>
        <w:spacing w:before="0" w:after="200"/>
        <w:rPr/>
      </w:pPr>
      <w:r>
        <w:rPr/>
        <w:t>World Context Transition construction.</w:t>
      </w:r>
    </w:p>
    <w:p>
      <w:pPr>
        <w:pStyle w:val="BodyText"/>
        <w:spacing w:before="0" w:after="200"/>
        <w:rPr/>
      </w:pPr>
      <w:r>
        <w:rPr/>
        <w:t>Intermediate results are important because they make the assessment auditable. If a final conclusion appears wrong, reviewers can identify whether the error arose from evidence, context selection, state representation, prediction, aggregation, policy-update estimation, or final evaluation.</w:t>
      </w:r>
    </w:p>
    <w:p>
      <w:pPr>
        <w:pStyle w:val="Heading3"/>
        <w:ind w:hanging="0" w:left="0"/>
        <w:rPr/>
      </w:pPr>
      <w:r>
        <w:rPr/>
        <w:t>World Context Transition Summary</w:t>
      </w:r>
    </w:p>
    <w:p>
      <w:pPr>
        <w:pStyle w:val="BodyText"/>
        <w:spacing w:before="0" w:after="200"/>
        <w:rPr/>
      </w:pPr>
      <w:r>
        <w:rPr/>
        <w:t>The Assessment Output should include a World Context Transition summary.</w:t>
      </w:r>
    </w:p>
    <w:p>
      <w:pPr>
        <w:pStyle w:val="BodyText"/>
        <w:spacing w:before="0" w:after="200"/>
        <w:rPr/>
      </w:pPr>
      <w:r>
        <w:rPr/>
        <w:t>This summary describes the transition from World Context₀ to World Context₁. It should identify the major state changes caused, predicted, or made more probable by the Assessed Action.</w:t>
      </w:r>
    </w:p>
    <w:p>
      <w:pPr>
        <w:pStyle w:val="BodyText"/>
        <w:spacing w:before="0" w:after="200"/>
        <w:rPr/>
      </w:pPr>
      <w:r>
        <w:rPr/>
        <w:t>The World Context Transition summary should include changes to:</w:t>
      </w:r>
    </w:p>
    <w:p>
      <w:pPr>
        <w:pStyle w:val="BodyText"/>
        <w:spacing w:before="0" w:after="200"/>
        <w:rPr/>
      </w:pPr>
      <w:r>
        <w:rPr/>
        <w:t>Entities.</w:t>
      </w:r>
    </w:p>
    <w:p>
      <w:pPr>
        <w:pStyle w:val="BodyText"/>
        <w:spacing w:before="0" w:after="200"/>
        <w:rPr/>
      </w:pPr>
      <w:r>
        <w:rPr/>
        <w:t>Associations.</w:t>
      </w:r>
    </w:p>
    <w:p>
      <w:pPr>
        <w:pStyle w:val="BodyText"/>
        <w:spacing w:before="0" w:after="200"/>
        <w:rPr/>
      </w:pPr>
      <w:r>
        <w:rPr/>
        <w:t>Long-Term Flourishing.</w:t>
      </w:r>
    </w:p>
    <w:p>
      <w:pPr>
        <w:pStyle w:val="BodyText"/>
        <w:spacing w:before="0" w:after="200"/>
        <w:rPr/>
      </w:pPr>
      <w:r>
        <w:rPr/>
        <w:t>Policy states.</w:t>
      </w:r>
    </w:p>
    <w:p>
      <w:pPr>
        <w:pStyle w:val="BodyText"/>
        <w:spacing w:before="0" w:after="200"/>
        <w:rPr/>
      </w:pPr>
      <w:r>
        <w:rPr/>
        <w:t>Institutions.</w:t>
      </w:r>
    </w:p>
    <w:p>
      <w:pPr>
        <w:pStyle w:val="BodyText"/>
        <w:spacing w:before="0" w:after="200"/>
        <w:rPr/>
      </w:pPr>
      <w:r>
        <w:rPr/>
        <w:t>Information and evidence states.</w:t>
      </w:r>
    </w:p>
    <w:p>
      <w:pPr>
        <w:pStyle w:val="BodyText"/>
        <w:spacing w:before="0" w:after="200"/>
        <w:rPr/>
      </w:pPr>
      <w:r>
        <w:rPr/>
        <w:t>Constraints.</w:t>
      </w:r>
    </w:p>
    <w:p>
      <w:pPr>
        <w:pStyle w:val="BodyText"/>
        <w:spacing w:before="0" w:after="200"/>
        <w:rPr/>
      </w:pPr>
      <w:r>
        <w:rPr/>
        <w:t>Authority and legitimacy conditions.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Assessment horizons.</w:t>
      </w:r>
    </w:p>
    <w:p>
      <w:pPr>
        <w:pStyle w:val="BodyText"/>
        <w:spacing w:before="0" w:after="200"/>
        <w:rPr/>
      </w:pPr>
      <w:r>
        <w:rPr/>
        <w:t>Uncertainty and confidence.</w:t>
      </w:r>
    </w:p>
    <w:p>
      <w:pPr>
        <w:pStyle w:val="BodyText"/>
        <w:spacing w:before="0" w:after="200"/>
        <w:rPr/>
      </w:pPr>
      <w:r>
        <w:rPr/>
        <w:t>The summary should make clear that the World Context Transition is the principal object of moral assessment. It should not be replaced by aggregate flourishing, operational success, legal compliance, intention, or a single consequence.</w:t>
      </w:r>
    </w:p>
    <w:p>
      <w:pPr>
        <w:pStyle w:val="Heading3"/>
        <w:ind w:hanging="0" w:left="0"/>
        <w:rPr/>
      </w:pPr>
      <w:r>
        <w:rPr/>
        <w:t>Affected Entities</w:t>
      </w:r>
    </w:p>
    <w:p>
      <w:pPr>
        <w:pStyle w:val="BodyText"/>
        <w:spacing w:before="0" w:after="200"/>
        <w:rPr/>
      </w:pPr>
      <w:r>
        <w:rPr/>
        <w:t>Assessment Output should identify affected entities.</w:t>
      </w:r>
    </w:p>
    <w:p>
      <w:pPr>
        <w:pStyle w:val="BodyText"/>
        <w:spacing w:before="0" w:after="200"/>
        <w:rPr/>
      </w:pPr>
      <w:r>
        <w:rPr/>
        <w:t>Affected entities include Objects, Flourishing Entities, Moral Agents, institutions, ecosystems, organizations, future entities, artificial systems, and other relevant entities whose states, relationships, opportunities, constraints, policy states, or Long-Term Flourishing may be changed by the Assessed Action.</w:t>
      </w:r>
    </w:p>
    <w:p>
      <w:pPr>
        <w:pStyle w:val="BodyText"/>
        <w:spacing w:before="0" w:after="200"/>
        <w:rPr/>
      </w:pPr>
      <w:r>
        <w:rPr/>
        <w:t>The output should distinguish:</w:t>
      </w:r>
    </w:p>
    <w:p>
      <w:pPr>
        <w:pStyle w:val="BodyText"/>
        <w:spacing w:before="0" w:after="200"/>
        <w:rPr/>
      </w:pPr>
      <w:r>
        <w:rPr/>
        <w:t>Directly affected entities.</w:t>
      </w:r>
    </w:p>
    <w:p>
      <w:pPr>
        <w:pStyle w:val="BodyText"/>
        <w:spacing w:before="0" w:after="200"/>
        <w:rPr/>
      </w:pPr>
      <w:r>
        <w:rPr/>
        <w:t>Indirectly affected entities.</w:t>
      </w:r>
    </w:p>
    <w:p>
      <w:pPr>
        <w:pStyle w:val="BodyText"/>
        <w:spacing w:before="0" w:after="200"/>
        <w:rPr/>
      </w:pPr>
      <w:r>
        <w:rPr/>
        <w:t>Affected Flourishing Entities.</w:t>
      </w:r>
    </w:p>
    <w:p>
      <w:pPr>
        <w:pStyle w:val="BodyText"/>
        <w:spacing w:before="0" w:after="200"/>
        <w:rPr/>
      </w:pPr>
      <w:r>
        <w:rPr/>
        <w:t>Affected Moral Agents.</w:t>
      </w:r>
    </w:p>
    <w:p>
      <w:pPr>
        <w:pStyle w:val="BodyText"/>
        <w:spacing w:before="0" w:after="200"/>
        <w:rPr/>
      </w:pPr>
      <w:r>
        <w:rPr/>
        <w:t>The Actor, when the Actor is also affected.</w:t>
      </w:r>
    </w:p>
    <w:p>
      <w:pPr>
        <w:pStyle w:val="BodyText"/>
        <w:spacing w:before="0" w:after="200"/>
        <w:rPr/>
      </w:pPr>
      <w:r>
        <w:rPr/>
        <w:t>Observers.</w:t>
      </w:r>
    </w:p>
    <w:p>
      <w:pPr>
        <w:pStyle w:val="BodyText"/>
        <w:spacing w:before="0" w:after="200"/>
        <w:rPr/>
      </w:pPr>
      <w:r>
        <w:rPr/>
        <w:t>Responders.</w:t>
      </w:r>
    </w:p>
    <w:p>
      <w:pPr>
        <w:pStyle w:val="BodyText"/>
        <w:spacing w:before="0" w:after="200"/>
        <w:rPr/>
      </w:pPr>
      <w:r>
        <w:rPr/>
        <w:t>Collaborators.</w:t>
      </w:r>
    </w:p>
    <w:p>
      <w:pPr>
        <w:pStyle w:val="BodyText"/>
        <w:spacing w:before="0" w:after="200"/>
        <w:rPr/>
      </w:pPr>
      <w:r>
        <w:rPr/>
        <w:t>Institutional participants.</w:t>
      </w:r>
    </w:p>
    <w:p>
      <w:pPr>
        <w:pStyle w:val="BodyText"/>
        <w:spacing w:before="0" w:after="200"/>
        <w:rPr/>
      </w:pPr>
      <w:r>
        <w:rPr/>
        <w:t>Future entities.</w:t>
      </w:r>
    </w:p>
    <w:p>
      <w:pPr>
        <w:pStyle w:val="BodyText"/>
        <w:spacing w:before="0" w:after="200"/>
        <w:rPr/>
      </w:pPr>
      <w:r>
        <w:rPr/>
        <w:t>Entities whose affected status is uncertain.</w:t>
      </w:r>
    </w:p>
    <w:p>
      <w:pPr>
        <w:pStyle w:val="BodyText"/>
        <w:spacing w:before="0" w:after="200"/>
        <w:rPr/>
      </w:pPr>
      <w:r>
        <w:rPr/>
        <w:t>For each affected entity, the output should identify the nature of the effect, the relevant Assessment Horizons, the confidence level, and whether the effect may constitute material diminishment.</w:t>
      </w:r>
    </w:p>
    <w:p>
      <w:pPr>
        <w:pStyle w:val="Heading3"/>
        <w:ind w:hanging="0" w:left="0"/>
        <w:rPr/>
      </w:pPr>
      <w:r>
        <w:rPr/>
        <w:t>Affected Associations</w:t>
      </w:r>
    </w:p>
    <w:p>
      <w:pPr>
        <w:pStyle w:val="BodyText"/>
        <w:spacing w:before="0" w:after="200"/>
        <w:rPr/>
      </w:pPr>
      <w:r>
        <w:rPr/>
        <w:t>Assessment Output should identify affected Associations when relationship changes are material.</w:t>
      </w:r>
    </w:p>
    <w:p>
      <w:pPr>
        <w:pStyle w:val="BodyText"/>
        <w:spacing w:before="0" w:after="200"/>
        <w:rPr/>
      </w:pPr>
      <w:r>
        <w:rPr/>
        <w:t>Associations may include trust, obligation, consent, dependency, care, stewardship, authority, legitimacy, ownership, contract, institutional membership, responsibility, cooperation, or conflict.</w:t>
      </w:r>
    </w:p>
    <w:p>
      <w:pPr>
        <w:pStyle w:val="BodyText"/>
        <w:spacing w:before="0" w:after="200"/>
        <w:rPr/>
      </w:pPr>
      <w:r>
        <w:rPr/>
        <w:t>The output should identify:</w:t>
      </w:r>
    </w:p>
    <w:p>
      <w:pPr>
        <w:pStyle w:val="BodyText"/>
        <w:spacing w:before="0" w:after="200"/>
        <w:rPr/>
      </w:pPr>
      <w:r>
        <w:rPr/>
        <w:t>Which Associations are affected.</w:t>
      </w:r>
    </w:p>
    <w:p>
      <w:pPr>
        <w:pStyle w:val="BodyText"/>
        <w:spacing w:before="0" w:after="200"/>
        <w:rPr/>
      </w:pPr>
      <w:r>
        <w:rPr/>
        <w:t>Which entities participate in the Association.</w:t>
      </w:r>
    </w:p>
    <w:p>
      <w:pPr>
        <w:pStyle w:val="BodyText"/>
        <w:spacing w:before="0" w:after="200"/>
        <w:rPr/>
      </w:pPr>
      <w:r>
        <w:rPr/>
        <w:t>The baseline relationship state.</w:t>
      </w:r>
    </w:p>
    <w:p>
      <w:pPr>
        <w:pStyle w:val="BodyText"/>
        <w:spacing w:before="0" w:after="200"/>
        <w:rPr/>
      </w:pPr>
      <w:r>
        <w:rPr/>
        <w:t>The resulting relationship state.</w:t>
      </w:r>
    </w:p>
    <w:p>
      <w:pPr>
        <w:pStyle w:val="BodyText"/>
        <w:spacing w:before="0" w:after="200"/>
        <w:rPr/>
      </w:pPr>
      <w:r>
        <w:rPr/>
        <w:t>The direction and magnitude of change.</w:t>
      </w:r>
    </w:p>
    <w:p>
      <w:pPr>
        <w:pStyle w:val="BodyText"/>
        <w:spacing w:before="0" w:after="200"/>
        <w:rPr/>
      </w:pPr>
      <w:r>
        <w:rPr/>
        <w:t>The Assessment Horizon over which the change occurs.</w:t>
      </w:r>
    </w:p>
    <w:p>
      <w:pPr>
        <w:pStyle w:val="BodyText"/>
        <w:spacing w:before="0" w:after="200"/>
        <w:rPr/>
      </w:pPr>
      <w:r>
        <w:rPr/>
        <w:t>The evidence and confidence supporting the estimate.</w:t>
      </w:r>
    </w:p>
    <w:p>
      <w:pPr>
        <w:pStyle w:val="BodyText"/>
        <w:spacing w:before="0" w:after="200"/>
        <w:rPr/>
      </w:pPr>
      <w:r>
        <w:rPr/>
        <w:t>Relationship changes should be included because moral significance often emerges through Associations rather than through isolated entity states.</w:t>
      </w:r>
    </w:p>
    <w:p>
      <w:pPr>
        <w:pStyle w:val="Heading3"/>
        <w:ind w:hanging="0" w:left="0"/>
        <w:rPr/>
      </w:pPr>
      <w:r>
        <w:rPr/>
        <w:t>Flourishing Transition Summary</w:t>
      </w:r>
    </w:p>
    <w:p>
      <w:pPr>
        <w:pStyle w:val="BodyText"/>
        <w:spacing w:before="0" w:after="200"/>
        <w:rPr/>
      </w:pPr>
      <w:r>
        <w:rPr/>
        <w:t>Assessment Output should include a summary of Flourishing Transitions.</w:t>
      </w:r>
    </w:p>
    <w:p>
      <w:pPr>
        <w:pStyle w:val="BodyText"/>
        <w:spacing w:before="0" w:after="200"/>
        <w:rPr/>
      </w:pPr>
      <w:r>
        <w:rPr/>
        <w:t>For each relevant Flourishing Entity, the output should summarize the estimated change in Long-Term Flourishing across relevant dimensions and Assessment Horizons. This should include direction, magnitude, materiality, uncertainty, and confidence.</w:t>
      </w:r>
    </w:p>
    <w:p>
      <w:pPr>
        <w:pStyle w:val="BodyText"/>
        <w:spacing w:before="0" w:after="200"/>
        <w:rPr/>
      </w:pPr>
      <w:r>
        <w:rPr/>
        <w:t>The summary should identify:</w:t>
      </w:r>
    </w:p>
    <w:p>
      <w:pPr>
        <w:pStyle w:val="BodyText"/>
        <w:spacing w:before="0" w:after="200"/>
        <w:rPr/>
      </w:pPr>
      <w:r>
        <w:rPr/>
        <w:t>Entities whose flourishing increases.</w:t>
      </w:r>
    </w:p>
    <w:p>
      <w:pPr>
        <w:pStyle w:val="BodyText"/>
        <w:spacing w:before="0" w:after="200"/>
        <w:rPr/>
      </w:pPr>
      <w:r>
        <w:rPr/>
        <w:t>Entities whose flourishing decreases.</w:t>
      </w:r>
    </w:p>
    <w:p>
      <w:pPr>
        <w:pStyle w:val="BodyText"/>
        <w:spacing w:before="0" w:after="200"/>
        <w:rPr/>
      </w:pPr>
      <w:r>
        <w:rPr/>
        <w:t>Entities whose flourishing is preserved.</w:t>
      </w:r>
    </w:p>
    <w:p>
      <w:pPr>
        <w:pStyle w:val="BodyText"/>
        <w:spacing w:before="0" w:after="200"/>
        <w:rPr/>
      </w:pPr>
      <w:r>
        <w:rPr/>
        <w:t>Entities whose flourishing is threatened.</w:t>
      </w:r>
    </w:p>
    <w:p>
      <w:pPr>
        <w:pStyle w:val="BodyText"/>
        <w:spacing w:before="0" w:after="200"/>
        <w:rPr/>
      </w:pPr>
      <w:r>
        <w:rPr/>
        <w:t>Entities with mixed flourishing transitions.</w:t>
      </w:r>
    </w:p>
    <w:p>
      <w:pPr>
        <w:pStyle w:val="BodyText"/>
        <w:spacing w:before="0" w:after="200"/>
        <w:rPr/>
      </w:pPr>
      <w:r>
        <w:rPr/>
        <w:t>Entities with uncertain flourishing transitions.</w:t>
      </w:r>
    </w:p>
    <w:p>
      <w:pPr>
        <w:pStyle w:val="BodyText"/>
        <w:spacing w:before="0" w:after="200"/>
        <w:rPr/>
      </w:pPr>
      <w:r>
        <w:rPr/>
        <w:t>Any material diminishment.</w:t>
      </w:r>
    </w:p>
    <w:p>
      <w:pPr>
        <w:pStyle w:val="BodyText"/>
        <w:spacing w:before="0" w:after="200"/>
        <w:rPr/>
      </w:pPr>
      <w:r>
        <w:rPr/>
        <w:t>Any horizon-specific reversals.</w:t>
      </w:r>
    </w:p>
    <w:p>
      <w:pPr>
        <w:pStyle w:val="BodyText"/>
        <w:spacing w:before="0" w:after="200"/>
        <w:rPr/>
      </w:pPr>
      <w:r>
        <w:rPr/>
        <w:t>Any severe low-probability harms.</w:t>
      </w:r>
    </w:p>
    <w:p>
      <w:pPr>
        <w:pStyle w:val="BodyText"/>
        <w:spacing w:before="0" w:after="200"/>
        <w:rPr/>
      </w:pPr>
      <w:r>
        <w:rPr/>
        <w:t>This section should preserve entity-specific and horizon-specific structure. It should not reduce all flourishing changes to a single aggregate value.</w:t>
      </w:r>
    </w:p>
    <w:p>
      <w:pPr>
        <w:pStyle w:val="Heading3"/>
        <w:ind w:hanging="0" w:left="0"/>
        <w:rPr/>
      </w:pPr>
      <w:r>
        <w:rPr/>
        <w:t>Aggregate Flourishing Summary</w:t>
      </w:r>
    </w:p>
    <w:p>
      <w:pPr>
        <w:pStyle w:val="BodyText"/>
        <w:spacing w:before="0" w:after="200"/>
        <w:rPr/>
      </w:pPr>
      <w:r>
        <w:rPr/>
        <w:t>When Aggregate Flourishing is estimated, Assessment Output should include it as an informative summary.</w:t>
      </w:r>
    </w:p>
    <w:p>
      <w:pPr>
        <w:pStyle w:val="BodyText"/>
        <w:spacing w:before="0" w:after="200"/>
        <w:rPr/>
      </w:pPr>
      <w:r>
        <w:rPr/>
        <w:t>The output should state clearly that Aggregate Flourishing is not the moral assessment itself. It helps estimate scale, distribution, and direction of flourishing impact, but it cannot replace the World Context Transition.</w:t>
      </w:r>
    </w:p>
    <w:p>
      <w:pPr>
        <w:pStyle w:val="BodyText"/>
        <w:spacing w:before="0" w:after="200"/>
        <w:rPr/>
      </w:pPr>
      <w:r>
        <w:rPr/>
        <w:t>The Aggregate Flourishing summary may include:</w:t>
      </w:r>
    </w:p>
    <w:p>
      <w:pPr>
        <w:pStyle w:val="BodyText"/>
        <w:spacing w:before="0" w:after="200"/>
        <w:rPr/>
      </w:pPr>
      <w:r>
        <w:rPr/>
        <w:t>Aggregate direction of flourishing change.</w:t>
      </w:r>
    </w:p>
    <w:p>
      <w:pPr>
        <w:pStyle w:val="BodyText"/>
        <w:spacing w:before="0" w:after="200"/>
        <w:rPr/>
      </w:pPr>
      <w:r>
        <w:rPr/>
        <w:t>Distribution of benefits and harms.</w:t>
      </w:r>
    </w:p>
    <w:p>
      <w:pPr>
        <w:pStyle w:val="BodyText"/>
        <w:spacing w:before="0" w:after="200"/>
        <w:rPr/>
      </w:pPr>
      <w:r>
        <w:rPr/>
        <w:t>Horizon-specific aggregate effects.</w:t>
      </w:r>
    </w:p>
    <w:p>
      <w:pPr>
        <w:pStyle w:val="BodyText"/>
        <w:spacing w:before="0" w:after="200"/>
        <w:rPr/>
      </w:pPr>
      <w:r>
        <w:rPr/>
        <w:t>Dimension-specific aggregate effects.</w:t>
      </w:r>
    </w:p>
    <w:p>
      <w:pPr>
        <w:pStyle w:val="BodyText"/>
        <w:spacing w:before="0" w:after="200"/>
        <w:rPr/>
      </w:pPr>
      <w:r>
        <w:rPr/>
        <w:t>Entity-class-specific aggregate effects.</w:t>
      </w:r>
    </w:p>
    <w:p>
      <w:pPr>
        <w:pStyle w:val="BodyText"/>
        <w:spacing w:before="0" w:after="200"/>
        <w:rPr/>
      </w:pPr>
      <w:r>
        <w:rPr/>
        <w:t>Confidence in the aggregate estimate.</w:t>
      </w:r>
    </w:p>
    <w:p>
      <w:pPr>
        <w:pStyle w:val="BodyText"/>
        <w:spacing w:before="0" w:after="200"/>
        <w:rPr/>
      </w:pPr>
      <w:r>
        <w:rPr/>
        <w:t>Material diminishment flags.</w:t>
      </w:r>
    </w:p>
    <w:p>
      <w:pPr>
        <w:pStyle w:val="BodyText"/>
        <w:spacing w:before="0" w:after="200"/>
        <w:rPr/>
      </w:pPr>
      <w:r>
        <w:rPr/>
        <w:t>Major uncertainty sources.</w:t>
      </w:r>
    </w:p>
    <w:p>
      <w:pPr>
        <w:pStyle w:val="BodyText"/>
        <w:spacing w:before="0" w:after="200"/>
        <w:rPr/>
      </w:pPr>
      <w:r>
        <w:rPr/>
        <w:t>The output should preserve the underlying entity-specific Flourishing Transitions so the aggregate estimate remains inspectable.</w:t>
      </w:r>
    </w:p>
    <w:p>
      <w:pPr>
        <w:pStyle w:val="Heading3"/>
        <w:ind w:hanging="0" w:left="0"/>
        <w:rPr/>
      </w:pPr>
      <w:r>
        <w:rPr/>
        <w:t>Policy Updates</w:t>
      </w:r>
    </w:p>
    <w:p>
      <w:pPr>
        <w:pStyle w:val="BodyText"/>
        <w:spacing w:before="0" w:after="200"/>
        <w:rPr/>
      </w:pPr>
      <w:r>
        <w:rPr/>
        <w:t>Assessment Output should include relevant Policy Updates.</w:t>
      </w:r>
    </w:p>
    <w:p>
      <w:pPr>
        <w:pStyle w:val="BodyText"/>
        <w:spacing w:before="0" w:after="200"/>
        <w:rPr/>
      </w:pPr>
      <w:r>
        <w:rPr/>
        <w:t>Policy Updates describe changes to future decision policies of the Actor, affected entities, observers, responders, collaborators, institutions, artificial systems, and other relevant Moral Agents.</w:t>
      </w:r>
    </w:p>
    <w:p>
      <w:pPr>
        <w:pStyle w:val="BodyText"/>
        <w:spacing w:before="0" w:after="200"/>
        <w:rPr/>
      </w:pPr>
      <w:r>
        <w:rPr/>
        <w:t>The output should distinguish:</w:t>
      </w:r>
    </w:p>
    <w:p>
      <w:pPr>
        <w:pStyle w:val="BodyText"/>
        <w:spacing w:before="0" w:after="200"/>
        <w:rPr/>
      </w:pPr>
      <w:r>
        <w:rPr/>
        <w:t>Actor Policy Updates.</w:t>
      </w:r>
    </w:p>
    <w:p>
      <w:pPr>
        <w:pStyle w:val="BodyText"/>
        <w:spacing w:before="0" w:after="200"/>
        <w:rPr/>
      </w:pPr>
      <w:r>
        <w:rPr/>
        <w:t>Observer Policy Updates.</w:t>
      </w:r>
    </w:p>
    <w:p>
      <w:pPr>
        <w:pStyle w:val="BodyText"/>
        <w:spacing w:before="0" w:after="200"/>
        <w:rPr/>
      </w:pPr>
      <w:r>
        <w:rPr/>
        <w:t>Affected-Entity Policy Updates.</w:t>
      </w:r>
    </w:p>
    <w:p>
      <w:pPr>
        <w:pStyle w:val="BodyText"/>
        <w:spacing w:before="0" w:after="200"/>
        <w:rPr/>
      </w:pPr>
      <w:r>
        <w:rPr/>
        <w:t>Responder Policy Updates.</w:t>
      </w:r>
    </w:p>
    <w:p>
      <w:pPr>
        <w:pStyle w:val="BodyText"/>
        <w:spacing w:before="0" w:after="200"/>
        <w:rPr/>
      </w:pPr>
      <w:r>
        <w:rPr/>
        <w:t>Collaborator Policy Updates.</w:t>
      </w:r>
    </w:p>
    <w:p>
      <w:pPr>
        <w:pStyle w:val="BodyText"/>
        <w:spacing w:before="0" w:after="200"/>
        <w:rPr/>
      </w:pPr>
      <w:r>
        <w:rPr/>
        <w:t>Institutional Policy Updates.</w:t>
      </w:r>
    </w:p>
    <w:p>
      <w:pPr>
        <w:pStyle w:val="BodyText"/>
        <w:spacing w:before="0" w:after="200"/>
        <w:rPr/>
      </w:pPr>
      <w:r>
        <w:rPr/>
        <w:t>Artificial-System Policy Updates.</w:t>
      </w:r>
    </w:p>
    <w:p>
      <w:pPr>
        <w:pStyle w:val="BodyText"/>
        <w:spacing w:before="0" w:after="200"/>
        <w:rPr/>
      </w:pPr>
      <w:r>
        <w:rPr/>
        <w:t>Beneficial Policy Updates.</w:t>
      </w:r>
    </w:p>
    <w:p>
      <w:pPr>
        <w:pStyle w:val="BodyText"/>
        <w:spacing w:before="0" w:after="200"/>
        <w:rPr/>
      </w:pPr>
      <w:r>
        <w:rPr/>
        <w:t>Detrimental Policy Updates.</w:t>
      </w:r>
    </w:p>
    <w:p>
      <w:pPr>
        <w:pStyle w:val="BodyText"/>
        <w:spacing w:before="0" w:after="200"/>
        <w:rPr/>
      </w:pPr>
      <w:r>
        <w:rPr/>
        <w:t>Mixed or uncertain Policy Updates.</w:t>
      </w:r>
    </w:p>
    <w:p>
      <w:pPr>
        <w:pStyle w:val="BodyText"/>
        <w:spacing w:before="0" w:after="200"/>
        <w:rPr/>
      </w:pPr>
      <w:r>
        <w:rPr/>
        <w:t>For each material policy update, the output should identify the baseline policy state, resulting or predicted policy state, evidence, probability, confidence, Assessment Horizon, and relationship to the Assessed Action.</w:t>
      </w:r>
    </w:p>
    <w:p>
      <w:pPr>
        <w:pStyle w:val="BodyText"/>
        <w:spacing w:before="0" w:after="200"/>
        <w:rPr/>
      </w:pPr>
      <w:r>
        <w:rPr/>
        <w:t>Policy Updates are especially important because they preserve the moral significance of means. If the means used by an Assessed Action degrade future decision policies, that degradation is part of the resulting World Context.</w:t>
      </w:r>
    </w:p>
    <w:p>
      <w:pPr>
        <w:pStyle w:val="Heading3"/>
        <w:ind w:hanging="0" w:left="0"/>
        <w:rPr/>
      </w:pPr>
      <w:r>
        <w:rPr/>
        <w:t>Recommendations</w:t>
      </w:r>
    </w:p>
    <w:p>
      <w:pPr>
        <w:pStyle w:val="BodyText"/>
        <w:spacing w:before="0" w:after="200"/>
        <w:rPr/>
      </w:pPr>
      <w:r>
        <w:rPr/>
        <w:t>Assessment Output may include recommendations.</w:t>
      </w:r>
    </w:p>
    <w:p>
      <w:pPr>
        <w:pStyle w:val="BodyText"/>
        <w:spacing w:before="0" w:after="200"/>
        <w:rPr/>
      </w:pPr>
      <w:r>
        <w:rPr/>
        <w:t>Recommendations translate the Assessment Result into decision-support guidance. They should remain traceable to the World Context Transition and should not exceed the confidence supported by the assessment.</w:t>
      </w:r>
    </w:p>
    <w:p>
      <w:pPr>
        <w:pStyle w:val="BodyText"/>
        <w:spacing w:before="0" w:after="200"/>
        <w:rPr/>
      </w:pPr>
      <w:r>
        <w:rPr/>
        <w:t>Recommendations may include:</w:t>
      </w:r>
    </w:p>
    <w:p>
      <w:pPr>
        <w:pStyle w:val="BodyText"/>
        <w:spacing w:before="0" w:after="200"/>
        <w:rPr/>
      </w:pPr>
      <w:r>
        <w:rPr/>
        <w:t>Proceed.</w:t>
      </w:r>
    </w:p>
    <w:p>
      <w:pPr>
        <w:pStyle w:val="BodyText"/>
        <w:spacing w:before="0" w:after="200"/>
        <w:rPr/>
      </w:pPr>
      <w:r>
        <w:rPr/>
        <w:t>Do not proceed.</w:t>
      </w:r>
    </w:p>
    <w:p>
      <w:pPr>
        <w:pStyle w:val="BodyText"/>
        <w:spacing w:before="0" w:after="200"/>
        <w:rPr/>
      </w:pPr>
      <w:r>
        <w:rPr/>
        <w:t>Proceed only with safeguards.</w:t>
      </w:r>
    </w:p>
    <w:p>
      <w:pPr>
        <w:pStyle w:val="BodyText"/>
        <w:spacing w:before="0" w:after="200"/>
        <w:rPr/>
      </w:pPr>
      <w:r>
        <w:rPr/>
        <w:t>Proceed only after additional evidence is obtained.</w:t>
      </w:r>
    </w:p>
    <w:p>
      <w:pPr>
        <w:pStyle w:val="BodyText"/>
        <w:spacing w:before="0" w:after="200"/>
        <w:rPr/>
      </w:pPr>
      <w:r>
        <w:rPr/>
        <w:t>Delay action.</w:t>
      </w:r>
    </w:p>
    <w:p>
      <w:pPr>
        <w:pStyle w:val="BodyText"/>
        <w:spacing w:before="0" w:after="200"/>
        <w:rPr/>
      </w:pPr>
      <w:r>
        <w:rPr/>
        <w:t>Modify the Assessed Action.</w:t>
      </w:r>
    </w:p>
    <w:p>
      <w:pPr>
        <w:pStyle w:val="BodyText"/>
        <w:spacing w:before="0" w:after="200"/>
        <w:rPr/>
      </w:pPr>
      <w:r>
        <w:rPr/>
        <w:t>Choose an alternative action.</w:t>
      </w:r>
    </w:p>
    <w:p>
      <w:pPr>
        <w:pStyle w:val="BodyText"/>
        <w:spacing w:before="0" w:after="200"/>
        <w:rPr/>
      </w:pPr>
      <w:r>
        <w:rPr/>
        <w:t>Escalate to human review.</w:t>
      </w:r>
    </w:p>
    <w:p>
      <w:pPr>
        <w:pStyle w:val="BodyText"/>
        <w:spacing w:before="0" w:after="200"/>
        <w:rPr/>
      </w:pPr>
      <w:r>
        <w:rPr/>
        <w:t>Escalate to institutional authority.</w:t>
      </w:r>
    </w:p>
    <w:p>
      <w:pPr>
        <w:pStyle w:val="BodyText"/>
        <w:spacing w:before="0" w:after="200"/>
        <w:rPr/>
      </w:pPr>
      <w:r>
        <w:rPr/>
        <w:t>Seek consent.</w:t>
      </w:r>
    </w:p>
    <w:p>
      <w:pPr>
        <w:pStyle w:val="BodyText"/>
        <w:spacing w:before="0" w:after="200"/>
        <w:rPr/>
      </w:pPr>
      <w:r>
        <w:rPr/>
        <w:t>Disclose uncertainty.</w:t>
      </w:r>
    </w:p>
    <w:p>
      <w:pPr>
        <w:pStyle w:val="BodyText"/>
        <w:spacing w:before="0" w:after="200"/>
        <w:rPr/>
      </w:pPr>
      <w:r>
        <w:rPr/>
        <w:t>Monitor outcomes.</w:t>
      </w:r>
    </w:p>
    <w:p>
      <w:pPr>
        <w:pStyle w:val="BodyText"/>
        <w:spacing w:before="0" w:after="200"/>
        <w:rPr/>
      </w:pPr>
      <w:r>
        <w:rPr/>
        <w:t>Mitigate identified harms.</w:t>
      </w:r>
    </w:p>
    <w:p>
      <w:pPr>
        <w:pStyle w:val="BodyText"/>
        <w:spacing w:before="0" w:after="200"/>
        <w:rPr/>
      </w:pPr>
      <w:r>
        <w:rPr/>
        <w:t>Repair or reverse prior harm.</w:t>
      </w:r>
    </w:p>
    <w:p>
      <w:pPr>
        <w:pStyle w:val="BodyText"/>
        <w:spacing w:before="0" w:after="200"/>
        <w:rPr/>
      </w:pPr>
      <w:r>
        <w:rPr/>
        <w:t>Reassess after new evidence.</w:t>
      </w:r>
    </w:p>
    <w:p>
      <w:pPr>
        <w:pStyle w:val="BodyText"/>
        <w:spacing w:before="0" w:after="200"/>
        <w:rPr/>
      </w:pPr>
      <w:r>
        <w:rPr/>
        <w:t>A recommendation should not be treated as the moral assessment itself. It is a decision-support artifact derived from the assessment.</w:t>
      </w:r>
    </w:p>
    <w:p>
      <w:pPr>
        <w:pStyle w:val="Heading3"/>
        <w:ind w:hanging="0" w:left="0"/>
        <w:rPr/>
      </w:pPr>
      <w:r>
        <w:rPr/>
        <w:t>Decision Support Flags</w:t>
      </w:r>
    </w:p>
    <w:p>
      <w:pPr>
        <w:pStyle w:val="BodyText"/>
        <w:spacing w:before="0" w:after="200"/>
        <w:rPr/>
      </w:pPr>
      <w:r>
        <w:rPr/>
        <w:t>Decision Support Flags are structured indicators that identify conditions requiring attention.</w:t>
      </w:r>
    </w:p>
    <w:p>
      <w:pPr>
        <w:pStyle w:val="BodyText"/>
        <w:spacing w:before="0" w:after="200"/>
        <w:rPr/>
      </w:pPr>
      <w:r>
        <w:rPr/>
        <w:t>Flags help downstream systems, human reviewers, institutions, or autonomous agents determine whether the assessment requires escalation, mitigation, additional review, or refusal.</w:t>
      </w:r>
    </w:p>
    <w:p>
      <w:pPr>
        <w:pStyle w:val="BodyText"/>
        <w:spacing w:before="0" w:after="200"/>
        <w:rPr/>
      </w:pPr>
      <w:r>
        <w:rPr/>
        <w:t>Possible flags include:</w:t>
      </w:r>
    </w:p>
    <w:p>
      <w:pPr>
        <w:pStyle w:val="BodyText"/>
        <w:spacing w:before="0" w:after="200"/>
        <w:rPr/>
      </w:pPr>
      <w:r>
        <w:rPr/>
        <w:t>Material diminishment risk.</w:t>
      </w:r>
    </w:p>
    <w:p>
      <w:pPr>
        <w:pStyle w:val="BodyText"/>
        <w:spacing w:before="0" w:after="200"/>
        <w:rPr/>
      </w:pPr>
      <w:r>
        <w:rPr/>
        <w:t>Low-confidence assessment.</w:t>
      </w:r>
    </w:p>
    <w:p>
      <w:pPr>
        <w:pStyle w:val="BodyText"/>
        <w:spacing w:before="0" w:after="200"/>
        <w:rPr/>
      </w:pPr>
      <w:r>
        <w:rPr/>
        <w:t>Insufficient evidence.</w:t>
      </w:r>
    </w:p>
    <w:p>
      <w:pPr>
        <w:pStyle w:val="BodyText"/>
        <w:spacing w:before="0" w:after="200"/>
        <w:rPr/>
      </w:pPr>
      <w:r>
        <w:rPr/>
        <w:t>Severe low-probability harm.</w:t>
      </w:r>
    </w:p>
    <w:p>
      <w:pPr>
        <w:pStyle w:val="BodyText"/>
        <w:spacing w:before="0" w:after="200"/>
        <w:rPr/>
      </w:pPr>
      <w:r>
        <w:rPr/>
        <w:t>Irreversible harm risk.</w:t>
      </w:r>
    </w:p>
    <w:p>
      <w:pPr>
        <w:pStyle w:val="BodyText"/>
        <w:spacing w:before="0" w:after="200"/>
        <w:rPr/>
      </w:pPr>
      <w:r>
        <w:rPr/>
        <w:t>Horizon conflict.</w:t>
      </w:r>
    </w:p>
    <w:p>
      <w:pPr>
        <w:pStyle w:val="BodyText"/>
        <w:spacing w:before="0" w:after="200"/>
        <w:rPr/>
      </w:pPr>
      <w:r>
        <w:rPr/>
        <w:t>Policy-update degradation.</w:t>
      </w:r>
    </w:p>
    <w:p>
      <w:pPr>
        <w:pStyle w:val="BodyText"/>
        <w:spacing w:before="0" w:after="200"/>
        <w:rPr/>
      </w:pPr>
      <w:r>
        <w:rPr/>
        <w:t>Institutional legitimacy risk.</w:t>
      </w:r>
    </w:p>
    <w:p>
      <w:pPr>
        <w:pStyle w:val="BodyText"/>
        <w:spacing w:before="0" w:after="200"/>
        <w:rPr/>
      </w:pPr>
      <w:r>
        <w:rPr/>
        <w:t>Consent concern.</w:t>
      </w:r>
    </w:p>
    <w:p>
      <w:pPr>
        <w:pStyle w:val="BodyText"/>
        <w:spacing w:before="0" w:after="200"/>
        <w:rPr/>
      </w:pPr>
      <w:r>
        <w:rPr/>
        <w:t>Authority concern.</w:t>
      </w:r>
    </w:p>
    <w:p>
      <w:pPr>
        <w:pStyle w:val="BodyText"/>
        <w:spacing w:before="0" w:after="200"/>
        <w:rPr/>
      </w:pPr>
      <w:r>
        <w:rPr/>
        <w:t>Affected vulnerable entity.</w:t>
      </w:r>
    </w:p>
    <w:p>
      <w:pPr>
        <w:pStyle w:val="BodyText"/>
        <w:spacing w:before="0" w:after="200"/>
        <w:rPr/>
      </w:pPr>
      <w:r>
        <w:rPr/>
        <w:t>Future state-space narrowing.</w:t>
      </w:r>
    </w:p>
    <w:p>
      <w:pPr>
        <w:pStyle w:val="BodyText"/>
        <w:spacing w:before="0" w:after="200"/>
        <w:rPr/>
      </w:pPr>
      <w:r>
        <w:rPr/>
        <w:t>Requires human review.</w:t>
      </w:r>
    </w:p>
    <w:p>
      <w:pPr>
        <w:pStyle w:val="BodyText"/>
        <w:spacing w:before="0" w:after="200"/>
        <w:rPr/>
      </w:pPr>
      <w:r>
        <w:rPr/>
        <w:t>Requires expert review.</w:t>
      </w:r>
    </w:p>
    <w:p>
      <w:pPr>
        <w:pStyle w:val="BodyText"/>
        <w:spacing w:before="0" w:after="200"/>
        <w:rPr/>
      </w:pPr>
      <w:r>
        <w:rPr/>
        <w:t>Requires legal review.</w:t>
      </w:r>
    </w:p>
    <w:p>
      <w:pPr>
        <w:pStyle w:val="BodyText"/>
        <w:spacing w:before="0" w:after="200"/>
        <w:rPr/>
      </w:pPr>
      <w:r>
        <w:rPr/>
        <w:t>Requires medical review.</w:t>
      </w:r>
    </w:p>
    <w:p>
      <w:pPr>
        <w:pStyle w:val="BodyText"/>
        <w:spacing w:before="0" w:after="200"/>
        <w:rPr/>
      </w:pPr>
      <w:r>
        <w:rPr/>
        <w:t>Requires monitoring.</w:t>
      </w:r>
    </w:p>
    <w:p>
      <w:pPr>
        <w:pStyle w:val="BodyText"/>
        <w:spacing w:before="0" w:after="200"/>
        <w:rPr/>
      </w:pPr>
      <w:r>
        <w:rPr/>
        <w:t>Requires reassessment.</w:t>
      </w:r>
    </w:p>
    <w:p>
      <w:pPr>
        <w:pStyle w:val="BodyText"/>
        <w:spacing w:before="0" w:after="200"/>
        <w:rPr/>
      </w:pPr>
      <w:r>
        <w:rPr/>
        <w:t>Decision Support Flags should be explicit, traceable, and linked to evidence or assumptions. They should not be arbitrary warnings disconnected from the assessment structure.</w:t>
      </w:r>
    </w:p>
    <w:p>
      <w:pPr>
        <w:pStyle w:val="Heading3"/>
        <w:ind w:hanging="0" w:left="0"/>
        <w:rPr/>
      </w:pPr>
      <w:r>
        <w:rPr/>
        <w:t>Horizon-Specific Output</w:t>
      </w:r>
    </w:p>
    <w:p>
      <w:pPr>
        <w:pStyle w:val="BodyText"/>
        <w:spacing w:before="0" w:after="200"/>
        <w:rPr/>
      </w:pPr>
      <w:r>
        <w:rPr/>
        <w:t>Assessment Output should preserve horizon-specific findings.</w:t>
      </w:r>
    </w:p>
    <w:p>
      <w:pPr>
        <w:pStyle w:val="BodyText"/>
        <w:spacing w:before="0" w:after="200"/>
        <w:rPr/>
      </w:pPr>
      <w:r>
        <w:rPr/>
        <w:t>The final output should not collapse immediate, short-term, medium-term, long-term, multi-generational, and civilizational effects into a single undifferentiated conclusion when those effects differ materially.</w:t>
      </w:r>
    </w:p>
    <w:p>
      <w:pPr>
        <w:pStyle w:val="BodyText"/>
        <w:spacing w:before="0" w:after="200"/>
        <w:rPr/>
      </w:pPr>
      <w:r>
        <w:rPr/>
        <w:t>Horizon-specific output may include:</w:t>
      </w:r>
    </w:p>
    <w:p>
      <w:pPr>
        <w:pStyle w:val="BodyText"/>
        <w:spacing w:before="0" w:after="200"/>
        <w:rPr/>
      </w:pPr>
      <w:r>
        <w:rPr/>
        <w:t>Horizon-specific State Transitions.</w:t>
      </w:r>
    </w:p>
    <w:p>
      <w:pPr>
        <w:pStyle w:val="BodyText"/>
        <w:spacing w:before="0" w:after="200"/>
        <w:rPr/>
      </w:pPr>
      <w:r>
        <w:rPr/>
        <w:t>Horizon-specific Flourishing Transitions.</w:t>
      </w:r>
    </w:p>
    <w:p>
      <w:pPr>
        <w:pStyle w:val="BodyText"/>
        <w:spacing w:before="0" w:after="200"/>
        <w:rPr/>
      </w:pPr>
      <w:r>
        <w:rPr/>
        <w:t>Horizon-specific Policy Updates.</w:t>
      </w:r>
    </w:p>
    <w:p>
      <w:pPr>
        <w:pStyle w:val="BodyText"/>
        <w:spacing w:before="0" w:after="200"/>
        <w:rPr/>
      </w:pPr>
      <w:r>
        <w:rPr/>
        <w:t>Horizon-specific institutional effects.</w:t>
      </w:r>
    </w:p>
    <w:p>
      <w:pPr>
        <w:pStyle w:val="BodyText"/>
        <w:spacing w:before="0" w:after="200"/>
        <w:rPr/>
      </w:pPr>
      <w:r>
        <w:rPr/>
        <w:t>Horizon-specific opportunity effects.</w:t>
      </w:r>
    </w:p>
    <w:p>
      <w:pPr>
        <w:pStyle w:val="BodyText"/>
        <w:spacing w:before="0" w:after="200"/>
        <w:rPr/>
      </w:pPr>
      <w:r>
        <w:rPr/>
        <w:t>Horizon-specific future state-space effects.</w:t>
      </w:r>
    </w:p>
    <w:p>
      <w:pPr>
        <w:pStyle w:val="BodyText"/>
        <w:spacing w:before="0" w:after="200"/>
        <w:rPr/>
      </w:pPr>
      <w:r>
        <w:rPr/>
        <w:t>Horizon-specific confidence.</w:t>
      </w:r>
    </w:p>
    <w:p>
      <w:pPr>
        <w:pStyle w:val="BodyText"/>
        <w:spacing w:before="0" w:after="200"/>
        <w:rPr/>
      </w:pPr>
      <w:r>
        <w:rPr/>
        <w:t>Horizon-specific recommendations.</w:t>
      </w:r>
    </w:p>
    <w:p>
      <w:pPr>
        <w:pStyle w:val="BodyText"/>
        <w:spacing w:before="0" w:after="200"/>
        <w:rPr/>
      </w:pPr>
      <w:r>
        <w:rPr/>
        <w:t>This is especially important when an action appears beneficial in one horizon and harmful in another.</w:t>
      </w:r>
    </w:p>
    <w:p>
      <w:pPr>
        <w:pStyle w:val="Heading3"/>
        <w:ind w:hanging="0" w:left="0"/>
        <w:rPr/>
      </w:pPr>
      <w:r>
        <w:rPr/>
        <w:t>Uncertainty and Limitations</w:t>
      </w:r>
    </w:p>
    <w:p>
      <w:pPr>
        <w:pStyle w:val="BodyText"/>
        <w:spacing w:before="0" w:after="200"/>
        <w:rPr/>
      </w:pPr>
      <w:r>
        <w:rPr/>
        <w:t>Assessment Output should include uncertainty and limitations.</w:t>
      </w:r>
    </w:p>
    <w:p>
      <w:pPr>
        <w:pStyle w:val="BodyText"/>
        <w:spacing w:before="0" w:after="200"/>
        <w:rPr/>
      </w:pPr>
      <w:r>
        <w:rPr/>
        <w:t>This section should identify what remains unknown, incomplete, contested, speculative, model-dependent, or confidence-limited. It should also identify whether those limitations materially affect the Assessment Result.</w:t>
      </w:r>
    </w:p>
    <w:p>
      <w:pPr>
        <w:pStyle w:val="BodyText"/>
        <w:spacing w:before="0" w:after="200"/>
        <w:rPr/>
      </w:pPr>
      <w:r>
        <w:rPr/>
        <w:t>Uncertainty and limitations may include:</w:t>
      </w:r>
    </w:p>
    <w:p>
      <w:pPr>
        <w:pStyle w:val="BodyText"/>
        <w:spacing w:before="0" w:after="200"/>
        <w:rPr/>
      </w:pPr>
      <w:r>
        <w:rPr/>
        <w:t>Incomplete evidence.</w:t>
      </w:r>
    </w:p>
    <w:p>
      <w:pPr>
        <w:pStyle w:val="BodyText"/>
        <w:spacing w:before="0" w:after="200"/>
        <w:rPr/>
      </w:pPr>
      <w:r>
        <w:rPr/>
        <w:t>Conflicting evidence.</w:t>
      </w:r>
    </w:p>
    <w:p>
      <w:pPr>
        <w:pStyle w:val="BodyText"/>
        <w:spacing w:before="0" w:after="200"/>
        <w:rPr/>
      </w:pPr>
      <w:r>
        <w:rPr/>
        <w:t>Unknown affected entities.</w:t>
      </w:r>
    </w:p>
    <w:p>
      <w:pPr>
        <w:pStyle w:val="BodyText"/>
        <w:spacing w:before="0" w:after="200"/>
        <w:rPr/>
      </w:pPr>
      <w:r>
        <w:rPr/>
        <w:t>Uncertain baseline state.</w:t>
      </w:r>
    </w:p>
    <w:p>
      <w:pPr>
        <w:pStyle w:val="BodyText"/>
        <w:spacing w:before="0" w:after="200"/>
        <w:rPr/>
      </w:pPr>
      <w:r>
        <w:rPr/>
        <w:t>Uncertain causal attribution.</w:t>
      </w:r>
    </w:p>
    <w:p>
      <w:pPr>
        <w:pStyle w:val="BodyText"/>
        <w:spacing w:before="0" w:after="200"/>
        <w:rPr/>
      </w:pPr>
      <w:r>
        <w:rPr/>
        <w:t>Uncertain Long-Term Flourishing estimates.</w:t>
      </w:r>
    </w:p>
    <w:p>
      <w:pPr>
        <w:pStyle w:val="BodyText"/>
        <w:spacing w:before="0" w:after="200"/>
        <w:rPr/>
      </w:pPr>
      <w:r>
        <w:rPr/>
        <w:t>Uncertain Policy Updates.</w:t>
      </w:r>
    </w:p>
    <w:p>
      <w:pPr>
        <w:pStyle w:val="BodyText"/>
        <w:spacing w:before="0" w:after="200"/>
        <w:rPr/>
      </w:pPr>
      <w:r>
        <w:rPr/>
        <w:t>Uncertain future state-space effects.</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Computational limits.</w:t>
      </w:r>
    </w:p>
    <w:p>
      <w:pPr>
        <w:pStyle w:val="BodyText"/>
        <w:spacing w:before="0" w:after="200"/>
        <w:rPr/>
      </w:pPr>
      <w:r>
        <w:rPr/>
        <w:t>Scope limitations.</w:t>
      </w:r>
    </w:p>
    <w:p>
      <w:pPr>
        <w:pStyle w:val="BodyText"/>
        <w:spacing w:before="0" w:after="200"/>
        <w:rPr/>
      </w:pPr>
      <w:r>
        <w:rPr/>
        <w:t>Assumption sensitivity.</w:t>
      </w:r>
    </w:p>
    <w:p>
      <w:pPr>
        <w:pStyle w:val="BodyText"/>
        <w:spacing w:before="0" w:after="200"/>
        <w:rPr/>
      </w:pPr>
      <w:r>
        <w:rPr/>
        <w:t>A transparent assessment should not hide its weaknesses. It should identify what would be needed to improve</w:t>
      </w:r>
    </w:p>
    <w:p>
      <w:pPr>
        <w:pStyle w:val="Heading3"/>
        <w:ind w:hanging="0" w:left="0"/>
        <w:rPr/>
      </w:pPr>
      <w:r>
        <w:rPr/>
        <w:t>Revision and Update Status</w:t>
      </w:r>
    </w:p>
    <w:p>
      <w:pPr>
        <w:pStyle w:val="BodyText"/>
        <w:spacing w:before="0" w:after="200"/>
        <w:rPr/>
      </w:pPr>
      <w:r>
        <w:rPr/>
        <w:t>Assessment Output should indicate whether the assessment is final, provisional, updated, or subject to revision.</w:t>
      </w:r>
    </w:p>
    <w:p>
      <w:pPr>
        <w:pStyle w:val="BodyText"/>
        <w:spacing w:before="0" w:after="200"/>
        <w:rPr/>
      </w:pPr>
      <w:r>
        <w:rPr/>
        <w:t>Because moral assessment is evidence-sensitive and confidence-bounded, an output may change as new evidence becomes available. The output should identify whether it is based on a proposed, ongoing, completed, or revised assessment.</w:t>
      </w:r>
    </w:p>
    <w:p>
      <w:pPr>
        <w:pStyle w:val="BodyText"/>
        <w:spacing w:before="0" w:after="200"/>
        <w:rPr/>
      </w:pPr>
      <w:r>
        <w:rPr/>
        <w:t>Revision status may include:</w:t>
      </w:r>
    </w:p>
    <w:p>
      <w:pPr>
        <w:pStyle w:val="BodyText"/>
        <w:spacing w:before="0" w:after="200"/>
        <w:rPr/>
      </w:pPr>
      <w:r>
        <w:rPr/>
        <w:t>Initial prospective assessment.</w:t>
      </w:r>
    </w:p>
    <w:p>
      <w:pPr>
        <w:pStyle w:val="BodyText"/>
        <w:spacing w:before="0" w:after="200"/>
        <w:rPr/>
      </w:pPr>
      <w:r>
        <w:rPr/>
        <w:t>Updated prospective assessment.</w:t>
      </w:r>
    </w:p>
    <w:p>
      <w:pPr>
        <w:pStyle w:val="BodyText"/>
        <w:spacing w:before="0" w:after="200"/>
        <w:rPr/>
      </w:pPr>
      <w:r>
        <w:rPr/>
        <w:t>Ongoing assessment.</w:t>
      </w:r>
    </w:p>
    <w:p>
      <w:pPr>
        <w:pStyle w:val="BodyText"/>
        <w:spacing w:before="0" w:after="200"/>
        <w:rPr/>
      </w:pPr>
      <w:r>
        <w:rPr/>
        <w:t>Completed-action assessment.</w:t>
      </w:r>
    </w:p>
    <w:p>
      <w:pPr>
        <w:pStyle w:val="BodyText"/>
        <w:spacing w:before="0" w:after="200"/>
        <w:rPr/>
      </w:pPr>
      <w:r>
        <w:rPr/>
        <w:t>Retrospective assessment.</w:t>
      </w:r>
    </w:p>
    <w:p>
      <w:pPr>
        <w:pStyle w:val="BodyText"/>
        <w:spacing w:before="0" w:after="200"/>
        <w:rPr/>
      </w:pPr>
      <w:r>
        <w:rPr/>
        <w:t>Revised assessment after new evidence.</w:t>
      </w:r>
    </w:p>
    <w:p>
      <w:pPr>
        <w:pStyle w:val="BodyText"/>
        <w:spacing w:before="0" w:after="200"/>
        <w:rPr/>
      </w:pPr>
      <w:r>
        <w:rPr/>
        <w:t>Superseded assessment.</w:t>
      </w:r>
    </w:p>
    <w:p>
      <w:pPr>
        <w:pStyle w:val="BodyText"/>
        <w:spacing w:before="0" w:after="200"/>
        <w:rPr/>
      </w:pPr>
      <w:r>
        <w:rPr/>
        <w:t>The output should identify major changes from prior assessments when auditability matters.</w:t>
      </w:r>
    </w:p>
    <w:p>
      <w:pPr>
        <w:pStyle w:val="Heading3"/>
        <w:ind w:hanging="0" w:left="0"/>
        <w:rPr/>
      </w:pPr>
      <w:r>
        <w:rPr/>
        <w:t>Traceability</w:t>
      </w:r>
    </w:p>
    <w:p>
      <w:pPr>
        <w:pStyle w:val="BodyText"/>
        <w:spacing w:before="0" w:after="200"/>
        <w:rPr/>
      </w:pPr>
      <w:r>
        <w:rPr/>
        <w:t>Assessment Output should be traceable.</w:t>
      </w:r>
    </w:p>
    <w:p>
      <w:pPr>
        <w:pStyle w:val="BodyText"/>
        <w:spacing w:before="0" w:after="200"/>
        <w:rPr/>
      </w:pPr>
      <w:r>
        <w:rPr/>
        <w:t>Traceability means that the final Assessment Result can be followed backward through evidence, assumptions, intermediate results, confidence estimates, state transitions, flourishing transitions, policy updates, and World Context Transition construction.</w:t>
      </w:r>
    </w:p>
    <w:p>
      <w:pPr>
        <w:pStyle w:val="BodyText"/>
        <w:spacing w:before="0" w:after="200"/>
        <w:rPr/>
      </w:pPr>
      <w:r>
        <w:rPr/>
        <w:t>Traceability allows users to ask:</w:t>
      </w:r>
    </w:p>
    <w:p>
      <w:pPr>
        <w:pStyle w:val="BodyText"/>
        <w:spacing w:before="0" w:after="200"/>
        <w:rPr/>
      </w:pPr>
      <w:r>
        <w:rPr/>
        <w:t>Which evidence supports this conclusion?</w:t>
      </w:r>
    </w:p>
    <w:p>
      <w:pPr>
        <w:pStyle w:val="BodyText"/>
        <w:spacing w:before="0" w:after="200"/>
        <w:rPr/>
      </w:pPr>
      <w:r>
        <w:rPr/>
        <w:t>Which assumptions drive the result?</w:t>
      </w:r>
    </w:p>
    <w:p>
      <w:pPr>
        <w:pStyle w:val="BodyText"/>
        <w:spacing w:before="0" w:after="200"/>
        <w:rPr/>
      </w:pPr>
      <w:r>
        <w:rPr/>
        <w:t>Which entities are affected?</w:t>
      </w:r>
    </w:p>
    <w:p>
      <w:pPr>
        <w:pStyle w:val="BodyText"/>
        <w:spacing w:before="0" w:after="200"/>
        <w:rPr/>
      </w:pPr>
      <w:r>
        <w:rPr/>
        <w:t>Which horizons matter most?</w:t>
      </w:r>
    </w:p>
    <w:p>
      <w:pPr>
        <w:pStyle w:val="BodyText"/>
        <w:spacing w:before="0" w:after="200"/>
        <w:rPr/>
      </w:pPr>
      <w:r>
        <w:rPr/>
        <w:t>Which uncertainty sources reduce confidence?</w:t>
      </w:r>
    </w:p>
    <w:p>
      <w:pPr>
        <w:pStyle w:val="BodyText"/>
        <w:spacing w:before="0" w:after="200"/>
        <w:rPr/>
      </w:pPr>
      <w:r>
        <w:rPr/>
        <w:t>Which policy updates are material?</w:t>
      </w:r>
    </w:p>
    <w:p>
      <w:pPr>
        <w:pStyle w:val="BodyText"/>
        <w:spacing w:before="0" w:after="200"/>
        <w:rPr/>
      </w:pPr>
      <w:r>
        <w:rPr/>
        <w:t>Which alternatives were considered?</w:t>
      </w:r>
    </w:p>
    <w:p>
      <w:pPr>
        <w:pStyle w:val="BodyText"/>
        <w:spacing w:before="0" w:after="200"/>
        <w:rPr/>
      </w:pPr>
      <w:r>
        <w:rPr/>
        <w:t>Why was this recommendation produced?</w:t>
      </w:r>
    </w:p>
    <w:p>
      <w:pPr>
        <w:pStyle w:val="BodyText"/>
        <w:spacing w:before="0" w:after="200"/>
        <w:rPr/>
      </w:pPr>
      <w:r>
        <w:rPr/>
        <w:t>Traceability is essential for review, audit, explanation, contestability, and responsible use in human or machine decision systems.</w:t>
      </w:r>
    </w:p>
    <w:p>
      <w:pPr>
        <w:pStyle w:val="Heading3"/>
        <w:ind w:hanging="0" w:left="0"/>
        <w:rPr/>
      </w:pPr>
      <w:r>
        <w:rPr/>
        <w:t>Structured Output and Explanation</w:t>
      </w:r>
    </w:p>
    <w:p>
      <w:pPr>
        <w:pStyle w:val="BodyText"/>
        <w:spacing w:before="0" w:after="200"/>
        <w:rPr/>
      </w:pPr>
      <w:r>
        <w:rPr/>
        <w:t>The structured output should be distinguished from explanation.</w:t>
      </w:r>
    </w:p>
    <w:p>
      <w:pPr>
        <w:pStyle w:val="BodyText"/>
        <w:spacing w:before="0" w:after="200"/>
        <w:rPr/>
      </w:pPr>
      <w:r>
        <w:rPr/>
        <w:t>The structured output is the assessment artifact. It contains the state transitions, evidence, assumptions, confidence values, affected entities, policy updates, and final result.</w:t>
      </w:r>
    </w:p>
    <w:p>
      <w:pPr>
        <w:pStyle w:val="BodyText"/>
        <w:spacing w:before="0" w:after="200"/>
        <w:rPr/>
      </w:pPr>
      <w:r>
        <w:rPr/>
        <w:t>An explanation is a human-readable or domain-specific rendering of that artifact. Explanations may be generated by downstream systems, user interfaces, reports, or human analysts. Different explanations may be appropriate for different audiences, such as technical reviewers, affected entities, decision-makers, regulators, or public audiences.</w:t>
      </w:r>
    </w:p>
    <w:p>
      <w:pPr>
        <w:pStyle w:val="BodyText"/>
        <w:spacing w:before="0" w:after="200"/>
        <w:rPr/>
      </w:pPr>
      <w:r>
        <w:rPr/>
        <w:t>The methodology should ensure that explanations remain grounded in the structured output rather than inventing reasoning that is not present in the assessment.</w:t>
      </w:r>
    </w:p>
    <w:p>
      <w:pPr>
        <w:pStyle w:val="Heading3"/>
        <w:ind w:hanging="0" w:left="0"/>
        <w:rPr/>
      </w:pPr>
      <w:r>
        <w:rPr/>
        <w:t>Minimum Assessment Output</w:t>
      </w:r>
    </w:p>
    <w:p>
      <w:pPr>
        <w:pStyle w:val="BodyText"/>
        <w:spacing w:before="0" w:after="200"/>
        <w:rPr/>
      </w:pPr>
      <w:r>
        <w:rPr/>
        <w:t>A minimally adequate Assessment Output should include:</w:t>
      </w:r>
    </w:p>
    <w:p>
      <w:pPr>
        <w:pStyle w:val="BodyText"/>
        <w:spacing w:before="0" w:after="200"/>
        <w:rPr/>
      </w:pPr>
      <w:r>
        <w:rPr/>
        <w:t>Assessment Result.</w:t>
      </w:r>
    </w:p>
    <w:p>
      <w:pPr>
        <w:pStyle w:val="BodyText"/>
        <w:spacing w:before="0" w:after="200"/>
        <w:rPr/>
      </w:pPr>
      <w:r>
        <w:rPr/>
        <w:t>Confidence Level.</w:t>
      </w:r>
    </w:p>
    <w:p>
      <w:pPr>
        <w:pStyle w:val="BodyText"/>
        <w:spacing w:before="0" w:after="200"/>
        <w:rPr/>
      </w:pPr>
      <w:r>
        <w:rPr/>
        <w:t>Assessed Action.</w:t>
      </w:r>
    </w:p>
    <w:p>
      <w:pPr>
        <w:pStyle w:val="BodyText"/>
        <w:spacing w:before="0" w:after="200"/>
        <w:rPr/>
      </w:pPr>
      <w:r>
        <w:rPr/>
        <w:t>Assessment Boundary.</w:t>
      </w:r>
    </w:p>
    <w:p>
      <w:pPr>
        <w:pStyle w:val="BodyText"/>
        <w:spacing w:before="0" w:after="200"/>
        <w:rPr/>
      </w:pPr>
      <w:r>
        <w:rPr/>
        <w:t>Situational Context.</w:t>
      </w:r>
    </w:p>
    <w:p>
      <w:pPr>
        <w:pStyle w:val="BodyText"/>
        <w:spacing w:before="0" w:after="200"/>
        <w:rPr/>
      </w:pPr>
      <w:r>
        <w:rPr/>
        <w:t>Evidence References.</w:t>
      </w:r>
    </w:p>
    <w:p>
      <w:pPr>
        <w:pStyle w:val="BodyText"/>
        <w:spacing w:before="0" w:after="200"/>
        <w:rPr/>
      </w:pPr>
      <w:r>
        <w:rPr/>
        <w:t>Material Assumptions.</w:t>
      </w:r>
    </w:p>
    <w:p>
      <w:pPr>
        <w:pStyle w:val="BodyText"/>
        <w:spacing w:before="0" w:after="200"/>
        <w:rPr/>
      </w:pPr>
      <w:r>
        <w:rPr/>
        <w:t>Intermediate Results.</w:t>
      </w:r>
    </w:p>
    <w:p>
      <w:pPr>
        <w:pStyle w:val="BodyText"/>
        <w:spacing w:before="0" w:after="200"/>
        <w:rPr/>
      </w:pPr>
      <w:r>
        <w:rPr/>
        <w:t>World Context₀ summary.</w:t>
      </w:r>
    </w:p>
    <w:p>
      <w:pPr>
        <w:pStyle w:val="BodyText"/>
        <w:spacing w:before="0" w:after="200"/>
        <w:rPr/>
      </w:pPr>
      <w:r>
        <w:rPr/>
        <w:t>World Context₁ summary.</w:t>
      </w:r>
    </w:p>
    <w:p>
      <w:pPr>
        <w:pStyle w:val="BodyText"/>
        <w:spacing w:before="0" w:after="200"/>
        <w:rPr/>
      </w:pPr>
      <w:r>
        <w:rPr/>
        <w:t>World Context Transition summary.</w:t>
      </w:r>
    </w:p>
    <w:p>
      <w:pPr>
        <w:pStyle w:val="BodyText"/>
        <w:spacing w:before="0" w:after="200"/>
        <w:rPr/>
      </w:pPr>
      <w:r>
        <w:rPr/>
        <w:t>Affected Entities.</w:t>
      </w:r>
    </w:p>
    <w:p>
      <w:pPr>
        <w:pStyle w:val="BodyText"/>
        <w:spacing w:before="0" w:after="200"/>
        <w:rPr/>
      </w:pPr>
      <w:r>
        <w:rPr/>
        <w:t>Affected Associations.</w:t>
      </w:r>
    </w:p>
    <w:p>
      <w:pPr>
        <w:pStyle w:val="BodyText"/>
        <w:spacing w:before="0" w:after="200"/>
        <w:rPr/>
      </w:pPr>
      <w:r>
        <w:rPr/>
        <w:t>Flourishing Transition summary.</w:t>
      </w:r>
    </w:p>
    <w:p>
      <w:pPr>
        <w:pStyle w:val="BodyText"/>
        <w:spacing w:before="0" w:after="200"/>
        <w:rPr/>
      </w:pPr>
      <w:r>
        <w:rPr/>
        <w:t>Aggregate Flourishing summary, if used.</w:t>
      </w:r>
    </w:p>
    <w:p>
      <w:pPr>
        <w:pStyle w:val="BodyText"/>
        <w:spacing w:before="0" w:after="200"/>
        <w:rPr/>
      </w:pPr>
      <w:r>
        <w:rPr/>
        <w:t>Policy Updates.</w:t>
      </w:r>
    </w:p>
    <w:p>
      <w:pPr>
        <w:pStyle w:val="BodyText"/>
        <w:spacing w:before="0" w:after="200"/>
        <w:rPr/>
      </w:pPr>
      <w:r>
        <w:rPr/>
        <w:t>Assessment Horizons.</w:t>
      </w:r>
    </w:p>
    <w:p>
      <w:pPr>
        <w:pStyle w:val="BodyText"/>
        <w:spacing w:before="0" w:after="200"/>
        <w:rPr/>
      </w:pPr>
      <w:r>
        <w:rPr/>
        <w:t>Uncertainty and limitations.</w:t>
      </w:r>
    </w:p>
    <w:p>
      <w:pPr>
        <w:pStyle w:val="BodyText"/>
        <w:spacing w:before="0" w:after="200"/>
        <w:rPr/>
      </w:pPr>
      <w:r>
        <w:rPr/>
        <w:t>Recommendations or Decision Support Flags.</w:t>
      </w:r>
    </w:p>
    <w:p>
      <w:pPr>
        <w:pStyle w:val="BodyText"/>
        <w:spacing w:before="0" w:after="200"/>
        <w:rPr/>
      </w:pPr>
      <w:r>
        <w:rPr/>
        <w:t>Revision status, where applicable.</w:t>
      </w:r>
    </w:p>
    <w:p>
      <w:pPr>
        <w:pStyle w:val="BodyText"/>
        <w:spacing w:before="0" w:after="200"/>
        <w:rPr/>
      </w:pPr>
      <w:r>
        <w:rPr/>
        <w:t>If any of these elements are omitted because they are immaterial, unavailable, or outside the Assessment Boundary, the output should state that omission when it affects interpretation or confidence.</w:t>
      </w:r>
    </w:p>
    <w:p>
      <w:pPr>
        <w:pStyle w:val="Heading3"/>
        <w:ind w:hanging="0" w:left="0"/>
        <w:rPr/>
      </w:pPr>
      <w:r>
        <w:rPr/>
        <w:t>Common Assessment Output Errors</w:t>
      </w:r>
    </w:p>
    <w:p>
      <w:pPr>
        <w:pStyle w:val="BodyText"/>
        <w:spacing w:before="0" w:after="200"/>
        <w:rPr/>
      </w:pPr>
      <w:r>
        <w:rPr/>
        <w:t>The methodology should avoid several common output errors.</w:t>
      </w:r>
    </w:p>
    <w:p>
      <w:pPr>
        <w:pStyle w:val="BodyText"/>
        <w:spacing w:before="0" w:after="200"/>
        <w:rPr/>
      </w:pPr>
      <w:r>
        <w:rPr/>
        <w:t>First, it should avoid verdict-only output, where the assessment provides a conclusion without the reasoning artifacts needed to inspect it.</w:t>
      </w:r>
    </w:p>
    <w:p>
      <w:pPr>
        <w:pStyle w:val="BodyText"/>
        <w:spacing w:before="0" w:after="200"/>
        <w:rPr/>
      </w:pPr>
      <w:r>
        <w:rPr/>
        <w:t>Second, it should avoid confidence omission, where the assessment result is presented without uncertainty.</w:t>
      </w:r>
    </w:p>
    <w:p>
      <w:pPr>
        <w:pStyle w:val="BodyText"/>
        <w:spacing w:before="0" w:after="200"/>
        <w:rPr/>
      </w:pPr>
      <w:r>
        <w:rPr/>
        <w:t>Third, it should avoid evidence opacity, where evidence is used but not referenced.</w:t>
      </w:r>
    </w:p>
    <w:p>
      <w:pPr>
        <w:pStyle w:val="BodyText"/>
        <w:spacing w:before="0" w:after="200"/>
        <w:rPr/>
      </w:pPr>
      <w:r>
        <w:rPr/>
        <w:t>Fourth, it should avoid assumption concealment, where material assumptions are hidden.</w:t>
      </w:r>
    </w:p>
    <w:p>
      <w:pPr>
        <w:pStyle w:val="BodyText"/>
        <w:spacing w:before="0" w:after="200"/>
        <w:rPr/>
      </w:pPr>
      <w:r>
        <w:rPr/>
        <w:t>Fifth, it should avoid intermediate-result loss, where the reasoning path cannot be reconstructed.</w:t>
      </w:r>
    </w:p>
    <w:p>
      <w:pPr>
        <w:pStyle w:val="BodyText"/>
        <w:spacing w:before="0" w:after="200"/>
        <w:rPr/>
      </w:pPr>
      <w:r>
        <w:rPr/>
        <w:t>Sixth, it should avoid aggregate substitution, where Aggregate Flourishing replaces the World Context Transition.</w:t>
      </w:r>
    </w:p>
    <w:p>
      <w:pPr>
        <w:pStyle w:val="BodyText"/>
        <w:spacing w:before="0" w:after="200"/>
        <w:rPr/>
      </w:pPr>
      <w:r>
        <w:rPr/>
        <w:t>Seventh, it should avoid means blindness, where Policy Updates and Distributed Policy Effects are omitted.</w:t>
      </w:r>
    </w:p>
    <w:p>
      <w:pPr>
        <w:pStyle w:val="BodyText"/>
        <w:spacing w:before="0" w:after="200"/>
        <w:rPr/>
      </w:pPr>
      <w:r>
        <w:rPr/>
        <w:t>Eighth, it should avoid horizon collapse, where temporal structure is lost.</w:t>
      </w:r>
    </w:p>
    <w:p>
      <w:pPr>
        <w:pStyle w:val="BodyText"/>
        <w:spacing w:before="0" w:after="200"/>
        <w:rPr/>
      </w:pPr>
      <w:r>
        <w:rPr/>
        <w:t>Ninth, it should avoid implementation lock-in, where the methodology is tied to one schema, interface, or software format.</w:t>
      </w:r>
    </w:p>
    <w:p>
      <w:pPr>
        <w:pStyle w:val="BodyText"/>
        <w:spacing w:before="0" w:after="200"/>
        <w:rPr/>
      </w:pPr>
      <w:r>
        <w:rPr/>
        <w:t>A robust Assessment Output should preserve enough structure to make the assessment explainable, auditable, revisable, and computationally useful.</w:t>
      </w:r>
    </w:p>
    <w:p>
      <w:pPr>
        <w:pStyle w:val="Heading3"/>
        <w:ind w:hanging="0" w:left="0"/>
        <w:rPr/>
      </w:pPr>
      <w:r>
        <w:rPr/>
        <w:t>Methodological Boundary</w:t>
      </w:r>
    </w:p>
    <w:p>
      <w:pPr>
        <w:pStyle w:val="BodyText"/>
        <w:spacing w:before="0" w:after="200"/>
        <w:rPr/>
      </w:pPr>
      <w:r>
        <w:rPr/>
        <w:t>This section defines the required content and function of Assessment Output within the Moral Assessment Methodology. It does not prescribe a final data schema, file format, database structure, API response, visualization, report template, or implementation-specific artifact.</w:t>
      </w:r>
    </w:p>
    <w:p>
      <w:pPr>
        <w:pStyle w:val="BodyText"/>
        <w:spacing w:before="0" w:after="200"/>
        <w:rPr/>
      </w:pPr>
      <w:r>
        <w:rPr/>
        <w:t>Those details may be developed in implementation guidance, formal appendices, structured-output schemas, or example assessment artifacts.</w:t>
      </w:r>
    </w:p>
    <w:p>
      <w:pPr>
        <w:pStyle w:val="BodyText"/>
        <w:spacing w:before="0" w:after="200"/>
        <w:rPr/>
      </w:pPr>
      <w:r>
        <w:rPr/>
        <w:t>The methodological requirement is that Assessment Output be structured, traceable, confidence-bounded, evidence-linked, assumption-explicit, and centered on the World Context Transition.</w:t>
      </w:r>
    </w:p>
    <w:p>
      <w:pPr>
        <w:pStyle w:val="BodyText"/>
        <w:spacing w:before="0" w:after="200"/>
        <w:rPr/>
      </w:pPr>
      <w:r>
        <w:rPr/>
        <w:t>A complete moral assessment should not merely say what the conclusion is. It should show how the assessment moved from the initial World Context to the resulting World Context, what entities were affected, what evidence was used, what assumptions were made, how confidence was estimated, what policy updates occurred, and what decision-support guidance follows.</w:t>
      </w:r>
    </w:p>
    <w:p>
      <w:pPr>
        <w:pStyle w:val="Heading1"/>
        <w:widowControl/>
        <w:numPr>
          <w:ilvl w:val="0"/>
          <w:numId w:val="179"/>
        </w:numPr>
        <w:bidi w:val="0"/>
        <w:spacing w:lineRule="auto" w:line="276"/>
        <w:ind w:hanging="0" w:left="0"/>
        <w:jc w:val="left"/>
        <w:rPr/>
      </w:pPr>
      <w:r>
        <w:rPr/>
        <w:t>Implementation</w:t>
      </w:r>
    </w:p>
    <w:p>
      <w:pPr>
        <w:pStyle w:val="BodyText"/>
        <w:spacing w:before="0" w:after="200"/>
        <w:rPr/>
      </w:pPr>
      <w:r>
        <w:rPr/>
        <w:t>The Implementation section explains how Objective-Based Systems Ethics can be translated from conceptual architecture and assessment methodology into operational systems, tools, workflows, and runtime environments.</w:t>
      </w:r>
    </w:p>
    <w:p>
      <w:pPr>
        <w:pStyle w:val="BodyText"/>
        <w:spacing w:before="0" w:after="200"/>
        <w:rPr/>
      </w:pPr>
      <w:r>
        <w:rPr/>
        <w:t>The Reference Architecture defines the core elements of the framework: World Context, Assessment Boundaries, Objects, Associations, Objectives, Assessed Actions, State Transitions, Distributed Policy Updates, and World Context Transitions. The Moral Assessment Methodology defines how those elements are evaluated. Implementation concerns the practical question of how these concepts and methods can be instantiated in real systems without reducing the framework to a single software design, algorithm, data schema, or deployment model.</w:t>
      </w:r>
    </w:p>
    <w:p>
      <w:pPr>
        <w:pStyle w:val="BodyText"/>
        <w:spacing w:before="0" w:after="200"/>
        <w:rPr/>
      </w:pPr>
      <w:r>
        <w:rPr/>
        <w:t>This section therefore remains implementation-neutral while identifying the design principles, patterns, runtime services, and deployment considerations that a practical implementation should address. It does not require one canonical implementation. Instead, it describes the conditions an implementation should satisfy to preserve fidelity to the architecture and methodology.</w:t>
      </w:r>
    </w:p>
    <w:p>
      <w:pPr>
        <w:pStyle w:val="BodyText"/>
        <w:spacing w:before="0" w:after="200"/>
        <w:rPr/>
      </w:pPr>
      <w:r>
        <w:rPr/>
        <w:t>An implementation may be simple or complex. It may take the form of a human-guided assessment worksheet, a structured decision-support tool, an organizational governance process, an autonomous-system safety layer, an AI alignment framework, a legal or medical reasoning aid, or a Moral Reasoning Runtime integrated into larger software systems. These implementations may differ in representation, automation, interface, domain specialization, and computational sophistication, but they should preserve the same underlying assessment logic.</w:t>
      </w:r>
    </w:p>
    <w:p>
      <w:pPr>
        <w:pStyle w:val="BodyText"/>
        <w:spacing w:before="0" w:after="200"/>
        <w:rPr/>
      </w:pPr>
      <w:r>
        <w:rPr/>
        <w:t>The central implementation challenge is to make moral reasoning explicit, inspectable, auditable, confidence-bounded, and extensible. A conforming implementation should represent the relevant World Context, apply Assessment Boundaries, identify affected entities and Associations, evaluate Objectives, model State Transitions, estimate Long-Term Flourishing changes, account for Distributed Policy Updates, assess uncertainty, and produce structured Assessment Output.</w:t>
      </w:r>
    </w:p>
    <w:p>
      <w:pPr>
        <w:pStyle w:val="BodyText"/>
        <w:spacing w:before="0" w:after="200"/>
        <w:rPr/>
      </w:pPr>
      <w:r>
        <w:rPr/>
        <w:t>Implementation also introduces practical concerns that are not fully addressed at the architectural or methodological levels. These include data representation, evidence ingestion, traceability, user interface design, runtime orchestration, model selection, confidence estimation, audit logging, human review, escalation, governance, deployment context, performance constraints, security, privacy, interoperability, and extensibility.</w:t>
      </w:r>
    </w:p>
    <w:p>
      <w:pPr>
        <w:pStyle w:val="BodyText"/>
        <w:spacing w:before="0" w:after="200"/>
        <w:rPr/>
      </w:pPr>
      <w:r>
        <w:rPr/>
        <w:t>The purpose of this section is not to prescribe a final technical stack. Its purpose is to define an implementation philosophy and set of design patterns that allow different systems to instantiate the framework responsibly. The goal is to ensure that practical implementations remain faithful to the framework’s core commitment: evaluating Assessed Actions by their effects on the transition from one World Context to another, with explicit attention to Long-Term Flourishing, material diminishment, policy-state changes, uncertainty, and future state space.</w:t>
      </w:r>
    </w:p>
    <w:p>
      <w:pPr>
        <w:pStyle w:val="Heading2"/>
        <w:ind w:hanging="0" w:left="0"/>
        <w:rPr/>
      </w:pPr>
      <w:bookmarkStart w:id="9" w:name="__RefHeading___Toc23539_3508477456"/>
      <w:bookmarkEnd w:id="9"/>
      <w:r>
        <w:rPr/>
        <w:t>Implementation Philosophy</w:t>
      </w:r>
    </w:p>
    <w:p>
      <w:pPr>
        <w:pStyle w:val="BodyText"/>
        <w:spacing w:before="0" w:after="200"/>
        <w:rPr/>
      </w:pPr>
      <w:r>
        <w:rPr/>
        <w:t>Objective-Based Systems Ethics is implementation-independent.</w:t>
      </w:r>
    </w:p>
    <w:p>
      <w:pPr>
        <w:pStyle w:val="BodyText"/>
        <w:spacing w:before="0" w:after="200"/>
        <w:rPr/>
      </w:pPr>
      <w:r>
        <w:rPr/>
        <w:t>The Reference Architecture defines the conceptual structure required for moral assessment. It identifies the elements, relationships, and information flows needed to evaluate an Assessed Action as a transformation from one World Context to another. It does not prescribe a programming language, database structure, inference engine, user interface, model architecture, runtime environment, deployment pattern, or software stack.</w:t>
      </w:r>
    </w:p>
    <w:p>
      <w:pPr>
        <w:pStyle w:val="BodyText"/>
        <w:spacing w:before="0" w:after="200"/>
        <w:rPr/>
      </w:pPr>
      <w:r>
        <w:rPr/>
        <w:t>The Moral Assessment Methodology defines how the architectural elements are used to perform assessment. It describes how to identify context, represent state, evaluate transitions, estimate Long-Term Flourishing, account for Distributed Policy Updates, reason under uncertainty, assess multiple horizons, and produce structured outputs. It also does not require a single implementation form.</w:t>
      </w:r>
    </w:p>
    <w:p>
      <w:pPr>
        <w:pStyle w:val="BodyText"/>
        <w:spacing w:before="0" w:after="200"/>
        <w:rPr/>
      </w:pPr>
      <w:r>
        <w:rPr/>
        <w:t>Implementation begins only after the architecture and methodology have been defined. The role of implementation is to show how the architecture and methodology may be realized in operational systems.</w:t>
      </w:r>
    </w:p>
    <w:p>
      <w:pPr>
        <w:pStyle w:val="Heading3"/>
        <w:ind w:hanging="0" w:left="0"/>
        <w:rPr/>
      </w:pPr>
      <w:r>
        <w:rPr/>
        <w:t>Architecture Before Implementation</w:t>
      </w:r>
    </w:p>
    <w:p>
      <w:pPr>
        <w:pStyle w:val="BodyText"/>
        <w:spacing w:before="0" w:after="200"/>
        <w:rPr/>
      </w:pPr>
      <w:r>
        <w:rPr/>
        <w:t>The architecture defines what must be represented. Implementation defines how those representations are constructed, stored, processed, displayed, audited, and used.</w:t>
      </w:r>
    </w:p>
    <w:p>
      <w:pPr>
        <w:pStyle w:val="BodyText"/>
        <w:spacing w:before="0" w:after="200"/>
        <w:rPr/>
      </w:pPr>
      <w:r>
        <w:rPr/>
        <w:t>This distinction is essential. If implementation choices are introduced too early, the framework may become tied to a particular technical pattern rather than preserving its generality. A graph database, symbolic reasoning engine, probabilistic model, LLM-based workflow, rules engine, simulation environment, or runtime service may all be useful implementation approaches, but none of them is the architecture itself.</w:t>
      </w:r>
    </w:p>
    <w:p>
      <w:pPr>
        <w:pStyle w:val="BodyText"/>
        <w:spacing w:before="0" w:after="200"/>
        <w:rPr/>
      </w:pPr>
      <w:r>
        <w:rPr/>
        <w:t>The architecture remains stable across implementations. Different systems may instantiate it differently while preserving the same conceptual requirements.</w:t>
      </w:r>
    </w:p>
    <w:p>
      <w:pPr>
        <w:pStyle w:val="BodyText"/>
        <w:spacing w:before="0" w:after="200"/>
        <w:rPr/>
      </w:pPr>
      <w:r>
        <w:rPr/>
        <w:t>For example, one implementation may represent the World Context as a graph. Another may represent it as structured records. Another may use a hybrid ontology and probabilistic model. Another may use a human-readable assessment form. These implementations may differ significantly in technical form, but each can preserve fidelity if it represents the relevant elements and supports the required assessment workflow.</w:t>
      </w:r>
    </w:p>
    <w:p>
      <w:pPr>
        <w:pStyle w:val="Heading3"/>
        <w:ind w:hanging="0" w:left="0"/>
        <w:rPr/>
      </w:pPr>
      <w:r>
        <w:rPr/>
        <w:t>Methodology Before Mechanism</w:t>
      </w:r>
    </w:p>
    <w:p>
      <w:pPr>
        <w:pStyle w:val="BodyText"/>
        <w:spacing w:before="0" w:after="200"/>
        <w:rPr/>
      </w:pPr>
      <w:r>
        <w:rPr/>
        <w:t>The methodology defines the assessment process before any particular computational mechanism is selected.</w:t>
      </w:r>
    </w:p>
    <w:p>
      <w:pPr>
        <w:pStyle w:val="BodyText"/>
        <w:spacing w:before="0" w:after="200"/>
        <w:rPr/>
      </w:pPr>
      <w:r>
        <w:rPr/>
        <w:t>This means that implementation should not begin by asking which tool or model will produce the answer. It should begin by asking what the assessment requires: what context must be represented, what entities may be affected, what Associations matter, what Objectives apply, what State Transitions must be estimated, what flourishing changes may occur, what policy updates may result, what uncertainty exists, and what output must be produced.</w:t>
      </w:r>
    </w:p>
    <w:p>
      <w:pPr>
        <w:pStyle w:val="BodyText"/>
        <w:spacing w:before="0" w:after="200"/>
        <w:rPr/>
      </w:pPr>
      <w:r>
        <w:rPr/>
        <w:t>Only after these methodological requirements are understood should an implementation choose mechanisms for representation, inference, prediction, user interaction, storage, audit, or deployment.</w:t>
      </w:r>
    </w:p>
    <w:p>
      <w:pPr>
        <w:pStyle w:val="BodyText"/>
        <w:spacing w:before="0" w:after="200"/>
        <w:rPr/>
      </w:pPr>
      <w:r>
        <w:rPr/>
        <w:t>This prevents the implementation from reducing moral assessment to the capabilities or limitations of a particular tool. A large language model, expert system, database, simulation, rules engine, or decision-support interface may assist the assessment, but the methodology determines what the system must preserve.</w:t>
      </w:r>
    </w:p>
    <w:p>
      <w:pPr>
        <w:pStyle w:val="Heading3"/>
        <w:ind w:hanging="0" w:left="0"/>
        <w:rPr/>
      </w:pPr>
      <w:r>
        <w:rPr/>
        <w:t>Multiple Valid Implementation Patterns</w:t>
      </w:r>
    </w:p>
    <w:p>
      <w:pPr>
        <w:pStyle w:val="BodyText"/>
        <w:spacing w:before="0" w:after="200"/>
        <w:rPr/>
      </w:pPr>
      <w:r>
        <w:rPr/>
        <w:t>The framework can be realized through multiple software and procedural patterns.</w:t>
      </w:r>
    </w:p>
    <w:p>
      <w:pPr>
        <w:pStyle w:val="BodyText"/>
        <w:spacing w:before="0" w:after="200"/>
        <w:rPr/>
      </w:pPr>
      <w:r>
        <w:rPr/>
        <w:t>Possible implementations include:</w:t>
      </w:r>
    </w:p>
    <w:p>
      <w:pPr>
        <w:pStyle w:val="BodyText"/>
        <w:spacing w:before="0" w:after="200"/>
        <w:rPr/>
      </w:pPr>
      <w:r>
        <w:rPr/>
        <w:t>A human-guided assessment worksheet.</w:t>
      </w:r>
    </w:p>
    <w:p>
      <w:pPr>
        <w:pStyle w:val="BodyText"/>
        <w:spacing w:before="0" w:after="200"/>
        <w:rPr/>
      </w:pPr>
      <w:r>
        <w:rPr/>
        <w:t>A structured decision-support application.</w:t>
      </w:r>
    </w:p>
    <w:p>
      <w:pPr>
        <w:pStyle w:val="BodyText"/>
        <w:spacing w:before="0" w:after="200"/>
        <w:rPr/>
      </w:pPr>
      <w:r>
        <w:rPr/>
        <w:t>A governance workflow for organizations.</w:t>
      </w:r>
    </w:p>
    <w:p>
      <w:pPr>
        <w:pStyle w:val="BodyText"/>
        <w:spacing w:before="0" w:after="200"/>
        <w:rPr/>
      </w:pPr>
      <w:r>
        <w:rPr/>
        <w:t>A legal or medical review tool.</w:t>
      </w:r>
    </w:p>
    <w:p>
      <w:pPr>
        <w:pStyle w:val="BodyText"/>
        <w:spacing w:before="0" w:after="200"/>
        <w:rPr/>
      </w:pPr>
      <w:r>
        <w:rPr/>
        <w:t>A policy-analysis system.</w:t>
      </w:r>
    </w:p>
    <w:p>
      <w:pPr>
        <w:pStyle w:val="BodyText"/>
        <w:spacing w:before="0" w:after="200"/>
        <w:rPr/>
      </w:pPr>
      <w:r>
        <w:rPr/>
        <w:t>A robotic or autonomous-system safety layer.</w:t>
      </w:r>
    </w:p>
    <w:p>
      <w:pPr>
        <w:pStyle w:val="BodyText"/>
        <w:spacing w:before="0" w:after="200"/>
        <w:rPr/>
      </w:pPr>
      <w:r>
        <w:rPr/>
        <w:t>An AI alignment and evaluation harness.</w:t>
      </w:r>
    </w:p>
    <w:p>
      <w:pPr>
        <w:pStyle w:val="BodyText"/>
        <w:spacing w:before="0" w:after="200"/>
        <w:rPr/>
      </w:pPr>
      <w:r>
        <w:rPr/>
        <w:t>A Moral Reasoning Runtime embedded in larger systems.</w:t>
      </w:r>
    </w:p>
    <w:p>
      <w:pPr>
        <w:pStyle w:val="BodyText"/>
        <w:spacing w:before="0" w:after="200"/>
        <w:rPr/>
      </w:pPr>
      <w:r>
        <w:rPr/>
        <w:t>A hybrid human-machine review process.</w:t>
      </w:r>
    </w:p>
    <w:p>
      <w:pPr>
        <w:pStyle w:val="BodyText"/>
        <w:spacing w:before="0" w:after="200"/>
        <w:rPr/>
      </w:pPr>
      <w:r>
        <w:rPr/>
        <w:t>A simulation-based assessment environment.</w:t>
      </w:r>
    </w:p>
    <w:p>
      <w:pPr>
        <w:pStyle w:val="BodyText"/>
        <w:spacing w:before="0" w:after="200"/>
        <w:rPr/>
      </w:pPr>
      <w:r>
        <w:rPr/>
        <w:t>A graph-based moral reasoning system.</w:t>
      </w:r>
    </w:p>
    <w:p>
      <w:pPr>
        <w:pStyle w:val="BodyText"/>
        <w:spacing w:before="0" w:after="200"/>
        <w:rPr/>
      </w:pPr>
      <w:r>
        <w:rPr/>
        <w:t>These patterns are not mutually exclusive. A mature implementation may combine several of them. For example, a Moral Reasoning Runtime may use a graph representation of World Context, probabilistic transition models, LLM-assisted evidence summarization, human review checkpoints, structured audit logs, and domain-specific policy modules.</w:t>
      </w:r>
    </w:p>
    <w:p>
      <w:pPr>
        <w:pStyle w:val="BodyText"/>
        <w:spacing w:before="0" w:after="200"/>
        <w:rPr/>
      </w:pPr>
      <w:r>
        <w:rPr/>
        <w:t>The implementation philosophy therefore favors architectural fidelity over technical uniformity.</w:t>
      </w:r>
    </w:p>
    <w:p>
      <w:pPr>
        <w:pStyle w:val="Heading3"/>
        <w:ind w:hanging="0" w:left="0"/>
        <w:rPr/>
      </w:pPr>
      <w:r>
        <w:rPr/>
        <w:t>Implementation as Realization, Not Definition</w:t>
      </w:r>
    </w:p>
    <w:p>
      <w:pPr>
        <w:pStyle w:val="BodyText"/>
        <w:spacing w:before="0" w:after="200"/>
        <w:rPr/>
      </w:pPr>
      <w:r>
        <w:rPr/>
        <w:t>Implementation sections describe how the architecture may be realized, not what the architecture is.</w:t>
      </w:r>
    </w:p>
    <w:p>
      <w:pPr>
        <w:pStyle w:val="BodyText"/>
        <w:spacing w:before="0" w:after="200"/>
        <w:rPr/>
      </w:pPr>
      <w:r>
        <w:rPr/>
        <w:t>This distinction prevents implementation-specific decisions from being mistaken for foundational commitments. For example, if an implementation uses a graph database, that does not mean the Reference Architecture requires a graph database. If an implementation uses Bayesian networks, that does not mean the methodology requires Bayesian networks. If an implementation uses LLMs, that does not mean the framework depends on LLMs.</w:t>
      </w:r>
    </w:p>
    <w:p>
      <w:pPr>
        <w:pStyle w:val="BodyText"/>
        <w:spacing w:before="0" w:after="200"/>
        <w:rPr/>
      </w:pPr>
      <w:r>
        <w:rPr/>
        <w:t>Implementation choices are contingent. Architectural requirements are conceptual. Methodological requirements are procedural and evaluative. Implementations should be judged by how well they preserve and operationalize those requirements.</w:t>
      </w:r>
    </w:p>
    <w:p>
      <w:pPr>
        <w:pStyle w:val="Heading3"/>
        <w:ind w:hanging="0" w:left="0"/>
        <w:rPr/>
      </w:pPr>
      <w:r>
        <w:rPr/>
        <w:t>Fidelity Over Optimization</w:t>
      </w:r>
    </w:p>
    <w:p>
      <w:pPr>
        <w:pStyle w:val="BodyText"/>
        <w:spacing w:before="0" w:after="200"/>
        <w:rPr/>
      </w:pPr>
      <w:r>
        <w:rPr/>
        <w:t>A conforming implementation should prioritize fidelity to the framework before optimizing for speed, automation, simplicity, or ease of deployment.</w:t>
      </w:r>
    </w:p>
    <w:p>
      <w:pPr>
        <w:pStyle w:val="BodyText"/>
        <w:spacing w:before="0" w:after="200"/>
        <w:rPr/>
      </w:pPr>
      <w:r>
        <w:rPr/>
        <w:t>An implementation that produces fast outputs but omits affected entities, ignores Associations, collapses Long-Term Flourishing into a single score, excludes Distributed Policy Updates, hides uncertainty, or fails to summarize the World Context Transition does not preserve the methodology.</w:t>
      </w:r>
    </w:p>
    <w:p>
      <w:pPr>
        <w:pStyle w:val="BodyText"/>
        <w:spacing w:before="0" w:after="200"/>
        <w:rPr/>
      </w:pPr>
      <w:r>
        <w:rPr/>
        <w:t>Optimization is valuable only after fidelity is preserved. Practical systems may simplify, approximate, or automate parts of the methodology, but those simplifications should be explicit and should affect confidence when they materially limit the assessment.</w:t>
      </w:r>
    </w:p>
    <w:p>
      <w:pPr>
        <w:pStyle w:val="BodyText"/>
        <w:spacing w:before="0" w:after="200"/>
        <w:rPr/>
      </w:pPr>
      <w:r>
        <w:rPr/>
        <w:t>The goal is not merely to produce an answer. The goal is to produce an assessment that remains inspectable, evidence-linked, assumption-explicit, confidence-bounded, and faithful to the transition from World Context₀ to World Context₁.</w:t>
      </w:r>
    </w:p>
    <w:p>
      <w:pPr>
        <w:pStyle w:val="Heading3"/>
        <w:ind w:hanging="0" w:left="0"/>
        <w:rPr/>
      </w:pPr>
      <w:r>
        <w:rPr/>
        <w:t>Human and Machine Compatibility</w:t>
      </w:r>
    </w:p>
    <w:p>
      <w:pPr>
        <w:pStyle w:val="BodyText"/>
        <w:spacing w:before="0" w:after="200"/>
        <w:rPr/>
      </w:pPr>
      <w:r>
        <w:rPr/>
        <w:t>The framework should support both human-readable and machine-operable implementations.</w:t>
      </w:r>
    </w:p>
    <w:p>
      <w:pPr>
        <w:pStyle w:val="BodyText"/>
        <w:spacing w:before="0" w:after="200"/>
        <w:rPr/>
      </w:pPr>
      <w:r>
        <w:rPr/>
        <w:t>Some implementations may be primarily human-facing, such as governance templates, review forms, legal analysis tools, or ethics committee workflows. Others may be machine-operable, such as runtime services, autonomous-system evaluators, structured APIs, or AI safety layers. Many practical implementations will combine both.</w:t>
      </w:r>
    </w:p>
    <w:p>
      <w:pPr>
        <w:pStyle w:val="BodyText"/>
        <w:spacing w:before="0" w:after="200"/>
        <w:rPr/>
      </w:pPr>
      <w:r>
        <w:rPr/>
        <w:t>Human compatibility requires explanations, traceability, reviewability, and contestability. Machine compatibility requires structured representations, consistent interfaces, state tracking, confidence values, and reliable output formats.</w:t>
      </w:r>
    </w:p>
    <w:p>
      <w:pPr>
        <w:pStyle w:val="BodyText"/>
        <w:spacing w:before="0" w:after="200"/>
        <w:rPr/>
      </w:pPr>
      <w:r>
        <w:rPr/>
        <w:t>The implementation philosophy should support both modes without assuming that either is sufficient alone. Human judgment may be necessary for context interpretation, contested values, legitimacy, domain expertise, and accountability. Machine systems may be useful for consistency, scale, monitoring, evidence retrieval, structured reasoning, simulation, and audit.</w:t>
      </w:r>
    </w:p>
    <w:p>
      <w:pPr>
        <w:pStyle w:val="Heading3"/>
        <w:ind w:hanging="0" w:left="0"/>
        <w:rPr/>
      </w:pPr>
      <w:r>
        <w:rPr/>
        <w:t>Explicit Representation</w:t>
      </w:r>
    </w:p>
    <w:p>
      <w:pPr>
        <w:pStyle w:val="BodyText"/>
        <w:spacing w:before="0" w:after="200"/>
        <w:rPr/>
      </w:pPr>
      <w:r>
        <w:rPr/>
        <w:t>Implementations should make morally relevant representations explicit.</w:t>
      </w:r>
    </w:p>
    <w:p>
      <w:pPr>
        <w:pStyle w:val="BodyText"/>
        <w:spacing w:before="0" w:after="200"/>
        <w:rPr/>
      </w:pPr>
      <w:r>
        <w:rPr/>
        <w:t>A system should not hide key assessment elements inside opaque intuition, untraceable model behavior, or unsupported narrative conclusions. It should explicitly represent the Assessed Action, Assessment Boundary, Situational Context, affected entities, Associations, Objectives, state variables, evidence, assumptions, uncertainty, policy updates, Assessment Horizons, and World Context Transition.</w:t>
      </w:r>
    </w:p>
    <w:p>
      <w:pPr>
        <w:pStyle w:val="BodyText"/>
        <w:spacing w:before="0" w:after="200"/>
        <w:rPr/>
      </w:pPr>
      <w:r>
        <w:rPr/>
        <w:t>Explicit representation does not require every implementation to expose every internal detail to every user. It does require that material assessment elements be available for review, audit, explanation, or revision when needed.</w:t>
      </w:r>
    </w:p>
    <w:p>
      <w:pPr>
        <w:pStyle w:val="BodyText"/>
        <w:spacing w:before="0" w:after="200"/>
        <w:rPr/>
      </w:pPr>
      <w:r>
        <w:rPr/>
        <w:t>This requirement is especially important for high-stakes implementations, autonomous systems, institutional decision support, and AI-mediated moral reasoning.</w:t>
      </w:r>
    </w:p>
    <w:p>
      <w:pPr>
        <w:pStyle w:val="Heading3"/>
        <w:ind w:hanging="0" w:left="0"/>
        <w:rPr/>
      </w:pPr>
      <w:r>
        <w:rPr/>
        <w:t>Traceability and Auditability</w:t>
      </w:r>
    </w:p>
    <w:p>
      <w:pPr>
        <w:pStyle w:val="BodyText"/>
        <w:spacing w:before="0" w:after="200"/>
        <w:rPr/>
      </w:pPr>
      <w:r>
        <w:rPr/>
        <w:t>Implementation should preserve traceability from output back to assessment structure.</w:t>
      </w:r>
    </w:p>
    <w:p>
      <w:pPr>
        <w:pStyle w:val="BodyText"/>
        <w:spacing w:before="0" w:after="200"/>
        <w:rPr/>
      </w:pPr>
      <w:r>
        <w:rPr/>
        <w:t>A reviewer should be able to understand how the system moved from the initial context to the final assessment result. This requires links among evidence, assumptions, intermediate results, confidence values, State Transitions, Flourishing Transitions, Distributed Policy Updates, and the World Context Transition summary.</w:t>
      </w:r>
    </w:p>
    <w:p>
      <w:pPr>
        <w:pStyle w:val="BodyText"/>
        <w:spacing w:before="0" w:after="200"/>
        <w:rPr/>
      </w:pPr>
      <w:r>
        <w:rPr/>
        <w:t>Traceability supports audit, contestability, correction, institutional learning, and accountability. It also allows future assessments to update prior conclusions when new evidence becomes available.</w:t>
      </w:r>
    </w:p>
    <w:p>
      <w:pPr>
        <w:pStyle w:val="BodyText"/>
        <w:spacing w:before="0" w:after="200"/>
        <w:rPr/>
      </w:pPr>
      <w:r>
        <w:rPr/>
        <w:t>An implementation that cannot explain why it produced an assessment result is incomplete, even if the result appears plausible.</w:t>
      </w:r>
    </w:p>
    <w:p>
      <w:pPr>
        <w:pStyle w:val="Heading3"/>
        <w:ind w:hanging="0" w:left="0"/>
        <w:rPr/>
      </w:pPr>
      <w:r>
        <w:rPr/>
        <w:t>Confidence-Bounded Operation</w:t>
      </w:r>
    </w:p>
    <w:p>
      <w:pPr>
        <w:pStyle w:val="BodyText"/>
        <w:spacing w:before="0" w:after="200"/>
        <w:rPr/>
      </w:pPr>
      <w:r>
        <w:rPr/>
        <w:t>Implementation should preserve confidence and uncertainty rather than hiding them.</w:t>
      </w:r>
    </w:p>
    <w:p>
      <w:pPr>
        <w:pStyle w:val="BodyText"/>
        <w:spacing w:before="0" w:after="200"/>
        <w:rPr/>
      </w:pPr>
      <w:r>
        <w:rPr/>
        <w:t>Moral assessment under this framework is not expected to produce certainty. Implementations should therefore report confidence levels, evidence limitations, incomplete information, model uncertainty, prediction uncertainty, and horizon-specific uncertainty.</w:t>
      </w:r>
    </w:p>
    <w:p>
      <w:pPr>
        <w:pStyle w:val="BodyText"/>
        <w:spacing w:before="0" w:after="200"/>
        <w:rPr/>
      </w:pPr>
      <w:r>
        <w:rPr/>
        <w:t>A practical implementation should be able to produce outputs such as:</w:t>
      </w:r>
    </w:p>
    <w:p>
      <w:pPr>
        <w:pStyle w:val="BodyText"/>
        <w:spacing w:before="0" w:after="200"/>
        <w:rPr/>
      </w:pPr>
      <w:r>
        <w:rPr/>
        <w:t>High-confidence support.</w:t>
      </w:r>
    </w:p>
    <w:p>
      <w:pPr>
        <w:pStyle w:val="BodyText"/>
        <w:spacing w:before="0" w:after="200"/>
        <w:rPr/>
      </w:pPr>
      <w:r>
        <w:rPr/>
        <w:t>Moderate-confidence concern.</w:t>
      </w:r>
    </w:p>
    <w:p>
      <w:pPr>
        <w:pStyle w:val="BodyText"/>
        <w:spacing w:before="0" w:after="200"/>
        <w:rPr/>
      </w:pPr>
      <w:r>
        <w:rPr/>
        <w:t>Low-confidence provisional assessment.</w:t>
      </w:r>
    </w:p>
    <w:p>
      <w:pPr>
        <w:pStyle w:val="BodyText"/>
        <w:spacing w:before="0" w:after="200"/>
        <w:rPr/>
      </w:pPr>
      <w:r>
        <w:rPr/>
        <w:t>Insufficient evidence.</w:t>
      </w:r>
    </w:p>
    <w:p>
      <w:pPr>
        <w:pStyle w:val="BodyText"/>
        <w:spacing w:before="0" w:after="200"/>
        <w:rPr/>
      </w:pPr>
      <w:r>
        <w:rPr/>
        <w:t>Requires human review.</w:t>
      </w:r>
    </w:p>
    <w:p>
      <w:pPr>
        <w:pStyle w:val="BodyText"/>
        <w:spacing w:before="0" w:after="200"/>
        <w:rPr/>
      </w:pPr>
      <w:r>
        <w:rPr/>
        <w:t>Requires additional evidence.</w:t>
      </w:r>
    </w:p>
    <w:p>
      <w:pPr>
        <w:pStyle w:val="BodyText"/>
        <w:spacing w:before="0" w:after="200"/>
        <w:rPr/>
      </w:pPr>
      <w:r>
        <w:rPr/>
        <w:t>Requires mitigation or monitoring.</w:t>
      </w:r>
    </w:p>
    <w:p>
      <w:pPr>
        <w:pStyle w:val="BodyText"/>
        <w:spacing w:before="0" w:after="200"/>
        <w:rPr/>
      </w:pPr>
      <w:r>
        <w:rPr/>
        <w:t>Severe low-probability risk.</w:t>
      </w:r>
    </w:p>
    <w:p>
      <w:pPr>
        <w:pStyle w:val="BodyText"/>
        <w:spacing w:before="0" w:after="200"/>
        <w:rPr/>
      </w:pPr>
      <w:r>
        <w:rPr/>
        <w:t>Confidence-bounded operation allows the implementation to remain useful under uncertainty without pretending to know more than it does.</w:t>
      </w:r>
    </w:p>
    <w:p>
      <w:pPr>
        <w:pStyle w:val="Heading3"/>
        <w:ind w:hanging="0" w:left="0"/>
        <w:rPr/>
      </w:pPr>
      <w:r>
        <w:rPr/>
        <w:t>Modularity and Extensibility</w:t>
      </w:r>
    </w:p>
    <w:p>
      <w:pPr>
        <w:pStyle w:val="BodyText"/>
        <w:spacing w:before="0" w:after="200"/>
        <w:rPr/>
      </w:pPr>
      <w:r>
        <w:rPr/>
        <w:t>Implementation should be modular and extensible.</w:t>
      </w:r>
    </w:p>
    <w:p>
      <w:pPr>
        <w:pStyle w:val="BodyText"/>
        <w:spacing w:before="0" w:after="200"/>
        <w:rPr/>
      </w:pPr>
      <w:r>
        <w:rPr/>
        <w:t>The framework is expected to support multiple domains, entity types, assessment horizons, evidence models, flourishing dimensions, and deployment environments. Implementations should therefore avoid hard-coding assumptions that prevent future refinement.</w:t>
      </w:r>
    </w:p>
    <w:p>
      <w:pPr>
        <w:pStyle w:val="BodyText"/>
        <w:spacing w:before="0" w:after="200"/>
        <w:rPr/>
      </w:pPr>
      <w:r>
        <w:rPr/>
        <w:t>A modular implementation may separate context representation, evidence ingestion, state modeling, probability estimation, flourishing assessment, policy-update estimation, horizon analysis, output generation, and audit logging. This allows the system to evolve as the methodology improves.</w:t>
      </w:r>
    </w:p>
    <w:p>
      <w:pPr>
        <w:pStyle w:val="BodyText"/>
        <w:spacing w:before="0" w:after="200"/>
        <w:rPr/>
      </w:pPr>
      <w:r>
        <w:rPr/>
        <w:t>Extensibility is especially important because the precise formalization of Long-Term Flourishing, weighting, aggregation, probability, and materiality remains open to future refinement. Implementations should support refinement without requiring the architecture to be rewritten.</w:t>
      </w:r>
    </w:p>
    <w:p>
      <w:pPr>
        <w:pStyle w:val="Heading3"/>
        <w:ind w:hanging="0" w:left="0"/>
        <w:rPr/>
      </w:pPr>
      <w:r>
        <w:rPr/>
        <w:t>Domain Adaptation Without Architectural Drift</w:t>
      </w:r>
    </w:p>
    <w:p>
      <w:pPr>
        <w:pStyle w:val="BodyText"/>
        <w:spacing w:before="0" w:after="200"/>
        <w:rPr/>
      </w:pPr>
      <w:r>
        <w:rPr/>
        <w:t>Implementations may adapt the framework to specific domains, but they should not drift away from the core architecture.</w:t>
      </w:r>
    </w:p>
    <w:p>
      <w:pPr>
        <w:pStyle w:val="BodyText"/>
        <w:spacing w:before="0" w:after="200"/>
        <w:rPr/>
      </w:pPr>
      <w:r>
        <w:rPr/>
        <w:t>A medical implementation may require clinical evidence, consent, diagnosis, treatment alternatives, and patient autonomy. A legal implementation may require jurisdiction, authority, precedent, due process, and legitimacy. An AI implementation may require system behavior, model uncertainty, training dynamics, safety constraints, and runtime monitoring. An environmental implementation may require ecological resilience, species interactions, recovery horizons, and future state-space effects.</w:t>
      </w:r>
    </w:p>
    <w:p>
      <w:pPr>
        <w:pStyle w:val="BodyText"/>
        <w:spacing w:before="0" w:after="200"/>
        <w:rPr/>
      </w:pPr>
      <w:r>
        <w:rPr/>
        <w:t>These domain-specific additions are appropriate when they preserve the core assessment structure. They become problematic only when they replace the framework’s central logic with domain-specific shortcuts.</w:t>
      </w:r>
    </w:p>
    <w:p>
      <w:pPr>
        <w:pStyle w:val="BodyText"/>
        <w:spacing w:before="0" w:after="200"/>
        <w:rPr/>
      </w:pPr>
      <w:r>
        <w:rPr/>
        <w:t>A domain implementation should still evaluate the transition from World Context₀ to World Context₁, including affected entities, Associations, Objectives, State Transitions, Long-Term Flourishing, Distributed Policy Updates, uncertainty, and Assessment Output.</w:t>
      </w:r>
    </w:p>
    <w:p>
      <w:pPr>
        <w:pStyle w:val="Heading3"/>
        <w:ind w:hanging="0" w:left="0"/>
        <w:rPr/>
      </w:pPr>
      <w:r>
        <w:rPr/>
        <w:t>Implementation Independence and Validation</w:t>
      </w:r>
    </w:p>
    <w:p>
      <w:pPr>
        <w:pStyle w:val="BodyText"/>
        <w:spacing w:before="0" w:after="200"/>
        <w:rPr/>
      </w:pPr>
      <w:r>
        <w:rPr/>
        <w:t>Because the architecture is implementation-independent, validation should evaluate whether an implementation preserves the framework’s required structure and produces useful, traceable, confidence-bounded assessments.</w:t>
      </w:r>
    </w:p>
    <w:p>
      <w:pPr>
        <w:pStyle w:val="BodyText"/>
        <w:spacing w:before="0" w:after="200"/>
        <w:rPr/>
      </w:pPr>
      <w:r>
        <w:rPr/>
        <w:t>Validation should not ask whether the implementation matches one preferred software pattern. It should ask whether the implementation can faithfully represent the assessment problem, preserve relevant moral information, support review, and avoid known failure modes such as outcome-only reasoning, aggregate substitution, means blindness, horizon collapse, hidden assumptions, or false confidence.</w:t>
      </w:r>
    </w:p>
    <w:p>
      <w:pPr>
        <w:pStyle w:val="BodyText"/>
        <w:spacing w:before="0" w:after="200"/>
        <w:rPr/>
      </w:pPr>
      <w:r>
        <w:rPr/>
        <w:t>An implementation may be technically sophisticated but methodologically weak if it omits essential assessment elements. Conversely, a simple implementation may be useful if it preserves the core structure clearly and reliably.</w:t>
      </w:r>
    </w:p>
    <w:p>
      <w:pPr>
        <w:pStyle w:val="Heading3"/>
        <w:ind w:hanging="0" w:left="0"/>
        <w:rPr>
          <w:rFonts w:ascii="Aptos" w:hAnsi="Aptos"/>
          <w:color w:val="auto"/>
        </w:rPr>
      </w:pPr>
      <w:r>
        <w:rPr/>
        <w:t>Implementation Boundary</w:t>
      </w:r>
    </w:p>
    <w:p>
      <w:pPr>
        <w:pStyle w:val="BodyText"/>
        <w:spacing w:before="0" w:after="200"/>
        <w:rPr/>
      </w:pPr>
      <w:r>
        <w:rPr/>
        <w:t>The Implementation section does not redefine the Reference Architecture or Moral Assessment Methodology.</w:t>
      </w:r>
    </w:p>
    <w:p>
      <w:pPr>
        <w:pStyle w:val="BodyText"/>
        <w:spacing w:before="0" w:after="200"/>
        <w:rPr/>
      </w:pPr>
      <w:r>
        <w:rPr/>
        <w:t>It describes possible ways to realize them.</w:t>
      </w:r>
    </w:p>
    <w:p>
      <w:pPr>
        <w:pStyle w:val="BodyText"/>
        <w:spacing w:before="0" w:after="200"/>
        <w:rPr/>
      </w:pPr>
      <w:r>
        <w:rPr/>
        <w:t>The architecture answers: What conceptual elements must exist for assessment?</w:t>
      </w:r>
    </w:p>
    <w:p>
      <w:pPr>
        <w:pStyle w:val="BodyText"/>
        <w:spacing w:before="0" w:after="200"/>
        <w:rPr/>
      </w:pPr>
      <w:r>
        <w:rPr/>
        <w:t>The methodology answers: How are those elements evaluated?</w:t>
      </w:r>
    </w:p>
    <w:p>
      <w:pPr>
        <w:pStyle w:val="BodyText"/>
        <w:spacing w:before="0" w:after="200"/>
        <w:rPr/>
      </w:pPr>
      <w:r>
        <w:rPr/>
        <w:t>Implementation answers: How can those elements and methods be operationalized in practice?</w:t>
      </w:r>
    </w:p>
    <w:p>
      <w:pPr>
        <w:pStyle w:val="BodyText"/>
        <w:spacing w:before="0" w:after="200"/>
        <w:rPr/>
      </w:pPr>
      <w:r>
        <w:rPr/>
        <w:t>Maintaining this boundary is essential. It allows the framework to support many implementations while preserving a stable conceptual core. It also allows future technical systems to improve without forcing changes to the underlying architecture.</w:t>
      </w:r>
    </w:p>
    <w:p>
      <w:pPr>
        <w:pStyle w:val="BodyText"/>
        <w:spacing w:before="0" w:after="200"/>
        <w:rPr/>
      </w:pPr>
      <w:r>
        <w:rPr/>
        <w:t>The implementation philosophy is therefore pluralistic, modular, traceable, confidence-bounded, and fidelity-oriented. Its purpose is to enable practical moral reasoning systems without reducing Objective-Based Systems Ethics to any single implementation pattern.</w:t>
      </w:r>
    </w:p>
    <w:p>
      <w:pPr>
        <w:pStyle w:val="Heading2"/>
        <w:rPr/>
      </w:pPr>
      <w:bookmarkStart w:id="10" w:name="__RefHeading___Toc23533_4084717531"/>
      <w:bookmarkEnd w:id="10"/>
      <w:r>
        <w:rPr/>
        <w:t>Implementation Design Principles</w:t>
      </w:r>
    </w:p>
    <w:p>
      <w:pPr>
        <w:pStyle w:val="BodyText"/>
        <w:spacing w:before="0" w:after="200"/>
        <w:rPr/>
      </w:pPr>
      <w:r>
        <w:rPr/>
        <w:t>Implementation Design Principles define the constraints that practical implementations should satisfy in order to remain faithful to Objective-Based Systems Ethics.</w:t>
      </w:r>
    </w:p>
    <w:p>
      <w:pPr>
        <w:pStyle w:val="BodyText"/>
        <w:spacing w:before="0" w:after="200"/>
        <w:rPr/>
      </w:pPr>
      <w:r>
        <w:rPr/>
        <w:t>Because the Reference Architecture is implementation-independent, many technical realizations are possible. An implementation may use symbolic reasoning, probabilistic modeling, graph structures, ontologies, large language models, expert systems, simulations, workflow engines, human review processes, or hybrid architectures. These choices may vary by domain and by technical maturity. However, the implementation must preserve the semantics of the Reference Architecture and the evaluative requirements of the Moral Assessment Methodology.</w:t>
      </w:r>
    </w:p>
    <w:p>
      <w:pPr>
        <w:pStyle w:val="BodyText"/>
        <w:spacing w:before="0" w:after="200"/>
        <w:rPr/>
      </w:pPr>
      <w:r>
        <w:rPr/>
        <w:t>The design principles in this section are intended to prevent implementation choices from distorting the framework. They ensure that practical systems remain explicit, extensible, auditable, confidence-bounded, and capable of improving as evidence quality, computational capacity, and domain models improve.</w:t>
      </w:r>
    </w:p>
    <w:p>
      <w:pPr>
        <w:pStyle w:val="BodyText"/>
        <w:spacing w:before="0" w:after="200"/>
        <w:rPr/>
      </w:pPr>
      <w:r>
        <w:rPr/>
        <w:t>A conforming implementation should not merely produce an answer. It should preserve the assessment structure through which the answer is produced. This includes the Assessment Boundary, Situational Context, relevant Objects and Associations, Objectives, Assessed Action, State Transitions, Long-Term Flourishing estimates, Distributed Policy Updates, uncertainty, confidence, World Context Transition, and structured Assessment Output.</w:t>
      </w:r>
    </w:p>
    <w:p>
      <w:pPr>
        <w:pStyle w:val="BodyText"/>
        <w:spacing w:before="0" w:after="200"/>
        <w:rPr/>
      </w:pPr>
      <w:r>
        <w:rPr/>
        <w:t>These principles should be treated as implementation-level requirements or constraints. They do not redefine the architecture. They define how implementations should behave if they claim to instantiate the architecture responsibly.</w:t>
      </w:r>
    </w:p>
    <w:p>
      <w:pPr>
        <w:pStyle w:val="Heading3"/>
        <w:ind w:hanging="0" w:left="0"/>
        <w:rPr/>
      </w:pPr>
      <w:r>
        <w:rPr/>
        <w:t>Fidelity to the Reference Architecture</w:t>
      </w:r>
    </w:p>
    <w:p>
      <w:pPr>
        <w:pStyle w:val="BodyText"/>
        <w:spacing w:before="0" w:after="200"/>
        <w:rPr/>
      </w:pPr>
      <w:r>
        <w:rPr/>
        <w:t>Implementations shall preserve the semantics of the Reference Architecture regardless of implementation technology.</w:t>
      </w:r>
    </w:p>
    <w:p>
      <w:pPr>
        <w:pStyle w:val="BodyText"/>
        <w:spacing w:before="0" w:after="200"/>
        <w:rPr/>
      </w:pPr>
      <w:r>
        <w:rPr/>
        <w:t>This means that implementation-specific representations must not alter the meaning of the architectural elements. A system may represent the World Context as a graph, database, ontology, document set, simulation, state vector, or hybrid model, but it must preserve the conceptual role of the World Context as the relevant baseline and resulting state of the moral system.</w:t>
      </w:r>
    </w:p>
    <w:p>
      <w:pPr>
        <w:pStyle w:val="BodyText"/>
        <w:spacing w:before="0" w:after="200"/>
        <w:rPr/>
      </w:pPr>
      <w:r>
        <w:rPr/>
        <w:t>Similarly, an implementation may represent Objects, Associations, Flourishing Entities, Moral Agents, Actors, Objectives, State Transitions, Distributed Policy Updates, and Assessment Horizons in different technical forms. However, it must not collapse or replace these concepts in ways that change the assessment.</w:t>
      </w:r>
    </w:p>
    <w:p>
      <w:pPr>
        <w:pStyle w:val="BodyText"/>
        <w:spacing w:before="0" w:after="200"/>
        <w:rPr/>
      </w:pPr>
      <w:r>
        <w:rPr/>
        <w:t>For example, an implementation that reduces moral assessment to a single utility score would not preserve fidelity if it omits Associations, policy updates, institutional effects, uncertainty, or future state space. An implementation that evaluates only immediate consequences would not preserve fidelity if the methodology requires multi-horizon assessment.</w:t>
      </w:r>
    </w:p>
    <w:p>
      <w:pPr>
        <w:pStyle w:val="BodyText"/>
        <w:spacing w:before="0" w:after="200"/>
        <w:rPr/>
      </w:pPr>
      <w:r>
        <w:rPr/>
        <w:t>Fidelity means that the implementation preserves the architecture’s intended semantics even when the technical form differs.</w:t>
      </w:r>
    </w:p>
    <w:p>
      <w:pPr>
        <w:pStyle w:val="Heading3"/>
        <w:ind w:hanging="0" w:left="0"/>
        <w:rPr/>
      </w:pPr>
      <w:r>
        <w:rPr/>
        <w:t>Progressive Information Quality</w:t>
      </w:r>
    </w:p>
    <w:p>
      <w:pPr>
        <w:pStyle w:val="BodyText"/>
        <w:spacing w:before="0" w:after="200"/>
        <w:rPr/>
      </w:pPr>
      <w:r>
        <w:rPr/>
        <w:t>Implementations shall accommodate increasingly complete, accurate, and higher-quality information without architectural modification.</w:t>
      </w:r>
    </w:p>
    <w:p>
      <w:pPr>
        <w:pStyle w:val="BodyText"/>
        <w:spacing w:before="0" w:after="200"/>
        <w:rPr/>
      </w:pPr>
      <w:r>
        <w:rPr/>
        <w:t>Assessment quality should improve as information quality improves. A system should be able to begin with incomplete or low-resolution information, produce a confidence-bounded assessment, and then refine that assessment as better evidence becomes available.</w:t>
      </w:r>
    </w:p>
    <w:p>
      <w:pPr>
        <w:pStyle w:val="BodyText"/>
        <w:spacing w:before="0" w:after="200"/>
        <w:rPr/>
      </w:pPr>
      <w:r>
        <w:rPr/>
        <w:t>Progressive Information Quality requires that implementations distinguish between missing information, weak evidence, strong evidence, conflicting evidence, uncertain assumptions, and verified facts. The assessment should not treat all inputs as equally reliable.</w:t>
      </w:r>
    </w:p>
    <w:p>
      <w:pPr>
        <w:pStyle w:val="BodyText"/>
        <w:spacing w:before="0" w:after="200"/>
        <w:rPr/>
      </w:pPr>
      <w:r>
        <w:rPr/>
        <w:t>An implementation should support improved assessment through:</w:t>
      </w:r>
    </w:p>
    <w:p>
      <w:pPr>
        <w:pStyle w:val="BodyText"/>
        <w:spacing w:before="0" w:after="200"/>
        <w:rPr/>
      </w:pPr>
      <w:r>
        <w:rPr/>
        <w:t>Additional evidence.</w:t>
      </w:r>
    </w:p>
    <w:p>
      <w:pPr>
        <w:pStyle w:val="BodyText"/>
        <w:spacing w:before="0" w:after="200"/>
        <w:rPr/>
      </w:pPr>
      <w:r>
        <w:rPr/>
        <w:t>Higher-quality evidence.</w:t>
      </w:r>
    </w:p>
    <w:p>
      <w:pPr>
        <w:pStyle w:val="BodyText"/>
        <w:spacing w:before="0" w:after="200"/>
        <w:rPr/>
      </w:pPr>
      <w:r>
        <w:rPr/>
        <w:t>More complete context representation.</w:t>
      </w:r>
    </w:p>
    <w:p>
      <w:pPr>
        <w:pStyle w:val="BodyText"/>
        <w:spacing w:before="0" w:after="200"/>
        <w:rPr/>
      </w:pPr>
      <w:r>
        <w:rPr/>
        <w:t>Better state variable estimation.</w:t>
      </w:r>
    </w:p>
    <w:p>
      <w:pPr>
        <w:pStyle w:val="BodyText"/>
        <w:spacing w:before="0" w:after="200"/>
        <w:rPr/>
      </w:pPr>
      <w:r>
        <w:rPr/>
        <w:t>Improved causal models.</w:t>
      </w:r>
    </w:p>
    <w:p>
      <w:pPr>
        <w:pStyle w:val="BodyText"/>
        <w:spacing w:before="0" w:after="200"/>
        <w:rPr/>
      </w:pPr>
      <w:r>
        <w:rPr/>
        <w:t>Improved flourishing models.</w:t>
      </w:r>
    </w:p>
    <w:p>
      <w:pPr>
        <w:pStyle w:val="BodyText"/>
        <w:spacing w:before="0" w:after="200"/>
        <w:rPr/>
      </w:pPr>
      <w:r>
        <w:rPr/>
        <w:t>Improved policy-update estimates.</w:t>
      </w:r>
    </w:p>
    <w:p>
      <w:pPr>
        <w:pStyle w:val="BodyText"/>
        <w:spacing w:before="0" w:after="200"/>
        <w:rPr/>
      </w:pPr>
      <w:r>
        <w:rPr/>
        <w:t>Improved horizon-specific predictions.</w:t>
      </w:r>
    </w:p>
    <w:p>
      <w:pPr>
        <w:pStyle w:val="BodyText"/>
        <w:spacing w:before="0" w:after="200"/>
        <w:rPr/>
      </w:pPr>
      <w:r>
        <w:rPr/>
        <w:t>Reduced uncertainty.</w:t>
      </w:r>
    </w:p>
    <w:p>
      <w:pPr>
        <w:pStyle w:val="BodyText"/>
        <w:spacing w:before="0" w:after="200"/>
        <w:rPr/>
      </w:pPr>
      <w:r>
        <w:rPr/>
        <w:t>This principle supports iterative assessment. A preliminary assessment may be useful, but it should remain revisable as evidence improves.</w:t>
      </w:r>
    </w:p>
    <w:p>
      <w:pPr>
        <w:pStyle w:val="Heading3"/>
        <w:ind w:hanging="0" w:left="0"/>
        <w:rPr/>
      </w:pPr>
      <w:r>
        <w:rPr/>
        <w:t>Confidence Propagation</w:t>
      </w:r>
    </w:p>
    <w:p>
      <w:pPr>
        <w:pStyle w:val="BodyText"/>
        <w:spacing w:before="0" w:after="200"/>
        <w:rPr/>
      </w:pPr>
      <w:r>
        <w:rPr/>
        <w:t>Every assessment shall produce an explicit confidence estimate reflecting evidence quality, evidence completeness, model uncertainty, prediction uncertainty, and stochastic approximation error.</w:t>
      </w:r>
    </w:p>
    <w:p>
      <w:pPr>
        <w:pStyle w:val="BodyText"/>
        <w:spacing w:before="0" w:after="200"/>
        <w:rPr/>
      </w:pPr>
      <w:r>
        <w:rPr/>
        <w:t>Confidence should not appear only as a final label. It should propagate through the assessment. Uncertainty in evidence, baseline state, entity classification, causal pathways, model assumptions, probability estimates, Long-Term Flourishing transitions, Distributed Policy Updates, and horizon-specific predictions should affect the confidence of downstream results.</w:t>
      </w:r>
    </w:p>
    <w:p>
      <w:pPr>
        <w:pStyle w:val="BodyText"/>
        <w:spacing w:before="0" w:after="200"/>
        <w:rPr/>
      </w:pPr>
      <w:r>
        <w:rPr/>
        <w:t>Confidence Propagation requires that implementations preserve the relationship between uncertainty and conclusion. A system should not produce a high-confidence assessment if the underlying evidence is weak, the causal model is speculative, or the most material effects occur in low-confidence long-term horizons.</w:t>
      </w:r>
    </w:p>
    <w:p>
      <w:pPr>
        <w:pStyle w:val="BodyText"/>
        <w:spacing w:before="0" w:after="200"/>
        <w:rPr/>
      </w:pPr>
      <w:r>
        <w:rPr/>
        <w:t>Implementations should distinguish confidence in:</w:t>
      </w:r>
    </w:p>
    <w:p>
      <w:pPr>
        <w:pStyle w:val="BodyText"/>
        <w:spacing w:before="0" w:after="200"/>
        <w:rPr/>
      </w:pPr>
      <w:r>
        <w:rPr/>
        <w:t>Evidence.</w:t>
      </w:r>
    </w:p>
    <w:p>
      <w:pPr>
        <w:pStyle w:val="BodyText"/>
        <w:spacing w:before="0" w:after="200"/>
        <w:rPr/>
      </w:pPr>
      <w:r>
        <w:rPr/>
        <w:t>Baseline World Context.</w:t>
      </w:r>
    </w:p>
    <w:p>
      <w:pPr>
        <w:pStyle w:val="BodyText"/>
        <w:spacing w:before="0" w:after="200"/>
        <w:rPr/>
      </w:pPr>
      <w:r>
        <w:rPr/>
        <w:t>State Transitions.</w:t>
      </w:r>
    </w:p>
    <w:p>
      <w:pPr>
        <w:pStyle w:val="BodyText"/>
        <w:spacing w:before="0" w:after="200"/>
        <w:rPr/>
      </w:pPr>
      <w:r>
        <w:rPr/>
        <w:t>Flourishing Transitions.</w:t>
      </w:r>
    </w:p>
    <w:p>
      <w:pPr>
        <w:pStyle w:val="BodyText"/>
        <w:spacing w:before="0" w:after="200"/>
        <w:rPr/>
      </w:pPr>
      <w:r>
        <w:rPr/>
        <w:t>Policy Updates.</w:t>
      </w:r>
    </w:p>
    <w:p>
      <w:pPr>
        <w:pStyle w:val="BodyText"/>
        <w:spacing w:before="0" w:after="200"/>
        <w:rPr/>
      </w:pPr>
      <w:r>
        <w:rPr/>
        <w:t>Aggregate Flourishing.</w:t>
      </w:r>
    </w:p>
    <w:p>
      <w:pPr>
        <w:pStyle w:val="BodyText"/>
        <w:spacing w:before="0" w:after="200"/>
        <w:rPr/>
      </w:pPr>
      <w:r>
        <w:rPr/>
        <w:t>World Context Transition.</w:t>
      </w:r>
    </w:p>
    <w:p>
      <w:pPr>
        <w:pStyle w:val="BodyText"/>
        <w:spacing w:before="0" w:after="200"/>
        <w:rPr/>
      </w:pPr>
      <w:r>
        <w:rPr/>
        <w:t>Final Assessment Result.</w:t>
      </w:r>
    </w:p>
    <w:p>
      <w:pPr>
        <w:pStyle w:val="BodyText"/>
        <w:spacing w:before="0" w:after="200"/>
        <w:rPr/>
      </w:pPr>
      <w:r>
        <w:rPr/>
        <w:t>This principle prevents false certainty and supports auditability.</w:t>
      </w:r>
    </w:p>
    <w:p>
      <w:pPr>
        <w:pStyle w:val="Heading3"/>
        <w:ind w:hanging="0" w:left="0"/>
        <w:rPr/>
      </w:pPr>
      <w:r>
        <w:rPr/>
        <w:t>Graceful Degradation</w:t>
      </w:r>
    </w:p>
    <w:p>
      <w:pPr>
        <w:pStyle w:val="BodyText"/>
        <w:spacing w:before="0" w:after="200"/>
        <w:rPr/>
      </w:pPr>
      <w:r>
        <w:rPr/>
        <w:t>Incomplete information should reduce confidence rather than prevent an assessment whenever practical.</w:t>
      </w:r>
    </w:p>
    <w:p>
      <w:pPr>
        <w:pStyle w:val="BodyText"/>
        <w:spacing w:before="0" w:after="200"/>
        <w:rPr/>
      </w:pPr>
      <w:r>
        <w:rPr/>
        <w:t>Moral assessment often occurs under incomplete information. A system should not fail merely because the full World Context is unavailable, all consequences cannot be predicted, or some evidence is uncertain. Instead, the implementation should produce the best assessment it can, identify missing information, lower confidence appropriately, and flag material uncertainty.</w:t>
      </w:r>
    </w:p>
    <w:p>
      <w:pPr>
        <w:pStyle w:val="BodyText"/>
        <w:spacing w:before="0" w:after="200"/>
        <w:rPr/>
      </w:pPr>
      <w:r>
        <w:rPr/>
        <w:t>Graceful Degradation allows implementations to remain useful under real-world conditions. It supports provisional assessments, scenario-based outputs, confidence-limited recommendations, escalation flags, and requests for additional evidence.</w:t>
      </w:r>
    </w:p>
    <w:p>
      <w:pPr>
        <w:pStyle w:val="BodyText"/>
        <w:spacing w:before="0" w:after="200"/>
        <w:rPr/>
      </w:pPr>
      <w:r>
        <w:rPr/>
        <w:t>However, Graceful Degradation does not mean that every assessment should proceed to a recommendation. If missing information is material to severe, irreversible, or high-stakes consequences, the system may appropriately produce a result such as:</w:t>
      </w:r>
    </w:p>
    <w:p>
      <w:pPr>
        <w:pStyle w:val="BodyText"/>
        <w:spacing w:before="0" w:after="200"/>
        <w:rPr/>
      </w:pPr>
      <w:r>
        <w:rPr/>
        <w:t>Insufficient evidence.</w:t>
      </w:r>
    </w:p>
    <w:p>
      <w:pPr>
        <w:pStyle w:val="BodyText"/>
        <w:spacing w:before="0" w:after="200"/>
        <w:rPr/>
      </w:pPr>
      <w:r>
        <w:rPr/>
        <w:t>Requires human review.</w:t>
      </w:r>
    </w:p>
    <w:p>
      <w:pPr>
        <w:pStyle w:val="BodyText"/>
        <w:spacing w:before="0" w:after="200"/>
        <w:rPr/>
      </w:pPr>
      <w:r>
        <w:rPr/>
        <w:t>Requires additional investigation.</w:t>
      </w:r>
    </w:p>
    <w:p>
      <w:pPr>
        <w:pStyle w:val="BodyText"/>
        <w:spacing w:before="0" w:after="200"/>
        <w:rPr/>
      </w:pPr>
      <w:r>
        <w:rPr/>
        <w:t>Proceed only with safeguards.</w:t>
      </w:r>
    </w:p>
    <w:p>
      <w:pPr>
        <w:pStyle w:val="BodyText"/>
        <w:spacing w:before="0" w:after="200"/>
        <w:rPr/>
      </w:pPr>
      <w:r>
        <w:rPr/>
        <w:t>Do not proceed under current uncertainty.</w:t>
      </w:r>
    </w:p>
    <w:p>
      <w:pPr>
        <w:pStyle w:val="BodyText"/>
        <w:spacing w:before="0" w:after="200"/>
        <w:rPr/>
      </w:pPr>
      <w:r>
        <w:rPr/>
        <w:t>The key requirement is that incomplete information be represented explicitly and handled responsibly.</w:t>
      </w:r>
    </w:p>
    <w:p>
      <w:pPr>
        <w:pStyle w:val="Heading3"/>
        <w:ind w:hanging="0" w:left="0"/>
        <w:rPr/>
      </w:pPr>
      <w:r>
        <w:rPr/>
        <w:t>Extensible Evidence Sources</w:t>
      </w:r>
    </w:p>
    <w:p>
      <w:pPr>
        <w:pStyle w:val="BodyText"/>
        <w:spacing w:before="0" w:after="200"/>
        <w:rPr/>
      </w:pPr>
      <w:r>
        <w:rPr/>
        <w:t>New evidence sources shall be incorporable without changing the architecture.</w:t>
      </w:r>
    </w:p>
    <w:p>
      <w:pPr>
        <w:pStyle w:val="BodyText"/>
        <w:spacing w:before="0" w:after="200"/>
        <w:rPr/>
      </w:pPr>
      <w:r>
        <w:rPr/>
        <w:t>Implementations should be able to accept new forms of evidence as domains, technologies, and institutional practices evolve. Evidence sources may include human testimony, documents, sensor data, system logs, expert assessments, scientific literature, institutional records, legal materials, medical data, model outputs, simulations, audit trails, and future evidence types.</w:t>
      </w:r>
    </w:p>
    <w:p>
      <w:pPr>
        <w:pStyle w:val="BodyText"/>
        <w:spacing w:before="0" w:after="200"/>
        <w:rPr/>
      </w:pPr>
      <w:r>
        <w:rPr/>
        <w:t>The architecture should not depend on a fixed list of admissible evidence sources. Instead, implementations should evaluate evidence based on relevance, quality, provenance, completeness, reliability, and uncertainty.</w:t>
      </w:r>
    </w:p>
    <w:p>
      <w:pPr>
        <w:pStyle w:val="BodyText"/>
        <w:spacing w:before="0" w:after="200"/>
        <w:rPr/>
      </w:pPr>
      <w:r>
        <w:rPr/>
        <w:t>Extensible Evidence Sources require that evidence ingestion be modular. A new evidence source should be incorporable by extending connectors, parsers, metadata, provenance tracking, or validation procedures, rather than by altering the core Reference Architecture.</w:t>
      </w:r>
    </w:p>
    <w:p>
      <w:pPr>
        <w:pStyle w:val="BodyText"/>
        <w:spacing w:before="0" w:after="200"/>
        <w:rPr/>
      </w:pPr>
      <w:r>
        <w:rPr/>
        <w:t>This principle allows implementations to improve as new tools, sensors, databases, models, and evidence practices become available.</w:t>
      </w:r>
    </w:p>
    <w:p>
      <w:pPr>
        <w:pStyle w:val="Heading3"/>
        <w:ind w:hanging="0" w:left="0"/>
        <w:rPr/>
      </w:pPr>
      <w:r>
        <w:rPr/>
        <w:t>Scalable Computation</w:t>
      </w:r>
    </w:p>
    <w:p>
      <w:pPr>
        <w:pStyle w:val="BodyText"/>
        <w:spacing w:before="0" w:after="200"/>
        <w:rPr/>
      </w:pPr>
      <w:r>
        <w:rPr/>
        <w:t>Implementations should exploit advances in computation while remaining faithful to the architecture.</w:t>
      </w:r>
    </w:p>
    <w:p>
      <w:pPr>
        <w:pStyle w:val="BodyText"/>
        <w:spacing w:before="0" w:after="200"/>
        <w:rPr/>
      </w:pPr>
      <w:r>
        <w:rPr/>
        <w:t>The full World Context is theoretically vast. Practical implementations will require abstraction, filtering, approximation, prioritization, and scalable computation. As computational capacity improves, implementations should be able to represent larger contexts, more entities, more Associations, more complex policy updates, longer horizons, richer evidence, and more detailed future state-space scenarios.</w:t>
      </w:r>
    </w:p>
    <w:p>
      <w:pPr>
        <w:pStyle w:val="BodyText"/>
        <w:spacing w:before="0" w:after="200"/>
        <w:rPr/>
      </w:pPr>
      <w:r>
        <w:rPr/>
        <w:t>Scalable Computation may involve distributed systems, graph computation, probabilistic inference, simulation, parallel processing, vector representations, model orchestration, caching, retrieval systems, or other future techniques.</w:t>
      </w:r>
    </w:p>
    <w:p>
      <w:pPr>
        <w:pStyle w:val="BodyText"/>
        <w:spacing w:before="0" w:after="200"/>
        <w:rPr/>
      </w:pPr>
      <w:r>
        <w:rPr/>
        <w:t>However, scale should not come at the expense of architectural fidelity. A faster or larger implementation is not better if it omits morally material structure. Computational scaling should improve the fidelity, completeness, responsiveness, and auditability of the assessment.</w:t>
      </w:r>
    </w:p>
    <w:p>
      <w:pPr>
        <w:pStyle w:val="Heading3"/>
        <w:ind w:hanging="0" w:left="0"/>
        <w:rPr/>
      </w:pPr>
      <w:r>
        <w:rPr/>
        <w:t>Implementation Neutrality</w:t>
      </w:r>
    </w:p>
    <w:p>
      <w:pPr>
        <w:pStyle w:val="BodyText"/>
        <w:spacing w:before="0" w:after="200"/>
        <w:rPr/>
      </w:pPr>
      <w:r>
        <w:rPr/>
        <w:t>The architecture shall not assume any particular inference engine, optimization algorithm, storage model, programming language, hardware platform, machine-learning architecture, or reasoning methodology.</w:t>
      </w:r>
    </w:p>
    <w:p>
      <w:pPr>
        <w:pStyle w:val="BodyText"/>
        <w:spacing w:before="0" w:after="200"/>
        <w:rPr/>
      </w:pPr>
      <w:r>
        <w:rPr/>
        <w:t>Future computational architectures, including those not yet conceived, should be able to implement and extend the framework without requiring changes to the Reference Architecture.</w:t>
      </w:r>
    </w:p>
    <w:p>
      <w:pPr>
        <w:pStyle w:val="BodyText"/>
        <w:spacing w:before="0" w:after="200"/>
        <w:rPr/>
      </w:pPr>
      <w:r>
        <w:rPr/>
        <w:t>Implementation Neutrality preserves the framework’s generality. The architecture should be realizable through symbolic systems, probabilistic systems, neural systems, hybrid AI systems, human workflows, formal methods, simulation environments, or future paradigms.</w:t>
      </w:r>
    </w:p>
    <w:p>
      <w:pPr>
        <w:pStyle w:val="BodyText"/>
        <w:spacing w:before="0" w:after="200"/>
        <w:rPr/>
      </w:pPr>
      <w:r>
        <w:rPr/>
        <w:t>This principle also prevents implementation lock-in. A particular implementation may choose a graph database, large language model, Bayesian model, rules engine, or simulation tool, but those choices should remain contingent. They should not be mistaken for requirements of the architecture itself.</w:t>
      </w:r>
    </w:p>
    <w:p>
      <w:pPr>
        <w:pStyle w:val="Heading3"/>
        <w:ind w:hanging="0" w:left="0"/>
        <w:rPr/>
      </w:pPr>
      <w:r>
        <w:rPr/>
        <w:t>Versioned Ontologies</w:t>
      </w:r>
    </w:p>
    <w:p>
      <w:pPr>
        <w:pStyle w:val="BodyText"/>
        <w:spacing w:before="0" w:after="200"/>
        <w:rPr/>
      </w:pPr>
      <w:r>
        <w:rPr/>
        <w:t>Ontologies should be replaceable or extensible without breaking conforming implementations.</w:t>
      </w:r>
    </w:p>
    <w:p>
      <w:pPr>
        <w:pStyle w:val="BodyText"/>
        <w:spacing w:before="0" w:after="200"/>
        <w:rPr/>
      </w:pPr>
      <w:r>
        <w:rPr/>
        <w:t>An implementation may use ontologies to represent Objects, Associations, entity classifications, roles, state variables, evidence types, domains, objectives, policy states, flourishing dimensions, or institutional structures. These ontologies may evolve as the framework is refined and as domain-specific implementations mature.</w:t>
      </w:r>
    </w:p>
    <w:p>
      <w:pPr>
        <w:pStyle w:val="BodyText"/>
        <w:spacing w:before="0" w:after="200"/>
        <w:rPr/>
      </w:pPr>
      <w:r>
        <w:rPr/>
        <w:t>Versioned Ontologies require that implementations track ontology versions, support migration where practical, and distinguish ontology changes from assessment changes. If a later ontology changes how an entity, relationship, or state variable is classified, the system should be able to identify which assessments used which ontology version.</w:t>
      </w:r>
    </w:p>
    <w:p>
      <w:pPr>
        <w:pStyle w:val="BodyText"/>
        <w:spacing w:before="0" w:after="200"/>
        <w:rPr/>
      </w:pPr>
      <w:r>
        <w:rPr/>
        <w:t>This principle supports refinement without instability. It allows the framework to evolve while preserving auditability and backward compatibility.</w:t>
      </w:r>
    </w:p>
    <w:p>
      <w:pPr>
        <w:pStyle w:val="Heading3"/>
        <w:ind w:hanging="0" w:left="0"/>
        <w:rPr/>
      </w:pPr>
      <w:r>
        <w:rPr/>
        <w:t>Separation of Reasoning and Inference</w:t>
      </w:r>
    </w:p>
    <w:p>
      <w:pPr>
        <w:pStyle w:val="BodyText"/>
        <w:spacing w:before="0" w:after="200"/>
        <w:rPr/>
      </w:pPr>
      <w:r>
        <w:rPr/>
        <w:t>Reasoning, world modeling, prediction, and inference should remain modular to avoid coupling the framework to a particular AI technology.</w:t>
      </w:r>
    </w:p>
    <w:p>
      <w:pPr>
        <w:pStyle w:val="BodyText"/>
        <w:spacing w:before="0" w:after="200"/>
        <w:rPr/>
      </w:pPr>
      <w:r>
        <w:rPr/>
        <w:t>Reasoning refers to the structured moral assessment process defined by the methodology. World modeling represents the relevant state of the World Context. Prediction estimates State Transitions and possible World Context₁ states. Inference derives conclusions from evidence, models, probabilities, and assumptions.</w:t>
      </w:r>
    </w:p>
    <w:p>
      <w:pPr>
        <w:pStyle w:val="BodyText"/>
        <w:spacing w:before="0" w:after="200"/>
        <w:rPr/>
      </w:pPr>
      <w:r>
        <w:rPr/>
        <w:t>These functions may be implemented by different components. A system may use one module for evidence retrieval, another for state representation, another for causal prediction, another for flourishing estimation, another for policy-update estimation, and another for output generation.</w:t>
      </w:r>
    </w:p>
    <w:p>
      <w:pPr>
        <w:pStyle w:val="BodyText"/>
        <w:spacing w:before="0" w:after="200"/>
        <w:rPr/>
      </w:pPr>
      <w:r>
        <w:rPr/>
        <w:t>Separating these functions prevents the framework from becoming dependent on a single model or tool. It also supports testing, replacement, audit, and improvement of individual components.</w:t>
      </w:r>
    </w:p>
    <w:p>
      <w:pPr>
        <w:pStyle w:val="BodyText"/>
        <w:spacing w:before="0" w:after="200"/>
        <w:rPr/>
      </w:pPr>
      <w:r>
        <w:rPr/>
        <w:t>For example, an implementation should be able to replace a prediction model without redefining Long-Term Flourishing, replace an ontology without changing the assessment workflow, or replace an explanation generator without changing the underlying Assessment Output.</w:t>
      </w:r>
    </w:p>
    <w:p>
      <w:pPr>
        <w:pStyle w:val="Heading3"/>
        <w:ind w:hanging="0" w:left="0"/>
        <w:rPr/>
      </w:pPr>
      <w:r>
        <w:rPr/>
        <w:t>Assessment Transparency</w:t>
      </w:r>
    </w:p>
    <w:p>
      <w:pPr>
        <w:pStyle w:val="BodyText"/>
        <w:spacing w:before="0" w:after="200"/>
        <w:rPr/>
      </w:pPr>
      <w:r>
        <w:rPr/>
        <w:t>Implementations should expose the data, assumptions, intermediate assessments, and confidence values used by the framework so downstream systems or human assessors can audit the reasoning process.</w:t>
      </w:r>
    </w:p>
    <w:p>
      <w:pPr>
        <w:pStyle w:val="BodyText"/>
        <w:spacing w:before="0" w:after="200"/>
        <w:rPr/>
      </w:pPr>
      <w:r>
        <w:rPr/>
        <w:t>Assessment Transparency requires that the system show how it moved from input context to final Assessment Result. This includes evidence references, Assessment Boundary decisions, entity classifications, role assignments, selected state variables, predicted transitions, probability estimates, confidence values, assumptions, horizon-specific findings, and policy updates.</w:t>
      </w:r>
    </w:p>
    <w:p>
      <w:pPr>
        <w:pStyle w:val="BodyText"/>
        <w:spacing w:before="0" w:after="200"/>
        <w:rPr/>
      </w:pPr>
      <w:r>
        <w:rPr/>
        <w:t>Transparency does not require every user interface to display every internal detail at all times. It requires that material reasoning artifacts be available for inspection, review, contestation, audit, or explanation when needed.</w:t>
      </w:r>
    </w:p>
    <w:p>
      <w:pPr>
        <w:pStyle w:val="BodyText"/>
        <w:spacing w:before="0" w:after="200"/>
        <w:rPr/>
      </w:pPr>
      <w:r>
        <w:rPr/>
        <w:t>An opaque system that produces a moral conclusion without showing its reasoning structure is not sufficient for responsible implementation. Transparency is necessary for trust, accountability, error correction, institutional use, and human oversight.</w:t>
      </w:r>
    </w:p>
    <w:p>
      <w:pPr>
        <w:pStyle w:val="Heading3"/>
        <w:ind w:hanging="0" w:left="0"/>
        <w:rPr/>
      </w:pPr>
      <w:r>
        <w:rPr/>
        <w:t>Structured Output</w:t>
      </w:r>
    </w:p>
    <w:p>
      <w:pPr>
        <w:pStyle w:val="BodyText"/>
        <w:spacing w:before="0" w:after="200"/>
        <w:rPr/>
      </w:pPr>
      <w:r>
        <w:rPr/>
        <w:t>Implementations should produce structured, machine-readable assessment artifacts, including intermediate results, confidence values, assumptions, evidence references, and assessment metadata, so downstream systems can independently generate explanations, visualizations, audits, or domain-specific reports without altering the assessment itself.</w:t>
      </w:r>
    </w:p>
    <w:p>
      <w:pPr>
        <w:pStyle w:val="BodyText"/>
        <w:spacing w:before="0" w:after="200"/>
        <w:rPr/>
      </w:pPr>
      <w:r>
        <w:rPr/>
        <w:t>Structured Output separates the assessment artifact from its presentation. The same assessment may be rendered as a human-readable report, dashboard, audit log, API response, visualization, legal memorandum, medical review summary, governance record, or autonomous-system control signal. These renderings may differ, but they should derive from the same structured assessment.</w:t>
      </w:r>
    </w:p>
    <w:p>
      <w:pPr>
        <w:pStyle w:val="BodyText"/>
        <w:spacing w:before="0" w:after="200"/>
        <w:rPr/>
      </w:pPr>
      <w:r>
        <w:rPr/>
        <w:t>Structured Output should include, where relevant:</w:t>
      </w:r>
    </w:p>
    <w:p>
      <w:pPr>
        <w:pStyle w:val="BodyText"/>
        <w:spacing w:before="0" w:after="200"/>
        <w:rPr/>
      </w:pPr>
      <w:r>
        <w:rPr/>
        <w:t>Assessment Result.</w:t>
      </w:r>
    </w:p>
    <w:p>
      <w:pPr>
        <w:pStyle w:val="BodyText"/>
        <w:spacing w:before="0" w:after="200"/>
        <w:rPr/>
      </w:pPr>
      <w:r>
        <w:rPr/>
        <w:t>Confidence Level.</w:t>
      </w:r>
    </w:p>
    <w:p>
      <w:pPr>
        <w:pStyle w:val="BodyText"/>
        <w:spacing w:before="0" w:after="200"/>
        <w:rPr/>
      </w:pPr>
      <w:r>
        <w:rPr/>
        <w:t>Assessed Action.</w:t>
      </w:r>
    </w:p>
    <w:p>
      <w:pPr>
        <w:pStyle w:val="BodyText"/>
        <w:spacing w:before="0" w:after="200"/>
        <w:rPr/>
      </w:pPr>
      <w:r>
        <w:rPr/>
        <w:t>Assessment Boundary.</w:t>
      </w:r>
    </w:p>
    <w:p>
      <w:pPr>
        <w:pStyle w:val="BodyText"/>
        <w:spacing w:before="0" w:after="200"/>
        <w:rPr/>
      </w:pPr>
      <w:r>
        <w:rPr/>
        <w:t>Situational Context.</w:t>
      </w:r>
    </w:p>
    <w:p>
      <w:pPr>
        <w:pStyle w:val="BodyText"/>
        <w:spacing w:before="0" w:after="200"/>
        <w:rPr/>
      </w:pPr>
      <w:r>
        <w:rPr/>
        <w:t>Evidence References.</w:t>
      </w:r>
    </w:p>
    <w:p>
      <w:pPr>
        <w:pStyle w:val="BodyText"/>
        <w:spacing w:before="0" w:after="200"/>
        <w:rPr/>
      </w:pPr>
      <w:r>
        <w:rPr/>
        <w:t>Assumptions.</w:t>
      </w:r>
    </w:p>
    <w:p>
      <w:pPr>
        <w:pStyle w:val="BodyText"/>
        <w:spacing w:before="0" w:after="200"/>
        <w:rPr/>
      </w:pPr>
      <w:r>
        <w:rPr/>
        <w:t>Intermediate Results.</w:t>
      </w:r>
    </w:p>
    <w:p>
      <w:pPr>
        <w:pStyle w:val="BodyText"/>
        <w:spacing w:before="0" w:after="200"/>
        <w:rPr/>
      </w:pPr>
      <w:r>
        <w:rPr/>
        <w:t>Affected Entities.</w:t>
      </w:r>
    </w:p>
    <w:p>
      <w:pPr>
        <w:pStyle w:val="BodyText"/>
        <w:spacing w:before="0" w:after="200"/>
        <w:rPr/>
      </w:pPr>
      <w:r>
        <w:rPr/>
        <w:t>Affected Associations.</w:t>
      </w:r>
    </w:p>
    <w:p>
      <w:pPr>
        <w:pStyle w:val="BodyText"/>
        <w:spacing w:before="0" w:after="200"/>
        <w:rPr/>
      </w:pPr>
      <w:r>
        <w:rPr/>
        <w:t>Flourishing Transitions.</w:t>
      </w:r>
    </w:p>
    <w:p>
      <w:pPr>
        <w:pStyle w:val="BodyText"/>
        <w:spacing w:before="0" w:after="200"/>
        <w:rPr/>
      </w:pPr>
      <w:r>
        <w:rPr/>
        <w:t>Aggregate Flourishing, if used.</w:t>
      </w:r>
    </w:p>
    <w:p>
      <w:pPr>
        <w:pStyle w:val="BodyText"/>
        <w:spacing w:before="0" w:after="200"/>
        <w:rPr/>
      </w:pPr>
      <w:r>
        <w:rPr/>
        <w:t>Distributed Policy Updates.</w:t>
      </w:r>
    </w:p>
    <w:p>
      <w:pPr>
        <w:pStyle w:val="BodyText"/>
        <w:spacing w:before="0" w:after="200"/>
        <w:rPr/>
      </w:pPr>
      <w:r>
        <w:rPr/>
        <w:t>World Context Transition summary.</w:t>
      </w:r>
    </w:p>
    <w:p>
      <w:pPr>
        <w:pStyle w:val="BodyText"/>
        <w:spacing w:before="0" w:after="200"/>
        <w:rPr/>
      </w:pPr>
      <w:r>
        <w:rPr/>
        <w:t>Assessment Horizons.</w:t>
      </w:r>
    </w:p>
    <w:p>
      <w:pPr>
        <w:pStyle w:val="BodyText"/>
        <w:spacing w:before="0" w:after="200"/>
        <w:rPr/>
      </w:pPr>
      <w:r>
        <w:rPr/>
        <w:t>Uncertainty and limitations.</w:t>
      </w:r>
    </w:p>
    <w:p>
      <w:pPr>
        <w:pStyle w:val="BodyText"/>
        <w:spacing w:before="0" w:after="200"/>
        <w:rPr/>
      </w:pPr>
      <w:r>
        <w:rPr/>
        <w:t>Recommendations or decision-support flags.</w:t>
      </w:r>
    </w:p>
    <w:p>
      <w:pPr>
        <w:pStyle w:val="BodyText"/>
        <w:spacing w:before="0" w:after="200"/>
        <w:rPr/>
      </w:pPr>
      <w:r>
        <w:rPr/>
        <w:t>Structured Output enables interoperability, auditability, reuse, comparison, monitoring, and future revision.</w:t>
      </w:r>
    </w:p>
    <w:p>
      <w:pPr>
        <w:pStyle w:val="Heading3"/>
        <w:ind w:hanging="0" w:left="0"/>
        <w:rPr/>
      </w:pPr>
      <w:r>
        <w:rPr/>
        <w:t>Principle Interaction</w:t>
      </w:r>
    </w:p>
    <w:p>
      <w:pPr>
        <w:pStyle w:val="BodyText"/>
        <w:spacing w:before="0" w:after="200"/>
        <w:rPr/>
      </w:pPr>
      <w:r>
        <w:rPr/>
        <w:t>These design principles should be applied together.</w:t>
      </w:r>
    </w:p>
    <w:p>
      <w:pPr>
        <w:pStyle w:val="BodyText"/>
        <w:spacing w:before="0" w:after="200"/>
        <w:rPr/>
      </w:pPr>
      <w:r>
        <w:rPr/>
        <w:t>Fidelity to the Reference Architecture ensures that implementation preserves meaning. Progressive Information Quality and Extensible Evidence Sources allow assessments to improve over time. Confidence Propagation and Graceful Degradation allow systems to reason under uncertainty without false certainty or failure. Scalable Computation allows implementations to grow in capability. Implementation Neutrality and Separation of Reasoning and Inference prevent lock-in to a particular technology. Versioned Ontologies allow conceptual refinement. Assessment Transparency and Structured Output make the system inspectable and usable by downstream systems.</w:t>
      </w:r>
    </w:p>
    <w:p>
      <w:pPr>
        <w:pStyle w:val="BodyText"/>
        <w:spacing w:before="0" w:after="200"/>
        <w:rPr/>
      </w:pPr>
      <w:r>
        <w:rPr/>
        <w:t>No single principle is sufficient by itself. A scalable system without transparency may be untrustworthy. A transparent system without confidence propagation may be misleading. A structured output without architectural fidelity may be formally neat but morally incomplete. A high-fidelity system without graceful degradation may be too brittle for real-world use.</w:t>
      </w:r>
    </w:p>
    <w:p>
      <w:pPr>
        <w:pStyle w:val="BodyText"/>
        <w:spacing w:before="0" w:after="200"/>
        <w:rPr/>
      </w:pPr>
      <w:r>
        <w:rPr/>
        <w:t>A responsible implementation should balance all of these principles while preserving the central commitment of the framework: explicit, confidence-bounded evaluation of the transition from World Context₀ to World Context₁.</w:t>
      </w:r>
    </w:p>
    <w:p>
      <w:pPr>
        <w:pStyle w:val="Normal"/>
        <w:widowControl/>
        <w:bidi w:val="0"/>
        <w:spacing w:lineRule="auto" w:line="276"/>
        <w:jc w:val="left"/>
        <w:rPr/>
      </w:pPr>
      <w:r>
        <w:rPr/>
      </w:r>
    </w:p>
    <w:p>
      <w:pPr>
        <w:pStyle w:val="Heading2"/>
        <w:rPr/>
      </w:pPr>
      <w:r>
        <w:rPr/>
        <w:t>Implementation Patterns</w:t>
      </w:r>
    </w:p>
    <w:p>
      <w:pPr>
        <w:pStyle w:val="BodyText"/>
        <w:spacing w:before="0" w:after="200"/>
        <w:rPr/>
      </w:pPr>
      <w:r>
        <w:rPr/>
        <w:t>Implementation Patterns describe common ways the Objective-Based Systems Ethics framework may be realized in software, workflows, agents, and runtime environments.</w:t>
      </w:r>
    </w:p>
    <w:p>
      <w:pPr>
        <w:pStyle w:val="BodyText"/>
        <w:spacing w:before="0" w:after="200"/>
        <w:rPr/>
      </w:pPr>
      <w:r>
        <w:rPr/>
        <w:t>Because the Reference Architecture is implementation-independent, no single implementation pattern is required. Different domains may require different levels of automation, scale, latency, auditability, human oversight, and integration. A medical ethics tool, an autonomous vehicle safety layer, a legal decision-support system, an organizational governance workflow, and a Moral Reasoning Runtime may all instantiate the same architecture through different implementation patterns.</w:t>
      </w:r>
    </w:p>
    <w:p>
      <w:pPr>
        <w:pStyle w:val="BodyText"/>
        <w:spacing w:before="0" w:after="200"/>
        <w:rPr/>
      </w:pPr>
      <w:r>
        <w:rPr/>
        <w:t>The purpose of this section is to identify representative patterns, not to prescribe an exclusive technical form. A conforming implementation may use one pattern or combine several. What matters is whether the implementation preserves the semantics of the Reference Architecture and the evaluative requirements of the Moral Assessment Methodology.</w:t>
      </w:r>
    </w:p>
    <w:p>
      <w:pPr>
        <w:pStyle w:val="BodyText"/>
        <w:spacing w:before="0" w:after="200"/>
        <w:rPr/>
      </w:pPr>
      <w:r>
        <w:rPr/>
        <w:t>Each pattern should support, at an appropriate level of fidelity, the ability to represent the relevant World Context, apply Assessment Boundaries, identify relevant Objects and Associations, evaluate Objectives, represent State Transitions, estimate Long-Term Flourishing, account for Distributed Policy Updates, reason under uncertainty, evaluate multiple horizons, and produce structured Assessment Output.</w:t>
      </w:r>
    </w:p>
    <w:p>
      <w:pPr>
        <w:pStyle w:val="Heading3"/>
        <w:ind w:hanging="0" w:left="0"/>
        <w:rPr/>
      </w:pPr>
      <w:r>
        <w:rPr/>
        <w:t>Embedded Library</w:t>
      </w:r>
    </w:p>
    <w:p>
      <w:pPr>
        <w:pStyle w:val="BodyText"/>
        <w:spacing w:before="0" w:after="200"/>
        <w:rPr/>
      </w:pPr>
      <w:r>
        <w:rPr/>
        <w:t>An embedded library implementation packages moral assessment functionality as a software library imported directly into another application.</w:t>
      </w:r>
    </w:p>
    <w:p>
      <w:pPr>
        <w:pStyle w:val="BodyText"/>
        <w:spacing w:before="0" w:after="200"/>
        <w:rPr/>
      </w:pPr>
      <w:r>
        <w:rPr/>
        <w:t>In this pattern, the host application calls library functions to perform assessment tasks such as context construction, entity identification, state representation, transition modeling, confidence estimation, policy-update estimation, or structured output generation. The moral reasoning capability runs inside the same process or application boundary as the host system.</w:t>
      </w:r>
    </w:p>
    <w:p>
      <w:pPr>
        <w:pStyle w:val="BodyText"/>
        <w:spacing w:before="0" w:after="200"/>
        <w:rPr/>
      </w:pPr>
      <w:r>
        <w:rPr/>
        <w:t>An embedded library may be appropriate when low latency, tight application integration, offline operation, or simple deployment is important. It may be useful in decision-support applications, simulation tools, local governance workflows, robotic systems, edge devices, or domain-specific assessment tools.</w:t>
      </w:r>
    </w:p>
    <w:p>
      <w:pPr>
        <w:pStyle w:val="BodyText"/>
        <w:spacing w:before="0" w:after="200"/>
        <w:rPr/>
      </w:pPr>
      <w:r>
        <w:rPr/>
        <w:t>Advantages of the embedded library pattern include simplicity, direct integration, reduced network dependency, lower deployment complexity, and potential performance benefits. It allows application developers to incorporate assessment functionality without operating a separate service.</w:t>
      </w:r>
    </w:p>
    <w:p>
      <w:pPr>
        <w:pStyle w:val="BodyText"/>
        <w:spacing w:before="0" w:after="200"/>
        <w:rPr/>
      </w:pPr>
      <w:r>
        <w:rPr/>
        <w:t>Limitations include weaker isolation, harder centralized governance, potential version fragmentation, and more difficulty enforcing consistent audit, logging, ontology versions, or policy configurations across many host applications.</w:t>
      </w:r>
    </w:p>
    <w:p>
      <w:pPr>
        <w:pStyle w:val="BodyText"/>
        <w:spacing w:before="0" w:after="200"/>
        <w:rPr/>
      </w:pPr>
      <w:r>
        <w:rPr/>
        <w:t>An embedded library should still preserve structured output, confidence propagation, evidence references, assumptions, intermediate results, and World Context Transition summaries. Even when the implementation is local and lightweight, it should not collapse moral assessment into a simple function that returns only a verdict.</w:t>
      </w:r>
    </w:p>
    <w:p>
      <w:pPr>
        <w:pStyle w:val="Heading3"/>
        <w:ind w:hanging="0" w:left="0"/>
        <w:rPr/>
      </w:pPr>
      <w:r>
        <w:rPr/>
        <w:t>Standalone Service</w:t>
      </w:r>
    </w:p>
    <w:p>
      <w:pPr>
        <w:pStyle w:val="BodyText"/>
        <w:spacing w:before="0" w:after="200"/>
        <w:rPr/>
      </w:pPr>
      <w:r>
        <w:rPr/>
        <w:t>A standalone service implementation exposes the framework as an independent application or service that users or systems interact with directly.</w:t>
      </w:r>
    </w:p>
    <w:p>
      <w:pPr>
        <w:pStyle w:val="BodyText"/>
        <w:spacing w:before="0" w:after="200"/>
        <w:rPr/>
      </w:pPr>
      <w:r>
        <w:rPr/>
        <w:t>In this pattern, the moral assessment capability is deployed as a complete system with its own interface, storage, configuration, evidence ingestion, assessment workflow, and output generation. Users may submit cases, actions, evidence, or context descriptions, and the service produces structured assessment results.</w:t>
      </w:r>
    </w:p>
    <w:p>
      <w:pPr>
        <w:pStyle w:val="BodyText"/>
        <w:spacing w:before="0" w:after="200"/>
        <w:rPr/>
      </w:pPr>
      <w:r>
        <w:rPr/>
        <w:t>A standalone service may be appropriate for institutional review systems, ethics committees, policy analysis tools, legal review aids, medical ethics applications, organizational governance systems, or research environments.</w:t>
      </w:r>
    </w:p>
    <w:p>
      <w:pPr>
        <w:pStyle w:val="BodyText"/>
        <w:spacing w:before="0" w:after="200"/>
        <w:rPr/>
      </w:pPr>
      <w:r>
        <w:rPr/>
        <w:t>Advantages include clearer separation from host applications, centralized governance, consistent configuration, unified audit logging, easier version control, and better support for review workflows. A standalone service may also provide dashboards, structured reports, human review queues, explanation interfaces, and case-management features.</w:t>
      </w:r>
    </w:p>
    <w:p>
      <w:pPr>
        <w:pStyle w:val="BodyText"/>
        <w:spacing w:before="0" w:after="200"/>
        <w:rPr/>
      </w:pPr>
      <w:r>
        <w:rPr/>
        <w:t>Limitations include integration overhead, possible latency, duplicated context entry, and the need to maintain a separate operational system.</w:t>
      </w:r>
    </w:p>
    <w:p>
      <w:pPr>
        <w:pStyle w:val="BodyText"/>
        <w:spacing w:before="0" w:after="200"/>
        <w:rPr/>
      </w:pPr>
      <w:r>
        <w:rPr/>
        <w:t>A standalone service should preserve traceability from the Assessment Result back to evidence, assumptions, intermediate results, confidence estimates, and World Context Transition construction. It should also support revision when new evidence becomes available.</w:t>
      </w:r>
    </w:p>
    <w:p>
      <w:pPr>
        <w:pStyle w:val="Heading3"/>
        <w:ind w:hanging="0" w:left="0"/>
        <w:rPr/>
      </w:pPr>
      <w:r>
        <w:rPr/>
        <w:t>Microservice</w:t>
      </w:r>
    </w:p>
    <w:p>
      <w:pPr>
        <w:pStyle w:val="BodyText"/>
        <w:spacing w:before="0" w:after="200"/>
        <w:rPr/>
      </w:pPr>
      <w:r>
        <w:rPr/>
        <w:t>A microservice implementation exposes moral assessment functions through a network-accessible API.</w:t>
      </w:r>
    </w:p>
    <w:p>
      <w:pPr>
        <w:pStyle w:val="BodyText"/>
        <w:spacing w:before="0" w:after="200"/>
        <w:rPr/>
      </w:pPr>
      <w:r>
        <w:rPr/>
        <w:t>In this pattern, applications call the assessment service when they need to evaluate an Assessed Action, obtain a confidence-bounded recommendation, generate decision-support flags, assess policy updates, or produce structured Assessment Output. The microservice may be one component in a larger application architecture.</w:t>
      </w:r>
    </w:p>
    <w:p>
      <w:pPr>
        <w:pStyle w:val="BodyText"/>
        <w:spacing w:before="0" w:after="200"/>
        <w:rPr/>
      </w:pPr>
      <w:r>
        <w:rPr/>
        <w:t>A microservice may be appropriate when multiple systems need shared access to a common moral assessment capability. It may be used in enterprise systems, AI platforms, autonomous-system stacks, governance tools, case-management systems, or Moral Reasoning Runtime architectures.</w:t>
      </w:r>
    </w:p>
    <w:p>
      <w:pPr>
        <w:pStyle w:val="BodyText"/>
        <w:spacing w:before="0" w:after="200"/>
        <w:rPr/>
      </w:pPr>
      <w:r>
        <w:rPr/>
        <w:t>Advantages include reusability, centralized updates, consistent assessment behavior, language independence, scalable deployment, and clearer separation between host applications and moral reasoning services.</w:t>
      </w:r>
    </w:p>
    <w:p>
      <w:pPr>
        <w:pStyle w:val="BodyText"/>
        <w:spacing w:before="0" w:after="200"/>
        <w:rPr/>
      </w:pPr>
      <w:r>
        <w:rPr/>
        <w:t>Limitations include network dependency, latency, service reliability requirements, API-version management, security concerns, and the need to define stable interface contracts.</w:t>
      </w:r>
    </w:p>
    <w:p>
      <w:pPr>
        <w:pStyle w:val="BodyText"/>
        <w:spacing w:before="0" w:after="200"/>
        <w:rPr/>
      </w:pPr>
      <w:r>
        <w:rPr/>
        <w:t>A microservice implementation should expose structured requests and responses. Inputs should identify the Assessed Action, context, evidence, assumptions, available alternatives, and relevant constraints. Outputs should include assessment result, confidence, affected entities, policy updates, horizon-specific findings, uncertainty, and World Context Transition summary.</w:t>
      </w:r>
    </w:p>
    <w:p>
      <w:pPr>
        <w:pStyle w:val="Heading3"/>
        <w:ind w:hanging="0" w:left="0"/>
        <w:rPr/>
      </w:pPr>
      <w:r>
        <w:rPr/>
        <w:t>Distributed Service</w:t>
      </w:r>
    </w:p>
    <w:p>
      <w:pPr>
        <w:pStyle w:val="BodyText"/>
        <w:spacing w:before="0" w:after="200"/>
        <w:rPr/>
      </w:pPr>
      <w:r>
        <w:rPr/>
        <w:t>A distributed service implementation decomposes moral assessment across multiple cooperating services, components, models, databases, or reasoning modules.</w:t>
      </w:r>
    </w:p>
    <w:p>
      <w:pPr>
        <w:pStyle w:val="BodyText"/>
        <w:spacing w:before="0" w:after="200"/>
        <w:rPr/>
      </w:pPr>
      <w:r>
        <w:rPr/>
        <w:t>In this pattern, different parts of the assessment may be handled by specialized services. One service may manage evidence ingestion. Another may maintain the World Context representation. Another may perform entity and Association extraction. Another may estimate State Transitions. Another may model Long-Term Flourishing. Another may estimate Distributed Policy Updates. Another may generate structured Assessment Output.</w:t>
      </w:r>
    </w:p>
    <w:p>
      <w:pPr>
        <w:pStyle w:val="BodyText"/>
        <w:spacing w:before="0" w:after="200"/>
        <w:rPr/>
      </w:pPr>
      <w:r>
        <w:rPr/>
        <w:t>A distributed service may be appropriate for high-scale, high-complexity, multi-domain, or enterprise-grade implementations. It may also be appropriate where different components require different computational resources, governance controls, model types, or update cycles.</w:t>
      </w:r>
    </w:p>
    <w:p>
      <w:pPr>
        <w:pStyle w:val="BodyText"/>
        <w:spacing w:before="0" w:after="200"/>
        <w:rPr/>
      </w:pPr>
      <w:r>
        <w:rPr/>
        <w:t>Advantages include scalability, modularity, specialized optimization, fault isolation, independent component evolution, and support for complex multi-agent or multi-domain assessments.</w:t>
      </w:r>
    </w:p>
    <w:p>
      <w:pPr>
        <w:pStyle w:val="BodyText"/>
        <w:spacing w:before="0" w:after="200"/>
        <w:rPr/>
      </w:pPr>
      <w:r>
        <w:rPr/>
        <w:t>Limitations include orchestration complexity, consistency challenges, distributed tracing requirements, increased security surface, dependency management, and the risk that assessment semantics become fragmented across services.</w:t>
      </w:r>
    </w:p>
    <w:p>
      <w:pPr>
        <w:pStyle w:val="BodyText"/>
        <w:spacing w:before="0" w:after="200"/>
        <w:rPr/>
      </w:pPr>
      <w:r>
        <w:rPr/>
        <w:t>A distributed implementation must preserve coherence. Even if assessment components are distributed, the system should produce a unified Assessment Output that traces how the final result emerged from evidence, assumptions, intermediate results, confidence estimates, and World Context Transition construction.</w:t>
      </w:r>
    </w:p>
    <w:p>
      <w:pPr>
        <w:pStyle w:val="Heading3"/>
        <w:ind w:hanging="0" w:left="0"/>
        <w:rPr/>
      </w:pPr>
      <w:r>
        <w:rPr/>
        <w:t>Workflow Component</w:t>
      </w:r>
    </w:p>
    <w:p>
      <w:pPr>
        <w:pStyle w:val="BodyText"/>
        <w:spacing w:before="0" w:after="200"/>
        <w:rPr/>
      </w:pPr>
      <w:r>
        <w:rPr/>
        <w:t>A workflow component implementation embeds moral assessment into a larger human or organizational process.</w:t>
      </w:r>
    </w:p>
    <w:p>
      <w:pPr>
        <w:pStyle w:val="BodyText"/>
        <w:spacing w:before="0" w:after="200"/>
        <w:rPr/>
      </w:pPr>
      <w:r>
        <w:rPr/>
        <w:t>In this pattern, the framework is not necessarily a fully autonomous reasoning system. It may appear as a required step in a governance workflow, approval process, policy review, medical ethics review, legal analysis, risk assessment, product launch process, AI deployment review, or institutional decision procedure.</w:t>
      </w:r>
    </w:p>
    <w:p>
      <w:pPr>
        <w:pStyle w:val="BodyText"/>
        <w:spacing w:before="0" w:after="200"/>
        <w:rPr/>
      </w:pPr>
      <w:r>
        <w:rPr/>
        <w:t>A workflow component may be appropriate when human judgment, institutional legitimacy, procedural accountability, domain expertise, or approval authority is central to the assessment.</w:t>
      </w:r>
    </w:p>
    <w:p>
      <w:pPr>
        <w:pStyle w:val="BodyText"/>
        <w:spacing w:before="0" w:after="200"/>
        <w:rPr/>
      </w:pPr>
      <w:r>
        <w:rPr/>
        <w:t>Advantages include strong human oversight, procedural integration, institutional accountability, and compatibility with existing governance structures. The workflow can require evidence submission, stakeholder review, escalation, sign-off, mitigation, monitoring, and reassessment.</w:t>
      </w:r>
    </w:p>
    <w:p>
      <w:pPr>
        <w:pStyle w:val="BodyText"/>
        <w:spacing w:before="0" w:after="200"/>
        <w:rPr/>
      </w:pPr>
      <w:r>
        <w:rPr/>
        <w:t>Limitations include slower execution, dependence on human diligence, potential inconsistency across reviewers, and the possibility that the framework becomes a checklist rather than a structured assessment methodology.</w:t>
      </w:r>
    </w:p>
    <w:p>
      <w:pPr>
        <w:pStyle w:val="BodyText"/>
        <w:spacing w:before="0" w:after="200"/>
        <w:rPr/>
      </w:pPr>
      <w:r>
        <w:rPr/>
        <w:t>A workflow component should preserve the framework’s core structure by requiring explicit Assessment Boundaries, affected entities, evidence references, assumptions, confidence levels, policy updates, horizon analysis, and World Context Transition summaries. It should not reduce the framework to a superficial approval form.</w:t>
      </w:r>
    </w:p>
    <w:p>
      <w:pPr>
        <w:pStyle w:val="Heading3"/>
        <w:ind w:hanging="0" w:left="0"/>
        <w:rPr/>
      </w:pPr>
      <w:r>
        <w:rPr/>
        <w:t>Agent Component</w:t>
      </w:r>
    </w:p>
    <w:p>
      <w:pPr>
        <w:pStyle w:val="BodyText"/>
        <w:spacing w:before="0" w:after="200"/>
        <w:rPr/>
      </w:pPr>
      <w:r>
        <w:rPr/>
        <w:t>An agent component implementation embeds moral assessment capability inside an autonomous or semi-autonomous agent.</w:t>
      </w:r>
    </w:p>
    <w:p>
      <w:pPr>
        <w:pStyle w:val="BodyText"/>
        <w:spacing w:before="0" w:after="200"/>
        <w:rPr/>
      </w:pPr>
      <w:r>
        <w:rPr/>
        <w:t>In this pattern, the agent uses the framework to assess candidate actions before acting, recommending, escalating, refusing, modifying a plan, or requesting additional information. The moral assessment component may function as part of the agent’s planning loop, action-selection process, safety layer, governance layer, or reflective reasoning process.</w:t>
      </w:r>
    </w:p>
    <w:p>
      <w:pPr>
        <w:pStyle w:val="BodyText"/>
        <w:spacing w:before="0" w:after="200"/>
        <w:rPr/>
      </w:pPr>
      <w:r>
        <w:rPr/>
        <w:t>An agent component may be appropriate for AI assistants, autonomous robots, autonomous vehicles, software agents, multi-agent systems, decision-support agents, and future artificial systems with increasing degrees of autonomy.</w:t>
      </w:r>
    </w:p>
    <w:p>
      <w:pPr>
        <w:pStyle w:val="BodyText"/>
        <w:spacing w:before="0" w:after="200"/>
        <w:rPr/>
      </w:pPr>
      <w:r>
        <w:rPr/>
        <w:t>Advantages include real-time action evaluation, direct integration with planning, ability to block or modify harmful actions, support for self-monitoring, and compatibility with runtime safety systems.</w:t>
      </w:r>
    </w:p>
    <w:p>
      <w:pPr>
        <w:pStyle w:val="BodyText"/>
        <w:spacing w:before="0" w:after="200"/>
        <w:rPr/>
      </w:pPr>
      <w:r>
        <w:rPr/>
        <w:t>Limitations include latency constraints, incomplete context, model uncertainty, difficulty representing long-horizon consequences, risks of opaque reasoning, and the need for escalation when confidence is low or stakes are high.</w:t>
      </w:r>
    </w:p>
    <w:p>
      <w:pPr>
        <w:pStyle w:val="BodyText"/>
        <w:spacing w:before="0" w:after="200"/>
        <w:rPr/>
      </w:pPr>
      <w:r>
        <w:rPr/>
        <w:t>An agent component should not merely score actions as allowed or disallowed. It should evaluate candidate actions as possible World Context Transitions, including affected entities, Associations, Long-Term Flourishing, Distributed Policy Updates, uncertainty, confidence, and future state-space effects. When confidence is insufficient or potential harm is severe, the agent should be able to request more information, defer, escalate, or refuse to proceed.</w:t>
      </w:r>
    </w:p>
    <w:p>
      <w:pPr>
        <w:pStyle w:val="Heading3"/>
        <w:ind w:hanging="0" w:left="0"/>
        <w:rPr/>
      </w:pPr>
      <w:r>
        <w:rPr/>
        <w:t>Runtime Plugin</w:t>
      </w:r>
    </w:p>
    <w:p>
      <w:pPr>
        <w:pStyle w:val="BodyText"/>
        <w:spacing w:before="0" w:after="200"/>
        <w:rPr/>
      </w:pPr>
      <w:r>
        <w:rPr/>
        <w:t>A runtime plugin implementation provides moral assessment capability as an extension to a larger runtime environment.</w:t>
      </w:r>
    </w:p>
    <w:p>
      <w:pPr>
        <w:pStyle w:val="BodyText"/>
        <w:spacing w:before="0" w:after="200"/>
        <w:rPr/>
      </w:pPr>
      <w:r>
        <w:rPr/>
        <w:t>In this pattern, the framework is packaged as a plugin that can be installed into an application platform, AI runtime, governance system, workflow engine, agent framework, simulation platform, or Moral Reasoning Runtime. The host runtime provides orchestration, identity, permissions, data access, logging, execution control, or user interaction, while the plugin provides assessment-specific functionality.</w:t>
      </w:r>
    </w:p>
    <w:p>
      <w:pPr>
        <w:pStyle w:val="BodyText"/>
        <w:spacing w:before="0" w:after="200"/>
        <w:rPr/>
      </w:pPr>
      <w:r>
        <w:rPr/>
        <w:t>A runtime plugin may be appropriate when multiple host systems need optional or configurable access to moral assessment functionality. It may also be useful when the framework needs to evolve independently of the host platform.</w:t>
      </w:r>
    </w:p>
    <w:p>
      <w:pPr>
        <w:pStyle w:val="BodyText"/>
        <w:spacing w:before="0" w:after="200"/>
        <w:rPr/>
      </w:pPr>
      <w:r>
        <w:rPr/>
        <w:t>Advantages include modular deployment, extensibility, configurable activation, easier updates, and compatibility with host-specific runtime services. A plugin can provide specialized assessment capabilities without requiring every host system to implement the full framework natively.</w:t>
      </w:r>
    </w:p>
    <w:p>
      <w:pPr>
        <w:pStyle w:val="BodyText"/>
        <w:spacing w:before="0" w:after="200"/>
        <w:rPr/>
      </w:pPr>
      <w:r>
        <w:rPr/>
        <w:t>Limitations include dependence on host runtime interfaces, possible capability restrictions, version compatibility issues, security concerns, and the need to ensure that the host runtime does not distort the assessment semantics.</w:t>
      </w:r>
    </w:p>
    <w:p>
      <w:pPr>
        <w:pStyle w:val="BodyText"/>
        <w:spacing w:before="0" w:after="200"/>
        <w:rPr/>
      </w:pPr>
      <w:r>
        <w:rPr/>
        <w:t>A runtime plugin should expose clear interfaces for input context, evidence, assumptions, candidate actions, assessment requests, structured output, confidence values, audit logs, and escalation signals. It should also declare its ontology versions, supported assessment domains, evidence requirements, confidence limitations, and known implementation constraints.</w:t>
      </w:r>
    </w:p>
    <w:p>
      <w:pPr>
        <w:pStyle w:val="Heading3"/>
        <w:ind w:hanging="0" w:left="0"/>
        <w:rPr/>
      </w:pPr>
      <w:r>
        <w:rPr/>
        <w:t>Hybrid Implementations</w:t>
      </w:r>
    </w:p>
    <w:p>
      <w:pPr>
        <w:pStyle w:val="BodyText"/>
        <w:spacing w:before="0" w:after="200"/>
        <w:rPr/>
      </w:pPr>
      <w:r>
        <w:rPr/>
        <w:t>Many practical systems will combine multiple implementation patterns.</w:t>
      </w:r>
    </w:p>
    <w:p>
      <w:pPr>
        <w:pStyle w:val="BodyText"/>
        <w:spacing w:before="0" w:after="200"/>
        <w:rPr/>
      </w:pPr>
      <w:r>
        <w:rPr/>
        <w:t>For example, an AI assistant may use an embedded library for low-latency local checks, call a microservice for deeper assessment, escalate high-stakes cases to a workflow component, and record structured outputs in a standalone governance system. A Moral Reasoning Runtime may use runtime plugins for domain-specific assessment, distributed services for evidence and prediction, and agent components for real-time action evaluation.</w:t>
      </w:r>
    </w:p>
    <w:p>
      <w:pPr>
        <w:pStyle w:val="BodyText"/>
        <w:spacing w:before="0" w:after="200"/>
        <w:rPr/>
      </w:pPr>
      <w:r>
        <w:rPr/>
        <w:t>Hybrid implementations are expected. The framework should support them as long as the combined system preserves the assessment semantics.</w:t>
      </w:r>
    </w:p>
    <w:p>
      <w:pPr>
        <w:pStyle w:val="BodyText"/>
        <w:spacing w:before="0" w:after="200"/>
        <w:rPr/>
      </w:pPr>
      <w:r>
        <w:rPr/>
        <w:t>The key requirement is that the final Assessment Output remain coherent. Even when multiple components contribute to the assessment, the system should preserve traceability, confidence propagation, evidence references, assumptions, intermediate results, affected entities, policy updates, and the World Context Transition summary.</w:t>
      </w:r>
    </w:p>
    <w:p>
      <w:pPr>
        <w:pStyle w:val="Heading3"/>
        <w:ind w:hanging="0" w:left="0"/>
        <w:rPr/>
      </w:pPr>
      <w:r>
        <w:rPr/>
        <w:t>Pattern Selection Criteria</w:t>
      </w:r>
    </w:p>
    <w:p>
      <w:pPr>
        <w:pStyle w:val="BodyText"/>
        <w:spacing w:before="0" w:after="200"/>
        <w:rPr/>
      </w:pPr>
      <w:r>
        <w:rPr/>
        <w:t>The appropriate implementation pattern depends on the domain, risk level, latency requirements, evidence complexity, integration environment, audit requirements, human oversight needs, and scale of deployment.</w:t>
      </w:r>
    </w:p>
    <w:p>
      <w:pPr>
        <w:pStyle w:val="BodyText"/>
        <w:spacing w:before="0" w:after="200"/>
        <w:rPr/>
      </w:pPr>
      <w:r>
        <w:rPr/>
        <w:t>An embedded library may be appropriate for lightweight or local use. A standalone service may be appropriate for institutional review. A microservice may be appropriate for shared enterprise access. A distributed service may be appropriate for large-scale or complex multi-domain reasoning. A workflow component may be appropriate when human review and institutional legitimacy are central. An agent component may be appropriate for autonomous action. A runtime plugin may be appropriate when moral reasoning capability must be added to an existing platform.</w:t>
      </w:r>
    </w:p>
    <w:p>
      <w:pPr>
        <w:pStyle w:val="BodyText"/>
        <w:spacing w:before="0" w:after="200"/>
        <w:rPr/>
      </w:pPr>
      <w:r>
        <w:rPr/>
        <w:t>Pattern selection should consider:</w:t>
      </w:r>
    </w:p>
    <w:p>
      <w:pPr>
        <w:pStyle w:val="BodyText"/>
        <w:spacing w:before="0" w:after="200"/>
        <w:rPr/>
      </w:pPr>
      <w:r>
        <w:rPr/>
        <w:t>Assessment stakes.</w:t>
      </w:r>
    </w:p>
    <w:p>
      <w:pPr>
        <w:pStyle w:val="BodyText"/>
        <w:spacing w:before="0" w:after="200"/>
        <w:rPr/>
      </w:pPr>
      <w:r>
        <w:rPr/>
        <w:t>Required latency.</w:t>
      </w:r>
    </w:p>
    <w:p>
      <w:pPr>
        <w:pStyle w:val="BodyText"/>
        <w:spacing w:before="0" w:after="200"/>
        <w:rPr/>
      </w:pPr>
      <w:r>
        <w:rPr/>
        <w:t>Need for human review.</w:t>
      </w:r>
    </w:p>
    <w:p>
      <w:pPr>
        <w:pStyle w:val="BodyText"/>
        <w:spacing w:before="0" w:after="200"/>
        <w:rPr/>
      </w:pPr>
      <w:r>
        <w:rPr/>
        <w:t>Evidence complexity.</w:t>
      </w:r>
    </w:p>
    <w:p>
      <w:pPr>
        <w:pStyle w:val="BodyText"/>
        <w:spacing w:before="0" w:after="200"/>
        <w:rPr/>
      </w:pPr>
      <w:r>
        <w:rPr/>
        <w:t>Audit and traceability requirements.</w:t>
      </w:r>
    </w:p>
    <w:p>
      <w:pPr>
        <w:pStyle w:val="BodyText"/>
        <w:spacing w:before="0" w:after="200"/>
        <w:rPr/>
      </w:pPr>
      <w:r>
        <w:rPr/>
        <w:t>Security and privacy constraints.</w:t>
      </w:r>
    </w:p>
    <w:p>
      <w:pPr>
        <w:pStyle w:val="BodyText"/>
        <w:spacing w:before="0" w:after="200"/>
        <w:rPr/>
      </w:pPr>
      <w:r>
        <w:rPr/>
        <w:t>Expected scale.</w:t>
      </w:r>
    </w:p>
    <w:p>
      <w:pPr>
        <w:pStyle w:val="BodyText"/>
        <w:spacing w:before="0" w:after="200"/>
        <w:rPr/>
      </w:pPr>
      <w:r>
        <w:rPr/>
        <w:t>Domain specialization.</w:t>
      </w:r>
    </w:p>
    <w:p>
      <w:pPr>
        <w:pStyle w:val="BodyText"/>
        <w:spacing w:before="0" w:after="200"/>
        <w:rPr/>
      </w:pPr>
      <w:r>
        <w:rPr/>
        <w:t>Need for versioning.</w:t>
      </w:r>
    </w:p>
    <w:p>
      <w:pPr>
        <w:pStyle w:val="BodyText"/>
        <w:spacing w:before="0" w:after="200"/>
        <w:rPr/>
      </w:pPr>
      <w:r>
        <w:rPr/>
        <w:t>Integration with existing systems.</w:t>
      </w:r>
    </w:p>
    <w:p>
      <w:pPr>
        <w:pStyle w:val="BodyText"/>
        <w:spacing w:before="0" w:after="200"/>
        <w:rPr/>
      </w:pPr>
      <w:r>
        <w:rPr/>
        <w:t>Ability to preserve architectural fidelity.</w:t>
      </w:r>
    </w:p>
    <w:p>
      <w:pPr>
        <w:pStyle w:val="BodyText"/>
        <w:spacing w:before="0" w:after="200"/>
        <w:rPr/>
      </w:pPr>
      <w:r>
        <w:rPr/>
        <w:t>The best implementation pattern is the one that preserves the methodology with sufficient fidelity for the domain and risk level.</w:t>
      </w:r>
    </w:p>
    <w:p>
      <w:pPr>
        <w:pStyle w:val="Heading3"/>
        <w:ind w:hanging="0" w:left="0"/>
        <w:rPr/>
      </w:pPr>
      <w:r>
        <w:rPr/>
        <w:t>Common Pattern Errors</w:t>
      </w:r>
    </w:p>
    <w:p>
      <w:pPr>
        <w:pStyle w:val="BodyText"/>
        <w:spacing w:before="0" w:after="200"/>
        <w:rPr/>
      </w:pPr>
      <w:r>
        <w:rPr/>
        <w:t>Implementation patterns can fail when they distort the framework.</w:t>
      </w:r>
    </w:p>
    <w:p>
      <w:pPr>
        <w:pStyle w:val="BodyText"/>
        <w:spacing w:before="0" w:after="200"/>
        <w:rPr/>
      </w:pPr>
      <w:r>
        <w:rPr/>
        <w:t>An embedded library may fail by returning only a simplified score without traceability. A standalone service may fail by becoming a narrative ethics form rather than a structured assessment system. A microservice may fail by exposing an API that omits assumptions, confidence, or intermediate results. A distributed service may fail by fragmenting assessment semantics across components. A workflow component may fail by becoming a compliance checklist. An agent component may fail by treating moral assessment as a simple action filter. A runtime plugin may fail by conforming to host constraints at the expense of architectural fidelity.</w:t>
      </w:r>
    </w:p>
    <w:p>
      <w:pPr>
        <w:pStyle w:val="BodyText"/>
        <w:spacing w:before="0" w:after="200"/>
        <w:rPr/>
      </w:pPr>
      <w:r>
        <w:rPr/>
        <w:t>These failures share a common pattern: implementation convenience replaces methodological completeness.</w:t>
      </w:r>
    </w:p>
    <w:p>
      <w:pPr>
        <w:pStyle w:val="BodyText"/>
        <w:spacing w:before="0" w:after="200"/>
        <w:rPr/>
      </w:pPr>
      <w:r>
        <w:rPr/>
        <w:t>A conforming implementation should preserve the core structure even when simplified for practical deployment.</w:t>
      </w:r>
    </w:p>
    <w:p>
      <w:pPr>
        <w:pStyle w:val="Heading3"/>
        <w:ind w:hanging="0" w:left="0"/>
        <w:rPr/>
      </w:pPr>
      <w:r>
        <w:rPr/>
        <w:t>Implementation Pattern Boundary</w:t>
      </w:r>
    </w:p>
    <w:p>
      <w:pPr>
        <w:pStyle w:val="BodyText"/>
        <w:spacing w:before="0" w:after="200"/>
        <w:rPr/>
      </w:pPr>
      <w:r>
        <w:rPr/>
        <w:t>Implementation Patterns describe possible realization forms. They do not redefine the Reference Architecture or Moral Assessment Methodology.</w:t>
      </w:r>
    </w:p>
    <w:p>
      <w:pPr>
        <w:pStyle w:val="BodyText"/>
        <w:spacing w:before="0" w:after="200"/>
        <w:rPr/>
      </w:pPr>
      <w:r>
        <w:rPr/>
        <w:t>No pattern is required for all uses. No pattern is sufficient merely by virtue of its technical form. A system is not faithful because it is a microservice, plugin, workflow, or agent component. It is faithful only if it preserves the assessment requirements of the framework.</w:t>
      </w:r>
    </w:p>
    <w:p>
      <w:pPr>
        <w:pStyle w:val="BodyText"/>
        <w:spacing w:before="0" w:after="200"/>
        <w:rPr/>
      </w:pPr>
      <w:r>
        <w:rPr/>
        <w:t>Implementation Patterns should therefore be evaluated by fidelity, transparency, confidence propagation, extensibility, auditability, and ability to produce structured Assessment Output centered on the World Context Transition.</w:t>
      </w:r>
    </w:p>
    <w:p>
      <w:pPr>
        <w:pStyle w:val="Heading2"/>
        <w:rPr/>
      </w:pPr>
      <w:r>
        <w:rPr/>
        <w:t>Example Implementations</w:t>
      </w:r>
    </w:p>
    <w:p>
      <w:pPr>
        <w:pStyle w:val="BodyText"/>
        <w:spacing w:before="0" w:after="200"/>
        <w:rPr/>
      </w:pPr>
      <w:r>
        <w:rPr/>
        <w:t>Example Implementations illustrate how Objective-Based Systems Ethics may be realized in practical systems. These examples are not exhaustive and are not intended to prescribe a single preferred technical design. They demonstrate how the Reference Architecture and Moral Assessment Methodology can be instantiated across different domains, risk profiles, evidence environments, and operational contexts.</w:t>
      </w:r>
    </w:p>
    <w:p>
      <w:pPr>
        <w:pStyle w:val="BodyText"/>
        <w:spacing w:before="0" w:after="200"/>
        <w:rPr/>
      </w:pPr>
      <w:r>
        <w:rPr/>
        <w:t>Each example should preserve the same core logic: identify the relevant World Context, apply an Assessment Boundary, derive the Situational Context, identify relevant Objects and Associations, evaluate Objectives, define the Assessed Action, model State Transitions, estimate Long-Term Flourishing changes, account for Distributed Policy Updates, reason under uncertainty, evaluate multiple horizons, and produce structured Assessment Output.</w:t>
      </w:r>
    </w:p>
    <w:p>
      <w:pPr>
        <w:pStyle w:val="BodyText"/>
        <w:spacing w:before="0" w:after="200"/>
        <w:rPr/>
      </w:pPr>
      <w:r>
        <w:rPr/>
        <w:t>The examples differ in implementation pattern, domain ontology, evidence sources, runtime requirements, human oversight, and deployment constraints. However, each remains faithful to the same underlying framework if it evaluates the Assessed Action as a transition from World Context₀ to World Context₁.</w:t>
      </w:r>
    </w:p>
    <w:p>
      <w:pPr>
        <w:pStyle w:val="Heading3"/>
        <w:ind w:hanging="0" w:left="0"/>
        <w:rPr/>
      </w:pPr>
      <w:r>
        <w:rPr/>
        <w:t>Moral Reasoning Runtime</w:t>
      </w:r>
    </w:p>
    <w:p>
      <w:pPr>
        <w:pStyle w:val="BodyText"/>
        <w:spacing w:before="0" w:after="200"/>
        <w:rPr/>
      </w:pPr>
      <w:r>
        <w:rPr/>
        <w:t>A Moral Reasoning Runtime, or MRR, is a standalone reference implementation of the framework.</w:t>
      </w:r>
    </w:p>
    <w:p>
      <w:pPr>
        <w:pStyle w:val="BodyText"/>
        <w:spacing w:before="0" w:after="200"/>
        <w:rPr/>
      </w:pPr>
      <w:r>
        <w:rPr/>
        <w:t>An MRR provides runtime services for representing context, ingesting evidence, identifying affected entities, modeling State Transitions, estimating Long-Term Flourishing, evaluating Distributed Policy Updates, propagating confidence, and producing structured Assessment Output. It may expose these capabilities through APIs, user interfaces, plugins, workflow integrations, or agent-facing runtime calls.</w:t>
      </w:r>
    </w:p>
    <w:p>
      <w:pPr>
        <w:pStyle w:val="BodyText"/>
        <w:spacing w:before="0" w:after="200"/>
        <w:rPr/>
      </w:pPr>
      <w:r>
        <w:rPr/>
        <w:t>The purpose of an MRR is not to replace the Reference Architecture or Moral Assessment Methodology. It is to instantiate them in an operational environment. The MRR acts as a practical system through which applications, agents, institutions, or human users can submit Assessed Actions and receive structured, confidence-bounded moral assessments.</w:t>
      </w:r>
    </w:p>
    <w:p>
      <w:pPr>
        <w:pStyle w:val="BodyText"/>
        <w:spacing w:before="0" w:after="200"/>
        <w:rPr/>
      </w:pPr>
      <w:r>
        <w:rPr/>
        <w:t>An MRR may include services such as:</w:t>
      </w:r>
    </w:p>
    <w:p>
      <w:pPr>
        <w:pStyle w:val="BodyText"/>
        <w:spacing w:before="0" w:after="200"/>
        <w:rPr/>
      </w:pPr>
      <w:r>
        <w:rPr/>
        <w:t>World Context representation.</w:t>
      </w:r>
    </w:p>
    <w:p>
      <w:pPr>
        <w:pStyle w:val="BodyText"/>
        <w:spacing w:before="0" w:after="200"/>
        <w:rPr/>
      </w:pPr>
      <w:r>
        <w:rPr/>
        <w:t>Assessment Boundary configuration.</w:t>
      </w:r>
    </w:p>
    <w:p>
      <w:pPr>
        <w:pStyle w:val="BodyText"/>
        <w:spacing w:before="0" w:after="200"/>
        <w:rPr/>
      </w:pPr>
      <w:r>
        <w:rPr/>
        <w:t>Evidence ingestion and provenance tracking.</w:t>
      </w:r>
    </w:p>
    <w:p>
      <w:pPr>
        <w:pStyle w:val="BodyText"/>
        <w:spacing w:before="0" w:after="200"/>
        <w:rPr/>
      </w:pPr>
      <w:r>
        <w:rPr/>
        <w:t>Entity and Association identification.</w:t>
      </w:r>
    </w:p>
    <w:p>
      <w:pPr>
        <w:pStyle w:val="BodyText"/>
        <w:spacing w:before="0" w:after="200"/>
        <w:rPr/>
      </w:pPr>
      <w:r>
        <w:rPr/>
        <w:t>State Representation and State Transition modeling.</w:t>
      </w:r>
    </w:p>
    <w:p>
      <w:pPr>
        <w:pStyle w:val="BodyText"/>
        <w:spacing w:before="0" w:after="200"/>
        <w:rPr/>
      </w:pPr>
      <w:r>
        <w:rPr/>
        <w:t>Long-Term Flourishing estimation.</w:t>
      </w:r>
    </w:p>
    <w:p>
      <w:pPr>
        <w:pStyle w:val="BodyText"/>
        <w:spacing w:before="0" w:after="200"/>
        <w:rPr/>
      </w:pPr>
      <w:r>
        <w:rPr/>
        <w:t>Distributed Policy Update estimation.</w:t>
      </w:r>
    </w:p>
    <w:p>
      <w:pPr>
        <w:pStyle w:val="BodyText"/>
        <w:spacing w:before="0" w:after="200"/>
        <w:rPr/>
      </w:pPr>
      <w:r>
        <w:rPr/>
        <w:t>Multi-Horizon Assessment.</w:t>
      </w:r>
    </w:p>
    <w:p>
      <w:pPr>
        <w:pStyle w:val="BodyText"/>
        <w:spacing w:before="0" w:after="200"/>
        <w:rPr/>
      </w:pPr>
      <w:r>
        <w:rPr/>
        <w:t>Probability and confidence estimation.</w:t>
      </w:r>
    </w:p>
    <w:p>
      <w:pPr>
        <w:pStyle w:val="BodyText"/>
        <w:spacing w:before="0" w:after="200"/>
        <w:rPr/>
      </w:pPr>
      <w:r>
        <w:rPr/>
        <w:t>Structured Assessment Output.</w:t>
      </w:r>
    </w:p>
    <w:p>
      <w:pPr>
        <w:pStyle w:val="BodyText"/>
        <w:spacing w:before="0" w:after="200"/>
        <w:rPr/>
      </w:pPr>
      <w:r>
        <w:rPr/>
        <w:t>Audit logging.</w:t>
      </w:r>
    </w:p>
    <w:p>
      <w:pPr>
        <w:pStyle w:val="BodyText"/>
        <w:spacing w:before="0" w:after="200"/>
        <w:rPr/>
      </w:pPr>
      <w:r>
        <w:rPr/>
        <w:t>Versioned ontologies.</w:t>
      </w:r>
    </w:p>
    <w:p>
      <w:pPr>
        <w:pStyle w:val="BodyText"/>
        <w:spacing w:before="0" w:after="200"/>
        <w:rPr/>
      </w:pPr>
      <w:r>
        <w:rPr/>
        <w:t>Human review and escalation.</w:t>
      </w:r>
    </w:p>
    <w:p>
      <w:pPr>
        <w:pStyle w:val="BodyText"/>
        <w:spacing w:before="0" w:after="200"/>
        <w:rPr/>
      </w:pPr>
      <w:r>
        <w:rPr/>
        <w:t>Domain-specific plugins.</w:t>
      </w:r>
    </w:p>
    <w:p>
      <w:pPr>
        <w:pStyle w:val="BodyText"/>
        <w:spacing w:before="0" w:after="200"/>
        <w:rPr/>
      </w:pPr>
      <w:r>
        <w:rPr/>
        <w:t>As a reference implementation, an MRR should prioritize architectural fidelity, transparency, traceability, extensibility, and confidence-bounded operation over narrow optimization. Its purpose is to demonstrate how the framework can be realized without making any one implementation pattern mandatory.</w:t>
      </w:r>
    </w:p>
    <w:p>
      <w:pPr>
        <w:pStyle w:val="Heading3"/>
        <w:ind w:hanging="0" w:left="0"/>
        <w:rPr/>
      </w:pPr>
      <w:r>
        <w:rPr/>
        <w:t>LLM Safety and Harness Integration</w:t>
      </w:r>
    </w:p>
    <w:p>
      <w:pPr>
        <w:pStyle w:val="BodyText"/>
        <w:spacing w:before="0" w:after="200"/>
        <w:rPr/>
      </w:pPr>
      <w:r>
        <w:rPr/>
        <w:t>An LLM safety or harness integration applies the framework to large language model behavior, agent actions, tool use, content generation, and autonomous or semi-autonomous decision support.</w:t>
      </w:r>
    </w:p>
    <w:p>
      <w:pPr>
        <w:pStyle w:val="BodyText"/>
        <w:spacing w:before="0" w:after="200"/>
        <w:rPr/>
      </w:pPr>
      <w:r>
        <w:rPr/>
        <w:t>In this implementation, the Assessed Action may be an LLM response, tool call, recommendation, refusal, plan, instruction, escalation decision, memory update, or autonomous action. The system evaluates whether that action produces a supportable World Context Transition.</w:t>
      </w:r>
    </w:p>
    <w:p>
      <w:pPr>
        <w:pStyle w:val="BodyText"/>
        <w:spacing w:before="0" w:after="200"/>
        <w:rPr/>
      </w:pPr>
      <w:r>
        <w:rPr/>
        <w:t>The Assessment Boundary may include the user’s request, the conversation context, available tools, user permissions, safety policies, relevant affected entities, downstream risks, evidence quality, and likely effects of the model’s output. The Situational Context may include what the model knows, what the user is asking, what the model can safely infer, what tools it may use, and what harms or benefits may follow from the response.</w:t>
      </w:r>
    </w:p>
    <w:p>
      <w:pPr>
        <w:pStyle w:val="BodyText"/>
        <w:spacing w:before="0" w:after="200"/>
        <w:rPr/>
      </w:pPr>
      <w:r>
        <w:rPr/>
        <w:t>An LLM safety implementation may evaluate:</w:t>
      </w:r>
    </w:p>
    <w:p>
      <w:pPr>
        <w:pStyle w:val="BodyText"/>
        <w:spacing w:before="0" w:after="200"/>
        <w:rPr/>
      </w:pPr>
      <w:r>
        <w:rPr/>
        <w:t>Whether to answer, refuse, clarify, or escalate.</w:t>
      </w:r>
    </w:p>
    <w:p>
      <w:pPr>
        <w:pStyle w:val="BodyText"/>
        <w:spacing w:before="0" w:after="200"/>
        <w:rPr/>
      </w:pPr>
      <w:r>
        <w:rPr/>
        <w:t>Whether a tool call is safe and authorized.</w:t>
      </w:r>
    </w:p>
    <w:p>
      <w:pPr>
        <w:pStyle w:val="BodyText"/>
        <w:spacing w:before="0" w:after="200"/>
        <w:rPr/>
      </w:pPr>
      <w:r>
        <w:rPr/>
        <w:t>Whether a recommendation creates material risk.</w:t>
      </w:r>
    </w:p>
    <w:p>
      <w:pPr>
        <w:pStyle w:val="BodyText"/>
        <w:spacing w:before="0" w:after="200"/>
        <w:rPr/>
      </w:pPr>
      <w:r>
        <w:rPr/>
        <w:t>Whether a response could enable harm.</w:t>
      </w:r>
    </w:p>
    <w:p>
      <w:pPr>
        <w:pStyle w:val="BodyText"/>
        <w:spacing w:before="0" w:after="200"/>
        <w:rPr/>
      </w:pPr>
      <w:r>
        <w:rPr/>
        <w:t>Whether withholding information materially diminishes a user’s flourishing.</w:t>
      </w:r>
    </w:p>
    <w:p>
      <w:pPr>
        <w:pStyle w:val="BodyText"/>
        <w:spacing w:before="0" w:after="200"/>
        <w:rPr/>
      </w:pPr>
      <w:r>
        <w:rPr/>
        <w:t>Whether a refusal protects Long-Term Flourishing.</w:t>
      </w:r>
    </w:p>
    <w:p>
      <w:pPr>
        <w:pStyle w:val="BodyText"/>
        <w:spacing w:before="0" w:after="200"/>
        <w:rPr/>
      </w:pPr>
      <w:r>
        <w:rPr/>
        <w:t>Whether the model’s response creates harmful policy updates in the user, observers, or future system behavior.</w:t>
      </w:r>
    </w:p>
    <w:p>
      <w:pPr>
        <w:pStyle w:val="BodyText"/>
        <w:spacing w:before="0" w:after="200"/>
        <w:rPr/>
      </w:pPr>
      <w:r>
        <w:rPr/>
        <w:t>Whether the model should request more evidence because confidence is low.</w:t>
      </w:r>
    </w:p>
    <w:p>
      <w:pPr>
        <w:pStyle w:val="BodyText"/>
        <w:spacing w:before="0" w:after="200"/>
        <w:rPr/>
      </w:pPr>
      <w:r>
        <w:rPr/>
        <w:t>Distributed Policy Updates are especially important in LLM contexts. A model response may teach users, observers, or downstream agents what is acceptable, effective, safe, or repeatable. A harmful response may update user behavior toward riskier action. A beneficial refusal may update expectations toward safer conduct. A deceptive or overconfident answer may degrade epistemic responsibility.</w:t>
      </w:r>
    </w:p>
    <w:p>
      <w:pPr>
        <w:pStyle w:val="BodyText"/>
        <w:spacing w:before="0" w:after="200"/>
        <w:rPr/>
      </w:pPr>
      <w:r>
        <w:rPr/>
        <w:t>Structured Assessment Output in an LLM harness may produce decision-support flags such as: answer normally, answer with caveats, ask for clarification, use tool, refuse, escalate, require human review, limit detail, provide safer alternative, or monitor future interactions.</w:t>
      </w:r>
    </w:p>
    <w:p>
      <w:pPr>
        <w:pStyle w:val="Heading3"/>
        <w:ind w:hanging="0" w:left="0"/>
        <w:rPr/>
      </w:pPr>
      <w:r>
        <w:rPr/>
        <w:t>Autonomous Robotics</w:t>
      </w:r>
    </w:p>
    <w:p>
      <w:pPr>
        <w:pStyle w:val="BodyText"/>
        <w:spacing w:before="0" w:after="200"/>
        <w:rPr/>
      </w:pPr>
      <w:r>
        <w:rPr/>
        <w:t>An autonomous robotics implementation applies the framework to robots that perceive environments, select actions, interact with humans or other entities, and operate under physical constraints.</w:t>
      </w:r>
    </w:p>
    <w:p>
      <w:pPr>
        <w:pStyle w:val="BodyText"/>
        <w:spacing w:before="0" w:after="200"/>
        <w:rPr/>
      </w:pPr>
      <w:r>
        <w:rPr/>
        <w:t>In this domain, the Assessed Action may be a movement, manipulation, navigation choice, emergency stop, collision-avoidance maneuver, human-interaction behavior, resource allocation decision, or task-execution plan.</w:t>
      </w:r>
    </w:p>
    <w:p>
      <w:pPr>
        <w:pStyle w:val="BodyText"/>
        <w:spacing w:before="0" w:after="200"/>
        <w:rPr/>
      </w:pPr>
      <w:r>
        <w:rPr/>
        <w:t>The World Context may include the robot, humans, animals, physical objects, environmental hazards, property, institutions, safety rules, authority conditions, operational objectives, and future risks. The Situational Context may include sensor readings, uncertainty, time pressure, task goals, nearby entities, physical constraints, and available alternatives.</w:t>
      </w:r>
    </w:p>
    <w:p>
      <w:pPr>
        <w:pStyle w:val="BodyText"/>
        <w:spacing w:before="0" w:after="200"/>
        <w:rPr/>
      </w:pPr>
      <w:r>
        <w:rPr/>
        <w:t>An autonomous robotics implementation may evaluate:</w:t>
      </w:r>
    </w:p>
    <w:p>
      <w:pPr>
        <w:pStyle w:val="BodyText"/>
        <w:spacing w:before="0" w:after="200"/>
        <w:rPr/>
      </w:pPr>
      <w:r>
        <w:rPr/>
        <w:t>Whether to proceed with a planned movement.</w:t>
      </w:r>
    </w:p>
    <w:p>
      <w:pPr>
        <w:pStyle w:val="BodyText"/>
        <w:spacing w:before="0" w:after="200"/>
        <w:rPr/>
      </w:pPr>
      <w:r>
        <w:rPr/>
        <w:t>Whether to stop or slow down.</w:t>
      </w:r>
    </w:p>
    <w:p>
      <w:pPr>
        <w:pStyle w:val="BodyText"/>
        <w:spacing w:before="0" w:after="200"/>
        <w:rPr/>
      </w:pPr>
      <w:r>
        <w:rPr/>
        <w:t>Whether to prioritize one entity’s safety over another’s.</w:t>
      </w:r>
    </w:p>
    <w:p>
      <w:pPr>
        <w:pStyle w:val="BodyText"/>
        <w:spacing w:before="0" w:after="200"/>
        <w:rPr/>
      </w:pPr>
      <w:r>
        <w:rPr/>
        <w:t>Whether to ask for human confirmation.</w:t>
      </w:r>
    </w:p>
    <w:p>
      <w:pPr>
        <w:pStyle w:val="BodyText"/>
        <w:spacing w:before="0" w:after="200"/>
        <w:rPr/>
      </w:pPr>
      <w:r>
        <w:rPr/>
        <w:t>Whether to interrupt an assigned task.</w:t>
      </w:r>
    </w:p>
    <w:p>
      <w:pPr>
        <w:pStyle w:val="BodyText"/>
        <w:spacing w:before="0" w:after="200"/>
        <w:rPr/>
      </w:pPr>
      <w:r>
        <w:rPr/>
        <w:t>Whether to violate a minor operational constraint to avoid severe harm.</w:t>
      </w:r>
    </w:p>
    <w:p>
      <w:pPr>
        <w:pStyle w:val="BodyText"/>
        <w:spacing w:before="0" w:after="200"/>
        <w:rPr/>
      </w:pPr>
      <w:r>
        <w:rPr/>
        <w:t>Whether to preserve future options by choosing a safer route.</w:t>
      </w:r>
    </w:p>
    <w:p>
      <w:pPr>
        <w:pStyle w:val="BodyText"/>
        <w:spacing w:before="0" w:after="200"/>
        <w:rPr/>
      </w:pPr>
      <w:r>
        <w:rPr/>
        <w:t>State Transitions in robotics often involve physical safety, spatial relationships, operational constraints, and future opportunity preservation. Distributed Policy Updates may include how human operators, observers, or collaborating robots update future behavior based on the robot’s action. For example, a robot that consistently yields safely may strengthen trust, while a robot that optimizes task completion at the expense of human comfort may degrade trust and cooperation.</w:t>
      </w:r>
    </w:p>
    <w:p>
      <w:pPr>
        <w:pStyle w:val="BodyText"/>
        <w:spacing w:before="0" w:after="200"/>
        <w:rPr/>
      </w:pPr>
      <w:r>
        <w:rPr/>
        <w:t>An autonomous robotics implementation should be highly sensitive to uncertainty, sensor reliability, latency, physical irreversibility, human safety, and escalation thresholds.</w:t>
      </w:r>
    </w:p>
    <w:p>
      <w:pPr>
        <w:pStyle w:val="Heading3"/>
        <w:ind w:hanging="0" w:left="0"/>
        <w:rPr/>
      </w:pPr>
      <w:r>
        <w:rPr/>
        <w:t>Clinical Decision Support</w:t>
      </w:r>
    </w:p>
    <w:p>
      <w:pPr>
        <w:pStyle w:val="BodyText"/>
        <w:spacing w:before="0" w:after="200"/>
        <w:rPr/>
      </w:pPr>
      <w:r>
        <w:rPr/>
        <w:t>A clinical decision-support implementation applies the framework to medical recommendations, treatment choices, consent processes, triage decisions, risk disclosure, and care planning.</w:t>
      </w:r>
    </w:p>
    <w:p>
      <w:pPr>
        <w:pStyle w:val="BodyText"/>
        <w:spacing w:before="0" w:after="200"/>
        <w:rPr/>
      </w:pPr>
      <w:r>
        <w:rPr/>
        <w:t>In this domain, the Assessed Action may be a treatment recommendation, diagnostic plan, refusal of treatment, triage decision, medication choice, disclosure decision, escalation to specialist care, or allocation of limited medical resources.</w:t>
      </w:r>
    </w:p>
    <w:p>
      <w:pPr>
        <w:pStyle w:val="BodyText"/>
        <w:spacing w:before="0" w:after="200"/>
        <w:rPr/>
      </w:pPr>
      <w:r>
        <w:rPr/>
        <w:t>The World Context may include the patient, clinicians, family members, care team, medical institution, clinical evidence, legal requirements, consent status, resource constraints, professional obligations, and future care options. The Situational Context may include the patient’s condition, available treatments, urgency, prognosis, uncertainty, patient preferences, decision capacity, and institutional constraints.</w:t>
      </w:r>
    </w:p>
    <w:p>
      <w:pPr>
        <w:pStyle w:val="BodyText"/>
        <w:spacing w:before="0" w:after="200"/>
        <w:rPr/>
      </w:pPr>
      <w:r>
        <w:rPr/>
        <w:t>A clinical decision-support implementation may evaluate:</w:t>
      </w:r>
    </w:p>
    <w:p>
      <w:pPr>
        <w:pStyle w:val="BodyText"/>
        <w:spacing w:before="0" w:after="200"/>
        <w:rPr/>
      </w:pPr>
      <w:r>
        <w:rPr/>
        <w:t>Whether a proposed treatment preserves Long-Term Flourishing.</w:t>
      </w:r>
    </w:p>
    <w:p>
      <w:pPr>
        <w:pStyle w:val="BodyText"/>
        <w:spacing w:before="0" w:after="200"/>
        <w:rPr/>
      </w:pPr>
      <w:r>
        <w:rPr/>
        <w:t>Whether the patient has sufficient information for informed consent.</w:t>
      </w:r>
    </w:p>
    <w:p>
      <w:pPr>
        <w:pStyle w:val="BodyText"/>
        <w:spacing w:before="0" w:after="200"/>
        <w:rPr/>
      </w:pPr>
      <w:r>
        <w:rPr/>
        <w:t>Whether the clinician should disclose uncertainty.</w:t>
      </w:r>
    </w:p>
    <w:p>
      <w:pPr>
        <w:pStyle w:val="BodyText"/>
        <w:spacing w:before="0" w:after="200"/>
        <w:rPr/>
      </w:pPr>
      <w:r>
        <w:rPr/>
        <w:t>Whether delay would materially diminish future treatment options.</w:t>
      </w:r>
    </w:p>
    <w:p>
      <w:pPr>
        <w:pStyle w:val="BodyText"/>
        <w:spacing w:before="0" w:after="200"/>
        <w:rPr/>
      </w:pPr>
      <w:r>
        <w:rPr/>
        <w:t>Whether a less invasive alternative is available.</w:t>
      </w:r>
    </w:p>
    <w:p>
      <w:pPr>
        <w:pStyle w:val="BodyText"/>
        <w:spacing w:before="0" w:after="200"/>
        <w:rPr/>
      </w:pPr>
      <w:r>
        <w:rPr/>
        <w:t>Whether a resource-allocation decision is supportable.</w:t>
      </w:r>
    </w:p>
    <w:p>
      <w:pPr>
        <w:pStyle w:val="BodyText"/>
        <w:spacing w:before="0" w:after="200"/>
        <w:rPr/>
      </w:pPr>
      <w:r>
        <w:rPr/>
        <w:t>Whether institutional protocols preserve or diminish patient flourishing.</w:t>
      </w:r>
    </w:p>
    <w:p>
      <w:pPr>
        <w:pStyle w:val="BodyText"/>
        <w:spacing w:before="0" w:after="200"/>
        <w:rPr/>
      </w:pPr>
      <w:r>
        <w:rPr/>
        <w:t>Long-Term Flourishing in clinical settings may include survival, health, autonomy, agency, future possibilities, quality of life, relational support, and adaptive capacity. Distributed Policy Updates may include effects on patient trust, clinician practice, institutional transparency, family decision behavior, and future willingness to seek care.</w:t>
      </w:r>
    </w:p>
    <w:p>
      <w:pPr>
        <w:pStyle w:val="BodyText"/>
        <w:spacing w:before="0" w:after="200"/>
        <w:rPr/>
      </w:pPr>
      <w:r>
        <w:rPr/>
        <w:t>A clinical implementation should preserve evidence references, assumptions, uncertainty, confidence, affected entities, alternatives, and horizon-specific effects. It should not replace clinical judgment, but it may support more explicit, auditable, and confidence-bounded ethical reasoning.</w:t>
      </w:r>
    </w:p>
    <w:p>
      <w:pPr>
        <w:pStyle w:val="Heading3"/>
        <w:ind w:hanging="0" w:left="0"/>
        <w:rPr/>
      </w:pPr>
      <w:r>
        <w:rPr/>
        <w:t>Government Policy Analysis</w:t>
      </w:r>
    </w:p>
    <w:p>
      <w:pPr>
        <w:pStyle w:val="BodyText"/>
        <w:spacing w:before="0" w:after="200"/>
        <w:rPr/>
      </w:pPr>
      <w:r>
        <w:rPr/>
        <w:t>A government policy-analysis implementation applies the framework to public decisions, regulations, programs, emergency measures, resource allocation, legal reforms, infrastructure planning, and long-term governance choices.</w:t>
      </w:r>
    </w:p>
    <w:p>
      <w:pPr>
        <w:pStyle w:val="BodyText"/>
        <w:spacing w:before="0" w:after="200"/>
        <w:rPr/>
      </w:pPr>
      <w:r>
        <w:rPr/>
        <w:t>In this domain, the Assessed Action may be a proposed law, regulation, executive action, budget allocation, public-health measure, enforcement policy, infrastructure investment, environmental rule, taxation policy, or emergency intervention.</w:t>
      </w:r>
    </w:p>
    <w:p>
      <w:pPr>
        <w:pStyle w:val="BodyText"/>
        <w:spacing w:before="0" w:after="200"/>
        <w:rPr/>
      </w:pPr>
      <w:r>
        <w:rPr/>
        <w:t>The World Context may include citizens, communities, agencies, institutions, legal structures, economic conditions, environmental systems, public trust, resource constraints, authority conditions, future generations, and civilizational risk factors. The Situational Context may include policy objectives, jurisdiction, affected populations, available alternatives, evidence quality, stakeholder input, institutional legitimacy, and uncertainty.</w:t>
      </w:r>
    </w:p>
    <w:p>
      <w:pPr>
        <w:pStyle w:val="BodyText"/>
        <w:spacing w:before="0" w:after="200"/>
        <w:rPr/>
      </w:pPr>
      <w:r>
        <w:rPr/>
        <w:t>A government policy implementation may evaluate:</w:t>
      </w:r>
    </w:p>
    <w:p>
      <w:pPr>
        <w:pStyle w:val="BodyText"/>
        <w:spacing w:before="0" w:after="200"/>
        <w:rPr/>
      </w:pPr>
      <w:r>
        <w:rPr/>
        <w:t>Whether a policy preserves or diminishes Long-Term Flourishing.</w:t>
      </w:r>
    </w:p>
    <w:p>
      <w:pPr>
        <w:pStyle w:val="BodyText"/>
        <w:spacing w:before="0" w:after="200"/>
        <w:rPr/>
      </w:pPr>
      <w:r>
        <w:rPr/>
        <w:t>Which populations benefit or bear burdens.</w:t>
      </w:r>
    </w:p>
    <w:p>
      <w:pPr>
        <w:pStyle w:val="BodyText"/>
        <w:spacing w:before="0" w:after="200"/>
        <w:rPr/>
      </w:pPr>
      <w:r>
        <w:rPr/>
        <w:t>Whether the policy damages trust or legitimacy.</w:t>
      </w:r>
    </w:p>
    <w:p>
      <w:pPr>
        <w:pStyle w:val="BodyText"/>
        <w:spacing w:before="0" w:after="200"/>
        <w:rPr/>
      </w:pPr>
      <w:r>
        <w:rPr/>
        <w:t>Whether the policy creates harmful precedent.</w:t>
      </w:r>
    </w:p>
    <w:p>
      <w:pPr>
        <w:pStyle w:val="BodyText"/>
        <w:spacing w:before="0" w:after="200"/>
        <w:rPr/>
      </w:pPr>
      <w:r>
        <w:rPr/>
        <w:t>Whether short-term benefit creates long-term institutional harm.</w:t>
      </w:r>
    </w:p>
    <w:p>
      <w:pPr>
        <w:pStyle w:val="BodyText"/>
        <w:spacing w:before="0" w:after="200"/>
        <w:rPr/>
      </w:pPr>
      <w:r>
        <w:rPr/>
        <w:t>Whether future generations are affected.</w:t>
      </w:r>
    </w:p>
    <w:p>
      <w:pPr>
        <w:pStyle w:val="BodyText"/>
        <w:spacing w:before="0" w:after="200"/>
        <w:rPr/>
      </w:pPr>
      <w:r>
        <w:rPr/>
        <w:t>Whether civilizational future state space is expanded or narrowed.</w:t>
      </w:r>
    </w:p>
    <w:p>
      <w:pPr>
        <w:pStyle w:val="BodyText"/>
        <w:spacing w:before="0" w:after="200"/>
        <w:rPr/>
      </w:pPr>
      <w:r>
        <w:rPr/>
        <w:t>Whether less harmful alternatives are available.</w:t>
      </w:r>
    </w:p>
    <w:p>
      <w:pPr>
        <w:pStyle w:val="BodyText"/>
        <w:spacing w:before="0" w:after="200"/>
        <w:rPr/>
      </w:pPr>
      <w:r>
        <w:rPr/>
        <w:t>Multi-Horizon Assessment is central in government policy. Immediate public benefits may differ from long-term institutional effects. A policy may increase short-term compliance while diminishing legitimacy. Another may impose short-term cost while preserving public trust, ecological resilience, or future opportunity.</w:t>
      </w:r>
    </w:p>
    <w:p>
      <w:pPr>
        <w:pStyle w:val="BodyText"/>
        <w:spacing w:before="0" w:after="200"/>
        <w:rPr/>
      </w:pPr>
      <w:r>
        <w:rPr/>
        <w:t>Distributed Policy Updates may include changes in citizen trust, institutional behavior, agency enforcement patterns, political norms, compliance expectations, and public willingness to cooperate.</w:t>
      </w:r>
    </w:p>
    <w:p>
      <w:pPr>
        <w:pStyle w:val="BodyText"/>
        <w:spacing w:before="0" w:after="200"/>
        <w:rPr/>
      </w:pPr>
      <w:r>
        <w:rPr/>
        <w:t>A government implementation should support transparency, evidence provenance, stakeholder visibility, horizon-specific confidence, and structured decision-support flags.</w:t>
      </w:r>
    </w:p>
    <w:p>
      <w:pPr>
        <w:pStyle w:val="Heading3"/>
        <w:ind w:hanging="0" w:left="0"/>
        <w:rPr/>
      </w:pPr>
      <w:r>
        <w:rPr/>
        <w:t>Legal Decision Support</w:t>
      </w:r>
    </w:p>
    <w:p>
      <w:pPr>
        <w:pStyle w:val="BodyText"/>
        <w:spacing w:before="0" w:after="200"/>
        <w:rPr/>
      </w:pPr>
      <w:r>
        <w:rPr/>
        <w:t>A legal decision-support implementation applies the framework to legal reasoning, judicial decisions, regulatory interpretation, enforcement discretion, sentencing, compliance review, precedent analysis, and institutional legitimacy.</w:t>
      </w:r>
    </w:p>
    <w:p>
      <w:pPr>
        <w:pStyle w:val="BodyText"/>
        <w:spacing w:before="0" w:after="200"/>
        <w:rPr/>
      </w:pPr>
      <w:r>
        <w:rPr/>
        <w:t>In this domain, the Assessed Action may be a judicial ruling, legal argument, enforcement decision, settlement recommendation, compliance action, regulatory interpretation, or institutional legal policy.</w:t>
      </w:r>
    </w:p>
    <w:p>
      <w:pPr>
        <w:pStyle w:val="BodyText"/>
        <w:spacing w:before="0" w:after="200"/>
        <w:rPr/>
      </w:pPr>
      <w:r>
        <w:rPr/>
        <w:t>The World Context may include parties, courts, agencies, statutes, precedent, rights, obligations, authority, legitimacy, institutional trust, affected communities, and future legal expectations. The Situational Context may include the legal facts, applicable law, jurisdiction, procedural posture, evidentiary record, available remedies, authority constraints, and institutional consequences.</w:t>
      </w:r>
    </w:p>
    <w:p>
      <w:pPr>
        <w:pStyle w:val="BodyText"/>
        <w:spacing w:before="0" w:after="200"/>
        <w:rPr/>
      </w:pPr>
      <w:r>
        <w:rPr/>
        <w:t>A legal implementation may evaluate:</w:t>
      </w:r>
    </w:p>
    <w:p>
      <w:pPr>
        <w:pStyle w:val="BodyText"/>
        <w:spacing w:before="0" w:after="200"/>
        <w:rPr/>
      </w:pPr>
      <w:r>
        <w:rPr/>
        <w:t>Whether a legal action preserves procedural integrity.</w:t>
      </w:r>
    </w:p>
    <w:p>
      <w:pPr>
        <w:pStyle w:val="BodyText"/>
        <w:spacing w:before="0" w:after="200"/>
        <w:rPr/>
      </w:pPr>
      <w:r>
        <w:rPr/>
        <w:t>Whether it respects legitimate authority.</w:t>
      </w:r>
    </w:p>
    <w:p>
      <w:pPr>
        <w:pStyle w:val="BodyText"/>
        <w:spacing w:before="0" w:after="200"/>
        <w:rPr/>
      </w:pPr>
      <w:r>
        <w:rPr/>
        <w:t>Whether it materially diminishes affected entities.</w:t>
      </w:r>
    </w:p>
    <w:p>
      <w:pPr>
        <w:pStyle w:val="BodyText"/>
        <w:spacing w:before="0" w:after="200"/>
        <w:rPr/>
      </w:pPr>
      <w:r>
        <w:rPr/>
        <w:t>Whether it strengthens or weakens trust in legal institutions.</w:t>
      </w:r>
    </w:p>
    <w:p>
      <w:pPr>
        <w:pStyle w:val="BodyText"/>
        <w:spacing w:before="0" w:after="200"/>
        <w:rPr/>
      </w:pPr>
      <w:r>
        <w:rPr/>
        <w:t>Whether it creates harmful precedent.</w:t>
      </w:r>
    </w:p>
    <w:p>
      <w:pPr>
        <w:pStyle w:val="BodyText"/>
        <w:spacing w:before="0" w:after="200"/>
        <w:rPr/>
      </w:pPr>
      <w:r>
        <w:rPr/>
        <w:t>Whether it preserves future legal remedies.</w:t>
      </w:r>
    </w:p>
    <w:p>
      <w:pPr>
        <w:pStyle w:val="BodyText"/>
        <w:spacing w:before="0" w:after="200"/>
        <w:rPr/>
      </w:pPr>
      <w:r>
        <w:rPr/>
        <w:t>Whether it treats similarly situated entities consistently.</w:t>
      </w:r>
    </w:p>
    <w:p>
      <w:pPr>
        <w:pStyle w:val="BodyText"/>
        <w:spacing w:before="0" w:after="200"/>
        <w:rPr/>
      </w:pPr>
      <w:r>
        <w:rPr/>
        <w:t>Whether the means used are compatible with institutional legitimacy.</w:t>
      </w:r>
    </w:p>
    <w:p>
      <w:pPr>
        <w:pStyle w:val="BodyText"/>
        <w:spacing w:before="0" w:after="200"/>
        <w:rPr/>
      </w:pPr>
      <w:r>
        <w:rPr/>
        <w:t>Legal decision support is not a substitute for legal authority or judicial judgment. Its purpose is to make the moral structure of legal decisions more explicit, especially where legal discretion, institutional legitimacy, affected entities, and long-term policy effects matter.</w:t>
      </w:r>
    </w:p>
    <w:p>
      <w:pPr>
        <w:pStyle w:val="BodyText"/>
        <w:spacing w:before="0" w:after="200"/>
        <w:rPr/>
      </w:pPr>
      <w:r>
        <w:rPr/>
        <w:t>Distributed Policy Updates are especially important in legal contexts because legal decisions shape future expectations, institutional behavior, compliance, enforcement norms, and public trust. A legally effective action may still degrade the resulting World Context if it undermines legitimacy, due process, or future confidence in legal institutions.</w:t>
      </w:r>
    </w:p>
    <w:p>
      <w:pPr>
        <w:pStyle w:val="Heading3"/>
        <w:ind w:hanging="0" w:left="0"/>
        <w:rPr/>
      </w:pPr>
      <w:r>
        <w:rPr/>
        <w:t>Organizational Governance Systems</w:t>
      </w:r>
    </w:p>
    <w:p>
      <w:pPr>
        <w:pStyle w:val="BodyText"/>
        <w:spacing w:before="0" w:after="200"/>
        <w:rPr/>
      </w:pPr>
      <w:r>
        <w:rPr/>
        <w:t>An organizational governance implementation applies the framework to corporate, nonprofit, institutional, or administrative decision-making.</w:t>
      </w:r>
    </w:p>
    <w:p>
      <w:pPr>
        <w:pStyle w:val="BodyText"/>
        <w:spacing w:before="0" w:after="200"/>
        <w:rPr/>
      </w:pPr>
      <w:r>
        <w:rPr/>
        <w:t>In this domain, the Assessed Action may be a hiring decision, layoff, compensation policy, compliance response, internal investigation, product launch, risk acceptance, whistleblower response, governance change, crisis decision, or strategic initiative.</w:t>
      </w:r>
    </w:p>
    <w:p>
      <w:pPr>
        <w:pStyle w:val="BodyText"/>
        <w:spacing w:before="0" w:after="200"/>
        <w:rPr/>
      </w:pPr>
      <w:r>
        <w:rPr/>
        <w:t>The World Context may include employees, customers, leaders, shareholders, communities, regulators, partners, organizational culture, policies, incentives, obligations, trust relationships, and institutional reputation. The Situational Context may include business objectives, legal constraints, stakeholder impacts, internal evidence, authority structures, resource constraints, and available alternatives.</w:t>
      </w:r>
    </w:p>
    <w:p>
      <w:pPr>
        <w:pStyle w:val="BodyText"/>
        <w:spacing w:before="0" w:after="200"/>
        <w:rPr/>
      </w:pPr>
      <w:r>
        <w:rPr/>
        <w:t>An organizational governance implementation may evaluate:</w:t>
      </w:r>
    </w:p>
    <w:p>
      <w:pPr>
        <w:pStyle w:val="BodyText"/>
        <w:spacing w:before="0" w:after="200"/>
        <w:rPr/>
      </w:pPr>
      <w:r>
        <w:rPr/>
        <w:t>Whether a decision preserves employee and stakeholder flourishing.</w:t>
      </w:r>
    </w:p>
    <w:p>
      <w:pPr>
        <w:pStyle w:val="BodyText"/>
        <w:spacing w:before="0" w:after="200"/>
        <w:rPr/>
      </w:pPr>
      <w:r>
        <w:rPr/>
        <w:t>Whether it damages trust or accountability.</w:t>
      </w:r>
    </w:p>
    <w:p>
      <w:pPr>
        <w:pStyle w:val="BodyText"/>
        <w:spacing w:before="0" w:after="200"/>
        <w:rPr/>
      </w:pPr>
      <w:r>
        <w:rPr/>
        <w:t>Whether it creates harmful internal precedent.</w:t>
      </w:r>
    </w:p>
    <w:p>
      <w:pPr>
        <w:pStyle w:val="BodyText"/>
        <w:spacing w:before="0" w:after="200"/>
        <w:rPr/>
      </w:pPr>
      <w:r>
        <w:rPr/>
        <w:t>Whether it reinforces or degrades ethical culture.</w:t>
      </w:r>
    </w:p>
    <w:p>
      <w:pPr>
        <w:pStyle w:val="BodyText"/>
        <w:spacing w:before="0" w:after="200"/>
        <w:rPr/>
      </w:pPr>
      <w:r>
        <w:rPr/>
        <w:t>Whether it shifts risk onto vulnerable entities.</w:t>
      </w:r>
    </w:p>
    <w:p>
      <w:pPr>
        <w:pStyle w:val="BodyText"/>
        <w:spacing w:before="0" w:after="200"/>
        <w:rPr/>
      </w:pPr>
      <w:r>
        <w:rPr/>
        <w:t>Whether it preserves institutional legitimacy.</w:t>
      </w:r>
    </w:p>
    <w:p>
      <w:pPr>
        <w:pStyle w:val="BodyText"/>
        <w:spacing w:before="0" w:after="200"/>
        <w:rPr/>
      </w:pPr>
      <w:r>
        <w:rPr/>
        <w:t>Whether it creates detrimental Actor or institutional Policy Updates.</w:t>
      </w:r>
    </w:p>
    <w:p>
      <w:pPr>
        <w:pStyle w:val="BodyText"/>
        <w:spacing w:before="0" w:after="200"/>
        <w:rPr/>
      </w:pPr>
      <w:r>
        <w:rPr/>
        <w:t>Whether it produces short-term gain at long-term organizational cost.</w:t>
      </w:r>
    </w:p>
    <w:p>
      <w:pPr>
        <w:pStyle w:val="BodyText"/>
        <w:spacing w:before="0" w:after="200"/>
        <w:rPr/>
      </w:pPr>
      <w:r>
        <w:rPr/>
        <w:t>Distributed Policy Updates are central in organizations. A leader who succeeds through deception may update the organization toward deception. A company that tolerates retaliation may degrade future reporting and accountability. Conversely, transparent correction, fair process, and responsible disclosure may strengthen institutional policy states even when costly.</w:t>
      </w:r>
    </w:p>
    <w:p>
      <w:pPr>
        <w:pStyle w:val="BodyText"/>
        <w:spacing w:before="0" w:after="200"/>
        <w:rPr/>
      </w:pPr>
      <w:r>
        <w:rPr/>
        <w:t>Structured Assessment Output may support board review, ethics committee analysis, compliance records, audit logs, risk management, employee-relations decisions, and governance accountability.</w:t>
      </w:r>
    </w:p>
    <w:p>
      <w:pPr>
        <w:pStyle w:val="Heading3"/>
        <w:ind w:hanging="0" w:left="0"/>
        <w:rPr/>
      </w:pPr>
      <w:r>
        <w:rPr/>
        <w:t>Cross-Domain Implementations</w:t>
      </w:r>
    </w:p>
    <w:p>
      <w:pPr>
        <w:pStyle w:val="BodyText"/>
        <w:spacing w:before="0" w:after="200"/>
        <w:rPr/>
      </w:pPr>
      <w:r>
        <w:rPr/>
        <w:t>Some implementations may span multiple domains.</w:t>
      </w:r>
    </w:p>
    <w:p>
      <w:pPr>
        <w:pStyle w:val="BodyText"/>
        <w:spacing w:before="0" w:after="200"/>
        <w:rPr/>
      </w:pPr>
      <w:r>
        <w:rPr/>
        <w:t>For example, an AI system used in medicine may require both LLM safety integration and clinical decision support. A robotic surgical system may combine autonomous robotics, clinical ethics, legal liability, and institutional governance. A public-sector AI deployment may combine government policy analysis, legal decision support, organizational governance, and AI safety.</w:t>
      </w:r>
    </w:p>
    <w:p>
      <w:pPr>
        <w:pStyle w:val="BodyText"/>
        <w:spacing w:before="0" w:after="200"/>
        <w:rPr/>
      </w:pPr>
      <w:r>
        <w:rPr/>
        <w:t>Cross-domain implementations require careful Assessment Boundary design. They should identify which domain-specific ontologies, evidence standards, authority structures, and affected entities are relevant. They should also preserve the common architecture so that domain modules do not produce incompatible assessments.</w:t>
      </w:r>
    </w:p>
    <w:p>
      <w:pPr>
        <w:pStyle w:val="BodyText"/>
        <w:spacing w:before="0" w:after="200"/>
        <w:rPr/>
      </w:pPr>
      <w:r>
        <w:rPr/>
        <w:t>A cross-domain implementation should integrate domain-specific evidence and reasoning while still producing a coherent World Context Transition assessment.</w:t>
      </w:r>
    </w:p>
    <w:p>
      <w:pPr>
        <w:pStyle w:val="Heading3"/>
        <w:ind w:hanging="0" w:left="0"/>
        <w:rPr/>
      </w:pPr>
      <w:r>
        <w:rPr/>
        <w:t>Example Implementation Comparison</w:t>
      </w:r>
    </w:p>
    <w:p>
      <w:pPr>
        <w:pStyle w:val="BodyText"/>
        <w:spacing w:before="0" w:after="200"/>
        <w:rPr/>
      </w:pPr>
      <w:r>
        <w:rPr/>
        <w:t>The following comparison summarizes the primary emphasis of each example implementation.</w:t>
      </w:r>
    </w:p>
    <w:tbl>
      <w:tblPr>
        <w:tblW w:w="8640" w:type="dxa"/>
        <w:jc w:val="left"/>
        <w:tblInd w:w="28" w:type="dxa"/>
        <w:tblLayout w:type="fixed"/>
        <w:tblCellMar>
          <w:top w:w="28" w:type="dxa"/>
          <w:left w:w="28" w:type="dxa"/>
          <w:bottom w:w="28" w:type="dxa"/>
          <w:right w:w="28" w:type="dxa"/>
        </w:tblCellMar>
      </w:tblPr>
      <w:tblGrid>
        <w:gridCol w:w="2052"/>
        <w:gridCol w:w="1719"/>
        <w:gridCol w:w="2523"/>
        <w:gridCol w:w="2346"/>
      </w:tblGrid>
      <w:tr>
        <w:trPr>
          <w:tblHeader w:val="true"/>
        </w:trPr>
        <w:tc>
          <w:tcPr>
            <w:tcW w:w="2052" w:type="dxa"/>
            <w:tcBorders/>
            <w:vAlign w:val="center"/>
          </w:tcPr>
          <w:p>
            <w:pPr>
              <w:pStyle w:val="TableHeading"/>
              <w:suppressLineNumbers/>
              <w:spacing w:before="0" w:after="200"/>
              <w:jc w:val="center"/>
              <w:rPr/>
            </w:pPr>
            <w:r>
              <w:rPr/>
              <w:t>Example Implementation</w:t>
            </w:r>
          </w:p>
        </w:tc>
        <w:tc>
          <w:tcPr>
            <w:tcW w:w="1719" w:type="dxa"/>
            <w:tcBorders/>
            <w:vAlign w:val="center"/>
          </w:tcPr>
          <w:p>
            <w:pPr>
              <w:pStyle w:val="TableHeading"/>
              <w:suppressLineNumbers/>
              <w:spacing w:before="0" w:after="200"/>
              <w:jc w:val="center"/>
              <w:rPr/>
            </w:pPr>
            <w:r>
              <w:rPr/>
              <w:t>Primary Assessed Actions</w:t>
            </w:r>
          </w:p>
        </w:tc>
        <w:tc>
          <w:tcPr>
            <w:tcW w:w="2523" w:type="dxa"/>
            <w:tcBorders/>
            <w:vAlign w:val="center"/>
          </w:tcPr>
          <w:p>
            <w:pPr>
              <w:pStyle w:val="TableHeading"/>
              <w:suppressLineNumbers/>
              <w:spacing w:before="0" w:after="200"/>
              <w:jc w:val="center"/>
              <w:rPr/>
            </w:pPr>
            <w:r>
              <w:rPr/>
              <w:t>Key Concerns</w:t>
            </w:r>
          </w:p>
        </w:tc>
        <w:tc>
          <w:tcPr>
            <w:tcW w:w="2346" w:type="dxa"/>
            <w:tcBorders/>
            <w:vAlign w:val="center"/>
          </w:tcPr>
          <w:p>
            <w:pPr>
              <w:pStyle w:val="TableHeading"/>
              <w:suppressLineNumbers/>
              <w:spacing w:before="0" w:after="200"/>
              <w:jc w:val="center"/>
              <w:rPr/>
            </w:pPr>
            <w:r>
              <w:rPr/>
              <w:t>Typical Output</w:t>
            </w:r>
          </w:p>
        </w:tc>
      </w:tr>
      <w:tr>
        <w:trPr/>
        <w:tc>
          <w:tcPr>
            <w:tcW w:w="2052" w:type="dxa"/>
            <w:tcBorders/>
            <w:vAlign w:val="center"/>
          </w:tcPr>
          <w:p>
            <w:pPr>
              <w:pStyle w:val="TableContents"/>
              <w:widowControl w:val="false"/>
              <w:suppressLineNumbers/>
              <w:spacing w:before="0" w:after="200"/>
              <w:rPr/>
            </w:pPr>
            <w:r>
              <w:rPr/>
              <w:t>Moral Reasoning Runtime</w:t>
            </w:r>
          </w:p>
        </w:tc>
        <w:tc>
          <w:tcPr>
            <w:tcW w:w="1719" w:type="dxa"/>
            <w:tcBorders/>
            <w:vAlign w:val="center"/>
          </w:tcPr>
          <w:p>
            <w:pPr>
              <w:pStyle w:val="TableContents"/>
              <w:widowControl w:val="false"/>
              <w:suppressLineNumbers/>
              <w:spacing w:before="0" w:after="200"/>
              <w:rPr/>
            </w:pPr>
            <w:r>
              <w:rPr/>
              <w:t>Submitted actions, plans, tool calls, policy choices</w:t>
            </w:r>
          </w:p>
        </w:tc>
        <w:tc>
          <w:tcPr>
            <w:tcW w:w="2523" w:type="dxa"/>
            <w:tcBorders/>
            <w:vAlign w:val="center"/>
          </w:tcPr>
          <w:p>
            <w:pPr>
              <w:pStyle w:val="TableContents"/>
              <w:widowControl w:val="false"/>
              <w:suppressLineNumbers/>
              <w:spacing w:before="0" w:after="200"/>
              <w:rPr/>
            </w:pPr>
            <w:r>
              <w:rPr/>
              <w:t>General-purpose assessment fidelity, runtime services, structured output</w:t>
            </w:r>
          </w:p>
        </w:tc>
        <w:tc>
          <w:tcPr>
            <w:tcW w:w="2346" w:type="dxa"/>
            <w:tcBorders/>
            <w:vAlign w:val="center"/>
          </w:tcPr>
          <w:p>
            <w:pPr>
              <w:pStyle w:val="TableContents"/>
              <w:widowControl w:val="false"/>
              <w:suppressLineNumbers/>
              <w:spacing w:before="0" w:after="200"/>
              <w:rPr/>
            </w:pPr>
            <w:r>
              <w:rPr/>
              <w:t>Structured Moral Assessment</w:t>
            </w:r>
          </w:p>
        </w:tc>
      </w:tr>
      <w:tr>
        <w:trPr/>
        <w:tc>
          <w:tcPr>
            <w:tcW w:w="2052" w:type="dxa"/>
            <w:tcBorders/>
            <w:vAlign w:val="center"/>
          </w:tcPr>
          <w:p>
            <w:pPr>
              <w:pStyle w:val="TableContents"/>
              <w:widowControl w:val="false"/>
              <w:suppressLineNumbers/>
              <w:spacing w:before="0" w:after="200"/>
              <w:rPr/>
            </w:pPr>
            <w:r>
              <w:rPr/>
              <w:t>LLM Safety / Harness Integration</w:t>
            </w:r>
          </w:p>
        </w:tc>
        <w:tc>
          <w:tcPr>
            <w:tcW w:w="1719" w:type="dxa"/>
            <w:tcBorders/>
            <w:vAlign w:val="center"/>
          </w:tcPr>
          <w:p>
            <w:pPr>
              <w:pStyle w:val="TableContents"/>
              <w:widowControl w:val="false"/>
              <w:suppressLineNumbers/>
              <w:spacing w:before="0" w:after="200"/>
              <w:rPr/>
            </w:pPr>
            <w:r>
              <w:rPr/>
              <w:t>Responses, refusals, tool calls, plans</w:t>
            </w:r>
          </w:p>
        </w:tc>
        <w:tc>
          <w:tcPr>
            <w:tcW w:w="2523" w:type="dxa"/>
            <w:tcBorders/>
            <w:vAlign w:val="center"/>
          </w:tcPr>
          <w:p>
            <w:pPr>
              <w:pStyle w:val="TableContents"/>
              <w:widowControl w:val="false"/>
              <w:suppressLineNumbers/>
              <w:spacing w:before="0" w:after="200"/>
              <w:rPr/>
            </w:pPr>
            <w:r>
              <w:rPr/>
              <w:t>User harm, misuse, policy updates, uncertainty, safe refusal</w:t>
            </w:r>
          </w:p>
        </w:tc>
        <w:tc>
          <w:tcPr>
            <w:tcW w:w="2346" w:type="dxa"/>
            <w:tcBorders/>
            <w:vAlign w:val="center"/>
          </w:tcPr>
          <w:p>
            <w:pPr>
              <w:pStyle w:val="TableContents"/>
              <w:widowControl w:val="false"/>
              <w:suppressLineNumbers/>
              <w:spacing w:before="0" w:after="200"/>
              <w:rPr/>
            </w:pPr>
            <w:r>
              <w:rPr/>
              <w:t>Answer / refuse / escalate / modify</w:t>
            </w:r>
          </w:p>
        </w:tc>
      </w:tr>
      <w:tr>
        <w:trPr/>
        <w:tc>
          <w:tcPr>
            <w:tcW w:w="2052" w:type="dxa"/>
            <w:tcBorders/>
            <w:vAlign w:val="center"/>
          </w:tcPr>
          <w:p>
            <w:pPr>
              <w:pStyle w:val="TableContents"/>
              <w:widowControl w:val="false"/>
              <w:suppressLineNumbers/>
              <w:spacing w:before="0" w:after="200"/>
              <w:rPr/>
            </w:pPr>
            <w:r>
              <w:rPr/>
              <w:t>Autonomous Robotics</w:t>
            </w:r>
          </w:p>
        </w:tc>
        <w:tc>
          <w:tcPr>
            <w:tcW w:w="1719" w:type="dxa"/>
            <w:tcBorders/>
            <w:vAlign w:val="center"/>
          </w:tcPr>
          <w:p>
            <w:pPr>
              <w:pStyle w:val="TableContents"/>
              <w:widowControl w:val="false"/>
              <w:suppressLineNumbers/>
              <w:spacing w:before="0" w:after="200"/>
              <w:rPr/>
            </w:pPr>
            <w:r>
              <w:rPr/>
              <w:t>Physical actions, movements, task plans</w:t>
            </w:r>
          </w:p>
        </w:tc>
        <w:tc>
          <w:tcPr>
            <w:tcW w:w="2523" w:type="dxa"/>
            <w:tcBorders/>
            <w:vAlign w:val="center"/>
          </w:tcPr>
          <w:p>
            <w:pPr>
              <w:pStyle w:val="TableContents"/>
              <w:widowControl w:val="false"/>
              <w:suppressLineNumbers/>
              <w:spacing w:before="0" w:after="200"/>
              <w:rPr/>
            </w:pPr>
            <w:r>
              <w:rPr/>
              <w:t>Safety, physical constraints, sensor uncertainty, human trust</w:t>
            </w:r>
          </w:p>
        </w:tc>
        <w:tc>
          <w:tcPr>
            <w:tcW w:w="2346" w:type="dxa"/>
            <w:tcBorders/>
            <w:vAlign w:val="center"/>
          </w:tcPr>
          <w:p>
            <w:pPr>
              <w:pStyle w:val="TableContents"/>
              <w:widowControl w:val="false"/>
              <w:suppressLineNumbers/>
              <w:spacing w:before="0" w:after="200"/>
              <w:rPr/>
            </w:pPr>
            <w:r>
              <w:rPr/>
              <w:t>Proceed / stop / reroute / escalate</w:t>
            </w:r>
          </w:p>
        </w:tc>
      </w:tr>
      <w:tr>
        <w:trPr/>
        <w:tc>
          <w:tcPr>
            <w:tcW w:w="2052" w:type="dxa"/>
            <w:tcBorders/>
            <w:vAlign w:val="center"/>
          </w:tcPr>
          <w:p>
            <w:pPr>
              <w:pStyle w:val="TableContents"/>
              <w:widowControl w:val="false"/>
              <w:suppressLineNumbers/>
              <w:spacing w:before="0" w:after="200"/>
              <w:rPr/>
            </w:pPr>
            <w:r>
              <w:rPr/>
              <w:t>Clinical Decision Support</w:t>
            </w:r>
          </w:p>
        </w:tc>
        <w:tc>
          <w:tcPr>
            <w:tcW w:w="1719" w:type="dxa"/>
            <w:tcBorders/>
            <w:vAlign w:val="center"/>
          </w:tcPr>
          <w:p>
            <w:pPr>
              <w:pStyle w:val="TableContents"/>
              <w:widowControl w:val="false"/>
              <w:suppressLineNumbers/>
              <w:spacing w:before="0" w:after="200"/>
              <w:rPr/>
            </w:pPr>
            <w:r>
              <w:rPr/>
              <w:t>Treatment, consent, triage, care plans</w:t>
            </w:r>
          </w:p>
        </w:tc>
        <w:tc>
          <w:tcPr>
            <w:tcW w:w="2523" w:type="dxa"/>
            <w:tcBorders/>
            <w:vAlign w:val="center"/>
          </w:tcPr>
          <w:p>
            <w:pPr>
              <w:pStyle w:val="TableContents"/>
              <w:widowControl w:val="false"/>
              <w:suppressLineNumbers/>
              <w:spacing w:before="0" w:after="200"/>
              <w:rPr/>
            </w:pPr>
            <w:r>
              <w:rPr/>
              <w:t>Patient flourishing, autonomy, evidence quality, prognosis</w:t>
            </w:r>
          </w:p>
        </w:tc>
        <w:tc>
          <w:tcPr>
            <w:tcW w:w="2346" w:type="dxa"/>
            <w:tcBorders/>
            <w:vAlign w:val="center"/>
          </w:tcPr>
          <w:p>
            <w:pPr>
              <w:pStyle w:val="TableContents"/>
              <w:widowControl w:val="false"/>
              <w:suppressLineNumbers/>
              <w:spacing w:before="0" w:after="200"/>
              <w:rPr/>
            </w:pPr>
            <w:r>
              <w:rPr/>
              <w:t>Recommendation with confidence and safeguards</w:t>
            </w:r>
          </w:p>
        </w:tc>
      </w:tr>
      <w:tr>
        <w:trPr/>
        <w:tc>
          <w:tcPr>
            <w:tcW w:w="2052" w:type="dxa"/>
            <w:tcBorders/>
            <w:vAlign w:val="center"/>
          </w:tcPr>
          <w:p>
            <w:pPr>
              <w:pStyle w:val="TableContents"/>
              <w:widowControl w:val="false"/>
              <w:suppressLineNumbers/>
              <w:spacing w:before="0" w:after="200"/>
              <w:rPr/>
            </w:pPr>
            <w:r>
              <w:rPr/>
              <w:t>Government Policy Analysis</w:t>
            </w:r>
          </w:p>
        </w:tc>
        <w:tc>
          <w:tcPr>
            <w:tcW w:w="1719" w:type="dxa"/>
            <w:tcBorders/>
            <w:vAlign w:val="center"/>
          </w:tcPr>
          <w:p>
            <w:pPr>
              <w:pStyle w:val="TableContents"/>
              <w:widowControl w:val="false"/>
              <w:suppressLineNumbers/>
              <w:spacing w:before="0" w:after="200"/>
              <w:rPr/>
            </w:pPr>
            <w:r>
              <w:rPr/>
              <w:t>Laws, regulations, programs, emergency actions</w:t>
            </w:r>
          </w:p>
        </w:tc>
        <w:tc>
          <w:tcPr>
            <w:tcW w:w="2523" w:type="dxa"/>
            <w:tcBorders/>
            <w:vAlign w:val="center"/>
          </w:tcPr>
          <w:p>
            <w:pPr>
              <w:pStyle w:val="TableContents"/>
              <w:widowControl w:val="false"/>
              <w:suppressLineNumbers/>
              <w:spacing w:before="0" w:after="200"/>
              <w:rPr/>
            </w:pPr>
            <w:r>
              <w:rPr/>
              <w:t>Public flourishing, legitimacy, distribution, future generations</w:t>
            </w:r>
          </w:p>
        </w:tc>
        <w:tc>
          <w:tcPr>
            <w:tcW w:w="2346" w:type="dxa"/>
            <w:tcBorders/>
            <w:vAlign w:val="center"/>
          </w:tcPr>
          <w:p>
            <w:pPr>
              <w:pStyle w:val="TableContents"/>
              <w:widowControl w:val="false"/>
              <w:suppressLineNumbers/>
              <w:spacing w:before="0" w:after="200"/>
              <w:rPr/>
            </w:pPr>
            <w:r>
              <w:rPr/>
              <w:t>Policy assessment and decision-support flags</w:t>
            </w:r>
          </w:p>
        </w:tc>
      </w:tr>
      <w:tr>
        <w:trPr/>
        <w:tc>
          <w:tcPr>
            <w:tcW w:w="2052" w:type="dxa"/>
            <w:tcBorders/>
            <w:vAlign w:val="center"/>
          </w:tcPr>
          <w:p>
            <w:pPr>
              <w:pStyle w:val="TableContents"/>
              <w:widowControl w:val="false"/>
              <w:suppressLineNumbers/>
              <w:spacing w:before="0" w:after="200"/>
              <w:rPr/>
            </w:pPr>
            <w:r>
              <w:rPr/>
              <w:t>Legal Decision Support</w:t>
            </w:r>
          </w:p>
        </w:tc>
        <w:tc>
          <w:tcPr>
            <w:tcW w:w="1719" w:type="dxa"/>
            <w:tcBorders/>
            <w:vAlign w:val="center"/>
          </w:tcPr>
          <w:p>
            <w:pPr>
              <w:pStyle w:val="TableContents"/>
              <w:widowControl w:val="false"/>
              <w:suppressLineNumbers/>
              <w:spacing w:before="0" w:after="200"/>
              <w:rPr/>
            </w:pPr>
            <w:r>
              <w:rPr/>
              <w:t>Rulings, enforcement, compliance, remedies</w:t>
            </w:r>
          </w:p>
        </w:tc>
        <w:tc>
          <w:tcPr>
            <w:tcW w:w="2523" w:type="dxa"/>
            <w:tcBorders/>
            <w:vAlign w:val="center"/>
          </w:tcPr>
          <w:p>
            <w:pPr>
              <w:pStyle w:val="TableContents"/>
              <w:widowControl w:val="false"/>
              <w:suppressLineNumbers/>
              <w:spacing w:before="0" w:after="200"/>
              <w:rPr/>
            </w:pPr>
            <w:r>
              <w:rPr/>
              <w:t>Authority, legitimacy, precedent, procedural integrity</w:t>
            </w:r>
          </w:p>
        </w:tc>
        <w:tc>
          <w:tcPr>
            <w:tcW w:w="2346" w:type="dxa"/>
            <w:tcBorders/>
            <w:vAlign w:val="center"/>
          </w:tcPr>
          <w:p>
            <w:pPr>
              <w:pStyle w:val="TableContents"/>
              <w:widowControl w:val="false"/>
              <w:suppressLineNumbers/>
              <w:spacing w:before="0" w:after="200"/>
              <w:rPr/>
            </w:pPr>
            <w:r>
              <w:rPr/>
              <w:t>Legal-ethical assessment and risk flags</w:t>
            </w:r>
          </w:p>
        </w:tc>
      </w:tr>
      <w:tr>
        <w:trPr/>
        <w:tc>
          <w:tcPr>
            <w:tcW w:w="2052" w:type="dxa"/>
            <w:tcBorders/>
            <w:vAlign w:val="center"/>
          </w:tcPr>
          <w:p>
            <w:pPr>
              <w:pStyle w:val="TableContents"/>
              <w:widowControl w:val="false"/>
              <w:suppressLineNumbers/>
              <w:spacing w:before="0" w:after="200"/>
              <w:rPr/>
            </w:pPr>
            <w:r>
              <w:rPr/>
              <w:t>Organizational Governance</w:t>
            </w:r>
          </w:p>
        </w:tc>
        <w:tc>
          <w:tcPr>
            <w:tcW w:w="1719" w:type="dxa"/>
            <w:tcBorders/>
            <w:vAlign w:val="center"/>
          </w:tcPr>
          <w:p>
            <w:pPr>
              <w:pStyle w:val="TableContents"/>
              <w:widowControl w:val="false"/>
              <w:suppressLineNumbers/>
              <w:spacing w:before="0" w:after="200"/>
              <w:rPr/>
            </w:pPr>
            <w:r>
              <w:rPr/>
              <w:t>Internal decisions, policies, crisis actions</w:t>
            </w:r>
          </w:p>
        </w:tc>
        <w:tc>
          <w:tcPr>
            <w:tcW w:w="2523" w:type="dxa"/>
            <w:tcBorders/>
            <w:vAlign w:val="center"/>
          </w:tcPr>
          <w:p>
            <w:pPr>
              <w:pStyle w:val="TableContents"/>
              <w:widowControl w:val="false"/>
              <w:suppressLineNumbers/>
              <w:spacing w:before="0" w:after="200"/>
              <w:rPr/>
            </w:pPr>
            <w:r>
              <w:rPr/>
              <w:t>Trust, culture, accountability, stakeholder effects</w:t>
            </w:r>
          </w:p>
        </w:tc>
        <w:tc>
          <w:tcPr>
            <w:tcW w:w="2346" w:type="dxa"/>
            <w:tcBorders/>
            <w:vAlign w:val="center"/>
          </w:tcPr>
          <w:p>
            <w:pPr>
              <w:pStyle w:val="TableContents"/>
              <w:widowControl w:val="false"/>
              <w:suppressLineNumbers/>
              <w:spacing w:before="0" w:after="200"/>
              <w:rPr/>
            </w:pPr>
            <w:r>
              <w:rPr/>
              <w:t>Governance assessment and mitigation guidance</w:t>
            </w:r>
          </w:p>
        </w:tc>
      </w:tr>
    </w:tbl>
    <w:p>
      <w:pPr>
        <w:pStyle w:val="BodyText"/>
        <w:spacing w:before="0" w:after="200"/>
        <w:rPr/>
      </w:pPr>
      <w:r>
        <w:rPr/>
        <w:t>This comparison is illustrative rather than exhaustive. Each implementation should be adapted to its domain while preserving the core assessment workflow.</w:t>
      </w:r>
    </w:p>
    <w:p>
      <w:pPr>
        <w:pStyle w:val="Heading3"/>
        <w:ind w:hanging="0" w:left="0"/>
        <w:rPr>
          <w:rFonts w:ascii="Aptos" w:hAnsi="Aptos"/>
          <w:color w:val="auto"/>
        </w:rPr>
      </w:pPr>
      <w:r>
        <w:rPr/>
        <w:t>Example Implementation Boundary</w:t>
      </w:r>
    </w:p>
    <w:p>
      <w:pPr>
        <w:pStyle w:val="BodyText"/>
        <w:spacing w:before="0" w:after="200"/>
        <w:rPr/>
      </w:pPr>
      <w:r>
        <w:rPr/>
        <w:t>The examples in this section are not the framework itself.</w:t>
      </w:r>
    </w:p>
    <w:p>
      <w:pPr>
        <w:pStyle w:val="BodyText"/>
        <w:spacing w:before="0" w:after="200"/>
        <w:rPr/>
      </w:pPr>
      <w:r>
        <w:rPr/>
        <w:t>They demonstrate possible realizations of the Reference Architecture and Moral Assessment Methodology. They do not limit the framework to the listed domains, software patterns, or deployment models. Future implementations may include education systems, environmental management, international relations, military command review, infrastructure planning, financial systems, scientific research governance, personal decision support, and future artificial moral agents.</w:t>
      </w:r>
    </w:p>
    <w:p>
      <w:pPr>
        <w:pStyle w:val="BodyText"/>
        <w:spacing w:before="0" w:after="200"/>
        <w:rPr/>
      </w:pPr>
      <w:r>
        <w:rPr/>
        <w:t>The test of any example implementation is whether it preserves the framework’s central requirements: explicit representation of the Assessed Action, context, entities, Associations, Objectives, State Transitions, Long-Term Flourishing, Distributed Policy Updates, uncertainty, Assessment Horizons, World Context Transition, and structured Assessment Output.</w:t>
      </w:r>
    </w:p>
    <w:p>
      <w:pPr>
        <w:pStyle w:val="Normal"/>
        <w:widowControl/>
        <w:bidi w:val="0"/>
        <w:spacing w:lineRule="auto" w:line="276"/>
        <w:jc w:val="left"/>
        <w:rPr/>
      </w:pPr>
      <w:r>
        <w:rPr/>
      </w:r>
    </w:p>
    <w:p>
      <w:pPr>
        <w:pStyle w:val="Heading2"/>
        <w:rPr/>
      </w:pPr>
      <w:r>
        <w:rPr/>
        <w:t>Core Runtime Services</w:t>
      </w:r>
    </w:p>
    <w:p>
      <w:pPr>
        <w:pStyle w:val="BodyText"/>
        <w:spacing w:before="0" w:after="200"/>
        <w:rPr/>
      </w:pPr>
      <w:r>
        <w:rPr/>
        <w:t>Core Runtime Services describe the functional capabilities that a practical implementation may provide when Objective-Based Systems Ethics is deployed as an operational system, service, runtime, agent component, workflow engine, or Moral Reasoning Runtime.</w:t>
      </w:r>
    </w:p>
    <w:p>
      <w:pPr>
        <w:pStyle w:val="BodyText"/>
        <w:spacing w:before="0" w:after="200"/>
        <w:rPr/>
      </w:pPr>
      <w:r>
        <w:rPr/>
        <w:t>These services are implementation-level components. They do not redefine the Reference Architecture or Moral Assessment Methodology. Instead, they describe runtime capabilities that help instantiate the architecture and methodology in software or operational workflows.</w:t>
      </w:r>
    </w:p>
    <w:p>
      <w:pPr>
        <w:pStyle w:val="BodyText"/>
        <w:spacing w:before="0" w:after="200"/>
        <w:rPr/>
      </w:pPr>
      <w:r>
        <w:rPr/>
        <w:t>A minimal implementation may provide only a subset of these services manually or semi-automatically. A mature implementation may provide them as modular, independently versioned, auditable runtime services. The purpose of identifying these services is to clarify what practical systems may need in order to construct assessments, manage evidence, estimate transitions, propagate confidence, generate structured outputs, and preserve auditability.</w:t>
      </w:r>
    </w:p>
    <w:p>
      <w:pPr>
        <w:pStyle w:val="BodyText"/>
        <w:spacing w:before="0" w:after="200"/>
        <w:rPr/>
      </w:pPr>
      <w:r>
        <w:rPr/>
        <w:t>The core runtime services include Context Construction, World Model Management, Assessment Engine, State-Transition Prediction, World Context Evaluation, Confidence Propagation, Structured Output Generation, and Audit Artifact Generation.</w:t>
      </w:r>
    </w:p>
    <w:p>
      <w:pPr>
        <w:pStyle w:val="Heading3"/>
        <w:ind w:hanging="0" w:left="0"/>
        <w:rPr/>
      </w:pPr>
      <w:r>
        <w:rPr/>
        <w:t>Context Construction</w:t>
      </w:r>
    </w:p>
    <w:p>
      <w:pPr>
        <w:pStyle w:val="BodyText"/>
        <w:spacing w:before="0" w:after="200"/>
        <w:rPr/>
      </w:pPr>
      <w:r>
        <w:rPr/>
        <w:t>Context Construction is the runtime service that builds the assessment context from available inputs, evidence, prior state, user-provided information, domain knowledge, and system-accessible data.</w:t>
      </w:r>
    </w:p>
    <w:p>
      <w:pPr>
        <w:pStyle w:val="BodyText"/>
        <w:spacing w:before="0" w:after="200"/>
        <w:rPr/>
      </w:pPr>
      <w:r>
        <w:rPr/>
        <w:t>This service operationalizes the movement from broad World Context to Assessment Boundary, Local Context, and Situational Context. It identifies what information is relevant to the Assessed Action and organizes that information into a form the assessment process can use.</w:t>
      </w:r>
    </w:p>
    <w:p>
      <w:pPr>
        <w:pStyle w:val="BodyText"/>
        <w:spacing w:before="0" w:after="200"/>
        <w:rPr/>
      </w:pPr>
      <w:r>
        <w:rPr/>
        <w:t>Context Construction may include:</w:t>
      </w:r>
    </w:p>
    <w:p>
      <w:pPr>
        <w:pStyle w:val="BodyText"/>
        <w:spacing w:before="0" w:after="200"/>
        <w:rPr/>
      </w:pPr>
      <w:r>
        <w:rPr/>
        <w:t>Identifying the Assessed Action.</w:t>
      </w:r>
    </w:p>
    <w:p>
      <w:pPr>
        <w:pStyle w:val="BodyText"/>
        <w:spacing w:before="0" w:after="200"/>
        <w:rPr/>
      </w:pPr>
      <w:r>
        <w:rPr/>
        <w:t>Identifying the Actor or Actors.</w:t>
      </w:r>
    </w:p>
    <w:p>
      <w:pPr>
        <w:pStyle w:val="BodyText"/>
        <w:spacing w:before="0" w:after="200"/>
        <w:rPr/>
      </w:pPr>
      <w:r>
        <w:rPr/>
        <w:t>Applying the Assessment Boundary.</w:t>
      </w:r>
    </w:p>
    <w:p>
      <w:pPr>
        <w:pStyle w:val="BodyText"/>
        <w:spacing w:before="0" w:after="200"/>
        <w:rPr/>
      </w:pPr>
      <w:r>
        <w:rPr/>
        <w:t>Selecting relevant domain context.</w:t>
      </w:r>
    </w:p>
    <w:p>
      <w:pPr>
        <w:pStyle w:val="BodyText"/>
        <w:spacing w:before="0" w:after="200"/>
        <w:rPr/>
      </w:pPr>
      <w:r>
        <w:rPr/>
        <w:t>Constructing the Situational Context.</w:t>
      </w:r>
    </w:p>
    <w:p>
      <w:pPr>
        <w:pStyle w:val="BodyText"/>
        <w:spacing w:before="0" w:after="200"/>
        <w:rPr/>
      </w:pPr>
      <w:r>
        <w:rPr/>
        <w:t>Identifying relevant Objects.</w:t>
      </w:r>
    </w:p>
    <w:p>
      <w:pPr>
        <w:pStyle w:val="BodyText"/>
        <w:spacing w:before="0" w:after="200"/>
        <w:rPr/>
      </w:pPr>
      <w:r>
        <w:rPr/>
        <w:t>Identifying relevant Associations.</w:t>
      </w:r>
    </w:p>
    <w:p>
      <w:pPr>
        <w:pStyle w:val="BodyText"/>
        <w:spacing w:before="0" w:after="200"/>
        <w:rPr/>
      </w:pPr>
      <w:r>
        <w:rPr/>
        <w:t>Identifying affected Flourishing Entities.</w:t>
      </w:r>
    </w:p>
    <w:p>
      <w:pPr>
        <w:pStyle w:val="BodyText"/>
        <w:spacing w:before="0" w:after="200"/>
        <w:rPr/>
      </w:pPr>
      <w:r>
        <w:rPr/>
        <w:t>Identifying Moral Agents and contextual roles.</w:t>
      </w:r>
    </w:p>
    <w:p>
      <w:pPr>
        <w:pStyle w:val="BodyText"/>
        <w:spacing w:before="0" w:after="200"/>
        <w:rPr/>
      </w:pPr>
      <w:r>
        <w:rPr/>
        <w:t>Identifying operational and moral-system Objectives.</w:t>
      </w:r>
    </w:p>
    <w:p>
      <w:pPr>
        <w:pStyle w:val="BodyText"/>
        <w:spacing w:before="0" w:after="200"/>
        <w:rPr/>
      </w:pPr>
      <w:r>
        <w:rPr/>
        <w:t>Identifying constraints, authority conditions, and available alternatives.</w:t>
      </w:r>
    </w:p>
    <w:p>
      <w:pPr>
        <w:pStyle w:val="BodyText"/>
        <w:spacing w:before="0" w:after="200"/>
        <w:rPr/>
      </w:pPr>
      <w:r>
        <w:rPr/>
        <w:t>Identifying evidence sources and evidence gaps.</w:t>
      </w:r>
    </w:p>
    <w:p>
      <w:pPr>
        <w:pStyle w:val="BodyText"/>
        <w:spacing w:before="0" w:after="200"/>
        <w:rPr/>
      </w:pPr>
      <w:r>
        <w:rPr/>
        <w:t>Context Construction should be traceable. A reviewer should be able to understand why certain entities, relationships, evidence sources, horizons, or constraints were included or excluded.</w:t>
      </w:r>
    </w:p>
    <w:p>
      <w:pPr>
        <w:pStyle w:val="BodyText"/>
        <w:spacing w:before="0" w:after="200"/>
        <w:rPr/>
      </w:pPr>
      <w:r>
        <w:rPr/>
        <w:t>This service is especially important because errors in context construction propagate through the entire assessment. If the relevant context is too narrow, the system may miss affected entities, institutional effects, Distributed Policy Updates, or long-term consequences. If the context is too broad, the assessment may become unfocused or computationally impractical.</w:t>
      </w:r>
    </w:p>
    <w:p>
      <w:pPr>
        <w:pStyle w:val="Heading3"/>
        <w:ind w:hanging="0" w:left="0"/>
        <w:rPr/>
      </w:pPr>
      <w:r>
        <w:rPr/>
        <w:t>World Model Management</w:t>
      </w:r>
    </w:p>
    <w:p>
      <w:pPr>
        <w:pStyle w:val="BodyText"/>
        <w:spacing w:before="0" w:after="200"/>
        <w:rPr/>
      </w:pPr>
      <w:r>
        <w:rPr/>
        <w:t>World Model Management is the runtime service that maintains the represented state of the relevant World Context.</w:t>
      </w:r>
    </w:p>
    <w:p>
      <w:pPr>
        <w:pStyle w:val="BodyText"/>
        <w:spacing w:before="0" w:after="200"/>
        <w:rPr/>
      </w:pPr>
      <w:r>
        <w:rPr/>
        <w:t>The World Model is the implementation-level representation of Objects, Associations, entities, roles, institutions, constraints, information states, policy states, future opportunities, and future state space. It may be implemented as a graph, ontology, database, document store, state-vector system, simulation model, hybrid knowledge representation, or another technical form.</w:t>
      </w:r>
    </w:p>
    <w:p>
      <w:pPr>
        <w:pStyle w:val="BodyText"/>
        <w:spacing w:before="0" w:after="200"/>
        <w:rPr/>
      </w:pPr>
      <w:r>
        <w:rPr/>
        <w:t>World Model Management may include:</w:t>
      </w:r>
    </w:p>
    <w:p>
      <w:pPr>
        <w:pStyle w:val="BodyText"/>
        <w:spacing w:before="0" w:after="200"/>
        <w:rPr/>
      </w:pPr>
      <w:r>
        <w:rPr/>
        <w:t>Maintaining entity records.</w:t>
      </w:r>
    </w:p>
    <w:p>
      <w:pPr>
        <w:pStyle w:val="BodyText"/>
        <w:spacing w:before="0" w:after="200"/>
        <w:rPr/>
      </w:pPr>
      <w:r>
        <w:rPr/>
        <w:t>Maintaining Association records.</w:t>
      </w:r>
    </w:p>
    <w:p>
      <w:pPr>
        <w:pStyle w:val="BodyText"/>
        <w:spacing w:before="0" w:after="200"/>
        <w:rPr/>
      </w:pPr>
      <w:r>
        <w:rPr/>
        <w:t>Tracking state variables.</w:t>
      </w:r>
    </w:p>
    <w:p>
      <w:pPr>
        <w:pStyle w:val="BodyText"/>
        <w:spacing w:before="0" w:after="200"/>
        <w:rPr/>
      </w:pPr>
      <w:r>
        <w:rPr/>
        <w:t>Managing ontology versions.</w:t>
      </w:r>
    </w:p>
    <w:p>
      <w:pPr>
        <w:pStyle w:val="BodyText"/>
        <w:spacing w:before="0" w:after="200"/>
        <w:rPr/>
      </w:pPr>
      <w:r>
        <w:rPr/>
        <w:t>Representing institutional structures.</w:t>
      </w:r>
    </w:p>
    <w:p>
      <w:pPr>
        <w:pStyle w:val="BodyText"/>
        <w:spacing w:before="0" w:after="200"/>
        <w:rPr/>
      </w:pPr>
      <w:r>
        <w:rPr/>
        <w:t>Representing policy states.</w:t>
      </w:r>
    </w:p>
    <w:p>
      <w:pPr>
        <w:pStyle w:val="BodyText"/>
        <w:spacing w:before="0" w:after="200"/>
        <w:rPr/>
      </w:pPr>
      <w:r>
        <w:rPr/>
        <w:t>Representing information and uncertainty states.</w:t>
      </w:r>
    </w:p>
    <w:p>
      <w:pPr>
        <w:pStyle w:val="BodyText"/>
        <w:spacing w:before="0" w:after="200"/>
        <w:rPr/>
      </w:pPr>
      <w:r>
        <w:rPr/>
        <w:t>Representing future opportunities.</w:t>
      </w:r>
    </w:p>
    <w:p>
      <w:pPr>
        <w:pStyle w:val="BodyText"/>
        <w:spacing w:before="0" w:after="200"/>
        <w:rPr/>
      </w:pPr>
      <w:r>
        <w:rPr/>
        <w:t>Representing future state-space assumptions.</w:t>
      </w:r>
    </w:p>
    <w:p>
      <w:pPr>
        <w:pStyle w:val="BodyText"/>
        <w:spacing w:before="0" w:after="200"/>
        <w:rPr/>
      </w:pPr>
      <w:r>
        <w:rPr/>
        <w:t>Tracking baseline and resulting World Context states.</w:t>
      </w:r>
    </w:p>
    <w:p>
      <w:pPr>
        <w:pStyle w:val="BodyText"/>
        <w:spacing w:before="0" w:after="200"/>
        <w:rPr/>
      </w:pPr>
      <w:r>
        <w:rPr/>
        <w:t>Managing updates from new evidence.</w:t>
      </w:r>
    </w:p>
    <w:p>
      <w:pPr>
        <w:pStyle w:val="BodyText"/>
        <w:spacing w:before="0" w:after="200"/>
        <w:rPr/>
      </w:pPr>
      <w:r>
        <w:rPr/>
        <w:t>Maintaining historical versions of assessments and world states.</w:t>
      </w:r>
    </w:p>
    <w:p>
      <w:pPr>
        <w:pStyle w:val="BodyText"/>
        <w:spacing w:before="0" w:after="200"/>
        <w:rPr/>
      </w:pPr>
      <w:r>
        <w:rPr/>
        <w:t>The World Model should support both World Context₀ and World Context₁ representations. It should also support revised states when new evidence becomes available.</w:t>
      </w:r>
    </w:p>
    <w:p>
      <w:pPr>
        <w:pStyle w:val="BodyText"/>
        <w:spacing w:before="0" w:after="200"/>
        <w:rPr/>
      </w:pPr>
      <w:r>
        <w:rPr/>
        <w:t>World Model Management should not be confused with complete knowledge of the world. The represented World Model is always partial, scoped, and confidence-bounded. It should therefore include metadata about evidence quality, uncertainty, provenance, versioning, and scope limitations.</w:t>
      </w:r>
    </w:p>
    <w:p>
      <w:pPr>
        <w:pStyle w:val="Heading3"/>
        <w:ind w:hanging="0" w:left="0"/>
        <w:rPr/>
      </w:pPr>
      <w:r>
        <w:rPr/>
        <w:t>Assessment Engine</w:t>
      </w:r>
    </w:p>
    <w:p>
      <w:pPr>
        <w:pStyle w:val="BodyText"/>
        <w:spacing w:before="0" w:after="200"/>
        <w:rPr/>
      </w:pPr>
      <w:r>
        <w:rPr/>
        <w:t>The Assessment Engine is the runtime service that orchestrates the Moral Assessment Methodology.</w:t>
      </w:r>
    </w:p>
    <w:p>
      <w:pPr>
        <w:pStyle w:val="BodyText"/>
        <w:spacing w:before="0" w:after="200"/>
        <w:rPr/>
      </w:pPr>
      <w:r>
        <w:rPr/>
        <w:t>It coordinates the workflow through which an Assessed Action is evaluated. It may call other runtime services, assemble intermediate results, apply domain-specific rules or models, estimate State Transitions, evaluate Long-Term Flourishing, account for Distributed Policy Updates, propagate confidence, and produce the final Assessment Output.</w:t>
      </w:r>
    </w:p>
    <w:p>
      <w:pPr>
        <w:pStyle w:val="BodyText"/>
        <w:spacing w:before="0" w:after="200"/>
        <w:rPr/>
      </w:pPr>
      <w:r>
        <w:rPr/>
        <w:t>The Assessment Engine may perform or coordinate:</w:t>
      </w:r>
    </w:p>
    <w:p>
      <w:pPr>
        <w:pStyle w:val="BodyText"/>
        <w:spacing w:before="0" w:after="200"/>
        <w:rPr/>
      </w:pPr>
      <w:r>
        <w:rPr/>
        <w:t>Assessment request intake.</w:t>
      </w:r>
    </w:p>
    <w:p>
      <w:pPr>
        <w:pStyle w:val="BodyText"/>
        <w:spacing w:before="0" w:after="200"/>
        <w:rPr/>
      </w:pPr>
      <w:r>
        <w:rPr/>
        <w:t>Assessment Boundary application.</w:t>
      </w:r>
    </w:p>
    <w:p>
      <w:pPr>
        <w:pStyle w:val="BodyText"/>
        <w:spacing w:before="0" w:after="200"/>
        <w:rPr/>
      </w:pPr>
      <w:r>
        <w:rPr/>
        <w:t>Context Construction.</w:t>
      </w:r>
    </w:p>
    <w:p>
      <w:pPr>
        <w:pStyle w:val="BodyText"/>
        <w:spacing w:before="0" w:after="200"/>
        <w:rPr/>
      </w:pPr>
      <w:r>
        <w:rPr/>
        <w:t>Relevant entity and Association identification.</w:t>
      </w:r>
    </w:p>
    <w:p>
      <w:pPr>
        <w:pStyle w:val="BodyText"/>
        <w:spacing w:before="0" w:after="200"/>
        <w:rPr/>
      </w:pPr>
      <w:r>
        <w:rPr/>
        <w:t>Objective identification.</w:t>
      </w:r>
    </w:p>
    <w:p>
      <w:pPr>
        <w:pStyle w:val="BodyText"/>
        <w:spacing w:before="0" w:after="200"/>
        <w:rPr/>
      </w:pPr>
      <w:r>
        <w:rPr/>
        <w:t>Alternative-action comparison.</w:t>
      </w:r>
    </w:p>
    <w:p>
      <w:pPr>
        <w:pStyle w:val="BodyText"/>
        <w:spacing w:before="0" w:after="200"/>
        <w:rPr/>
      </w:pPr>
      <w:r>
        <w:rPr/>
        <w:t>State Representation.</w:t>
      </w:r>
    </w:p>
    <w:p>
      <w:pPr>
        <w:pStyle w:val="BodyText"/>
        <w:spacing w:before="0" w:after="200"/>
        <w:rPr/>
      </w:pPr>
      <w:r>
        <w:rPr/>
        <w:t>State-Transition Prediction.</w:t>
      </w:r>
    </w:p>
    <w:p>
      <w:pPr>
        <w:pStyle w:val="BodyText"/>
        <w:spacing w:before="0" w:after="200"/>
        <w:rPr/>
      </w:pPr>
      <w:r>
        <w:rPr/>
        <w:t>Flourishing Transition estimation.</w:t>
      </w:r>
    </w:p>
    <w:p>
      <w:pPr>
        <w:pStyle w:val="BodyText"/>
        <w:spacing w:before="0" w:after="200"/>
        <w:rPr/>
      </w:pPr>
      <w:r>
        <w:rPr/>
        <w:t>Aggregate Flourishing calculation, where used.</w:t>
      </w:r>
    </w:p>
    <w:p>
      <w:pPr>
        <w:pStyle w:val="BodyText"/>
        <w:spacing w:before="0" w:after="200"/>
        <w:rPr/>
      </w:pPr>
      <w:r>
        <w:rPr/>
        <w:t>Distributed Policy Update estimation.</w:t>
      </w:r>
    </w:p>
    <w:p>
      <w:pPr>
        <w:pStyle w:val="BodyText"/>
        <w:spacing w:before="0" w:after="200"/>
        <w:rPr/>
      </w:pPr>
      <w:r>
        <w:rPr/>
        <w:t>Multi-Horizon Assessment.</w:t>
      </w:r>
    </w:p>
    <w:p>
      <w:pPr>
        <w:pStyle w:val="BodyText"/>
        <w:spacing w:before="0" w:after="200"/>
        <w:rPr/>
      </w:pPr>
      <w:r>
        <w:rPr/>
        <w:t>Probability and confidence estimation.</w:t>
      </w:r>
    </w:p>
    <w:p>
      <w:pPr>
        <w:pStyle w:val="BodyText"/>
        <w:spacing w:before="0" w:after="200"/>
        <w:rPr/>
      </w:pPr>
      <w:r>
        <w:rPr/>
        <w:t>World Context Transition construction.</w:t>
      </w:r>
    </w:p>
    <w:p>
      <w:pPr>
        <w:pStyle w:val="BodyText"/>
        <w:spacing w:before="0" w:after="200"/>
        <w:rPr/>
      </w:pPr>
      <w:r>
        <w:rPr/>
        <w:t>Assessment Result generation.</w:t>
      </w:r>
    </w:p>
    <w:p>
      <w:pPr>
        <w:pStyle w:val="BodyText"/>
        <w:spacing w:before="0" w:after="200"/>
        <w:rPr/>
      </w:pPr>
      <w:r>
        <w:rPr/>
        <w:t>Decision-support flag generation.</w:t>
      </w:r>
    </w:p>
    <w:p>
      <w:pPr>
        <w:pStyle w:val="BodyText"/>
        <w:spacing w:before="0" w:after="200"/>
        <w:rPr/>
      </w:pPr>
      <w:r>
        <w:rPr/>
        <w:t>The Assessment Engine should preserve intermediate results. It should not operate as an opaque conclusion generator. Each major assessment step should produce inspectable artifacts that can be reviewed, audited, revised, or used by downstream systems.</w:t>
      </w:r>
    </w:p>
    <w:p>
      <w:pPr>
        <w:pStyle w:val="BodyText"/>
        <w:spacing w:before="0" w:after="200"/>
        <w:rPr/>
      </w:pPr>
      <w:r>
        <w:rPr/>
        <w:t>In a mature implementation, the Assessment Engine may operate as an orchestrator rather than a single monolithic reasoning component. It may coordinate symbolic models, probabilistic models, LLM components, simulations, expert rules, human review steps, and domain-specific plugins.</w:t>
      </w:r>
    </w:p>
    <w:p>
      <w:pPr>
        <w:pStyle w:val="Heading3"/>
        <w:ind w:hanging="0" w:left="0"/>
        <w:rPr/>
      </w:pPr>
      <w:r>
        <w:rPr/>
        <w:t>State-Transition Prediction</w:t>
      </w:r>
    </w:p>
    <w:p>
      <w:pPr>
        <w:pStyle w:val="BodyText"/>
        <w:spacing w:before="0" w:after="200"/>
        <w:rPr/>
      </w:pPr>
      <w:r>
        <w:rPr/>
        <w:t>State-Transition Prediction is the runtime service that estimates how relevant state variables may change as a result of the Assessed Action.</w:t>
      </w:r>
    </w:p>
    <w:p>
      <w:pPr>
        <w:pStyle w:val="BodyText"/>
        <w:spacing w:before="0" w:after="200"/>
        <w:rPr/>
      </w:pPr>
      <w:r>
        <w:rPr/>
        <w:t>This service operationalizes the State Transition Model. It estimates changes to entities, Associations, policy states, institutions, information states, constraints, future opportunities, and future state space. It may operate prospectively, retrospectively, or in an ongoing assessment mode.</w:t>
      </w:r>
    </w:p>
    <w:p>
      <w:pPr>
        <w:pStyle w:val="BodyText"/>
        <w:spacing w:before="0" w:after="200"/>
        <w:rPr/>
      </w:pPr>
      <w:r>
        <w:rPr/>
        <w:t>State-Transition Prediction may include:</w:t>
      </w:r>
    </w:p>
    <w:p>
      <w:pPr>
        <w:pStyle w:val="BodyText"/>
        <w:spacing w:before="0" w:after="200"/>
        <w:rPr/>
      </w:pPr>
      <w:r>
        <w:rPr/>
        <w:t>Predicting entity-state changes.</w:t>
      </w:r>
    </w:p>
    <w:p>
      <w:pPr>
        <w:pStyle w:val="BodyText"/>
        <w:spacing w:before="0" w:after="200"/>
        <w:rPr/>
      </w:pPr>
      <w:r>
        <w:rPr/>
        <w:t>Predicting relationship-state changes.</w:t>
      </w:r>
    </w:p>
    <w:p>
      <w:pPr>
        <w:pStyle w:val="BodyText"/>
        <w:spacing w:before="0" w:after="200"/>
        <w:rPr/>
      </w:pPr>
      <w:r>
        <w:rPr/>
        <w:t>Predicting Policy Updates.</w:t>
      </w:r>
    </w:p>
    <w:p>
      <w:pPr>
        <w:pStyle w:val="BodyText"/>
        <w:spacing w:before="0" w:after="200"/>
        <w:rPr/>
      </w:pPr>
      <w:r>
        <w:rPr/>
        <w:t>Predicting institutional effects.</w:t>
      </w:r>
    </w:p>
    <w:p>
      <w:pPr>
        <w:pStyle w:val="BodyText"/>
        <w:spacing w:before="0" w:after="200"/>
        <w:rPr/>
      </w:pPr>
      <w:r>
        <w:rPr/>
        <w:t>Predicting information-state effects.</w:t>
      </w:r>
    </w:p>
    <w:p>
      <w:pPr>
        <w:pStyle w:val="BodyText"/>
        <w:spacing w:before="0" w:after="200"/>
        <w:rPr/>
      </w:pPr>
      <w:r>
        <w:rPr/>
        <w:t>Predicting constraint changes.</w:t>
      </w:r>
    </w:p>
    <w:p>
      <w:pPr>
        <w:pStyle w:val="BodyText"/>
        <w:spacing w:before="0" w:after="200"/>
        <w:rPr/>
      </w:pPr>
      <w:r>
        <w:rPr/>
        <w:t>Predicting future opportunity changes.</w:t>
      </w:r>
    </w:p>
    <w:p>
      <w:pPr>
        <w:pStyle w:val="BodyText"/>
        <w:spacing w:before="0" w:after="200"/>
        <w:rPr/>
      </w:pPr>
      <w:r>
        <w:rPr/>
        <w:t>Predicting future state-space changes.</w:t>
      </w:r>
    </w:p>
    <w:p>
      <w:pPr>
        <w:pStyle w:val="BodyText"/>
        <w:spacing w:before="0" w:after="200"/>
        <w:rPr/>
      </w:pPr>
      <w:r>
        <w:rPr/>
        <w:t>Predicting Long-Term Flourishing changes.</w:t>
      </w:r>
    </w:p>
    <w:p>
      <w:pPr>
        <w:pStyle w:val="BodyText"/>
        <w:spacing w:before="0" w:after="200"/>
        <w:rPr/>
      </w:pPr>
      <w:r>
        <w:rPr/>
        <w:t>Estimating horizon-specific effects.</w:t>
      </w:r>
    </w:p>
    <w:p>
      <w:pPr>
        <w:pStyle w:val="BodyText"/>
        <w:spacing w:before="0" w:after="200"/>
        <w:rPr/>
      </w:pPr>
      <w:r>
        <w:rPr/>
        <w:t>Generating alternative transition scenarios.</w:t>
      </w:r>
    </w:p>
    <w:p>
      <w:pPr>
        <w:pStyle w:val="BodyText"/>
        <w:spacing w:before="0" w:after="200"/>
        <w:rPr/>
      </w:pPr>
      <w:r>
        <w:rPr/>
        <w:t>Estimating probability and uncertainty for each transition.</w:t>
      </w:r>
    </w:p>
    <w:p>
      <w:pPr>
        <w:pStyle w:val="BodyText"/>
        <w:spacing w:before="0" w:after="200"/>
        <w:rPr/>
      </w:pPr>
      <w:r>
        <w:rPr/>
        <w:t>This service may use different techniques depending on domain and implementation. It may use expert rules, causal models, simulations, statistical models, probabilistic inference, historical analogies, machine-learning models, LLM-assisted reasoning, or human expert review.</w:t>
      </w:r>
    </w:p>
    <w:p>
      <w:pPr>
        <w:pStyle w:val="BodyText"/>
        <w:spacing w:before="0" w:after="200"/>
        <w:rPr/>
      </w:pPr>
      <w:r>
        <w:rPr/>
        <w:t>The service should distinguish between predicted, observed, inferred, and revised transitions. It should also identify uncertainty and confidence for material predictions.</w:t>
      </w:r>
    </w:p>
    <w:p>
      <w:pPr>
        <w:pStyle w:val="BodyText"/>
        <w:spacing w:before="0" w:after="200"/>
        <w:rPr/>
      </w:pPr>
      <w:r>
        <w:rPr/>
        <w:t>A State-Transition Prediction service should avoid reducing prediction to immediate consequences alone. A conforming implementation should preserve relational, institutional, behavioral, informational, and future-oriented transitions when they are material.</w:t>
      </w:r>
    </w:p>
    <w:p>
      <w:pPr>
        <w:pStyle w:val="Heading3"/>
        <w:ind w:hanging="0" w:left="0"/>
        <w:rPr/>
      </w:pPr>
      <w:r>
        <w:rPr/>
        <w:t>World Context Evaluation</w:t>
      </w:r>
    </w:p>
    <w:p>
      <w:pPr>
        <w:pStyle w:val="BodyText"/>
        <w:spacing w:before="0" w:after="200"/>
        <w:rPr/>
      </w:pPr>
      <w:r>
        <w:rPr/>
        <w:t>World Context Evaluation is the runtime service that evaluates the transition from World Context₀ to World Context₁.</w:t>
      </w:r>
    </w:p>
    <w:p>
      <w:pPr>
        <w:pStyle w:val="BodyText"/>
        <w:spacing w:before="0" w:after="200"/>
        <w:rPr/>
      </w:pPr>
      <w:r>
        <w:rPr/>
        <w:t>This service integrates the results of context construction, state representation, transition prediction, flourishing estimation, policy-update estimation, multi-horizon assessment, and confidence propagation. It determines how the resulting World Context should be assessed under the framework.</w:t>
      </w:r>
    </w:p>
    <w:p>
      <w:pPr>
        <w:pStyle w:val="BodyText"/>
        <w:spacing w:before="0" w:after="200"/>
        <w:rPr/>
      </w:pPr>
      <w:r>
        <w:rPr/>
        <w:t>World Context Evaluation may include:</w:t>
      </w:r>
    </w:p>
    <w:p>
      <w:pPr>
        <w:pStyle w:val="BodyText"/>
        <w:spacing w:before="0" w:after="200"/>
        <w:rPr/>
      </w:pPr>
      <w:r>
        <w:rPr/>
        <w:t>Constructing World Context₀.</w:t>
      </w:r>
    </w:p>
    <w:p>
      <w:pPr>
        <w:pStyle w:val="BodyText"/>
        <w:spacing w:before="0" w:after="200"/>
        <w:rPr/>
      </w:pPr>
      <w:r>
        <w:rPr/>
        <w:t>Constructing predicted or observed World Context₁.</w:t>
      </w:r>
    </w:p>
    <w:p>
      <w:pPr>
        <w:pStyle w:val="BodyText"/>
        <w:spacing w:before="0" w:after="200"/>
        <w:rPr/>
      </w:pPr>
      <w:r>
        <w:rPr/>
        <w:t>Comparing World Context₀ and World Context₁.</w:t>
      </w:r>
    </w:p>
    <w:p>
      <w:pPr>
        <w:pStyle w:val="BodyText"/>
        <w:spacing w:before="0" w:after="200"/>
        <w:rPr/>
      </w:pPr>
      <w:r>
        <w:rPr/>
        <w:t>Identifying material state changes.</w:t>
      </w:r>
    </w:p>
    <w:p>
      <w:pPr>
        <w:pStyle w:val="BodyText"/>
        <w:spacing w:before="0" w:after="200"/>
        <w:rPr/>
      </w:pPr>
      <w:r>
        <w:rPr/>
        <w:t>Evaluating entity changes.</w:t>
      </w:r>
    </w:p>
    <w:p>
      <w:pPr>
        <w:pStyle w:val="BodyText"/>
        <w:spacing w:before="0" w:after="200"/>
        <w:rPr/>
      </w:pPr>
      <w:r>
        <w:rPr/>
        <w:t>Evaluating Association changes.</w:t>
      </w:r>
    </w:p>
    <w:p>
      <w:pPr>
        <w:pStyle w:val="BodyText"/>
        <w:spacing w:before="0" w:after="200"/>
        <w:rPr/>
      </w:pPr>
      <w:r>
        <w:rPr/>
        <w:t>Evaluating Long-Term Flourishing changes.</w:t>
      </w:r>
    </w:p>
    <w:p>
      <w:pPr>
        <w:pStyle w:val="BodyText"/>
        <w:spacing w:before="0" w:after="200"/>
        <w:rPr/>
      </w:pPr>
      <w:r>
        <w:rPr/>
        <w:t>Evaluating Aggregate Flourishing, where used.</w:t>
      </w:r>
    </w:p>
    <w:p>
      <w:pPr>
        <w:pStyle w:val="BodyText"/>
        <w:spacing w:before="0" w:after="200"/>
        <w:rPr/>
      </w:pPr>
      <w:r>
        <w:rPr/>
        <w:t>Evaluating Distributed Policy Updates.</w:t>
      </w:r>
    </w:p>
    <w:p>
      <w:pPr>
        <w:pStyle w:val="BodyText"/>
        <w:spacing w:before="0" w:after="200"/>
        <w:rPr/>
      </w:pPr>
      <w:r>
        <w:rPr/>
        <w:t>Evaluating institutional effects.</w:t>
      </w:r>
    </w:p>
    <w:p>
      <w:pPr>
        <w:pStyle w:val="BodyText"/>
        <w:spacing w:before="0" w:after="200"/>
        <w:rPr/>
      </w:pPr>
      <w:r>
        <w:rPr/>
        <w:t>Evaluating information and uncertainty changes.</w:t>
      </w:r>
    </w:p>
    <w:p>
      <w:pPr>
        <w:pStyle w:val="BodyText"/>
        <w:spacing w:before="0" w:after="200"/>
        <w:rPr/>
      </w:pPr>
      <w:r>
        <w:rPr/>
        <w:t>Evaluating constraint and authority changes.</w:t>
      </w:r>
    </w:p>
    <w:p>
      <w:pPr>
        <w:pStyle w:val="BodyText"/>
        <w:spacing w:before="0" w:after="200"/>
        <w:rPr/>
      </w:pPr>
      <w:r>
        <w:rPr/>
        <w:t>Evaluating future opportunity changes.</w:t>
      </w:r>
    </w:p>
    <w:p>
      <w:pPr>
        <w:pStyle w:val="BodyText"/>
        <w:spacing w:before="0" w:after="200"/>
        <w:rPr/>
      </w:pPr>
      <w:r>
        <w:rPr/>
        <w:t>Evaluating future state-space changes.</w:t>
      </w:r>
    </w:p>
    <w:p>
      <w:pPr>
        <w:pStyle w:val="BodyText"/>
        <w:spacing w:before="0" w:after="200"/>
        <w:rPr/>
      </w:pPr>
      <w:r>
        <w:rPr/>
        <w:t>Evaluating horizon-specific conflicts.</w:t>
      </w:r>
    </w:p>
    <w:p>
      <w:pPr>
        <w:pStyle w:val="BodyText"/>
        <w:spacing w:before="0" w:after="200"/>
        <w:rPr/>
      </w:pPr>
      <w:r>
        <w:rPr/>
        <w:t>Evaluating the transition against the Foundational Axiom.</w:t>
      </w:r>
    </w:p>
    <w:p>
      <w:pPr>
        <w:pStyle w:val="BodyText"/>
        <w:spacing w:before="0" w:after="200"/>
        <w:rPr/>
      </w:pPr>
      <w:r>
        <w:rPr/>
        <w:t>The output of this service should be a structured World Context Transition summary. It should explain what changed, for whom, across which horizons, with what confidence, and with what moral significance.</w:t>
      </w:r>
    </w:p>
    <w:p>
      <w:pPr>
        <w:pStyle w:val="BodyText"/>
        <w:spacing w:before="0" w:after="200"/>
        <w:rPr/>
      </w:pPr>
      <w:r>
        <w:rPr/>
        <w:t>World Context Evaluation is where implementation most directly preserves the framework’s core commitment: moral assessment evaluates the transition from one World Context to another, not merely the immediate outcome of an action.</w:t>
      </w:r>
    </w:p>
    <w:p>
      <w:pPr>
        <w:pStyle w:val="Heading3"/>
        <w:ind w:hanging="0" w:left="0"/>
        <w:rPr/>
      </w:pPr>
      <w:r>
        <w:rPr/>
        <w:t>Confidence Propagation</w:t>
      </w:r>
    </w:p>
    <w:p>
      <w:pPr>
        <w:pStyle w:val="BodyText"/>
        <w:spacing w:before="0" w:after="200"/>
        <w:rPr/>
      </w:pPr>
      <w:r>
        <w:rPr/>
        <w:t>Confidence Propagation is the runtime service that tracks uncertainty and confidence across the assessment workflow.</w:t>
      </w:r>
    </w:p>
    <w:p>
      <w:pPr>
        <w:pStyle w:val="BodyText"/>
        <w:spacing w:before="0" w:after="200"/>
        <w:rPr/>
      </w:pPr>
      <w:r>
        <w:rPr/>
        <w:t>It ensures that uncertainty in evidence, context construction, state representation, transition prediction, flourishing estimation, policy-update estimation, and horizon analysis is reflected in the final Assessment Output.</w:t>
      </w:r>
    </w:p>
    <w:p>
      <w:pPr>
        <w:pStyle w:val="BodyText"/>
        <w:spacing w:before="0" w:after="200"/>
        <w:rPr/>
      </w:pPr>
      <w:r>
        <w:rPr/>
        <w:t>Confidence Propagation may include:</w:t>
      </w:r>
    </w:p>
    <w:p>
      <w:pPr>
        <w:pStyle w:val="BodyText"/>
        <w:spacing w:before="0" w:after="200"/>
        <w:rPr/>
      </w:pPr>
      <w:r>
        <w:rPr/>
        <w:t>Tracking evidence quality.</w:t>
      </w:r>
    </w:p>
    <w:p>
      <w:pPr>
        <w:pStyle w:val="BodyText"/>
        <w:spacing w:before="0" w:after="200"/>
        <w:rPr/>
      </w:pPr>
      <w:r>
        <w:rPr/>
        <w:t>Tracking evidence completeness.</w:t>
      </w:r>
    </w:p>
    <w:p>
      <w:pPr>
        <w:pStyle w:val="BodyText"/>
        <w:spacing w:before="0" w:after="200"/>
        <w:rPr/>
      </w:pPr>
      <w:r>
        <w:rPr/>
        <w:t>Tracking source reliability.</w:t>
      </w:r>
    </w:p>
    <w:p>
      <w:pPr>
        <w:pStyle w:val="BodyText"/>
        <w:spacing w:before="0" w:after="200"/>
        <w:rPr/>
      </w:pPr>
      <w:r>
        <w:rPr/>
        <w:t>Tracking baseline-state uncertainty.</w:t>
      </w:r>
    </w:p>
    <w:p>
      <w:pPr>
        <w:pStyle w:val="BodyText"/>
        <w:spacing w:before="0" w:after="200"/>
        <w:rPr/>
      </w:pPr>
      <w:r>
        <w:rPr/>
        <w:t>Tracking causal uncertainty.</w:t>
      </w:r>
    </w:p>
    <w:p>
      <w:pPr>
        <w:pStyle w:val="BodyText"/>
        <w:spacing w:before="0" w:after="200"/>
        <w:rPr/>
      </w:pPr>
      <w:r>
        <w:rPr/>
        <w:t>Tracking model uncertainty.</w:t>
      </w:r>
    </w:p>
    <w:p>
      <w:pPr>
        <w:pStyle w:val="BodyText"/>
        <w:spacing w:before="0" w:after="200"/>
        <w:rPr/>
      </w:pPr>
      <w:r>
        <w:rPr/>
        <w:t>Tracking prediction uncertainty.</w:t>
      </w:r>
    </w:p>
    <w:p>
      <w:pPr>
        <w:pStyle w:val="BodyText"/>
        <w:spacing w:before="0" w:after="200"/>
        <w:rPr/>
      </w:pPr>
      <w:r>
        <w:rPr/>
        <w:t>Tracking stochastic approximation error.</w:t>
      </w:r>
    </w:p>
    <w:p>
      <w:pPr>
        <w:pStyle w:val="BodyText"/>
        <w:spacing w:before="0" w:after="200"/>
        <w:rPr/>
      </w:pPr>
      <w:r>
        <w:rPr/>
        <w:t>Tracking uncertainty across Assessment Horizons.</w:t>
      </w:r>
    </w:p>
    <w:p>
      <w:pPr>
        <w:pStyle w:val="BodyText"/>
        <w:spacing w:before="0" w:after="200"/>
        <w:rPr/>
      </w:pPr>
      <w:r>
        <w:rPr/>
        <w:t>Tracking uncertainty in Long-Term Flourishing estimates.</w:t>
      </w:r>
    </w:p>
    <w:p>
      <w:pPr>
        <w:pStyle w:val="BodyText"/>
        <w:spacing w:before="0" w:after="200"/>
        <w:rPr/>
      </w:pPr>
      <w:r>
        <w:rPr/>
        <w:t>Tracking uncertainty in Distributed Policy Updates.</w:t>
      </w:r>
    </w:p>
    <w:p>
      <w:pPr>
        <w:pStyle w:val="BodyText"/>
        <w:spacing w:before="0" w:after="200"/>
        <w:rPr/>
      </w:pPr>
      <w:r>
        <w:rPr/>
        <w:t>Tracking confidence in the World Context Transition.</w:t>
      </w:r>
    </w:p>
    <w:p>
      <w:pPr>
        <w:pStyle w:val="BodyText"/>
        <w:spacing w:before="0" w:after="200"/>
        <w:rPr/>
      </w:pPr>
      <w:r>
        <w:rPr/>
        <w:t>Producing final confidence estimates and confidence explanations.</w:t>
      </w:r>
    </w:p>
    <w:p>
      <w:pPr>
        <w:pStyle w:val="BodyText"/>
        <w:spacing w:before="0" w:after="200"/>
        <w:rPr/>
      </w:pPr>
      <w:r>
        <w:rPr/>
        <w:t>Confidence Propagation should distinguish probability from confidence. Probability estimates the likelihood of an event or transition. Confidence estimates the reliability of the probability estimate or assessment conclusion.</w:t>
      </w:r>
    </w:p>
    <w:p>
      <w:pPr>
        <w:pStyle w:val="BodyText"/>
        <w:spacing w:before="0" w:after="200"/>
        <w:rPr/>
      </w:pPr>
      <w:r>
        <w:rPr/>
        <w:t>This service should also support graceful degradation. When information is incomplete, the implementation should reduce confidence, identify missing information, and flag material uncertainty rather than failing silently or producing false certainty.</w:t>
      </w:r>
    </w:p>
    <w:p>
      <w:pPr>
        <w:pStyle w:val="Heading3"/>
        <w:ind w:hanging="0" w:left="0"/>
        <w:rPr/>
      </w:pPr>
      <w:r>
        <w:rPr/>
        <w:t>Structured Output Generation</w:t>
      </w:r>
    </w:p>
    <w:p>
      <w:pPr>
        <w:pStyle w:val="BodyText"/>
        <w:spacing w:before="0" w:after="200"/>
        <w:rPr/>
      </w:pPr>
      <w:r>
        <w:rPr/>
        <w:t>Structured Output Generation is the runtime service that produces the assessment artifact.</w:t>
      </w:r>
    </w:p>
    <w:p>
      <w:pPr>
        <w:pStyle w:val="BodyText"/>
        <w:spacing w:before="0" w:after="200"/>
        <w:rPr/>
      </w:pPr>
      <w:r>
        <w:rPr/>
        <w:t>The structured output should contain the Assessment Result and the supporting artifacts needed for review, audit, explanation, visualization, downstream use, or future revision. It should preserve the distinction between the assessment artifact itself and any human-readable explanation generated from it.</w:t>
      </w:r>
    </w:p>
    <w:p>
      <w:pPr>
        <w:pStyle w:val="BodyText"/>
        <w:spacing w:before="0" w:after="200"/>
        <w:rPr/>
      </w:pPr>
      <w:r>
        <w:rPr/>
        <w:t>Structured Output Generation may include:</w:t>
      </w:r>
    </w:p>
    <w:p>
      <w:pPr>
        <w:pStyle w:val="BodyText"/>
        <w:spacing w:before="0" w:after="200"/>
        <w:rPr/>
      </w:pPr>
      <w:r>
        <w:rPr/>
        <w:t>Assessment Result.</w:t>
      </w:r>
    </w:p>
    <w:p>
      <w:pPr>
        <w:pStyle w:val="BodyText"/>
        <w:spacing w:before="0" w:after="200"/>
        <w:rPr/>
      </w:pPr>
      <w:r>
        <w:rPr/>
        <w:t>Confidence Level.</w:t>
      </w:r>
    </w:p>
    <w:p>
      <w:pPr>
        <w:pStyle w:val="BodyText"/>
        <w:spacing w:before="0" w:after="200"/>
        <w:rPr/>
      </w:pPr>
      <w:r>
        <w:rPr/>
        <w:t>Assessed Action.</w:t>
      </w:r>
    </w:p>
    <w:p>
      <w:pPr>
        <w:pStyle w:val="BodyText"/>
        <w:spacing w:before="0" w:after="200"/>
        <w:rPr/>
      </w:pPr>
      <w:r>
        <w:rPr/>
        <w:t>Assessment Boundary.</w:t>
      </w:r>
    </w:p>
    <w:p>
      <w:pPr>
        <w:pStyle w:val="BodyText"/>
        <w:spacing w:before="0" w:after="200"/>
        <w:rPr/>
      </w:pPr>
      <w:r>
        <w:rPr/>
        <w:t>Situational Context.</w:t>
      </w:r>
    </w:p>
    <w:p>
      <w:pPr>
        <w:pStyle w:val="BodyText"/>
        <w:spacing w:before="0" w:after="200"/>
        <w:rPr/>
      </w:pPr>
      <w:r>
        <w:rPr/>
        <w:t>Evidence References.</w:t>
      </w:r>
    </w:p>
    <w:p>
      <w:pPr>
        <w:pStyle w:val="BodyText"/>
        <w:spacing w:before="0" w:after="200"/>
        <w:rPr/>
      </w:pPr>
      <w:r>
        <w:rPr/>
        <w:t>Assumptions.</w:t>
      </w:r>
    </w:p>
    <w:p>
      <w:pPr>
        <w:pStyle w:val="BodyText"/>
        <w:spacing w:before="0" w:after="200"/>
        <w:rPr/>
      </w:pPr>
      <w:r>
        <w:rPr/>
        <w:t>Intermediate Results.</w:t>
      </w:r>
    </w:p>
    <w:p>
      <w:pPr>
        <w:pStyle w:val="BodyText"/>
        <w:spacing w:before="0" w:after="200"/>
        <w:rPr/>
      </w:pPr>
      <w:r>
        <w:rPr/>
        <w:t>Affected Entities.</w:t>
      </w:r>
    </w:p>
    <w:p>
      <w:pPr>
        <w:pStyle w:val="BodyText"/>
        <w:spacing w:before="0" w:after="200"/>
        <w:rPr/>
      </w:pPr>
      <w:r>
        <w:rPr/>
        <w:t>Affected Associations.</w:t>
      </w:r>
    </w:p>
    <w:p>
      <w:pPr>
        <w:pStyle w:val="BodyText"/>
        <w:spacing w:before="0" w:after="200"/>
        <w:rPr/>
      </w:pPr>
      <w:r>
        <w:rPr/>
        <w:t>Flourishing Transitions.</w:t>
      </w:r>
    </w:p>
    <w:p>
      <w:pPr>
        <w:pStyle w:val="BodyText"/>
        <w:spacing w:before="0" w:after="200"/>
        <w:rPr/>
      </w:pPr>
      <w:r>
        <w:rPr/>
        <w:t>Aggregate Flourishing, if used.</w:t>
      </w:r>
    </w:p>
    <w:p>
      <w:pPr>
        <w:pStyle w:val="BodyText"/>
        <w:spacing w:before="0" w:after="200"/>
        <w:rPr/>
      </w:pPr>
      <w:r>
        <w:rPr/>
        <w:t>Distributed Policy Updates.</w:t>
      </w:r>
    </w:p>
    <w:p>
      <w:pPr>
        <w:pStyle w:val="BodyText"/>
        <w:spacing w:before="0" w:after="200"/>
        <w:rPr/>
      </w:pPr>
      <w:r>
        <w:rPr/>
        <w:t>World Context Transition summary.</w:t>
      </w:r>
    </w:p>
    <w:p>
      <w:pPr>
        <w:pStyle w:val="BodyText"/>
        <w:spacing w:before="0" w:after="200"/>
        <w:rPr/>
      </w:pPr>
      <w:r>
        <w:rPr/>
        <w:t>Assessment Horizons.</w:t>
      </w:r>
    </w:p>
    <w:p>
      <w:pPr>
        <w:pStyle w:val="BodyText"/>
        <w:spacing w:before="0" w:after="200"/>
        <w:rPr/>
      </w:pPr>
      <w:r>
        <w:rPr/>
        <w:t>Uncertainty and limitations.</w:t>
      </w:r>
    </w:p>
    <w:p>
      <w:pPr>
        <w:pStyle w:val="BodyText"/>
        <w:spacing w:before="0" w:after="200"/>
        <w:rPr/>
      </w:pPr>
      <w:r>
        <w:rPr/>
        <w:t>Recommendations.</w:t>
      </w:r>
    </w:p>
    <w:p>
      <w:pPr>
        <w:pStyle w:val="BodyText"/>
        <w:spacing w:before="0" w:after="200"/>
        <w:rPr/>
      </w:pPr>
      <w:r>
        <w:rPr/>
        <w:t>Decision-support flags.</w:t>
      </w:r>
    </w:p>
    <w:p>
      <w:pPr>
        <w:pStyle w:val="BodyText"/>
        <w:spacing w:before="0" w:after="200"/>
        <w:rPr/>
      </w:pPr>
      <w:r>
        <w:rPr/>
        <w:t>Revision status.</w:t>
      </w:r>
    </w:p>
    <w:p>
      <w:pPr>
        <w:pStyle w:val="BodyText"/>
        <w:spacing w:before="0" w:after="200"/>
        <w:rPr/>
      </w:pPr>
      <w:r>
        <w:rPr/>
        <w:t>Assessment metadata.</w:t>
      </w:r>
    </w:p>
    <w:p>
      <w:pPr>
        <w:pStyle w:val="BodyText"/>
        <w:spacing w:before="0" w:after="200"/>
        <w:rPr/>
      </w:pPr>
      <w:r>
        <w:rPr/>
        <w:t>Structured output may be represented as JSON, XML, database records, reports, graph artifacts, event logs, workflow records, or another implementation-specific format. The methodology does not prescribe a single schema at this level.</w:t>
      </w:r>
    </w:p>
    <w:p>
      <w:pPr>
        <w:pStyle w:val="BodyText"/>
        <w:spacing w:before="0" w:after="200"/>
        <w:rPr/>
      </w:pPr>
      <w:r>
        <w:rPr/>
        <w:t>The key requirement is that structured output remain machine-readable, inspectable, traceable, confidence-bounded, and faithful to the underlying assessment.</w:t>
      </w:r>
    </w:p>
    <w:p>
      <w:pPr>
        <w:pStyle w:val="Heading3"/>
        <w:ind w:hanging="0" w:left="0"/>
        <w:rPr/>
      </w:pPr>
      <w:r>
        <w:rPr/>
        <w:t>Audit Artifact Generation</w:t>
      </w:r>
    </w:p>
    <w:p>
      <w:pPr>
        <w:pStyle w:val="BodyText"/>
        <w:spacing w:before="0" w:after="200"/>
        <w:rPr/>
      </w:pPr>
      <w:r>
        <w:rPr/>
        <w:t>Audit Artifact Generation is the runtime service that preserves the evidence, intermediate reasoning, assumptions, model versions, ontology versions, confidence estimates, and output artifacts needed to review or reconstruct an assessment.</w:t>
      </w:r>
    </w:p>
    <w:p>
      <w:pPr>
        <w:pStyle w:val="BodyText"/>
        <w:spacing w:before="0" w:after="200"/>
        <w:rPr/>
      </w:pPr>
      <w:r>
        <w:rPr/>
        <w:t>Auditability is essential because moral assessments may influence high-stakes decisions, institutional governance, autonomous behavior, legal review, medical recommendations, AI safety decisions, or public policy. A system that cannot explain or reconstruct its assessment may not be suitable for responsible deployment.</w:t>
      </w:r>
    </w:p>
    <w:p>
      <w:pPr>
        <w:pStyle w:val="BodyText"/>
        <w:spacing w:before="0" w:after="200"/>
        <w:rPr/>
      </w:pPr>
      <w:r>
        <w:rPr/>
        <w:t>Audit artifacts may include:</w:t>
      </w:r>
    </w:p>
    <w:p>
      <w:pPr>
        <w:pStyle w:val="BodyText"/>
        <w:spacing w:before="0" w:after="200"/>
        <w:rPr/>
      </w:pPr>
      <w:r>
        <w:rPr/>
        <w:t>Assessment request records.</w:t>
      </w:r>
    </w:p>
    <w:p>
      <w:pPr>
        <w:pStyle w:val="BodyText"/>
        <w:spacing w:before="0" w:after="200"/>
        <w:rPr/>
      </w:pPr>
      <w:r>
        <w:rPr/>
        <w:t>Input evidence and evidence references.</w:t>
      </w:r>
    </w:p>
    <w:p>
      <w:pPr>
        <w:pStyle w:val="BodyText"/>
        <w:spacing w:before="0" w:after="200"/>
        <w:rPr/>
      </w:pPr>
      <w:r>
        <w:rPr/>
        <w:t>Evidence provenance metadata.</w:t>
      </w:r>
    </w:p>
    <w:p>
      <w:pPr>
        <w:pStyle w:val="BodyText"/>
        <w:spacing w:before="0" w:after="200"/>
        <w:rPr/>
      </w:pPr>
      <w:r>
        <w:rPr/>
        <w:t>Assessment Boundary decisions.</w:t>
      </w:r>
    </w:p>
    <w:p>
      <w:pPr>
        <w:pStyle w:val="BodyText"/>
        <w:spacing w:before="0" w:after="200"/>
        <w:rPr/>
      </w:pPr>
      <w:r>
        <w:rPr/>
        <w:t>Context Construction records.</w:t>
      </w:r>
    </w:p>
    <w:p>
      <w:pPr>
        <w:pStyle w:val="BodyText"/>
        <w:spacing w:before="0" w:after="200"/>
        <w:rPr/>
      </w:pPr>
      <w:r>
        <w:rPr/>
        <w:t>Entity and Association identification records.</w:t>
      </w:r>
    </w:p>
    <w:p>
      <w:pPr>
        <w:pStyle w:val="BodyText"/>
        <w:spacing w:before="0" w:after="200"/>
        <w:rPr/>
      </w:pPr>
      <w:r>
        <w:rPr/>
        <w:t>Ontology versions.</w:t>
      </w:r>
    </w:p>
    <w:p>
      <w:pPr>
        <w:pStyle w:val="BodyText"/>
        <w:spacing w:before="0" w:after="200"/>
        <w:rPr/>
      </w:pPr>
      <w:r>
        <w:rPr/>
        <w:t>Model versions.</w:t>
      </w:r>
    </w:p>
    <w:p>
      <w:pPr>
        <w:pStyle w:val="BodyText"/>
        <w:spacing w:before="0" w:after="200"/>
        <w:rPr/>
      </w:pPr>
      <w:r>
        <w:rPr/>
        <w:t>State variable selections.</w:t>
      </w:r>
    </w:p>
    <w:p>
      <w:pPr>
        <w:pStyle w:val="BodyText"/>
        <w:spacing w:before="0" w:after="200"/>
        <w:rPr/>
      </w:pPr>
      <w:r>
        <w:rPr/>
        <w:t>Baseline World Context representation.</w:t>
      </w:r>
    </w:p>
    <w:p>
      <w:pPr>
        <w:pStyle w:val="BodyText"/>
        <w:spacing w:before="0" w:after="200"/>
        <w:rPr/>
      </w:pPr>
      <w:r>
        <w:rPr/>
        <w:t>Predicted State Transition records.</w:t>
      </w:r>
    </w:p>
    <w:p>
      <w:pPr>
        <w:pStyle w:val="BodyText"/>
        <w:spacing w:before="0" w:after="200"/>
        <w:rPr/>
      </w:pPr>
      <w:r>
        <w:rPr/>
        <w:t>Flourishing Transition estimates.</w:t>
      </w:r>
    </w:p>
    <w:p>
      <w:pPr>
        <w:pStyle w:val="BodyText"/>
        <w:spacing w:before="0" w:after="200"/>
        <w:rPr/>
      </w:pPr>
      <w:r>
        <w:rPr/>
        <w:t>Policy Update estimates.</w:t>
      </w:r>
    </w:p>
    <w:p>
      <w:pPr>
        <w:pStyle w:val="BodyText"/>
        <w:spacing w:before="0" w:after="200"/>
        <w:rPr/>
      </w:pPr>
      <w:r>
        <w:rPr/>
        <w:t>Probability estimates.</w:t>
      </w:r>
    </w:p>
    <w:p>
      <w:pPr>
        <w:pStyle w:val="BodyText"/>
        <w:spacing w:before="0" w:after="200"/>
        <w:rPr/>
      </w:pPr>
      <w:r>
        <w:rPr/>
        <w:t>Confidence propagation records.</w:t>
      </w:r>
    </w:p>
    <w:p>
      <w:pPr>
        <w:pStyle w:val="BodyText"/>
        <w:spacing w:before="0" w:after="200"/>
        <w:rPr/>
      </w:pPr>
      <w:r>
        <w:rPr/>
        <w:t>Intermediate results.</w:t>
      </w:r>
    </w:p>
    <w:p>
      <w:pPr>
        <w:pStyle w:val="BodyText"/>
        <w:spacing w:before="0" w:after="200"/>
        <w:rPr/>
      </w:pPr>
      <w:r>
        <w:rPr/>
        <w:t>World Context Transition summary.</w:t>
      </w:r>
    </w:p>
    <w:p>
      <w:pPr>
        <w:pStyle w:val="BodyText"/>
        <w:spacing w:before="0" w:after="200"/>
        <w:rPr/>
      </w:pPr>
      <w:r>
        <w:rPr/>
        <w:t>Final Assessment Output.</w:t>
      </w:r>
    </w:p>
    <w:p>
      <w:pPr>
        <w:pStyle w:val="BodyText"/>
        <w:spacing w:before="0" w:after="200"/>
        <w:rPr/>
      </w:pPr>
      <w:r>
        <w:rPr/>
        <w:t>Human review actions.</w:t>
      </w:r>
    </w:p>
    <w:p>
      <w:pPr>
        <w:pStyle w:val="BodyText"/>
        <w:spacing w:before="0" w:after="200"/>
        <w:rPr/>
      </w:pPr>
      <w:r>
        <w:rPr/>
        <w:t>Escalation decisions.</w:t>
      </w:r>
    </w:p>
    <w:p>
      <w:pPr>
        <w:pStyle w:val="BodyText"/>
        <w:spacing w:before="0" w:after="200"/>
        <w:rPr/>
      </w:pPr>
      <w:r>
        <w:rPr/>
        <w:t>Revision history.</w:t>
      </w:r>
    </w:p>
    <w:p>
      <w:pPr>
        <w:pStyle w:val="BodyText"/>
        <w:spacing w:before="0" w:after="200"/>
        <w:rPr/>
      </w:pPr>
      <w:r>
        <w:rPr/>
        <w:t>Audit artifacts should support traceability from final Assessment Result back to the evidence and assumptions that produced it. They should also support later revision when new evidence becomes available.</w:t>
      </w:r>
    </w:p>
    <w:p>
      <w:pPr>
        <w:pStyle w:val="BodyText"/>
        <w:spacing w:before="0" w:after="200"/>
        <w:rPr/>
      </w:pPr>
      <w:r>
        <w:rPr/>
        <w:t>Audit Artifact Generation should be designed with security, privacy, access control, retention policy, and institutional accountability in mind. Not every audit artifact should be visible to every user, but material reasoning artifacts should be preserved for appropriate review.</w:t>
      </w:r>
    </w:p>
    <w:p>
      <w:pPr>
        <w:pStyle w:val="Heading3"/>
        <w:ind w:hanging="0" w:left="0"/>
        <w:rPr/>
      </w:pPr>
      <w:r>
        <w:rPr/>
        <w:t>Runtime Service Interaction</w:t>
      </w:r>
    </w:p>
    <w:p>
      <w:pPr>
        <w:pStyle w:val="BodyText"/>
        <w:spacing w:before="0" w:after="200"/>
        <w:rPr/>
      </w:pPr>
      <w:r>
        <w:rPr/>
        <w:t>The core runtime services should operate as an integrated assessment pipeline or orchestrated service network.</w:t>
      </w:r>
    </w:p>
    <w:p>
      <w:pPr>
        <w:pStyle w:val="BodyText"/>
        <w:spacing w:before="0" w:after="200"/>
        <w:rPr/>
      </w:pPr>
      <w:r>
        <w:rPr/>
        <w:t>A typical runtime flow may proceed as follows:</w:t>
      </w:r>
    </w:p>
    <w:p>
      <w:pPr>
        <w:pStyle w:val="BodyText"/>
        <w:numPr>
          <w:ilvl w:val="0"/>
          <w:numId w:val="24"/>
        </w:numPr>
        <w:tabs>
          <w:tab w:val="clear" w:pos="720"/>
          <w:tab w:val="left" w:pos="0" w:leader="none"/>
        </w:tabs>
        <w:spacing w:before="0" w:after="200"/>
        <w:ind w:hanging="283" w:left="709"/>
        <w:rPr/>
      </w:pPr>
      <w:r>
        <w:rPr/>
        <w:t>Context Construction identifies the relevant assessment context.</w:t>
      </w:r>
    </w:p>
    <w:p>
      <w:pPr>
        <w:pStyle w:val="BodyText"/>
        <w:numPr>
          <w:ilvl w:val="0"/>
          <w:numId w:val="24"/>
        </w:numPr>
        <w:tabs>
          <w:tab w:val="clear" w:pos="720"/>
          <w:tab w:val="left" w:pos="0" w:leader="none"/>
        </w:tabs>
        <w:spacing w:before="0" w:after="200"/>
        <w:ind w:hanging="283" w:left="709"/>
        <w:rPr/>
      </w:pPr>
      <w:r>
        <w:rPr/>
        <w:t>World Model Management provides or updates the relevant World Context representation.</w:t>
      </w:r>
    </w:p>
    <w:p>
      <w:pPr>
        <w:pStyle w:val="BodyText"/>
        <w:numPr>
          <w:ilvl w:val="0"/>
          <w:numId w:val="24"/>
        </w:numPr>
        <w:tabs>
          <w:tab w:val="clear" w:pos="720"/>
          <w:tab w:val="left" w:pos="0" w:leader="none"/>
        </w:tabs>
        <w:spacing w:before="0" w:after="200"/>
        <w:ind w:hanging="283" w:left="709"/>
        <w:rPr/>
      </w:pPr>
      <w:r>
        <w:rPr/>
        <w:t>The Assessment Engine orchestrates the methodology.</w:t>
      </w:r>
    </w:p>
    <w:p>
      <w:pPr>
        <w:pStyle w:val="BodyText"/>
        <w:numPr>
          <w:ilvl w:val="0"/>
          <w:numId w:val="24"/>
        </w:numPr>
        <w:tabs>
          <w:tab w:val="clear" w:pos="720"/>
          <w:tab w:val="left" w:pos="0" w:leader="none"/>
        </w:tabs>
        <w:spacing w:before="0" w:after="200"/>
        <w:ind w:hanging="283" w:left="709"/>
        <w:rPr/>
      </w:pPr>
      <w:r>
        <w:rPr/>
        <w:t>State-Transition Prediction estimates material changes.</w:t>
      </w:r>
    </w:p>
    <w:p>
      <w:pPr>
        <w:pStyle w:val="BodyText"/>
        <w:numPr>
          <w:ilvl w:val="0"/>
          <w:numId w:val="24"/>
        </w:numPr>
        <w:tabs>
          <w:tab w:val="clear" w:pos="720"/>
          <w:tab w:val="left" w:pos="0" w:leader="none"/>
        </w:tabs>
        <w:spacing w:before="0" w:after="200"/>
        <w:ind w:hanging="283" w:left="709"/>
        <w:rPr/>
      </w:pPr>
      <w:r>
        <w:rPr/>
        <w:t>World Context Evaluation integrates those changes into the World Context₀ to World Context₁ transition.</w:t>
      </w:r>
    </w:p>
    <w:p>
      <w:pPr>
        <w:pStyle w:val="BodyText"/>
        <w:numPr>
          <w:ilvl w:val="0"/>
          <w:numId w:val="24"/>
        </w:numPr>
        <w:tabs>
          <w:tab w:val="clear" w:pos="720"/>
          <w:tab w:val="left" w:pos="0" w:leader="none"/>
        </w:tabs>
        <w:spacing w:before="0" w:after="200"/>
        <w:ind w:hanging="283" w:left="709"/>
        <w:rPr/>
      </w:pPr>
      <w:r>
        <w:rPr/>
        <w:t>Confidence Propagation tracks uncertainty and reliability.</w:t>
      </w:r>
    </w:p>
    <w:p>
      <w:pPr>
        <w:pStyle w:val="BodyText"/>
        <w:numPr>
          <w:ilvl w:val="0"/>
          <w:numId w:val="24"/>
        </w:numPr>
        <w:tabs>
          <w:tab w:val="clear" w:pos="720"/>
          <w:tab w:val="left" w:pos="0" w:leader="none"/>
        </w:tabs>
        <w:spacing w:before="0" w:after="200"/>
        <w:ind w:hanging="283" w:left="709"/>
        <w:rPr/>
      </w:pPr>
      <w:r>
        <w:rPr/>
        <w:t>Structured Output Generation produces the assessment artifact.</w:t>
      </w:r>
    </w:p>
    <w:p>
      <w:pPr>
        <w:pStyle w:val="BodyText"/>
        <w:numPr>
          <w:ilvl w:val="0"/>
          <w:numId w:val="24"/>
        </w:numPr>
        <w:tabs>
          <w:tab w:val="clear" w:pos="720"/>
          <w:tab w:val="left" w:pos="0" w:leader="none"/>
        </w:tabs>
        <w:spacing w:before="0" w:after="200"/>
        <w:ind w:hanging="283" w:left="709"/>
        <w:rPr/>
      </w:pPr>
      <w:r>
        <w:rPr/>
        <w:t>Audit Artifact Generation preserves the reasoning trail.</w:t>
      </w:r>
    </w:p>
    <w:p>
      <w:pPr>
        <w:pStyle w:val="BodyText"/>
        <w:spacing w:before="0" w:after="200"/>
        <w:rPr/>
      </w:pPr>
      <w:r>
        <w:rPr/>
        <w:t>This flow may be linear, iterative, recursive, or distributed depending on implementation. For example, State-Transition Prediction may reveal missing evidence, causing Context Construction to run again. Confidence Propagation may flag insufficient evidence, causing the Assessment Engine to request human review. World Context Evaluation may identify severe uncertainty, causing the system to generate mitigation recommendations.</w:t>
      </w:r>
    </w:p>
    <w:p>
      <w:pPr>
        <w:pStyle w:val="BodyText"/>
        <w:spacing w:before="0" w:after="200"/>
        <w:rPr/>
      </w:pPr>
      <w:r>
        <w:rPr/>
        <w:t>The runtime should therefore support iteration rather than assuming that assessment is always a single-pass process.</w:t>
      </w:r>
    </w:p>
    <w:p>
      <w:pPr>
        <w:pStyle w:val="Heading3"/>
        <w:ind w:hanging="0" w:left="0"/>
        <w:rPr/>
      </w:pPr>
      <w:r>
        <w:rPr/>
        <w:t>Runtime Service Modularity</w:t>
      </w:r>
    </w:p>
    <w:p>
      <w:pPr>
        <w:pStyle w:val="BodyText"/>
        <w:spacing w:before="0" w:after="200"/>
        <w:rPr/>
      </w:pPr>
      <w:r>
        <w:rPr/>
        <w:t>Core Runtime Services should be modular when practical.</w:t>
      </w:r>
    </w:p>
    <w:p>
      <w:pPr>
        <w:pStyle w:val="BodyText"/>
        <w:spacing w:before="0" w:after="200"/>
        <w:rPr/>
      </w:pPr>
      <w:r>
        <w:rPr/>
        <w:t>Modularity allows implementations to replace or improve one service without rewriting the entire system. A new evidence ingestion component should not require changes to the World Context Evaluation logic. A better prediction model should not require changes to the structured output schema. A revised ontology should not require rewriting the Assessment Engine.</w:t>
      </w:r>
    </w:p>
    <w:p>
      <w:pPr>
        <w:pStyle w:val="BodyText"/>
        <w:spacing w:before="0" w:after="200"/>
        <w:rPr/>
      </w:pPr>
      <w:r>
        <w:rPr/>
        <w:t>Modularity supports:</w:t>
      </w:r>
    </w:p>
    <w:p>
      <w:pPr>
        <w:pStyle w:val="BodyText"/>
        <w:spacing w:before="0" w:after="200"/>
        <w:rPr/>
      </w:pPr>
      <w:r>
        <w:rPr/>
        <w:t>Testing.</w:t>
      </w:r>
    </w:p>
    <w:p>
      <w:pPr>
        <w:pStyle w:val="BodyText"/>
        <w:spacing w:before="0" w:after="200"/>
        <w:rPr/>
      </w:pPr>
      <w:r>
        <w:rPr/>
        <w:t>Versioning.</w:t>
      </w:r>
    </w:p>
    <w:p>
      <w:pPr>
        <w:pStyle w:val="BodyText"/>
        <w:spacing w:before="0" w:after="200"/>
        <w:rPr/>
      </w:pPr>
      <w:r>
        <w:rPr/>
        <w:t>Domain adaptation.</w:t>
      </w:r>
    </w:p>
    <w:p>
      <w:pPr>
        <w:pStyle w:val="BodyText"/>
        <w:spacing w:before="0" w:after="200"/>
        <w:rPr/>
      </w:pPr>
      <w:r>
        <w:rPr/>
        <w:t>Component replacement.</w:t>
      </w:r>
    </w:p>
    <w:p>
      <w:pPr>
        <w:pStyle w:val="BodyText"/>
        <w:spacing w:before="0" w:after="200"/>
        <w:rPr/>
      </w:pPr>
      <w:r>
        <w:rPr/>
        <w:t>Human review integration.</w:t>
      </w:r>
    </w:p>
    <w:p>
      <w:pPr>
        <w:pStyle w:val="BodyText"/>
        <w:spacing w:before="0" w:after="200"/>
        <w:rPr/>
      </w:pPr>
      <w:r>
        <w:rPr/>
        <w:t>Scalability.</w:t>
      </w:r>
    </w:p>
    <w:p>
      <w:pPr>
        <w:pStyle w:val="BodyText"/>
        <w:spacing w:before="0" w:after="200"/>
        <w:rPr/>
      </w:pPr>
      <w:r>
        <w:rPr/>
        <w:t>Auditability.</w:t>
      </w:r>
    </w:p>
    <w:p>
      <w:pPr>
        <w:pStyle w:val="BodyText"/>
        <w:spacing w:before="0" w:after="200"/>
        <w:rPr/>
      </w:pPr>
      <w:r>
        <w:rPr/>
        <w:t>Extensibility.</w:t>
      </w:r>
    </w:p>
    <w:p>
      <w:pPr>
        <w:pStyle w:val="BodyText"/>
        <w:spacing w:before="0" w:after="200"/>
        <w:rPr/>
      </w:pPr>
      <w:r>
        <w:rPr/>
        <w:t>Independent improvement of models.</w:t>
      </w:r>
    </w:p>
    <w:p>
      <w:pPr>
        <w:pStyle w:val="BodyText"/>
        <w:spacing w:before="0" w:after="200"/>
        <w:rPr/>
      </w:pPr>
      <w:r>
        <w:rPr/>
        <w:t>A modular runtime also supports hybrid implementation patterns. For example, a system may use an embedded library for local context construction, a microservice for State-Transition Prediction, a distributed service for World Model Management, and a workflow component for human review.</w:t>
      </w:r>
    </w:p>
    <w:p>
      <w:pPr>
        <w:pStyle w:val="Heading3"/>
        <w:ind w:hanging="0" w:left="0"/>
        <w:rPr>
          <w:rFonts w:ascii="Aptos" w:hAnsi="Aptos"/>
          <w:color w:val="auto"/>
        </w:rPr>
      </w:pPr>
      <w:r>
        <w:rPr/>
        <w:t>Runtime Service Boundary</w:t>
      </w:r>
    </w:p>
    <w:p>
      <w:pPr>
        <w:pStyle w:val="BodyText"/>
        <w:spacing w:before="0" w:after="200"/>
        <w:rPr/>
      </w:pPr>
      <w:r>
        <w:rPr/>
        <w:t>Core Runtime Services describe implementation capabilities, not architectural requirements.</w:t>
      </w:r>
    </w:p>
    <w:p>
      <w:pPr>
        <w:pStyle w:val="BodyText"/>
        <w:spacing w:before="0" w:after="200"/>
        <w:rPr/>
      </w:pPr>
      <w:r>
        <w:rPr/>
        <w:t>A conforming implementation does not need to expose each service as a separate software component. A simple implementation may perform several services manually or within one application. A mature runtime may separate them into independently deployable services.</w:t>
      </w:r>
    </w:p>
    <w:p>
      <w:pPr>
        <w:pStyle w:val="BodyText"/>
        <w:spacing w:before="0" w:after="200"/>
        <w:rPr/>
      </w:pPr>
      <w:r>
        <w:rPr/>
        <w:t>The requirement is functional rather than structural. An implementation should be able to construct context, manage or represent world state, orchestrate assessment, predict transitions, evaluate the World Context Transition, propagate confidence, generate structured output, and preserve audit artifacts at a level appropriate to the domain and risk.</w:t>
      </w:r>
    </w:p>
    <w:p>
      <w:pPr>
        <w:pStyle w:val="BodyText"/>
        <w:spacing w:before="0" w:after="200"/>
        <w:rPr/>
      </w:pPr>
      <w:r>
        <w:rPr/>
        <w:t>Core Runtime Services should therefore be understood as a reference decomposition for implementation. They help designers build practical systems while preserving the framework’s central commitment to explicit, confidence-bounded assessment of the transition from World Context₀ to World Context₁.</w:t>
      </w:r>
    </w:p>
    <w:p>
      <w:pPr>
        <w:pStyle w:val="Heading2"/>
        <w:rPr/>
      </w:pPr>
      <w:r>
        <w:rPr/>
        <w:t>Deployment Considerations</w:t>
      </w:r>
    </w:p>
    <w:p>
      <w:pPr>
        <w:pStyle w:val="BodyText"/>
        <w:spacing w:before="0" w:after="200"/>
        <w:rPr/>
      </w:pPr>
      <w:r>
        <w:rPr/>
        <w:t>Deployment Considerations describe the operational issues that arise when Objective-Based Systems Ethics is implemented in real systems, organizations, workflows, agents, or runtime environments.</w:t>
      </w:r>
    </w:p>
    <w:p>
      <w:pPr>
        <w:pStyle w:val="BodyText"/>
        <w:spacing w:before="0" w:after="200"/>
        <w:rPr/>
      </w:pPr>
      <w:r>
        <w:rPr/>
        <w:t>The Reference Architecture and Moral Assessment Methodology define what must be represented and how assessment should proceed. Deployment concerns the practical conditions under which an implementation operates: scale, latency, distributed execution, updates to the World Context, security, governance, traceability, human oversight, and version control.</w:t>
      </w:r>
    </w:p>
    <w:p>
      <w:pPr>
        <w:pStyle w:val="BodyText"/>
        <w:spacing w:before="0" w:after="200"/>
        <w:rPr/>
      </w:pPr>
      <w:r>
        <w:rPr/>
        <w:t>A deployment may be small and local, such as a human-guided ethics review tool. It may be embedded in a single application. It may operate as a shared microservice. It may support autonomous agents, institutional workflows, public-policy systems, clinical decision support, legal review, or a Moral Reasoning Runtime. Each deployment context creates different operational requirements.</w:t>
      </w:r>
    </w:p>
    <w:p>
      <w:pPr>
        <w:pStyle w:val="BodyText"/>
        <w:spacing w:before="0" w:after="200"/>
        <w:rPr/>
      </w:pPr>
      <w:r>
        <w:rPr/>
        <w:t>The purpose of this section is to identify deployment concerns that can affect fidelity, reliability, safety, auditability, and trust.</w:t>
      </w:r>
    </w:p>
    <w:p>
      <w:pPr>
        <w:pStyle w:val="Heading3"/>
        <w:ind w:hanging="0" w:left="0"/>
        <w:rPr/>
      </w:pPr>
      <w:bookmarkStart w:id="11" w:name="__RefHeading___Toc23533_3508477456"/>
      <w:bookmarkEnd w:id="11"/>
      <w:r>
        <w:rPr/>
        <w:t>Scalability</w:t>
      </w:r>
    </w:p>
    <w:p>
      <w:pPr>
        <w:pStyle w:val="BodyText"/>
        <w:spacing w:before="0" w:after="200"/>
        <w:rPr/>
      </w:pPr>
      <w:r>
        <w:rPr/>
        <w:t>Scalability concerns the ability of an implementation to handle increasing assessment complexity, data volume, number of users, number of actions, number of entities, number of evidence sources, and number of Assessment Horizons.</w:t>
      </w:r>
    </w:p>
    <w:p>
      <w:pPr>
        <w:pStyle w:val="BodyText"/>
        <w:spacing w:before="0" w:after="200"/>
        <w:rPr/>
      </w:pPr>
      <w:r>
        <w:rPr/>
        <w:t>Moral assessment can become computationally demanding because the relevant World Context may include many Objects, Associations, institutions, policy states, evidence sources, future opportunities, and possible State Transitions. A simple assessment may involve only a few entities and short horizons. A public-policy, ecological, institutional, AI safety, or civilizational assessment may involve many interacting systems and long-term uncertainty.</w:t>
      </w:r>
    </w:p>
    <w:p>
      <w:pPr>
        <w:pStyle w:val="BodyText"/>
        <w:spacing w:before="0" w:after="200"/>
        <w:rPr/>
      </w:pPr>
      <w:r>
        <w:rPr/>
        <w:t>A scalable deployment should be able to expand along several dimensions:</w:t>
      </w:r>
    </w:p>
    <w:p>
      <w:pPr>
        <w:pStyle w:val="BodyText"/>
        <w:spacing w:before="0" w:after="200"/>
        <w:rPr/>
      </w:pPr>
      <w:r>
        <w:rPr/>
        <w:t>More Assessed Actions.</w:t>
      </w:r>
    </w:p>
    <w:p>
      <w:pPr>
        <w:pStyle w:val="BodyText"/>
        <w:spacing w:before="0" w:after="200"/>
        <w:rPr/>
      </w:pPr>
      <w:r>
        <w:rPr/>
        <w:t>More concurrent assessment requests.</w:t>
      </w:r>
    </w:p>
    <w:p>
      <w:pPr>
        <w:pStyle w:val="BodyText"/>
        <w:spacing w:before="0" w:after="200"/>
        <w:rPr/>
      </w:pPr>
      <w:r>
        <w:rPr/>
        <w:t>Larger World Context representations.</w:t>
      </w:r>
    </w:p>
    <w:p>
      <w:pPr>
        <w:pStyle w:val="BodyText"/>
        <w:spacing w:before="0" w:after="200"/>
        <w:rPr/>
      </w:pPr>
      <w:r>
        <w:rPr/>
        <w:t>More complex entity and Association graphs.</w:t>
      </w:r>
    </w:p>
    <w:p>
      <w:pPr>
        <w:pStyle w:val="BodyText"/>
        <w:spacing w:before="0" w:after="200"/>
        <w:rPr/>
      </w:pPr>
      <w:r>
        <w:rPr/>
        <w:t>More evidence sources.</w:t>
      </w:r>
    </w:p>
    <w:p>
      <w:pPr>
        <w:pStyle w:val="BodyText"/>
        <w:spacing w:before="0" w:after="200"/>
        <w:rPr/>
      </w:pPr>
      <w:r>
        <w:rPr/>
        <w:t>More detailed State Transition models.</w:t>
      </w:r>
    </w:p>
    <w:p>
      <w:pPr>
        <w:pStyle w:val="BodyText"/>
        <w:spacing w:before="0" w:after="200"/>
        <w:rPr/>
      </w:pPr>
      <w:r>
        <w:rPr/>
        <w:t>More Assessment Horizons.</w:t>
      </w:r>
    </w:p>
    <w:p>
      <w:pPr>
        <w:pStyle w:val="BodyText"/>
        <w:spacing w:before="0" w:after="200"/>
        <w:rPr/>
      </w:pPr>
      <w:r>
        <w:rPr/>
        <w:t>More candidate alternatives.</w:t>
      </w:r>
    </w:p>
    <w:p>
      <w:pPr>
        <w:pStyle w:val="BodyText"/>
        <w:spacing w:before="0" w:after="200"/>
        <w:rPr/>
      </w:pPr>
      <w:r>
        <w:rPr/>
        <w:t>More complex uncertainty and confidence propagation.</w:t>
      </w:r>
    </w:p>
    <w:p>
      <w:pPr>
        <w:pStyle w:val="BodyText"/>
        <w:spacing w:before="0" w:after="200"/>
        <w:rPr/>
      </w:pPr>
      <w:r>
        <w:rPr/>
        <w:t>More detailed structured outputs and audit artifacts.</w:t>
      </w:r>
    </w:p>
    <w:p>
      <w:pPr>
        <w:pStyle w:val="BodyText"/>
        <w:spacing w:before="0" w:after="200"/>
        <w:rPr/>
      </w:pPr>
      <w:r>
        <w:rPr/>
        <w:t>Scalability should not come at the expense of assessment fidelity. A system that handles many assessments quickly but omits policy updates, uncertainty, affected entities, or future state-space effects may be operationally scalable but methodologically deficient.</w:t>
      </w:r>
    </w:p>
    <w:p>
      <w:pPr>
        <w:pStyle w:val="BodyText"/>
        <w:spacing w:before="0" w:after="200"/>
        <w:rPr/>
      </w:pPr>
      <w:r>
        <w:rPr/>
        <w:t>A scalable implementation should therefore preserve the structure of the assessment while using abstraction, prioritization, caching, distributed computation, domain-specific models, or progressive refinement where appropriate.</w:t>
      </w:r>
    </w:p>
    <w:p>
      <w:pPr>
        <w:pStyle w:val="Heading3"/>
        <w:ind w:hanging="0" w:left="0"/>
        <w:rPr/>
      </w:pPr>
      <w:bookmarkStart w:id="12" w:name="__RefHeading___Toc23530_3508477456"/>
      <w:bookmarkEnd w:id="12"/>
      <w:r>
        <w:rPr/>
        <w:t>Incremental World Context Updates</w:t>
      </w:r>
    </w:p>
    <w:p>
      <w:pPr>
        <w:pStyle w:val="BodyText"/>
        <w:spacing w:before="0" w:after="200"/>
        <w:rPr/>
      </w:pPr>
      <w:r>
        <w:rPr/>
        <w:t>Incremental World Context updates allow an implementation to revise its represented World Context as new evidence, actions, outcomes, policy updates, or institutional changes occur.</w:t>
      </w:r>
    </w:p>
    <w:p>
      <w:pPr>
        <w:pStyle w:val="BodyText"/>
        <w:spacing w:before="0" w:after="200"/>
        <w:rPr/>
      </w:pPr>
      <w:r>
        <w:rPr/>
        <w:t>The World Context is not static. Actions change it. New evidence changes what is known about it. Observed outcomes may revise predicted State Transitions. Institutions may respond. Actors, observers, and artificial systems may update their policies. Long-Term Flourishing effects may become clearer over time.</w:t>
      </w:r>
    </w:p>
    <w:p>
      <w:pPr>
        <w:pStyle w:val="BodyText"/>
        <w:spacing w:before="0" w:after="200"/>
        <w:rPr/>
      </w:pPr>
      <w:r>
        <w:rPr/>
        <w:t>A deployment should therefore support incremental updates rather than requiring each assessment to begin from an empty state.</w:t>
      </w:r>
    </w:p>
    <w:p>
      <w:pPr>
        <w:pStyle w:val="BodyText"/>
        <w:spacing w:before="0" w:after="200"/>
        <w:rPr/>
      </w:pPr>
      <w:r>
        <w:rPr/>
        <w:t>Incremental updates may include:</w:t>
      </w:r>
    </w:p>
    <w:p>
      <w:pPr>
        <w:pStyle w:val="BodyText"/>
        <w:spacing w:before="0" w:after="200"/>
        <w:rPr/>
      </w:pPr>
      <w:r>
        <w:rPr/>
        <w:t>New evidence.</w:t>
      </w:r>
    </w:p>
    <w:p>
      <w:pPr>
        <w:pStyle w:val="BodyText"/>
        <w:spacing w:before="0" w:after="200"/>
        <w:rPr/>
      </w:pPr>
      <w:r>
        <w:rPr/>
        <w:t>Changed entity states.</w:t>
      </w:r>
    </w:p>
    <w:p>
      <w:pPr>
        <w:pStyle w:val="BodyText"/>
        <w:spacing w:before="0" w:after="200"/>
        <w:rPr/>
      </w:pPr>
      <w:r>
        <w:rPr/>
        <w:t>Changed Association states.</w:t>
      </w:r>
    </w:p>
    <w:p>
      <w:pPr>
        <w:pStyle w:val="BodyText"/>
        <w:spacing w:before="0" w:after="200"/>
        <w:rPr/>
      </w:pPr>
      <w:r>
        <w:rPr/>
        <w:t>Observed consequences.</w:t>
      </w:r>
    </w:p>
    <w:p>
      <w:pPr>
        <w:pStyle w:val="BodyText"/>
        <w:spacing w:before="0" w:after="200"/>
        <w:rPr/>
      </w:pPr>
      <w:r>
        <w:rPr/>
        <w:t>Updated policy states.</w:t>
      </w:r>
    </w:p>
    <w:p>
      <w:pPr>
        <w:pStyle w:val="BodyText"/>
        <w:spacing w:before="0" w:after="200"/>
        <w:rPr/>
      </w:pPr>
      <w:r>
        <w:rPr/>
        <w:t>New institutional rules or precedents.</w:t>
      </w:r>
    </w:p>
    <w:p>
      <w:pPr>
        <w:pStyle w:val="BodyText"/>
        <w:spacing w:before="0" w:after="200"/>
        <w:rPr/>
      </w:pPr>
      <w:r>
        <w:rPr/>
        <w:t>Changed information and uncertainty states.</w:t>
      </w:r>
    </w:p>
    <w:p>
      <w:pPr>
        <w:pStyle w:val="BodyText"/>
        <w:spacing w:before="0" w:after="200"/>
        <w:rPr/>
      </w:pPr>
      <w:r>
        <w:rPr/>
        <w:t>New future opportunities.</w:t>
      </w:r>
    </w:p>
    <w:p>
      <w:pPr>
        <w:pStyle w:val="BodyText"/>
        <w:spacing w:before="0" w:after="200"/>
        <w:rPr/>
      </w:pPr>
      <w:r>
        <w:rPr/>
        <w:t>Foreclosed future possibilities.</w:t>
      </w:r>
    </w:p>
    <w:p>
      <w:pPr>
        <w:pStyle w:val="BodyText"/>
        <w:spacing w:before="0" w:after="200"/>
        <w:rPr/>
      </w:pPr>
      <w:r>
        <w:rPr/>
        <w:t>Revised confidence values.</w:t>
      </w:r>
    </w:p>
    <w:p>
      <w:pPr>
        <w:pStyle w:val="BodyText"/>
        <w:spacing w:before="0" w:after="200"/>
        <w:rPr/>
      </w:pPr>
      <w:r>
        <w:rPr/>
        <w:t>Updated ontology or model versions.</w:t>
      </w:r>
    </w:p>
    <w:p>
      <w:pPr>
        <w:pStyle w:val="BodyText"/>
        <w:spacing w:before="0" w:after="200"/>
        <w:rPr/>
      </w:pPr>
      <w:r>
        <w:rPr/>
        <w:t>Incremental updating supports continuous assessment, monitoring, reassessment, audit, and learning. It also allows a completed assessment to become the baseline for later assessments.</w:t>
      </w:r>
    </w:p>
    <w:p>
      <w:pPr>
        <w:pStyle w:val="BodyText"/>
        <w:spacing w:before="0" w:after="200"/>
        <w:rPr/>
      </w:pPr>
      <w:r>
        <w:rPr/>
        <w:t>However, incremental updates must be controlled. A deployment should distinguish observed changes from inferred changes, predicted changes from confirmed changes, and current state from historical state. It should preserve prior assessment versions when auditability matters.</w:t>
      </w:r>
    </w:p>
    <w:p>
      <w:pPr>
        <w:pStyle w:val="Heading3"/>
        <w:ind w:hanging="0" w:left="0"/>
        <w:rPr/>
      </w:pPr>
      <w:r>
        <w:rPr/>
        <w:t>Distributed Execution</w:t>
      </w:r>
    </w:p>
    <w:p>
      <w:pPr>
        <w:pStyle w:val="BodyText"/>
        <w:spacing w:before="0" w:after="200"/>
        <w:rPr/>
      </w:pPr>
      <w:r>
        <w:rPr/>
        <w:t>Distributed execution concerns deployment across multiple services, machines, models, agents, organizations, or runtime environments.</w:t>
      </w:r>
    </w:p>
    <w:p>
      <w:pPr>
        <w:pStyle w:val="BodyText"/>
        <w:spacing w:before="0" w:after="200"/>
        <w:rPr/>
      </w:pPr>
      <w:r>
        <w:rPr/>
        <w:t>A mature implementation may distribute different functions across specialized components. One service may manage evidence ingestion. Another may maintain the World Context. Another may identify entities and Associations. Another may predict State Transitions. Another may estimate Long-Term Flourishing. Another may evaluate Distributed Policy Updates. Another may generate structured output and audit artifacts.</w:t>
      </w:r>
    </w:p>
    <w:p>
      <w:pPr>
        <w:pStyle w:val="BodyText"/>
        <w:spacing w:before="0" w:after="200"/>
        <w:rPr/>
      </w:pPr>
      <w:r>
        <w:rPr/>
        <w:t>Distributed execution can improve scalability, modularity, fault isolation, specialization, and domain adaptability. However, it also creates operational risks.</w:t>
      </w:r>
    </w:p>
    <w:p>
      <w:pPr>
        <w:pStyle w:val="BodyText"/>
        <w:spacing w:before="0" w:after="200"/>
        <w:rPr/>
      </w:pPr>
      <w:r>
        <w:rPr/>
        <w:t>A distributed deployment must preserve:</w:t>
      </w:r>
    </w:p>
    <w:p>
      <w:pPr>
        <w:pStyle w:val="BodyText"/>
        <w:spacing w:before="0" w:after="200"/>
        <w:rPr/>
      </w:pPr>
      <w:r>
        <w:rPr/>
        <w:t>Shared semantics across services.</w:t>
      </w:r>
    </w:p>
    <w:p>
      <w:pPr>
        <w:pStyle w:val="BodyText"/>
        <w:spacing w:before="0" w:after="200"/>
        <w:rPr/>
      </w:pPr>
      <w:r>
        <w:rPr/>
        <w:t>Consistent ontology versions.</w:t>
      </w:r>
    </w:p>
    <w:p>
      <w:pPr>
        <w:pStyle w:val="BodyText"/>
        <w:spacing w:before="0" w:after="200"/>
        <w:rPr/>
      </w:pPr>
      <w:r>
        <w:rPr/>
        <w:t>Consistent Assessment Boundary definitions.</w:t>
      </w:r>
    </w:p>
    <w:p>
      <w:pPr>
        <w:pStyle w:val="BodyText"/>
        <w:spacing w:before="0" w:after="200"/>
        <w:rPr/>
      </w:pPr>
      <w:r>
        <w:rPr/>
        <w:t>Traceable intermediate results.</w:t>
      </w:r>
    </w:p>
    <w:p>
      <w:pPr>
        <w:pStyle w:val="BodyText"/>
        <w:spacing w:before="0" w:after="200"/>
        <w:rPr/>
      </w:pPr>
      <w:r>
        <w:rPr/>
        <w:t>Reliable confidence propagation.</w:t>
      </w:r>
    </w:p>
    <w:p>
      <w:pPr>
        <w:pStyle w:val="BodyText"/>
        <w:spacing w:before="0" w:after="200"/>
        <w:rPr/>
      </w:pPr>
      <w:r>
        <w:rPr/>
        <w:t>Secure evidence exchange.</w:t>
      </w:r>
    </w:p>
    <w:p>
      <w:pPr>
        <w:pStyle w:val="BodyText"/>
        <w:spacing w:before="0" w:after="200"/>
        <w:rPr/>
      </w:pPr>
      <w:r>
        <w:rPr/>
        <w:t>Coherent World Context Transition construction.</w:t>
      </w:r>
    </w:p>
    <w:p>
      <w:pPr>
        <w:pStyle w:val="BodyText"/>
        <w:spacing w:before="0" w:after="200"/>
        <w:rPr/>
      </w:pPr>
      <w:r>
        <w:rPr/>
        <w:t>Auditability across service boundaries.</w:t>
      </w:r>
    </w:p>
    <w:p>
      <w:pPr>
        <w:pStyle w:val="BodyText"/>
        <w:spacing w:before="0" w:after="200"/>
        <w:rPr/>
      </w:pPr>
      <w:r>
        <w:rPr/>
        <w:t>If distributed services interpret the same architectural element differently, the assessment may become inconsistent. If confidence values are not propagated across components, the final result may overstate reliability. If audit trails are fragmented, the assessment may become difficult to review.</w:t>
      </w:r>
    </w:p>
    <w:p>
      <w:pPr>
        <w:pStyle w:val="BodyText"/>
        <w:spacing w:before="0" w:after="200"/>
        <w:rPr/>
      </w:pPr>
      <w:r>
        <w:rPr/>
        <w:t>Distributed execution should therefore include orchestration, interface contracts, version management, service-level logging, distributed tracing, and validation checks that preserve the meaning of the assessment across components.</w:t>
      </w:r>
    </w:p>
    <w:p>
      <w:pPr>
        <w:pStyle w:val="Heading3"/>
        <w:ind w:hanging="0" w:left="0"/>
        <w:rPr/>
      </w:pPr>
      <w:r>
        <w:rPr/>
        <w:t>Security and Governance</w:t>
      </w:r>
    </w:p>
    <w:p>
      <w:pPr>
        <w:pStyle w:val="BodyText"/>
        <w:spacing w:before="0" w:after="200"/>
        <w:rPr/>
      </w:pPr>
      <w:r>
        <w:rPr/>
        <w:t>Security and governance are essential for responsible deployment.</w:t>
      </w:r>
    </w:p>
    <w:p>
      <w:pPr>
        <w:pStyle w:val="BodyText"/>
        <w:spacing w:before="0" w:after="200"/>
        <w:rPr/>
      </w:pPr>
      <w:r>
        <w:rPr/>
        <w:t>A moral assessment implementation may process sensitive evidence, institutional records, medical information, legal materials, personal data, system logs, security-relevant actions, or high-stakes decision records. It may also influence decisions that affect people, organizations, institutions, or autonomous systems.</w:t>
      </w:r>
    </w:p>
    <w:p>
      <w:pPr>
        <w:pStyle w:val="BodyText"/>
        <w:spacing w:before="0" w:after="200"/>
        <w:rPr/>
      </w:pPr>
      <w:r>
        <w:rPr/>
        <w:t>Security concerns may include:</w:t>
      </w:r>
    </w:p>
    <w:p>
      <w:pPr>
        <w:pStyle w:val="BodyText"/>
        <w:spacing w:before="0" w:after="200"/>
        <w:rPr/>
      </w:pPr>
      <w:r>
        <w:rPr/>
        <w:t>Access control.</w:t>
      </w:r>
    </w:p>
    <w:p>
      <w:pPr>
        <w:pStyle w:val="BodyText"/>
        <w:spacing w:before="0" w:after="200"/>
        <w:rPr/>
      </w:pPr>
      <w:r>
        <w:rPr/>
        <w:t>Authentication and authorization.</w:t>
      </w:r>
    </w:p>
    <w:p>
      <w:pPr>
        <w:pStyle w:val="BodyText"/>
        <w:spacing w:before="0" w:after="200"/>
        <w:rPr/>
      </w:pPr>
      <w:r>
        <w:rPr/>
        <w:t>Data confidentiality.</w:t>
      </w:r>
    </w:p>
    <w:p>
      <w:pPr>
        <w:pStyle w:val="BodyText"/>
        <w:spacing w:before="0" w:after="200"/>
        <w:rPr/>
      </w:pPr>
      <w:r>
        <w:rPr/>
        <w:t>Data integrity.</w:t>
      </w:r>
    </w:p>
    <w:p>
      <w:pPr>
        <w:pStyle w:val="BodyText"/>
        <w:spacing w:before="0" w:after="200"/>
        <w:rPr/>
      </w:pPr>
      <w:r>
        <w:rPr/>
        <w:t>Evidence tampering prevention.</w:t>
      </w:r>
    </w:p>
    <w:p>
      <w:pPr>
        <w:pStyle w:val="BodyText"/>
        <w:spacing w:before="0" w:after="200"/>
        <w:rPr/>
      </w:pPr>
      <w:r>
        <w:rPr/>
        <w:t>Audit log protection.</w:t>
      </w:r>
    </w:p>
    <w:p>
      <w:pPr>
        <w:pStyle w:val="BodyText"/>
        <w:spacing w:before="0" w:after="200"/>
        <w:rPr/>
      </w:pPr>
      <w:r>
        <w:rPr/>
        <w:t>Model and ontology integrity.</w:t>
      </w:r>
    </w:p>
    <w:p>
      <w:pPr>
        <w:pStyle w:val="BodyText"/>
        <w:spacing w:before="0" w:after="200"/>
        <w:rPr/>
      </w:pPr>
      <w:r>
        <w:rPr/>
        <w:t>Secure API access.</w:t>
      </w:r>
    </w:p>
    <w:p>
      <w:pPr>
        <w:pStyle w:val="BodyText"/>
        <w:spacing w:before="0" w:after="200"/>
        <w:rPr/>
      </w:pPr>
      <w:r>
        <w:rPr/>
        <w:t>Secure plugin execution.</w:t>
      </w:r>
    </w:p>
    <w:p>
      <w:pPr>
        <w:pStyle w:val="BodyText"/>
        <w:spacing w:before="0" w:after="200"/>
        <w:rPr/>
      </w:pPr>
      <w:r>
        <w:rPr/>
        <w:t>Isolation of untrusted components.</w:t>
      </w:r>
    </w:p>
    <w:p>
      <w:pPr>
        <w:pStyle w:val="BodyText"/>
        <w:spacing w:before="0" w:after="200"/>
        <w:rPr/>
      </w:pPr>
      <w:r>
        <w:rPr/>
        <w:t>Protection against prompt injection, data poisoning, or adversarial inputs.</w:t>
      </w:r>
    </w:p>
    <w:p>
      <w:pPr>
        <w:pStyle w:val="BodyText"/>
        <w:spacing w:before="0" w:after="200"/>
        <w:rPr/>
      </w:pPr>
      <w:r>
        <w:rPr/>
        <w:t>Governance concerns may include:</w:t>
      </w:r>
    </w:p>
    <w:p>
      <w:pPr>
        <w:pStyle w:val="BodyText"/>
        <w:spacing w:before="0" w:after="200"/>
        <w:rPr/>
      </w:pPr>
      <w:r>
        <w:rPr/>
        <w:t>Who may initiate assessments.</w:t>
      </w:r>
    </w:p>
    <w:p>
      <w:pPr>
        <w:pStyle w:val="BodyText"/>
        <w:spacing w:before="0" w:after="200"/>
        <w:rPr/>
      </w:pPr>
      <w:r>
        <w:rPr/>
        <w:t>Who may approve or override assessments.</w:t>
      </w:r>
    </w:p>
    <w:p>
      <w:pPr>
        <w:pStyle w:val="BodyText"/>
        <w:spacing w:before="0" w:after="200"/>
        <w:rPr/>
      </w:pPr>
      <w:r>
        <w:rPr/>
        <w:t>Who may modify ontologies or models.</w:t>
      </w:r>
    </w:p>
    <w:p>
      <w:pPr>
        <w:pStyle w:val="BodyText"/>
        <w:spacing w:before="0" w:after="200"/>
        <w:rPr/>
      </w:pPr>
      <w:r>
        <w:rPr/>
        <w:t>Who may view sensitive evidence.</w:t>
      </w:r>
    </w:p>
    <w:p>
      <w:pPr>
        <w:pStyle w:val="BodyText"/>
        <w:spacing w:before="0" w:after="200"/>
        <w:rPr/>
      </w:pPr>
      <w:r>
        <w:rPr/>
        <w:t>Who may change Assessment Boundaries.</w:t>
      </w:r>
    </w:p>
    <w:p>
      <w:pPr>
        <w:pStyle w:val="BodyText"/>
        <w:spacing w:before="0" w:after="200"/>
        <w:rPr/>
      </w:pPr>
      <w:r>
        <w:rPr/>
        <w:t>Who may deploy new evidence connectors.</w:t>
      </w:r>
    </w:p>
    <w:p>
      <w:pPr>
        <w:pStyle w:val="BodyText"/>
        <w:spacing w:before="0" w:after="200"/>
        <w:rPr/>
      </w:pPr>
      <w:r>
        <w:rPr/>
        <w:t>Who may revise prior assessments.</w:t>
      </w:r>
    </w:p>
    <w:p>
      <w:pPr>
        <w:pStyle w:val="BodyText"/>
        <w:spacing w:before="0" w:after="200"/>
        <w:rPr/>
      </w:pPr>
      <w:r>
        <w:rPr/>
        <w:t>Who is accountable for system decisions.</w:t>
      </w:r>
    </w:p>
    <w:p>
      <w:pPr>
        <w:pStyle w:val="BodyText"/>
        <w:spacing w:before="0" w:after="200"/>
        <w:rPr/>
      </w:pPr>
      <w:r>
        <w:rPr/>
        <w:t>How disputes or appeals are handled.</w:t>
      </w:r>
    </w:p>
    <w:p>
      <w:pPr>
        <w:pStyle w:val="BodyText"/>
        <w:spacing w:before="0" w:after="200"/>
        <w:rPr/>
      </w:pPr>
      <w:r>
        <w:rPr/>
        <w:t>Security protects the integrity of the system. Governance defines legitimate control over the system. Both are necessary because a compromised or poorly governed moral reasoning implementation could produce misleading assessments, conceal evidence, corrupt policy updates, or create unjustified confidence.</w:t>
      </w:r>
    </w:p>
    <w:p>
      <w:pPr>
        <w:pStyle w:val="Heading3"/>
        <w:ind w:hanging="0" w:left="0"/>
        <w:rPr/>
      </w:pPr>
      <w:r>
        <w:rPr/>
        <w:t>Traceability</w:t>
      </w:r>
    </w:p>
    <w:p>
      <w:pPr>
        <w:pStyle w:val="BodyText"/>
        <w:spacing w:before="0" w:after="200"/>
        <w:rPr/>
      </w:pPr>
      <w:r>
        <w:rPr/>
        <w:t>Traceability is the ability to reconstruct how an Assessment Result was produced.</w:t>
      </w:r>
    </w:p>
    <w:p>
      <w:pPr>
        <w:pStyle w:val="BodyText"/>
        <w:spacing w:before="0" w:after="200"/>
        <w:rPr/>
      </w:pPr>
      <w:r>
        <w:rPr/>
        <w:t>A deployed implementation should preserve traceability from the final output back through evidence, assumptions, context construction, state representation, transition prediction, flourishing estimates, policy updates, confidence propagation, and World Context Transition evaluation.</w:t>
      </w:r>
    </w:p>
    <w:p>
      <w:pPr>
        <w:pStyle w:val="BodyText"/>
        <w:spacing w:before="0" w:after="200"/>
        <w:rPr/>
      </w:pPr>
      <w:r>
        <w:rPr/>
        <w:t>Traceability supports:</w:t>
      </w:r>
    </w:p>
    <w:p>
      <w:pPr>
        <w:pStyle w:val="BodyText"/>
        <w:spacing w:before="0" w:after="200"/>
        <w:rPr/>
      </w:pPr>
      <w:r>
        <w:rPr/>
        <w:t>Audit.</w:t>
      </w:r>
    </w:p>
    <w:p>
      <w:pPr>
        <w:pStyle w:val="BodyText"/>
        <w:spacing w:before="0" w:after="200"/>
        <w:rPr/>
      </w:pPr>
      <w:r>
        <w:rPr/>
        <w:t>Explanation.</w:t>
      </w:r>
    </w:p>
    <w:p>
      <w:pPr>
        <w:pStyle w:val="BodyText"/>
        <w:spacing w:before="0" w:after="200"/>
        <w:rPr/>
      </w:pPr>
      <w:r>
        <w:rPr/>
        <w:t>Contestability.</w:t>
      </w:r>
    </w:p>
    <w:p>
      <w:pPr>
        <w:pStyle w:val="BodyText"/>
        <w:spacing w:before="0" w:after="200"/>
        <w:rPr/>
      </w:pPr>
      <w:r>
        <w:rPr/>
        <w:t>Error correction.</w:t>
      </w:r>
    </w:p>
    <w:p>
      <w:pPr>
        <w:pStyle w:val="BodyText"/>
        <w:spacing w:before="0" w:after="200"/>
        <w:rPr/>
      </w:pPr>
      <w:r>
        <w:rPr/>
        <w:t>Institutional accountability.</w:t>
      </w:r>
    </w:p>
    <w:p>
      <w:pPr>
        <w:pStyle w:val="BodyText"/>
        <w:spacing w:before="0" w:after="200"/>
        <w:rPr/>
      </w:pPr>
      <w:r>
        <w:rPr/>
        <w:t>Model improvement.</w:t>
      </w:r>
    </w:p>
    <w:p>
      <w:pPr>
        <w:pStyle w:val="BodyText"/>
        <w:spacing w:before="0" w:after="200"/>
        <w:rPr/>
      </w:pPr>
      <w:r>
        <w:rPr/>
        <w:t>Regulatory review.</w:t>
      </w:r>
    </w:p>
    <w:p>
      <w:pPr>
        <w:pStyle w:val="BodyText"/>
        <w:spacing w:before="0" w:after="200"/>
        <w:rPr/>
      </w:pPr>
      <w:r>
        <w:rPr/>
        <w:t>Human oversight.</w:t>
      </w:r>
    </w:p>
    <w:p>
      <w:pPr>
        <w:pStyle w:val="BodyText"/>
        <w:spacing w:before="0" w:after="200"/>
        <w:rPr/>
      </w:pPr>
      <w:r>
        <w:rPr/>
        <w:t>Reassessment after new evidence.</w:t>
      </w:r>
    </w:p>
    <w:p>
      <w:pPr>
        <w:pStyle w:val="BodyText"/>
        <w:spacing w:before="0" w:after="200"/>
        <w:rPr/>
      </w:pPr>
      <w:r>
        <w:rPr/>
        <w:t>Traceability should include both data traceability and reasoning traceability. Data traceability identifies the evidence sources, provenance, timestamps, transformations, and reliability judgments used in the assessment. Reasoning traceability identifies how the implementation moved from evidence and assumptions to intermediate results and final conclusion.</w:t>
      </w:r>
    </w:p>
    <w:p>
      <w:pPr>
        <w:pStyle w:val="BodyText"/>
        <w:spacing w:before="0" w:after="200"/>
        <w:rPr/>
      </w:pPr>
      <w:r>
        <w:rPr/>
        <w:t>A deployment that cannot explain its assessment path may be unsuitable for high-stakes use, even if its outputs appear reasonable.</w:t>
      </w:r>
    </w:p>
    <w:p>
      <w:pPr>
        <w:pStyle w:val="Heading3"/>
        <w:ind w:hanging="0" w:left="0"/>
        <w:rPr/>
      </w:pPr>
      <w:r>
        <w:rPr/>
        <w:t>Human Oversight</w:t>
      </w:r>
    </w:p>
    <w:p>
      <w:pPr>
        <w:pStyle w:val="BodyText"/>
        <w:spacing w:before="0" w:after="200"/>
        <w:rPr/>
      </w:pPr>
      <w:r>
        <w:rPr/>
        <w:t>Human oversight is required when assessment stakes, uncertainty, ambiguity, institutional legitimacy, accountability, or value judgment exceed what the implementation can responsibly handle autonomously.</w:t>
      </w:r>
    </w:p>
    <w:p>
      <w:pPr>
        <w:pStyle w:val="BodyText"/>
        <w:spacing w:before="0" w:after="200"/>
        <w:rPr/>
      </w:pPr>
      <w:r>
        <w:rPr/>
        <w:t>Objective-Based Systems Ethics can support automated assessment, but automation should not eliminate human responsibility where human review is necessary. The appropriate degree of oversight depends on the domain, risk level, confidence level, evidence quality, reversibility of harm, and authority structure.</w:t>
      </w:r>
    </w:p>
    <w:p>
      <w:pPr>
        <w:pStyle w:val="BodyText"/>
        <w:spacing w:before="0" w:after="200"/>
        <w:rPr/>
      </w:pPr>
      <w:r>
        <w:rPr/>
        <w:t>Human oversight may include:</w:t>
      </w:r>
    </w:p>
    <w:p>
      <w:pPr>
        <w:pStyle w:val="BodyText"/>
        <w:spacing w:before="0" w:after="200"/>
        <w:rPr/>
      </w:pPr>
      <w:r>
        <w:rPr/>
        <w:t>Review of low-confidence assessments.</w:t>
      </w:r>
    </w:p>
    <w:p>
      <w:pPr>
        <w:pStyle w:val="BodyText"/>
        <w:spacing w:before="0" w:after="200"/>
        <w:rPr/>
      </w:pPr>
      <w:r>
        <w:rPr/>
        <w:t>Approval of high-impact actions.</w:t>
      </w:r>
    </w:p>
    <w:p>
      <w:pPr>
        <w:pStyle w:val="BodyText"/>
        <w:spacing w:before="0" w:after="200"/>
        <w:rPr/>
      </w:pPr>
      <w:r>
        <w:rPr/>
        <w:t>Escalation for material diminishment risk.</w:t>
      </w:r>
    </w:p>
    <w:p>
      <w:pPr>
        <w:pStyle w:val="BodyText"/>
        <w:spacing w:before="0" w:after="200"/>
        <w:rPr/>
      </w:pPr>
      <w:r>
        <w:rPr/>
        <w:t>Review of severe low-probability harms.</w:t>
      </w:r>
    </w:p>
    <w:p>
      <w:pPr>
        <w:pStyle w:val="BodyText"/>
        <w:spacing w:before="0" w:after="200"/>
        <w:rPr/>
      </w:pPr>
      <w:r>
        <w:rPr/>
        <w:t>Review of contested entity classifications.</w:t>
      </w:r>
    </w:p>
    <w:p>
      <w:pPr>
        <w:pStyle w:val="BodyText"/>
        <w:spacing w:before="0" w:after="200"/>
        <w:rPr/>
      </w:pPr>
      <w:r>
        <w:rPr/>
        <w:t>Review of Assessment Boundary decisions.</w:t>
      </w:r>
    </w:p>
    <w:p>
      <w:pPr>
        <w:pStyle w:val="BodyText"/>
        <w:spacing w:before="0" w:after="200"/>
        <w:rPr/>
      </w:pPr>
      <w:r>
        <w:rPr/>
        <w:t>Review of policy-update estimates.</w:t>
      </w:r>
    </w:p>
    <w:p>
      <w:pPr>
        <w:pStyle w:val="BodyText"/>
        <w:spacing w:before="0" w:after="200"/>
        <w:rPr/>
      </w:pPr>
      <w:r>
        <w:rPr/>
        <w:t>Review of institutionally sensitive decisions.</w:t>
      </w:r>
    </w:p>
    <w:p>
      <w:pPr>
        <w:pStyle w:val="BodyText"/>
        <w:spacing w:before="0" w:after="200"/>
        <w:rPr/>
      </w:pPr>
      <w:r>
        <w:rPr/>
        <w:t>Override or modification of recommendations.</w:t>
      </w:r>
    </w:p>
    <w:p>
      <w:pPr>
        <w:pStyle w:val="BodyText"/>
        <w:spacing w:before="0" w:after="200"/>
        <w:rPr/>
      </w:pPr>
      <w:r>
        <w:rPr/>
        <w:t>Monitoring of deployed system behavior.</w:t>
      </w:r>
    </w:p>
    <w:p>
      <w:pPr>
        <w:pStyle w:val="BodyText"/>
        <w:spacing w:before="0" w:after="200"/>
        <w:rPr/>
      </w:pPr>
      <w:r>
        <w:rPr/>
        <w:t>Human oversight should be structured rather than informal. A deployment should define when human review is required, who has authority to review, what evidence must be shown, how overrides are documented, and how disagreements are resolved.</w:t>
      </w:r>
    </w:p>
    <w:p>
      <w:pPr>
        <w:pStyle w:val="BodyText"/>
        <w:spacing w:before="0" w:after="200"/>
        <w:rPr/>
      </w:pPr>
      <w:r>
        <w:rPr/>
        <w:t>Oversight should also be auditable. If a human reviewer approves, rejects, modifies, or overrides an assessment, that decision should become part of the audit artifact.</w:t>
      </w:r>
    </w:p>
    <w:p>
      <w:pPr>
        <w:pStyle w:val="Heading3"/>
        <w:ind w:hanging="0" w:left="0"/>
        <w:rPr/>
      </w:pPr>
      <w:r>
        <w:rPr/>
        <w:t>Version Control of Ontologies and Models</w:t>
      </w:r>
    </w:p>
    <w:p>
      <w:pPr>
        <w:pStyle w:val="BodyText"/>
        <w:spacing w:before="0" w:after="200"/>
        <w:rPr/>
      </w:pPr>
      <w:r>
        <w:rPr/>
        <w:t>Version control is necessary because ontologies, models, evidence connectors, confidence methods, domain rules, and assessment procedures may evolve over time.</w:t>
      </w:r>
    </w:p>
    <w:p>
      <w:pPr>
        <w:pStyle w:val="BodyText"/>
        <w:spacing w:before="0" w:after="200"/>
        <w:rPr/>
      </w:pPr>
      <w:r>
        <w:rPr/>
        <w:t>An implementation may use ontologies to represent Objects, Associations, entity classifications, state variables, evidence types, policy states, flourishing dimensions, institutions, or domain-specific concepts. It may also use models for State Transition Prediction, probability estimation, Long-Term Flourishing assessment, Distributed Policy Updates, or World Context evaluation.</w:t>
      </w:r>
    </w:p>
    <w:p>
      <w:pPr>
        <w:pStyle w:val="BodyText"/>
        <w:spacing w:before="0" w:after="200"/>
        <w:rPr/>
      </w:pPr>
      <w:r>
        <w:rPr/>
        <w:t>When these components change, prior assessments may become difficult to interpret unless versions are preserved.</w:t>
      </w:r>
    </w:p>
    <w:p>
      <w:pPr>
        <w:pStyle w:val="BodyText"/>
        <w:spacing w:before="0" w:after="200"/>
        <w:rPr/>
      </w:pPr>
      <w:r>
        <w:rPr/>
        <w:t>A deployment should track:</w:t>
      </w:r>
    </w:p>
    <w:p>
      <w:pPr>
        <w:pStyle w:val="BodyText"/>
        <w:spacing w:before="0" w:after="200"/>
        <w:rPr/>
      </w:pPr>
      <w:r>
        <w:rPr/>
        <w:t>Ontology versions.</w:t>
      </w:r>
    </w:p>
    <w:p>
      <w:pPr>
        <w:pStyle w:val="BodyText"/>
        <w:spacing w:before="0" w:after="200"/>
        <w:rPr/>
      </w:pPr>
      <w:r>
        <w:rPr/>
        <w:t>Model versions.</w:t>
      </w:r>
    </w:p>
    <w:p>
      <w:pPr>
        <w:pStyle w:val="BodyText"/>
        <w:spacing w:before="0" w:after="200"/>
        <w:rPr/>
      </w:pPr>
      <w:r>
        <w:rPr/>
        <w:t>Evidence connector versions.</w:t>
      </w:r>
    </w:p>
    <w:p>
      <w:pPr>
        <w:pStyle w:val="BodyText"/>
        <w:spacing w:before="0" w:after="200"/>
        <w:rPr/>
      </w:pPr>
      <w:r>
        <w:rPr/>
        <w:t>Assessment engine versions.</w:t>
      </w:r>
    </w:p>
    <w:p>
      <w:pPr>
        <w:pStyle w:val="BodyText"/>
        <w:spacing w:before="0" w:after="200"/>
        <w:rPr/>
      </w:pPr>
      <w:r>
        <w:rPr/>
        <w:t>Confidence propagation method versions.</w:t>
      </w:r>
    </w:p>
    <w:p>
      <w:pPr>
        <w:pStyle w:val="BodyText"/>
        <w:spacing w:before="0" w:after="200"/>
        <w:rPr/>
      </w:pPr>
      <w:r>
        <w:rPr/>
        <w:t>Structured output schema versions.</w:t>
      </w:r>
    </w:p>
    <w:p>
      <w:pPr>
        <w:pStyle w:val="BodyText"/>
        <w:spacing w:before="0" w:after="200"/>
        <w:rPr/>
      </w:pPr>
      <w:r>
        <w:rPr/>
        <w:t>Domain module versions.</w:t>
      </w:r>
    </w:p>
    <w:p>
      <w:pPr>
        <w:pStyle w:val="BodyText"/>
        <w:spacing w:before="0" w:after="200"/>
        <w:rPr/>
      </w:pPr>
      <w:r>
        <w:rPr/>
        <w:t>Runtime plugin versions.</w:t>
      </w:r>
    </w:p>
    <w:p>
      <w:pPr>
        <w:pStyle w:val="BodyText"/>
        <w:spacing w:before="0" w:after="200"/>
        <w:rPr/>
      </w:pPr>
      <w:r>
        <w:rPr/>
        <w:t>Policy and governance configuration versions.</w:t>
      </w:r>
    </w:p>
    <w:p>
      <w:pPr>
        <w:pStyle w:val="BodyText"/>
        <w:spacing w:before="0" w:after="200"/>
        <w:rPr/>
      </w:pPr>
      <w:r>
        <w:rPr/>
        <w:t>Version control supports reproducibility. A reviewer should be able to determine which ontology, model, method, and configuration produced a particular assessment. If a later version changes the result, the system should be able to identify why.</w:t>
      </w:r>
    </w:p>
    <w:p>
      <w:pPr>
        <w:pStyle w:val="BodyText"/>
        <w:spacing w:before="0" w:after="200"/>
        <w:rPr/>
      </w:pPr>
      <w:r>
        <w:rPr/>
        <w:t>Version control also supports safe evolution. Implementations should be able to improve models and ontologies without breaking prior assessments or silently changing the meaning of previous results.</w:t>
      </w:r>
    </w:p>
    <w:p>
      <w:pPr>
        <w:pStyle w:val="Heading3"/>
        <w:ind w:hanging="0" w:left="0"/>
        <w:rPr/>
      </w:pPr>
      <w:r>
        <w:rPr/>
        <w:t>Deployment Environments</w:t>
      </w:r>
    </w:p>
    <w:p>
      <w:pPr>
        <w:pStyle w:val="BodyText"/>
        <w:spacing w:before="0" w:after="200"/>
        <w:rPr/>
      </w:pPr>
      <w:r>
        <w:rPr/>
        <w:t>Different deployment environments impose different operational constraints.</w:t>
      </w:r>
    </w:p>
    <w:p>
      <w:pPr>
        <w:pStyle w:val="BodyText"/>
        <w:spacing w:before="0" w:after="200"/>
        <w:rPr/>
      </w:pPr>
      <w:r>
        <w:rPr/>
        <w:t>A local deployment may prioritize simplicity, privacy, and offline operation. A cloud deployment may prioritize scalability, shared services, centralized governance, and integration. An edge deployment may prioritize latency, resilience, and limited connectivity. An institutional deployment may prioritize audit, access control, and human review. An autonomous-system deployment may prioritize real-time action evaluation, safety, and escalation.</w:t>
      </w:r>
    </w:p>
    <w:p>
      <w:pPr>
        <w:pStyle w:val="BodyText"/>
        <w:spacing w:before="0" w:after="200"/>
        <w:rPr/>
      </w:pPr>
      <w:r>
        <w:rPr/>
        <w:t>Deployment environments may include:</w:t>
      </w:r>
    </w:p>
    <w:p>
      <w:pPr>
        <w:pStyle w:val="BodyText"/>
        <w:spacing w:before="0" w:after="200"/>
        <w:rPr/>
      </w:pPr>
      <w:r>
        <w:rPr/>
        <w:t>Local desktop or workstation systems.</w:t>
      </w:r>
    </w:p>
    <w:p>
      <w:pPr>
        <w:pStyle w:val="BodyText"/>
        <w:spacing w:before="0" w:after="200"/>
        <w:rPr/>
      </w:pPr>
      <w:r>
        <w:rPr/>
        <w:t>Enterprise cloud services.</w:t>
      </w:r>
    </w:p>
    <w:p>
      <w:pPr>
        <w:pStyle w:val="BodyText"/>
        <w:spacing w:before="0" w:after="200"/>
        <w:rPr/>
      </w:pPr>
      <w:r>
        <w:rPr/>
        <w:t>Private institutional infrastructure.</w:t>
      </w:r>
    </w:p>
    <w:p>
      <w:pPr>
        <w:pStyle w:val="BodyText"/>
        <w:spacing w:before="0" w:after="200"/>
        <w:rPr/>
      </w:pPr>
      <w:r>
        <w:rPr/>
        <w:t>Edge devices.</w:t>
      </w:r>
    </w:p>
    <w:p>
      <w:pPr>
        <w:pStyle w:val="BodyText"/>
        <w:spacing w:before="0" w:after="200"/>
        <w:rPr/>
      </w:pPr>
      <w:r>
        <w:rPr/>
        <w:t>Robotic systems.</w:t>
      </w:r>
    </w:p>
    <w:p>
      <w:pPr>
        <w:pStyle w:val="BodyText"/>
        <w:spacing w:before="0" w:after="200"/>
        <w:rPr/>
      </w:pPr>
      <w:r>
        <w:rPr/>
        <w:t>Clinical systems.</w:t>
      </w:r>
    </w:p>
    <w:p>
      <w:pPr>
        <w:pStyle w:val="BodyText"/>
        <w:spacing w:before="0" w:after="200"/>
        <w:rPr/>
      </w:pPr>
      <w:r>
        <w:rPr/>
        <w:t>Legal or governance platforms.</w:t>
      </w:r>
    </w:p>
    <w:p>
      <w:pPr>
        <w:pStyle w:val="BodyText"/>
        <w:spacing w:before="0" w:after="200"/>
        <w:rPr/>
      </w:pPr>
      <w:r>
        <w:rPr/>
        <w:t>Autonomous agent runtimes.</w:t>
      </w:r>
    </w:p>
    <w:p>
      <w:pPr>
        <w:pStyle w:val="BodyText"/>
        <w:spacing w:before="0" w:after="200"/>
        <w:rPr/>
      </w:pPr>
      <w:r>
        <w:rPr/>
        <w:t>AI safety harnesses.</w:t>
      </w:r>
    </w:p>
    <w:p>
      <w:pPr>
        <w:pStyle w:val="BodyText"/>
        <w:spacing w:before="0" w:after="200"/>
        <w:rPr/>
      </w:pPr>
      <w:r>
        <w:rPr/>
        <w:t>Moral Reasoning Runtime deployments.</w:t>
      </w:r>
    </w:p>
    <w:p>
      <w:pPr>
        <w:pStyle w:val="BodyText"/>
        <w:spacing w:before="0" w:after="200"/>
        <w:rPr/>
      </w:pPr>
      <w:r>
        <w:rPr/>
        <w:t>Each environment should preserve the same methodological requirements while adapting implementation details to operational constraints.</w:t>
      </w:r>
    </w:p>
    <w:p>
      <w:pPr>
        <w:pStyle w:val="Heading3"/>
        <w:ind w:hanging="0" w:left="0"/>
        <w:rPr/>
      </w:pPr>
      <w:r>
        <w:rPr/>
        <w:t>Latency and Real-Time Constraints</w:t>
      </w:r>
    </w:p>
    <w:p>
      <w:pPr>
        <w:pStyle w:val="BodyText"/>
        <w:spacing w:before="0" w:after="200"/>
        <w:rPr/>
      </w:pPr>
      <w:r>
        <w:rPr/>
        <w:t>Some deployments require near-real-time assessment.</w:t>
      </w:r>
    </w:p>
    <w:p>
      <w:pPr>
        <w:pStyle w:val="BodyText"/>
        <w:spacing w:before="0" w:after="200"/>
        <w:rPr/>
      </w:pPr>
      <w:r>
        <w:rPr/>
        <w:t>Autonomous robotics, AI agents, clinical alerts, safety systems, content moderation, and runtime action filters may require quick decisions. Other deployments, such as policy analysis, legal review, institutional governance, or civilizational risk assessment, may allow slower and deeper analysis.</w:t>
      </w:r>
    </w:p>
    <w:p>
      <w:pPr>
        <w:pStyle w:val="BodyText"/>
        <w:spacing w:before="0" w:after="200"/>
        <w:rPr/>
      </w:pPr>
      <w:r>
        <w:rPr/>
        <w:t>Latency constraints may require tiered assessment:</w:t>
      </w:r>
    </w:p>
    <w:p>
      <w:pPr>
        <w:pStyle w:val="BodyText"/>
        <w:spacing w:before="0" w:after="200"/>
        <w:rPr/>
      </w:pPr>
      <w:r>
        <w:rPr/>
        <w:t>Fast preliminary screening.</w:t>
      </w:r>
    </w:p>
    <w:p>
      <w:pPr>
        <w:pStyle w:val="BodyText"/>
        <w:spacing w:before="0" w:after="200"/>
        <w:rPr/>
      </w:pPr>
      <w:r>
        <w:rPr/>
        <w:t>Cached context retrieval.</w:t>
      </w:r>
    </w:p>
    <w:p>
      <w:pPr>
        <w:pStyle w:val="BodyText"/>
        <w:spacing w:before="0" w:after="200"/>
        <w:rPr/>
      </w:pPr>
      <w:r>
        <w:rPr/>
        <w:t>Lightweight risk flags.</w:t>
      </w:r>
    </w:p>
    <w:p>
      <w:pPr>
        <w:pStyle w:val="BodyText"/>
        <w:spacing w:before="0" w:after="200"/>
        <w:rPr/>
      </w:pPr>
      <w:r>
        <w:rPr/>
        <w:t>Low-latency refusal or escalation.</w:t>
      </w:r>
    </w:p>
    <w:p>
      <w:pPr>
        <w:pStyle w:val="BodyText"/>
        <w:spacing w:before="0" w:after="200"/>
        <w:rPr/>
      </w:pPr>
      <w:r>
        <w:rPr/>
        <w:t>Deferred deep assessment.</w:t>
      </w:r>
    </w:p>
    <w:p>
      <w:pPr>
        <w:pStyle w:val="BodyText"/>
        <w:spacing w:before="0" w:after="200"/>
        <w:rPr/>
      </w:pPr>
      <w:r>
        <w:rPr/>
        <w:t>Post-action audit.</w:t>
      </w:r>
    </w:p>
    <w:p>
      <w:pPr>
        <w:pStyle w:val="BodyText"/>
        <w:spacing w:before="0" w:after="200"/>
        <w:rPr/>
      </w:pPr>
      <w:r>
        <w:rPr/>
        <w:t>Human review for high-stakes decisions.</w:t>
      </w:r>
    </w:p>
    <w:p>
      <w:pPr>
        <w:pStyle w:val="BodyText"/>
        <w:spacing w:before="0" w:after="200"/>
        <w:rPr/>
      </w:pPr>
      <w:r>
        <w:rPr/>
        <w:t>A low-latency assessment may be less complete than a full assessment, but it should remain confidence-bounded. If the system cannot assess with sufficient confidence in the available time, it may need to choose a safer default, escalate, delay, or restrict action.</w:t>
      </w:r>
    </w:p>
    <w:p>
      <w:pPr>
        <w:pStyle w:val="BodyText"/>
        <w:spacing w:before="0" w:after="200"/>
        <w:rPr/>
      </w:pPr>
      <w:r>
        <w:rPr/>
        <w:t>Real-time constraints should not be allowed to silently eliminate material assessment elements.</w:t>
      </w:r>
    </w:p>
    <w:p>
      <w:pPr>
        <w:pStyle w:val="Heading3"/>
        <w:ind w:hanging="0" w:left="0"/>
        <w:rPr/>
      </w:pPr>
      <w:r>
        <w:rPr/>
        <w:t>Reliability and Fault Tolerance</w:t>
      </w:r>
    </w:p>
    <w:p>
      <w:pPr>
        <w:pStyle w:val="BodyText"/>
        <w:spacing w:before="0" w:after="200"/>
        <w:rPr/>
      </w:pPr>
      <w:r>
        <w:rPr/>
        <w:t>A deployed implementation should be reliable and fault tolerant.</w:t>
      </w:r>
    </w:p>
    <w:p>
      <w:pPr>
        <w:pStyle w:val="BodyText"/>
        <w:spacing w:before="0" w:after="200"/>
        <w:rPr/>
      </w:pPr>
      <w:r>
        <w:rPr/>
        <w:t>Failure in a moral assessment system may produce incorrect recommendations, missed harms, inappropriate refusals, degraded trust, or unsafe autonomous behavior. Reliability requirements depend on deployment stakes, but high-stakes systems should be designed to fail safely.</w:t>
      </w:r>
    </w:p>
    <w:p>
      <w:pPr>
        <w:pStyle w:val="BodyText"/>
        <w:spacing w:before="0" w:after="200"/>
        <w:rPr/>
      </w:pPr>
      <w:r>
        <w:rPr/>
        <w:t>Reliability concerns may include:</w:t>
      </w:r>
    </w:p>
    <w:p>
      <w:pPr>
        <w:pStyle w:val="BodyText"/>
        <w:spacing w:before="0" w:after="200"/>
        <w:rPr/>
      </w:pPr>
      <w:r>
        <w:rPr/>
        <w:t>Service availability.</w:t>
      </w:r>
    </w:p>
    <w:p>
      <w:pPr>
        <w:pStyle w:val="BodyText"/>
        <w:spacing w:before="0" w:after="200"/>
        <w:rPr/>
      </w:pPr>
      <w:r>
        <w:rPr/>
        <w:t>Data consistency.</w:t>
      </w:r>
    </w:p>
    <w:p>
      <w:pPr>
        <w:pStyle w:val="BodyText"/>
        <w:spacing w:before="0" w:after="200"/>
        <w:rPr/>
      </w:pPr>
      <w:r>
        <w:rPr/>
        <w:t>Model availability.</w:t>
      </w:r>
    </w:p>
    <w:p>
      <w:pPr>
        <w:pStyle w:val="BodyText"/>
        <w:spacing w:before="0" w:after="200"/>
        <w:rPr/>
      </w:pPr>
      <w:r>
        <w:rPr/>
        <w:t>Timeout behavior.</w:t>
      </w:r>
    </w:p>
    <w:p>
      <w:pPr>
        <w:pStyle w:val="BodyText"/>
        <w:spacing w:before="0" w:after="200"/>
        <w:rPr/>
      </w:pPr>
      <w:r>
        <w:rPr/>
        <w:t>Fallback logic.</w:t>
      </w:r>
    </w:p>
    <w:p>
      <w:pPr>
        <w:pStyle w:val="BodyText"/>
        <w:spacing w:before="0" w:after="200"/>
        <w:rPr/>
      </w:pPr>
      <w:r>
        <w:rPr/>
        <w:t>Safe defaults.</w:t>
      </w:r>
    </w:p>
    <w:p>
      <w:pPr>
        <w:pStyle w:val="BodyText"/>
        <w:spacing w:before="0" w:after="200"/>
        <w:rPr/>
      </w:pPr>
      <w:r>
        <w:rPr/>
        <w:t>Degraded-mode operation.</w:t>
      </w:r>
    </w:p>
    <w:p>
      <w:pPr>
        <w:pStyle w:val="BodyText"/>
        <w:spacing w:before="0" w:after="200"/>
        <w:rPr/>
      </w:pPr>
      <w:r>
        <w:rPr/>
        <w:t>Human escalation.</w:t>
      </w:r>
    </w:p>
    <w:p>
      <w:pPr>
        <w:pStyle w:val="BodyText"/>
        <w:spacing w:before="0" w:after="200"/>
        <w:rPr/>
      </w:pPr>
      <w:r>
        <w:rPr/>
        <w:t>Redundant evidence sources.</w:t>
      </w:r>
    </w:p>
    <w:p>
      <w:pPr>
        <w:pStyle w:val="BodyText"/>
        <w:spacing w:before="0" w:after="200"/>
        <w:rPr/>
      </w:pPr>
      <w:r>
        <w:rPr/>
        <w:t>Audit-log durability.</w:t>
      </w:r>
    </w:p>
    <w:p>
      <w:pPr>
        <w:pStyle w:val="BodyText"/>
        <w:spacing w:before="0" w:after="200"/>
        <w:rPr/>
      </w:pPr>
      <w:r>
        <w:rPr/>
        <w:t>Recovery from partial failure.</w:t>
      </w:r>
    </w:p>
    <w:p>
      <w:pPr>
        <w:pStyle w:val="BodyText"/>
        <w:spacing w:before="0" w:after="200"/>
        <w:rPr/>
      </w:pPr>
      <w:r>
        <w:rPr/>
        <w:t>A deployment should define what happens when a service is unavailable, evidence is inaccessible, confidence cannot be computed, or a model fails. In high-risk environments, the system should avoid proceeding as if the assessment succeeded when material components failed.</w:t>
      </w:r>
    </w:p>
    <w:p>
      <w:pPr>
        <w:pStyle w:val="Heading3"/>
        <w:ind w:hanging="0" w:left="0"/>
        <w:rPr/>
      </w:pPr>
      <w:r>
        <w:rPr/>
        <w:t>Privacy and Data Minimization</w:t>
      </w:r>
    </w:p>
    <w:p>
      <w:pPr>
        <w:pStyle w:val="BodyText"/>
        <w:spacing w:before="0" w:after="200"/>
        <w:rPr/>
      </w:pPr>
      <w:r>
        <w:rPr/>
        <w:t>Privacy and data minimization are important when assessments involve personal, medical, legal, organizational, or sensitive information.</w:t>
      </w:r>
    </w:p>
    <w:p>
      <w:pPr>
        <w:pStyle w:val="BodyText"/>
        <w:spacing w:before="0" w:after="200"/>
        <w:rPr/>
      </w:pPr>
      <w:r>
        <w:rPr/>
        <w:t>The implementation should collect and retain the information needed for faithful assessment, audit, and governance while avoiding unnecessary exposure of irrelevant data. This is especially important because the framework may encourage broad context construction. A broad context requirement should not become an excuse for indiscriminate data collection.</w:t>
      </w:r>
    </w:p>
    <w:p>
      <w:pPr>
        <w:pStyle w:val="BodyText"/>
        <w:spacing w:before="0" w:after="200"/>
        <w:rPr/>
      </w:pPr>
      <w:r>
        <w:rPr/>
        <w:t>A deployment should consider:</w:t>
      </w:r>
    </w:p>
    <w:p>
      <w:pPr>
        <w:pStyle w:val="BodyText"/>
        <w:spacing w:before="0" w:after="200"/>
        <w:rPr/>
      </w:pPr>
      <w:r>
        <w:rPr/>
        <w:t>Purpose limitation.</w:t>
      </w:r>
    </w:p>
    <w:p>
      <w:pPr>
        <w:pStyle w:val="BodyText"/>
        <w:spacing w:before="0" w:after="200"/>
        <w:rPr/>
      </w:pPr>
      <w:r>
        <w:rPr/>
        <w:t>Data minimization.</w:t>
      </w:r>
    </w:p>
    <w:p>
      <w:pPr>
        <w:pStyle w:val="BodyText"/>
        <w:spacing w:before="0" w:after="200"/>
        <w:rPr/>
      </w:pPr>
      <w:r>
        <w:rPr/>
        <w:t>Access control.</w:t>
      </w:r>
    </w:p>
    <w:p>
      <w:pPr>
        <w:pStyle w:val="BodyText"/>
        <w:spacing w:before="0" w:after="200"/>
        <w:rPr/>
      </w:pPr>
      <w:r>
        <w:rPr/>
        <w:t>Sensitive data classification.</w:t>
      </w:r>
    </w:p>
    <w:p>
      <w:pPr>
        <w:pStyle w:val="BodyText"/>
        <w:spacing w:before="0" w:after="200"/>
        <w:rPr/>
      </w:pPr>
      <w:r>
        <w:rPr/>
        <w:t>Retention limits.</w:t>
      </w:r>
    </w:p>
    <w:p>
      <w:pPr>
        <w:pStyle w:val="BodyText"/>
        <w:spacing w:before="0" w:after="200"/>
        <w:rPr/>
      </w:pPr>
      <w:r>
        <w:rPr/>
        <w:t>Anonymization or pseudonymization where appropriate.</w:t>
      </w:r>
    </w:p>
    <w:p>
      <w:pPr>
        <w:pStyle w:val="BodyText"/>
        <w:spacing w:before="0" w:after="200"/>
        <w:rPr/>
      </w:pPr>
      <w:r>
        <w:rPr/>
        <w:t>Separation of evidence from output when needed.</w:t>
      </w:r>
    </w:p>
    <w:p>
      <w:pPr>
        <w:pStyle w:val="BodyText"/>
        <w:spacing w:before="0" w:after="200"/>
        <w:rPr/>
      </w:pPr>
      <w:r>
        <w:rPr/>
        <w:t>Secure deletion.</w:t>
      </w:r>
    </w:p>
    <w:p>
      <w:pPr>
        <w:pStyle w:val="BodyText"/>
        <w:spacing w:before="0" w:after="200"/>
        <w:rPr/>
      </w:pPr>
      <w:r>
        <w:rPr/>
        <w:t>User consent or institutional authorization.</w:t>
      </w:r>
    </w:p>
    <w:p>
      <w:pPr>
        <w:pStyle w:val="BodyText"/>
        <w:spacing w:before="0" w:after="200"/>
        <w:rPr/>
      </w:pPr>
      <w:r>
        <w:rPr/>
        <w:t>Audit of data access.</w:t>
      </w:r>
    </w:p>
    <w:p>
      <w:pPr>
        <w:pStyle w:val="BodyText"/>
        <w:spacing w:before="0" w:after="200"/>
        <w:rPr/>
      </w:pPr>
      <w:r>
        <w:rPr/>
        <w:t>Privacy constraints should be represented as part of the deployment’s governance model and, when relevant, as part of the Assessment Boundary.</w:t>
      </w:r>
    </w:p>
    <w:p>
      <w:pPr>
        <w:pStyle w:val="Heading3"/>
        <w:ind w:hanging="0" w:left="0"/>
        <w:rPr/>
      </w:pPr>
      <w:r>
        <w:rPr/>
        <w:t>Monitoring and Post-Deployment Review</w:t>
      </w:r>
    </w:p>
    <w:p>
      <w:pPr>
        <w:pStyle w:val="BodyText"/>
        <w:spacing w:before="0" w:after="200"/>
        <w:rPr/>
      </w:pPr>
      <w:r>
        <w:rPr/>
        <w:t>Deployment should include monitoring and post-deployment review.</w:t>
      </w:r>
    </w:p>
    <w:p>
      <w:pPr>
        <w:pStyle w:val="BodyText"/>
        <w:spacing w:before="0" w:after="200"/>
        <w:rPr/>
      </w:pPr>
      <w:r>
        <w:rPr/>
        <w:t>Because assessments are probabilistic and World Contexts change over time, a deployed system should monitor whether predicted transitions, policy updates, and flourishing effects occur as expected. Observed outcomes should be used to revise models, update confidence, improve evidence practices, and identify failure modes.</w:t>
      </w:r>
    </w:p>
    <w:p>
      <w:pPr>
        <w:pStyle w:val="BodyText"/>
        <w:spacing w:before="0" w:after="200"/>
        <w:rPr/>
      </w:pPr>
      <w:r>
        <w:rPr/>
        <w:t>Monitoring may include:</w:t>
      </w:r>
    </w:p>
    <w:p>
      <w:pPr>
        <w:pStyle w:val="BodyText"/>
        <w:spacing w:before="0" w:after="200"/>
        <w:rPr/>
      </w:pPr>
      <w:r>
        <w:rPr/>
        <w:t>Outcome tracking.</w:t>
      </w:r>
    </w:p>
    <w:p>
      <w:pPr>
        <w:pStyle w:val="BodyText"/>
        <w:spacing w:before="0" w:after="200"/>
        <w:rPr/>
      </w:pPr>
      <w:r>
        <w:rPr/>
        <w:t>Policy-update observation.</w:t>
      </w:r>
    </w:p>
    <w:p>
      <w:pPr>
        <w:pStyle w:val="BodyText"/>
        <w:spacing w:before="0" w:after="200"/>
        <w:rPr/>
      </w:pPr>
      <w:r>
        <w:rPr/>
        <w:t>Institutional response tracking.</w:t>
      </w:r>
    </w:p>
    <w:p>
      <w:pPr>
        <w:pStyle w:val="BodyText"/>
        <w:spacing w:before="0" w:after="200"/>
        <w:rPr/>
      </w:pPr>
      <w:r>
        <w:rPr/>
        <w:t>User feedback.</w:t>
      </w:r>
    </w:p>
    <w:p>
      <w:pPr>
        <w:pStyle w:val="BodyText"/>
        <w:spacing w:before="0" w:after="200"/>
        <w:rPr/>
      </w:pPr>
      <w:r>
        <w:rPr/>
        <w:t>Error reports.</w:t>
      </w:r>
    </w:p>
    <w:p>
      <w:pPr>
        <w:pStyle w:val="BodyText"/>
        <w:spacing w:before="0" w:after="200"/>
        <w:rPr/>
      </w:pPr>
      <w:r>
        <w:rPr/>
        <w:t>Audit reviews.</w:t>
      </w:r>
    </w:p>
    <w:p>
      <w:pPr>
        <w:pStyle w:val="BodyText"/>
        <w:spacing w:before="0" w:after="200"/>
        <w:rPr/>
      </w:pPr>
      <w:r>
        <w:rPr/>
        <w:t>Drift detection.</w:t>
      </w:r>
    </w:p>
    <w:p>
      <w:pPr>
        <w:pStyle w:val="BodyText"/>
        <w:spacing w:before="0" w:after="200"/>
        <w:rPr/>
      </w:pPr>
      <w:r>
        <w:rPr/>
        <w:t>Model performance evaluation.</w:t>
      </w:r>
    </w:p>
    <w:p>
      <w:pPr>
        <w:pStyle w:val="BodyText"/>
        <w:spacing w:before="0" w:after="200"/>
        <w:rPr/>
      </w:pPr>
      <w:r>
        <w:rPr/>
        <w:t>Ontology mismatch detection.</w:t>
      </w:r>
    </w:p>
    <w:p>
      <w:pPr>
        <w:pStyle w:val="BodyText"/>
        <w:spacing w:before="0" w:after="200"/>
        <w:rPr/>
      </w:pPr>
      <w:r>
        <w:rPr/>
        <w:t>Safety incident review.</w:t>
      </w:r>
    </w:p>
    <w:p>
      <w:pPr>
        <w:pStyle w:val="BodyText"/>
        <w:spacing w:before="0" w:after="200"/>
        <w:rPr/>
      </w:pPr>
      <w:r>
        <w:rPr/>
        <w:t>Post-deployment review is especially important for autonomous systems, AI safety harnesses, clinical decision support, public-policy systems, and organizational governance systems. The goal is not only to assess actions before they occur, but also to learn from what actually happens.</w:t>
      </w:r>
    </w:p>
    <w:p>
      <w:pPr>
        <w:pStyle w:val="Heading3"/>
        <w:ind w:hanging="0" w:left="0"/>
        <w:rPr/>
      </w:pPr>
      <w:r>
        <w:rPr/>
        <w:t>Deployment and Institutional Accountability</w:t>
      </w:r>
    </w:p>
    <w:p>
      <w:pPr>
        <w:pStyle w:val="BodyText"/>
        <w:spacing w:before="0" w:after="200"/>
        <w:rPr/>
      </w:pPr>
      <w:r>
        <w:rPr/>
        <w:t>A deployed implementation should clarify accountability.</w:t>
      </w:r>
    </w:p>
    <w:p>
      <w:pPr>
        <w:pStyle w:val="BodyText"/>
        <w:spacing w:before="0" w:after="200"/>
        <w:rPr/>
      </w:pPr>
      <w:r>
        <w:rPr/>
        <w:t>The system may assist assessment, but institutions and Moral Agents remain responsible for how the assessment is used. Deployment should define who is accountable for configuration, evidence quality, model selection, human overrides, policy settings, escalation decisions, and final actions.</w:t>
      </w:r>
    </w:p>
    <w:p>
      <w:pPr>
        <w:pStyle w:val="BodyText"/>
        <w:spacing w:before="0" w:after="200"/>
        <w:rPr/>
      </w:pPr>
      <w:r>
        <w:rPr/>
        <w:t>Institutional accountability should address:</w:t>
      </w:r>
    </w:p>
    <w:p>
      <w:pPr>
        <w:pStyle w:val="BodyText"/>
        <w:spacing w:before="0" w:after="200"/>
        <w:rPr/>
      </w:pPr>
      <w:r>
        <w:rPr/>
        <w:t>System owners.</w:t>
      </w:r>
    </w:p>
    <w:p>
      <w:pPr>
        <w:pStyle w:val="BodyText"/>
        <w:spacing w:before="0" w:after="200"/>
        <w:rPr/>
      </w:pPr>
      <w:r>
        <w:rPr/>
        <w:t>Model maintainers.</w:t>
      </w:r>
    </w:p>
    <w:p>
      <w:pPr>
        <w:pStyle w:val="BodyText"/>
        <w:spacing w:before="0" w:after="200"/>
        <w:rPr/>
      </w:pPr>
      <w:r>
        <w:rPr/>
        <w:t>Ontology maintainers.</w:t>
      </w:r>
    </w:p>
    <w:p>
      <w:pPr>
        <w:pStyle w:val="BodyText"/>
        <w:spacing w:before="0" w:after="200"/>
        <w:rPr/>
      </w:pPr>
      <w:r>
        <w:rPr/>
        <w:t>Evidence-source owners.</w:t>
      </w:r>
    </w:p>
    <w:p>
      <w:pPr>
        <w:pStyle w:val="BodyText"/>
        <w:spacing w:before="0" w:after="200"/>
        <w:rPr/>
      </w:pPr>
      <w:r>
        <w:rPr/>
        <w:t>Review authorities.</w:t>
      </w:r>
    </w:p>
    <w:p>
      <w:pPr>
        <w:pStyle w:val="BodyText"/>
        <w:spacing w:before="0" w:after="200"/>
        <w:rPr/>
      </w:pPr>
      <w:r>
        <w:rPr/>
        <w:t>Decision authorities.</w:t>
      </w:r>
    </w:p>
    <w:p>
      <w:pPr>
        <w:pStyle w:val="BodyText"/>
        <w:spacing w:before="0" w:after="200"/>
        <w:rPr/>
      </w:pPr>
      <w:r>
        <w:rPr/>
        <w:t>Override authorities.</w:t>
      </w:r>
    </w:p>
    <w:p>
      <w:pPr>
        <w:pStyle w:val="BodyText"/>
        <w:spacing w:before="0" w:after="200"/>
        <w:rPr/>
      </w:pPr>
      <w:r>
        <w:rPr/>
        <w:t>Audit responsibilities.</w:t>
      </w:r>
    </w:p>
    <w:p>
      <w:pPr>
        <w:pStyle w:val="BodyText"/>
        <w:spacing w:before="0" w:after="200"/>
        <w:rPr/>
      </w:pPr>
      <w:r>
        <w:rPr/>
        <w:t>Appeal or contestation procedures.</w:t>
      </w:r>
    </w:p>
    <w:p>
      <w:pPr>
        <w:pStyle w:val="BodyText"/>
        <w:spacing w:before="0" w:after="200"/>
        <w:rPr/>
      </w:pPr>
      <w:r>
        <w:rPr/>
        <w:t>Incident response.</w:t>
      </w:r>
    </w:p>
    <w:p>
      <w:pPr>
        <w:pStyle w:val="BodyText"/>
        <w:spacing w:before="0" w:after="200"/>
        <w:rPr/>
      </w:pPr>
      <w:r>
        <w:rPr/>
        <w:t>Without clear accountability, an implementation may diffuse responsibility across technical systems and institutions in ways that weaken moral governance.</w:t>
      </w:r>
    </w:p>
    <w:p>
      <w:pPr>
        <w:pStyle w:val="Heading3"/>
        <w:ind w:hanging="0" w:left="0"/>
        <w:rPr>
          <w:rFonts w:ascii="Aptos" w:hAnsi="Aptos"/>
          <w:color w:val="auto"/>
        </w:rPr>
      </w:pPr>
      <w:r>
        <w:rPr/>
        <w:t>Deployment Boundary</w:t>
      </w:r>
    </w:p>
    <w:p>
      <w:pPr>
        <w:pStyle w:val="BodyText"/>
        <w:spacing w:before="0" w:after="200"/>
        <w:rPr/>
      </w:pPr>
      <w:r>
        <w:rPr/>
        <w:t>Deployment Considerations describe operational requirements for running an implementation in practice. They do not redefine the Reference Architecture, Moral Assessment Methodology, or Implementation Design Principles.</w:t>
      </w:r>
    </w:p>
    <w:p>
      <w:pPr>
        <w:pStyle w:val="BodyText"/>
        <w:spacing w:before="0" w:after="200"/>
        <w:rPr/>
      </w:pPr>
      <w:r>
        <w:rPr/>
        <w:t>A deployment may vary in scale, architecture, interface, latency, automation, and governance. However, it should preserve the core requirements of the framework: explicit context construction, faithful world modeling, State Transition evaluation, Long-Term Flourishing assessment, Distributed Policy Updates, confidence propagation, Multi-Horizon Assessment, structured output, traceability, and auditability.</w:t>
      </w:r>
    </w:p>
    <w:p>
      <w:pPr>
        <w:pStyle w:val="BodyText"/>
        <w:spacing w:before="0" w:after="200"/>
        <w:rPr/>
      </w:pPr>
      <w:r>
        <w:rPr/>
        <w:t>The goal of deployment is not merely to run software. It is to operate a moral assessment capability responsibly within real-world constraints.</w:t>
      </w:r>
    </w:p>
    <w:p>
      <w:pPr>
        <w:pStyle w:val="Normal"/>
        <w:widowControl/>
        <w:bidi w:val="0"/>
        <w:spacing w:lineRule="auto" w:line="276"/>
        <w:jc w:val="left"/>
        <w:rPr/>
      </w:pPr>
      <w:r>
        <w:rPr/>
      </w:r>
    </w:p>
    <w:p>
      <w:pPr>
        <w:pStyle w:val="Heading2"/>
        <w:rPr/>
      </w:pPr>
      <w:r>
        <w:rPr/>
        <w:t>Extensibility</w:t>
      </w:r>
    </w:p>
    <w:p>
      <w:pPr>
        <w:pStyle w:val="BodyText"/>
        <w:spacing w:before="0" w:after="200"/>
        <w:rPr/>
      </w:pPr>
      <w:r>
        <w:rPr/>
        <w:t>Extensibility describes the ability of an implementation to evolve without requiring changes to the Reference Architecture.</w:t>
      </w:r>
    </w:p>
    <w:p>
      <w:pPr>
        <w:pStyle w:val="BodyText"/>
        <w:spacing w:before="0" w:after="200"/>
        <w:rPr/>
      </w:pPr>
      <w:r>
        <w:rPr/>
        <w:t>Objective-Based Systems Ethics is intended to support many domains, evidence environments, computational methods, and future technical architectures. No single mathematical method, inference engine, ontology, evidence source, or runtime architecture is expected to be final. Implementations should therefore be designed so that components can be replaced, extended, refined, or specialized while preserving fidelity to the architecture and methodology.</w:t>
      </w:r>
    </w:p>
    <w:p>
      <w:pPr>
        <w:pStyle w:val="BodyText"/>
        <w:spacing w:before="0" w:after="200"/>
        <w:rPr/>
      </w:pPr>
      <w:r>
        <w:rPr/>
        <w:t>Extensibility is necessary because the framework contains concepts that will continue to mature. Long-Term Flourishing may require additional dimensions. Materiality thresholds may be refined. Policy-update models may improve. Evidence sources may expand. Domain ontologies may become more precise. Future artificial systems may require new forms of state representation. New computational architectures may make richer World Context modeling possible.</w:t>
      </w:r>
    </w:p>
    <w:p>
      <w:pPr>
        <w:pStyle w:val="BodyText"/>
        <w:spacing w:before="0" w:after="200"/>
        <w:rPr/>
      </w:pPr>
      <w:r>
        <w:rPr/>
        <w:t>An extensible implementation should allow these improvements without confusing implementation change with architectural change.</w:t>
      </w:r>
    </w:p>
    <w:p>
      <w:pPr>
        <w:pStyle w:val="Heading3"/>
        <w:ind w:hanging="0" w:left="0"/>
        <w:rPr/>
      </w:pPr>
      <w:r>
        <w:rPr/>
        <w:t>Purpose of Extensibility</w:t>
      </w:r>
    </w:p>
    <w:p>
      <w:pPr>
        <w:pStyle w:val="BodyText"/>
        <w:spacing w:before="0" w:after="200"/>
        <w:rPr/>
      </w:pPr>
      <w:r>
        <w:rPr/>
        <w:t>The purpose of Extensibility is to allow implementations to improve over time while preserving the conceptual stability of the framework.</w:t>
      </w:r>
    </w:p>
    <w:p>
      <w:pPr>
        <w:pStyle w:val="BodyText"/>
        <w:spacing w:before="0" w:after="200"/>
        <w:rPr/>
      </w:pPr>
      <w:r>
        <w:rPr/>
        <w:t>The Reference Architecture defines the core structure: World Context, Assessment Boundary, Objects, Associations, Objectives, Assessed Actions, State Transitions, Distributed Policy Updates, and World Context Transitions. The Moral Assessment Methodology defines the assessment process. Extensibility ensures that implementation details can change without changing those foundational commitments.</w:t>
      </w:r>
    </w:p>
    <w:p>
      <w:pPr>
        <w:pStyle w:val="BodyText"/>
        <w:spacing w:before="0" w:after="200"/>
        <w:rPr/>
      </w:pPr>
      <w:r>
        <w:rPr/>
        <w:t>An extensible implementation should support:</w:t>
      </w:r>
    </w:p>
    <w:p>
      <w:pPr>
        <w:pStyle w:val="BodyText"/>
        <w:spacing w:before="0" w:after="200"/>
        <w:rPr/>
      </w:pPr>
      <w:r>
        <w:rPr/>
        <w:t>New mathematical methods.</w:t>
      </w:r>
    </w:p>
    <w:p>
      <w:pPr>
        <w:pStyle w:val="BodyText"/>
        <w:spacing w:before="0" w:after="200"/>
        <w:rPr/>
      </w:pPr>
      <w:r>
        <w:rPr/>
        <w:t>New inference engines.</w:t>
      </w:r>
    </w:p>
    <w:p>
      <w:pPr>
        <w:pStyle w:val="BodyText"/>
        <w:spacing w:before="0" w:after="200"/>
        <w:rPr/>
      </w:pPr>
      <w:r>
        <w:rPr/>
        <w:t>New domain-specific ontologies.</w:t>
      </w:r>
    </w:p>
    <w:p>
      <w:pPr>
        <w:pStyle w:val="BodyText"/>
        <w:spacing w:before="0" w:after="200"/>
        <w:rPr/>
      </w:pPr>
      <w:r>
        <w:rPr/>
        <w:t>New evidence sources.</w:t>
      </w:r>
    </w:p>
    <w:p>
      <w:pPr>
        <w:pStyle w:val="BodyText"/>
        <w:spacing w:before="0" w:after="200"/>
        <w:rPr/>
      </w:pPr>
      <w:r>
        <w:rPr/>
        <w:t>New prediction models.</w:t>
      </w:r>
    </w:p>
    <w:p>
      <w:pPr>
        <w:pStyle w:val="BodyText"/>
        <w:spacing w:before="0" w:after="200"/>
        <w:rPr/>
      </w:pPr>
      <w:r>
        <w:rPr/>
        <w:t>New confidence-estimation methods.</w:t>
      </w:r>
    </w:p>
    <w:p>
      <w:pPr>
        <w:pStyle w:val="BodyText"/>
        <w:spacing w:before="0" w:after="200"/>
        <w:rPr/>
      </w:pPr>
      <w:r>
        <w:rPr/>
        <w:t>New Long-Term Flourishing models.</w:t>
      </w:r>
    </w:p>
    <w:p>
      <w:pPr>
        <w:pStyle w:val="BodyText"/>
        <w:spacing w:before="0" w:after="200"/>
        <w:rPr/>
      </w:pPr>
      <w:r>
        <w:rPr/>
        <w:t>New policy-update models.</w:t>
      </w:r>
    </w:p>
    <w:p>
      <w:pPr>
        <w:pStyle w:val="BodyText"/>
        <w:spacing w:before="0" w:after="200"/>
        <w:rPr/>
      </w:pPr>
      <w:r>
        <w:rPr/>
        <w:t>New structured-output formats.</w:t>
      </w:r>
    </w:p>
    <w:p>
      <w:pPr>
        <w:pStyle w:val="BodyText"/>
        <w:spacing w:before="0" w:after="200"/>
        <w:rPr/>
      </w:pPr>
      <w:r>
        <w:rPr/>
        <w:t>New runtime environments.</w:t>
      </w:r>
    </w:p>
    <w:p>
      <w:pPr>
        <w:pStyle w:val="BodyText"/>
        <w:spacing w:before="0" w:after="200"/>
        <w:rPr/>
      </w:pPr>
      <w:r>
        <w:rPr/>
        <w:t>New computational architectures.</w:t>
      </w:r>
    </w:p>
    <w:p>
      <w:pPr>
        <w:pStyle w:val="BodyText"/>
        <w:spacing w:before="0" w:after="200"/>
        <w:rPr/>
      </w:pPr>
      <w:r>
        <w:rPr/>
        <w:t>The goal is not constant change for its own sake. The goal is controlled evolution. Implementations should improve as evidence, methods, and technology improve while maintaining traceability, auditability, version control, and architectural fidelity.</w:t>
      </w:r>
    </w:p>
    <w:p>
      <w:pPr>
        <w:pStyle w:val="Heading3"/>
        <w:ind w:hanging="0" w:left="0"/>
        <w:rPr/>
      </w:pPr>
      <w:r>
        <w:rPr/>
        <w:t>Alternative Mathematical Methods</w:t>
      </w:r>
    </w:p>
    <w:p>
      <w:pPr>
        <w:pStyle w:val="BodyText"/>
        <w:spacing w:before="0" w:after="200"/>
        <w:rPr/>
      </w:pPr>
      <w:r>
        <w:rPr/>
        <w:t>Implementations should support alternative mathematical methods.</w:t>
      </w:r>
    </w:p>
    <w:p>
      <w:pPr>
        <w:pStyle w:val="BodyText"/>
        <w:spacing w:before="0" w:after="200"/>
        <w:rPr/>
      </w:pPr>
      <w:r>
        <w:rPr/>
        <w:t>The methodology introduces state representation, probability, confidence, transition modeling, aggregate flourishing, uncertainty, and multi-horizon assessment. These concepts may be formalized through different mathematical approaches depending on domain, evidence quality, computational requirements, and research maturity.</w:t>
      </w:r>
    </w:p>
    <w:p>
      <w:pPr>
        <w:pStyle w:val="BodyText"/>
        <w:spacing w:before="0" w:after="200"/>
        <w:rPr/>
      </w:pPr>
      <w:r>
        <w:rPr/>
        <w:t>Possible mathematical methods may include:</w:t>
      </w:r>
    </w:p>
    <w:p>
      <w:pPr>
        <w:pStyle w:val="BodyText"/>
        <w:spacing w:before="0" w:after="200"/>
        <w:rPr/>
      </w:pPr>
      <w:r>
        <w:rPr/>
        <w:t>Probabilistic models.</w:t>
      </w:r>
    </w:p>
    <w:p>
      <w:pPr>
        <w:pStyle w:val="BodyText"/>
        <w:spacing w:before="0" w:after="200"/>
        <w:rPr/>
      </w:pPr>
      <w:r>
        <w:rPr/>
        <w:t>Bayesian models.</w:t>
      </w:r>
    </w:p>
    <w:p>
      <w:pPr>
        <w:pStyle w:val="BodyText"/>
        <w:spacing w:before="0" w:after="200"/>
        <w:rPr/>
      </w:pPr>
      <w:r>
        <w:rPr/>
        <w:t>Causal models.</w:t>
      </w:r>
    </w:p>
    <w:p>
      <w:pPr>
        <w:pStyle w:val="BodyText"/>
        <w:spacing w:before="0" w:after="200"/>
        <w:rPr/>
      </w:pPr>
      <w:r>
        <w:rPr/>
        <w:t>Graph-based models.</w:t>
      </w:r>
    </w:p>
    <w:p>
      <w:pPr>
        <w:pStyle w:val="BodyText"/>
        <w:spacing w:before="0" w:after="200"/>
        <w:rPr/>
      </w:pPr>
      <w:r>
        <w:rPr/>
        <w:t>Decision-theoretic models.</w:t>
      </w:r>
    </w:p>
    <w:p>
      <w:pPr>
        <w:pStyle w:val="BodyText"/>
        <w:spacing w:before="0" w:after="200"/>
        <w:rPr/>
      </w:pPr>
      <w:r>
        <w:rPr/>
        <w:t>Multi-criteria decision analysis.</w:t>
      </w:r>
    </w:p>
    <w:p>
      <w:pPr>
        <w:pStyle w:val="BodyText"/>
        <w:spacing w:before="0" w:after="200"/>
        <w:rPr/>
      </w:pPr>
      <w:r>
        <w:rPr/>
        <w:t>Stochastic simulation.</w:t>
      </w:r>
    </w:p>
    <w:p>
      <w:pPr>
        <w:pStyle w:val="BodyText"/>
        <w:spacing w:before="0" w:after="200"/>
        <w:rPr/>
      </w:pPr>
      <w:r>
        <w:rPr/>
        <w:t>Constraint-based reasoning.</w:t>
      </w:r>
    </w:p>
    <w:p>
      <w:pPr>
        <w:pStyle w:val="BodyText"/>
        <w:spacing w:before="0" w:after="200"/>
        <w:rPr/>
      </w:pPr>
      <w:r>
        <w:rPr/>
        <w:t>Formal logic.</w:t>
      </w:r>
    </w:p>
    <w:p>
      <w:pPr>
        <w:pStyle w:val="BodyText"/>
        <w:spacing w:before="0" w:after="200"/>
        <w:rPr/>
      </w:pPr>
      <w:r>
        <w:rPr/>
        <w:t>Fuzzy logic.</w:t>
      </w:r>
    </w:p>
    <w:p>
      <w:pPr>
        <w:pStyle w:val="BodyText"/>
        <w:spacing w:before="0" w:after="200"/>
        <w:rPr/>
      </w:pPr>
      <w:r>
        <w:rPr/>
        <w:t>Game-theoretic models.</w:t>
      </w:r>
    </w:p>
    <w:p>
      <w:pPr>
        <w:pStyle w:val="BodyText"/>
        <w:spacing w:before="0" w:after="200"/>
        <w:rPr/>
      </w:pPr>
      <w:r>
        <w:rPr/>
        <w:t>Dynamical systems models.</w:t>
      </w:r>
    </w:p>
    <w:p>
      <w:pPr>
        <w:pStyle w:val="BodyText"/>
        <w:spacing w:before="0" w:after="200"/>
        <w:rPr/>
      </w:pPr>
      <w:r>
        <w:rPr/>
        <w:t>Agent-based simulations.</w:t>
      </w:r>
    </w:p>
    <w:p>
      <w:pPr>
        <w:pStyle w:val="BodyText"/>
        <w:spacing w:before="0" w:after="200"/>
        <w:rPr/>
      </w:pPr>
      <w:r>
        <w:rPr/>
        <w:t>Optimization methods.</w:t>
      </w:r>
    </w:p>
    <w:p>
      <w:pPr>
        <w:pStyle w:val="BodyText"/>
        <w:spacing w:before="0" w:after="200"/>
        <w:rPr/>
      </w:pPr>
      <w:r>
        <w:rPr/>
        <w:t>Risk models.</w:t>
      </w:r>
    </w:p>
    <w:p>
      <w:pPr>
        <w:pStyle w:val="BodyText"/>
        <w:spacing w:before="0" w:after="200"/>
        <w:rPr/>
      </w:pPr>
      <w:r>
        <w:rPr/>
        <w:t>Scenario-based methods.</w:t>
      </w:r>
    </w:p>
    <w:p>
      <w:pPr>
        <w:pStyle w:val="BodyText"/>
        <w:spacing w:before="0" w:after="200"/>
        <w:rPr/>
      </w:pPr>
      <w:r>
        <w:rPr/>
        <w:t>No single mathematical method should be treated as mandatory at the architectural level. A medical implementation may require probabilistic clinical risk models. A legal implementation may require structured rule-based reasoning and precedent comparison. An ecological implementation may require simulation and uncertainty ranges. An AI safety implementation may require causal modeling, adversarial analysis, or stochastic scenario evaluation.</w:t>
      </w:r>
    </w:p>
    <w:p>
      <w:pPr>
        <w:pStyle w:val="BodyText"/>
        <w:spacing w:before="0" w:after="200"/>
        <w:rPr/>
      </w:pPr>
      <w:r>
        <w:rPr/>
        <w:t>Alternative mathematical methods should be evaluated by whether they preserve the methodology’s required structure: explicit state representation, transition modeling, Long-Term Flourishing assessment, Distributed Policy Updates, uncertainty, confidence, horizons, and World Context Transition evaluation.</w:t>
      </w:r>
    </w:p>
    <w:p>
      <w:pPr>
        <w:pStyle w:val="Heading3"/>
        <w:ind w:hanging="0" w:left="0"/>
        <w:rPr/>
      </w:pPr>
      <w:r>
        <w:rPr/>
        <w:t>Mathematical Method Replacement</w:t>
      </w:r>
    </w:p>
    <w:p>
      <w:pPr>
        <w:pStyle w:val="BodyText"/>
        <w:spacing w:before="0" w:after="200"/>
        <w:rPr/>
      </w:pPr>
      <w:r>
        <w:rPr/>
        <w:t>An implementation should be able to replace or upgrade mathematical methods without invalidating the architecture.</w:t>
      </w:r>
    </w:p>
    <w:p>
      <w:pPr>
        <w:pStyle w:val="BodyText"/>
        <w:spacing w:before="0" w:after="200"/>
        <w:rPr/>
      </w:pPr>
      <w:r>
        <w:rPr/>
        <w:t>For example, an early implementation may use qualitative confidence categories. A later version may use probability ranges. A still later version may use Bayesian networks, Monte Carlo simulation, or causal inference models. These changes may improve assessment quality, but they should not change the meaning of the architectural elements.</w:t>
      </w:r>
    </w:p>
    <w:p>
      <w:pPr>
        <w:pStyle w:val="BodyText"/>
        <w:spacing w:before="0" w:after="200"/>
        <w:rPr/>
      </w:pPr>
      <w:r>
        <w:rPr/>
        <w:t>Method replacement should be versioned and auditable. Prior assessments should record which mathematical method was used. If a later method produces a different result, the implementation should be able to explain whether the difference arose from better evidence, a revised model, changed assumptions, updated ontology, or a changed calculation method.</w:t>
      </w:r>
    </w:p>
    <w:p>
      <w:pPr>
        <w:pStyle w:val="BodyText"/>
        <w:spacing w:before="0" w:after="200"/>
        <w:rPr/>
      </w:pPr>
      <w:r>
        <w:rPr/>
        <w:t>This principle allows technical improvement without erasing the assessment history.</w:t>
      </w:r>
    </w:p>
    <w:p>
      <w:pPr>
        <w:pStyle w:val="Heading3"/>
        <w:ind w:hanging="0" w:left="0"/>
        <w:rPr/>
      </w:pPr>
      <w:r>
        <w:rPr/>
        <w:t>Alternative Inference Engines</w:t>
      </w:r>
    </w:p>
    <w:p>
      <w:pPr>
        <w:pStyle w:val="BodyText"/>
        <w:spacing w:before="0" w:after="200"/>
        <w:rPr/>
      </w:pPr>
      <w:r>
        <w:rPr/>
        <w:t>Implementations should support alternative inference engines.</w:t>
      </w:r>
    </w:p>
    <w:p>
      <w:pPr>
        <w:pStyle w:val="BodyText"/>
        <w:spacing w:before="0" w:after="200"/>
        <w:rPr/>
      </w:pPr>
      <w:r>
        <w:rPr/>
        <w:t>An inference engine is the mechanism used to draw conclusions from evidence, models, assumptions, state representations, and assessment rules. Different implementations may use different inference engines depending on their domain and technical environment.</w:t>
      </w:r>
    </w:p>
    <w:p>
      <w:pPr>
        <w:pStyle w:val="BodyText"/>
        <w:spacing w:before="0" w:after="200"/>
        <w:rPr/>
      </w:pPr>
      <w:r>
        <w:rPr/>
        <w:t>Possible inference engines may include:</w:t>
      </w:r>
    </w:p>
    <w:p>
      <w:pPr>
        <w:pStyle w:val="BodyText"/>
        <w:spacing w:before="0" w:after="200"/>
        <w:rPr/>
      </w:pPr>
      <w:r>
        <w:rPr/>
        <w:t>Rules engines.</w:t>
      </w:r>
    </w:p>
    <w:p>
      <w:pPr>
        <w:pStyle w:val="BodyText"/>
        <w:spacing w:before="0" w:after="200"/>
        <w:rPr/>
      </w:pPr>
      <w:r>
        <w:rPr/>
        <w:t>Logic engines.</w:t>
      </w:r>
    </w:p>
    <w:p>
      <w:pPr>
        <w:pStyle w:val="BodyText"/>
        <w:spacing w:before="0" w:after="200"/>
        <w:rPr/>
      </w:pPr>
      <w:r>
        <w:rPr/>
        <w:t>Probabilistic inference engines.</w:t>
      </w:r>
    </w:p>
    <w:p>
      <w:pPr>
        <w:pStyle w:val="BodyText"/>
        <w:spacing w:before="0" w:after="200"/>
        <w:rPr/>
      </w:pPr>
      <w:r>
        <w:rPr/>
        <w:t>Bayesian networks.</w:t>
      </w:r>
    </w:p>
    <w:p>
      <w:pPr>
        <w:pStyle w:val="BodyText"/>
        <w:spacing w:before="0" w:after="200"/>
        <w:rPr/>
      </w:pPr>
      <w:r>
        <w:rPr/>
        <w:t>Knowledge-graph reasoning systems.</w:t>
      </w:r>
    </w:p>
    <w:p>
      <w:pPr>
        <w:pStyle w:val="BodyText"/>
        <w:spacing w:before="0" w:after="200"/>
        <w:rPr/>
      </w:pPr>
      <w:r>
        <w:rPr/>
        <w:t>Constraint solvers.</w:t>
      </w:r>
    </w:p>
    <w:p>
      <w:pPr>
        <w:pStyle w:val="BodyText"/>
        <w:spacing w:before="0" w:after="200"/>
        <w:rPr/>
      </w:pPr>
      <w:r>
        <w:rPr/>
        <w:t>Simulation engines.</w:t>
      </w:r>
    </w:p>
    <w:p>
      <w:pPr>
        <w:pStyle w:val="BodyText"/>
        <w:spacing w:before="0" w:after="200"/>
        <w:rPr/>
      </w:pPr>
      <w:r>
        <w:rPr/>
        <w:t>Machine-learning models.</w:t>
      </w:r>
    </w:p>
    <w:p>
      <w:pPr>
        <w:pStyle w:val="BodyText"/>
        <w:spacing w:before="0" w:after="200"/>
        <w:rPr/>
      </w:pPr>
      <w:r>
        <w:rPr/>
        <w:t>Large language models.</w:t>
      </w:r>
    </w:p>
    <w:p>
      <w:pPr>
        <w:pStyle w:val="BodyText"/>
        <w:spacing w:before="0" w:after="200"/>
        <w:rPr/>
      </w:pPr>
      <w:r>
        <w:rPr/>
        <w:t>Hybrid neuro-symbolic systems.</w:t>
      </w:r>
    </w:p>
    <w:p>
      <w:pPr>
        <w:pStyle w:val="BodyText"/>
        <w:spacing w:before="0" w:after="200"/>
        <w:rPr/>
      </w:pPr>
      <w:r>
        <w:rPr/>
        <w:t>Human review workflows.</w:t>
      </w:r>
    </w:p>
    <w:p>
      <w:pPr>
        <w:pStyle w:val="BodyText"/>
        <w:spacing w:before="0" w:after="200"/>
        <w:rPr/>
      </w:pPr>
      <w:r>
        <w:rPr/>
        <w:t>Agent-based reasoning systems.</w:t>
      </w:r>
    </w:p>
    <w:p>
      <w:pPr>
        <w:pStyle w:val="BodyText"/>
        <w:spacing w:before="0" w:after="200"/>
        <w:rPr/>
      </w:pPr>
      <w:r>
        <w:rPr/>
        <w:t>Future AI architectures.</w:t>
      </w:r>
    </w:p>
    <w:p>
      <w:pPr>
        <w:pStyle w:val="BodyText"/>
        <w:spacing w:before="0" w:after="200"/>
        <w:rPr/>
      </w:pPr>
      <w:r>
        <w:rPr/>
        <w:t>The framework should not depend on any one inference engine. A large language model may help interpret evidence or generate explanations, but it is not the architecture. A rules engine may enforce domain constraints, but it is not the methodology. A probabilistic engine may estimate transitions, but it does not replace moral assessment.</w:t>
      </w:r>
    </w:p>
    <w:p>
      <w:pPr>
        <w:pStyle w:val="BodyText"/>
        <w:spacing w:before="0" w:after="200"/>
        <w:rPr/>
      </w:pPr>
      <w:r>
        <w:rPr/>
        <w:t>The inference engine is an implementation component. It should serve the assessment methodology rather than define it.</w:t>
      </w:r>
    </w:p>
    <w:p>
      <w:pPr>
        <w:pStyle w:val="Heading3"/>
        <w:ind w:hanging="0" w:left="0"/>
        <w:rPr/>
      </w:pPr>
      <w:r>
        <w:rPr/>
        <w:t>Modular Inference</w:t>
      </w:r>
    </w:p>
    <w:p>
      <w:pPr>
        <w:pStyle w:val="BodyText"/>
        <w:spacing w:before="0" w:after="200"/>
        <w:rPr/>
      </w:pPr>
      <w:r>
        <w:rPr/>
        <w:t>Inference should be modular where practical.</w:t>
      </w:r>
    </w:p>
    <w:p>
      <w:pPr>
        <w:pStyle w:val="BodyText"/>
        <w:spacing w:before="0" w:after="200"/>
        <w:rPr/>
      </w:pPr>
      <w:r>
        <w:rPr/>
        <w:t>A mature implementation may use different inference mechanisms for different parts of the assessment. For example, one component may use a knowledge graph to identify relevant entities. Another may use probabilistic modeling to estimate risk. Another may use an LLM to summarize evidence. Another may use rules to enforce domain-specific constraints. Another may use human review to resolve contested assumptions.</w:t>
      </w:r>
    </w:p>
    <w:p>
      <w:pPr>
        <w:pStyle w:val="BodyText"/>
        <w:spacing w:before="0" w:after="200"/>
        <w:rPr/>
      </w:pPr>
      <w:r>
        <w:rPr/>
        <w:t>Modular inference allows each component to be improved independently. It also reduces the risk that the entire framework becomes dependent on one AI technique or reasoning paradigm.</w:t>
      </w:r>
    </w:p>
    <w:p>
      <w:pPr>
        <w:pStyle w:val="BodyText"/>
        <w:spacing w:before="0" w:after="200"/>
        <w:rPr/>
      </w:pPr>
      <w:r>
        <w:rPr/>
        <w:t>A modular inference design should preserve traceability. The final Assessment Output should identify which inference components contributed to which intermediate results, what confidence was assigned, what assumptions were used, and what versions of the models or engines were active.</w:t>
      </w:r>
    </w:p>
    <w:p>
      <w:pPr>
        <w:pStyle w:val="Heading3"/>
        <w:ind w:hanging="0" w:left="0"/>
        <w:rPr/>
      </w:pPr>
      <w:r>
        <w:rPr/>
        <w:t>Domain-Specific Ontologies</w:t>
      </w:r>
    </w:p>
    <w:p>
      <w:pPr>
        <w:pStyle w:val="BodyText"/>
        <w:spacing w:before="0" w:after="200"/>
        <w:rPr/>
      </w:pPr>
      <w:r>
        <w:rPr/>
        <w:t>Implementations should support domain-specific ontologies.</w:t>
      </w:r>
    </w:p>
    <w:p>
      <w:pPr>
        <w:pStyle w:val="BodyText"/>
        <w:spacing w:before="0" w:after="200"/>
        <w:rPr/>
      </w:pPr>
      <w:r>
        <w:rPr/>
        <w:t>A domain-specific ontology defines the entities, relationships, roles, state variables, evidence types, objectives, constraints, authority structures, and flourishing dimensions relevant to a particular domain. Medical ethics, law, public policy, robotics, organizational governance, environmental stewardship, and AI safety may each require different domain-specific concepts.</w:t>
      </w:r>
    </w:p>
    <w:p>
      <w:pPr>
        <w:pStyle w:val="BodyText"/>
        <w:spacing w:before="0" w:after="200"/>
        <w:rPr/>
      </w:pPr>
      <w:r>
        <w:rPr/>
        <w:t>For example, a clinical ontology may include patient, clinician, diagnosis, consent, treatment, prognosis, standard of care, risk disclosure, and care team. A legal ontology may include court, statute, precedent, jurisdiction, authority, remedy, duty, right, and due process. An autonomous robotics ontology may include human presence, obstacle, collision risk, task priority, emergency stop, sensor confidence, and physical constraint.</w:t>
      </w:r>
    </w:p>
    <w:p>
      <w:pPr>
        <w:pStyle w:val="BodyText"/>
        <w:spacing w:before="0" w:after="200"/>
        <w:rPr/>
      </w:pPr>
      <w:r>
        <w:rPr/>
        <w:t>Domain-specific ontologies allow implementations to represent context faithfully without changing the Reference Architecture. They specialize the framework for a domain while preserving the underlying elements: Objects, Associations, roles, Objectives, states, transitions, evidence, confidence, and World Context evaluation.</w:t>
      </w:r>
    </w:p>
    <w:p>
      <w:pPr>
        <w:pStyle w:val="Heading3"/>
        <w:ind w:hanging="0" w:left="0"/>
        <w:rPr/>
      </w:pPr>
      <w:r>
        <w:rPr/>
        <w:t>Ontology Extension and Replacement</w:t>
      </w:r>
    </w:p>
    <w:p>
      <w:pPr>
        <w:pStyle w:val="BodyText"/>
        <w:spacing w:before="0" w:after="200"/>
        <w:rPr/>
      </w:pPr>
      <w:r>
        <w:rPr/>
        <w:t>Ontologies should be extensible, replaceable, and versioned.</w:t>
      </w:r>
    </w:p>
    <w:p>
      <w:pPr>
        <w:pStyle w:val="BodyText"/>
        <w:spacing w:before="0" w:after="200"/>
        <w:rPr/>
      </w:pPr>
      <w:r>
        <w:rPr/>
        <w:t>As domains evolve, ontologies may need to add new entity types, Association types, state variables, evidence categories, flourishing dimensions, or policy-state descriptors. Implementations should allow these changes without breaking existing assessments.</w:t>
      </w:r>
    </w:p>
    <w:p>
      <w:pPr>
        <w:pStyle w:val="BodyText"/>
        <w:spacing w:before="0" w:after="200"/>
        <w:rPr/>
      </w:pPr>
      <w:r>
        <w:rPr/>
        <w:t>Ontology extension may include:</w:t>
      </w:r>
    </w:p>
    <w:p>
      <w:pPr>
        <w:pStyle w:val="BodyText"/>
        <w:spacing w:before="0" w:after="200"/>
        <w:rPr/>
      </w:pPr>
      <w:r>
        <w:rPr/>
        <w:t>Adding new Object classifications.</w:t>
      </w:r>
    </w:p>
    <w:p>
      <w:pPr>
        <w:pStyle w:val="BodyText"/>
        <w:spacing w:before="0" w:after="200"/>
        <w:rPr/>
      </w:pPr>
      <w:r>
        <w:rPr/>
        <w:t>Adding new Association types.</w:t>
      </w:r>
    </w:p>
    <w:p>
      <w:pPr>
        <w:pStyle w:val="BodyText"/>
        <w:spacing w:before="0" w:after="200"/>
        <w:rPr/>
      </w:pPr>
      <w:r>
        <w:rPr/>
        <w:t>Adding new contextual roles.</w:t>
      </w:r>
    </w:p>
    <w:p>
      <w:pPr>
        <w:pStyle w:val="BodyText"/>
        <w:spacing w:before="0" w:after="200"/>
        <w:rPr/>
      </w:pPr>
      <w:r>
        <w:rPr/>
        <w:t>Adding new state variables.</w:t>
      </w:r>
    </w:p>
    <w:p>
      <w:pPr>
        <w:pStyle w:val="BodyText"/>
        <w:spacing w:before="0" w:after="200"/>
        <w:rPr/>
      </w:pPr>
      <w:r>
        <w:rPr/>
        <w:t>Adding new evidence types.</w:t>
      </w:r>
    </w:p>
    <w:p>
      <w:pPr>
        <w:pStyle w:val="BodyText"/>
        <w:spacing w:before="0" w:after="200"/>
        <w:rPr/>
      </w:pPr>
      <w:r>
        <w:rPr/>
        <w:t>Adding new domain constraints.</w:t>
      </w:r>
    </w:p>
    <w:p>
      <w:pPr>
        <w:pStyle w:val="BodyText"/>
        <w:spacing w:before="0" w:after="200"/>
        <w:rPr/>
      </w:pPr>
      <w:r>
        <w:rPr/>
        <w:t>Adding new flourishing dimensions.</w:t>
      </w:r>
    </w:p>
    <w:p>
      <w:pPr>
        <w:pStyle w:val="BodyText"/>
        <w:spacing w:before="0" w:after="200"/>
        <w:rPr/>
      </w:pPr>
      <w:r>
        <w:rPr/>
        <w:t>Adding new policy-state variables.</w:t>
      </w:r>
    </w:p>
    <w:p>
      <w:pPr>
        <w:pStyle w:val="BodyText"/>
        <w:spacing w:before="0" w:after="200"/>
        <w:rPr/>
      </w:pPr>
      <w:r>
        <w:rPr/>
        <w:t>Adding new Assessment Horizon refinements.</w:t>
      </w:r>
    </w:p>
    <w:p>
      <w:pPr>
        <w:pStyle w:val="BodyText"/>
        <w:spacing w:before="0" w:after="200"/>
        <w:rPr/>
      </w:pPr>
      <w:r>
        <w:rPr/>
        <w:t>Adding new output metadata.</w:t>
      </w:r>
    </w:p>
    <w:p>
      <w:pPr>
        <w:pStyle w:val="BodyText"/>
        <w:spacing w:before="0" w:after="200"/>
        <w:rPr/>
      </w:pPr>
      <w:r>
        <w:rPr/>
        <w:t>Ontology replacement may be necessary when an early ontology is inadequate, biased, incomplete, or superseded by a more faithful representation. Replacement should be controlled through migration, versioning, compatibility mapping, or explicit discontinuity.</w:t>
      </w:r>
    </w:p>
    <w:p>
      <w:pPr>
        <w:pStyle w:val="BodyText"/>
        <w:spacing w:before="0" w:after="200"/>
        <w:rPr/>
      </w:pPr>
      <w:r>
        <w:rPr/>
        <w:t>A system should record which ontology version was used in each assessment so that prior outputs remain interpretable.</w:t>
      </w:r>
    </w:p>
    <w:p>
      <w:pPr>
        <w:pStyle w:val="Heading3"/>
        <w:ind w:hanging="0" w:left="0"/>
        <w:rPr/>
      </w:pPr>
      <w:r>
        <w:rPr/>
        <w:t>Future Computational Architectures</w:t>
      </w:r>
    </w:p>
    <w:p>
      <w:pPr>
        <w:pStyle w:val="BodyText"/>
        <w:spacing w:before="0" w:after="200"/>
        <w:rPr/>
      </w:pPr>
      <w:r>
        <w:rPr/>
        <w:t>Implementations should be open to future computational architectures.</w:t>
      </w:r>
    </w:p>
    <w:p>
      <w:pPr>
        <w:pStyle w:val="BodyText"/>
        <w:spacing w:before="0" w:after="200"/>
        <w:rPr/>
      </w:pPr>
      <w:r>
        <w:rPr/>
        <w:t>The framework should be implementable by systems that do not yet exist. Future architectures may provide new forms of reasoning, representation, simulation, distributed cognition, human-machine collaboration, neuromorphic computation, quantum computation, formal verification, multi-agent coordination, or artificial moral agency.</w:t>
      </w:r>
    </w:p>
    <w:p>
      <w:pPr>
        <w:pStyle w:val="BodyText"/>
        <w:spacing w:before="0" w:after="200"/>
        <w:rPr/>
      </w:pPr>
      <w:r>
        <w:rPr/>
        <w:t>Implementation Neutrality requires that the Reference Architecture not assume the technical limitations or assumptions of present systems. Extensibility carries this requirement forward into deployment.</w:t>
      </w:r>
    </w:p>
    <w:p>
      <w:pPr>
        <w:pStyle w:val="BodyText"/>
        <w:spacing w:before="0" w:after="200"/>
        <w:rPr/>
      </w:pPr>
      <w:r>
        <w:rPr/>
        <w:t>A future computational architecture should be able to implement the framework if it can preserve:</w:t>
      </w:r>
    </w:p>
    <w:p>
      <w:pPr>
        <w:pStyle w:val="BodyText"/>
        <w:spacing w:before="0" w:after="200"/>
        <w:rPr/>
      </w:pPr>
      <w:r>
        <w:rPr/>
        <w:t>World Context representation.</w:t>
      </w:r>
    </w:p>
    <w:p>
      <w:pPr>
        <w:pStyle w:val="BodyText"/>
        <w:spacing w:before="0" w:after="200"/>
        <w:rPr/>
      </w:pPr>
      <w:r>
        <w:rPr/>
        <w:t>Assessment Boundary application.</w:t>
      </w:r>
    </w:p>
    <w:p>
      <w:pPr>
        <w:pStyle w:val="BodyText"/>
        <w:spacing w:before="0" w:after="200"/>
        <w:rPr/>
      </w:pPr>
      <w:r>
        <w:rPr/>
        <w:t>Object and Association representation.</w:t>
      </w:r>
    </w:p>
    <w:p>
      <w:pPr>
        <w:pStyle w:val="BodyText"/>
        <w:spacing w:before="0" w:after="200"/>
        <w:rPr/>
      </w:pPr>
      <w:r>
        <w:rPr/>
        <w:t>State Representation.</w:t>
      </w:r>
    </w:p>
    <w:p>
      <w:pPr>
        <w:pStyle w:val="BodyText"/>
        <w:spacing w:before="0" w:after="200"/>
        <w:rPr/>
      </w:pPr>
      <w:r>
        <w:rPr/>
        <w:t>State Transition modeling.</w:t>
      </w:r>
    </w:p>
    <w:p>
      <w:pPr>
        <w:pStyle w:val="BodyText"/>
        <w:spacing w:before="0" w:after="200"/>
        <w:rPr/>
      </w:pPr>
      <w:r>
        <w:rPr/>
        <w:t>Long-Term Flourishing estimation.</w:t>
      </w:r>
    </w:p>
    <w:p>
      <w:pPr>
        <w:pStyle w:val="BodyText"/>
        <w:spacing w:before="0" w:after="200"/>
        <w:rPr/>
      </w:pPr>
      <w:r>
        <w:rPr/>
        <w:t>Distributed Policy Update estimation.</w:t>
      </w:r>
    </w:p>
    <w:p>
      <w:pPr>
        <w:pStyle w:val="BodyText"/>
        <w:spacing w:before="0" w:after="200"/>
        <w:rPr/>
      </w:pPr>
      <w:r>
        <w:rPr/>
        <w:t>Probability and confidence handling.</w:t>
      </w:r>
    </w:p>
    <w:p>
      <w:pPr>
        <w:pStyle w:val="BodyText"/>
        <w:spacing w:before="0" w:after="200"/>
        <w:rPr/>
      </w:pPr>
      <w:r>
        <w:rPr/>
        <w:t>Multi-Horizon Assessment.</w:t>
      </w:r>
    </w:p>
    <w:p>
      <w:pPr>
        <w:pStyle w:val="BodyText"/>
        <w:spacing w:before="0" w:after="200"/>
        <w:rPr/>
      </w:pPr>
      <w:r>
        <w:rPr/>
        <w:t>World Context Transition evaluation.</w:t>
      </w:r>
    </w:p>
    <w:p>
      <w:pPr>
        <w:pStyle w:val="BodyText"/>
        <w:spacing w:before="0" w:after="200"/>
        <w:rPr/>
      </w:pPr>
      <w:r>
        <w:rPr/>
        <w:t>Structured Assessment Output.</w:t>
      </w:r>
    </w:p>
    <w:p>
      <w:pPr>
        <w:pStyle w:val="BodyText"/>
        <w:spacing w:before="0" w:after="200"/>
        <w:rPr/>
      </w:pPr>
      <w:r>
        <w:rPr/>
        <w:t>Auditability or equivalent traceability.</w:t>
      </w:r>
    </w:p>
    <w:p>
      <w:pPr>
        <w:pStyle w:val="BodyText"/>
        <w:spacing w:before="0" w:after="200"/>
        <w:rPr/>
      </w:pPr>
      <w:r>
        <w:rPr/>
        <w:t>Future systems may implement these requirements through forms unlike current software. The framework should remain open to that possibility.</w:t>
      </w:r>
    </w:p>
    <w:p>
      <w:pPr>
        <w:pStyle w:val="Heading3"/>
        <w:ind w:hanging="0" w:left="0"/>
        <w:rPr/>
      </w:pPr>
      <w:r>
        <w:rPr/>
        <w:t>Additional Evidence Sources</w:t>
      </w:r>
    </w:p>
    <w:p>
      <w:pPr>
        <w:pStyle w:val="BodyText"/>
        <w:spacing w:before="0" w:after="200"/>
        <w:rPr/>
      </w:pPr>
      <w:r>
        <w:rPr/>
        <w:t>Implementations should support additional evidence sources.</w:t>
      </w:r>
    </w:p>
    <w:p>
      <w:pPr>
        <w:pStyle w:val="BodyText"/>
        <w:spacing w:before="0" w:after="200"/>
        <w:rPr/>
      </w:pPr>
      <w:r>
        <w:rPr/>
        <w:t>Evidence practices change over time. New sensors, databases, institutional records, scientific methods, legal sources, clinical tools, model outputs, simulations, audit logs, and human feedback mechanisms may become available. An implementation should be able to incorporate these sources without changing the Reference Architecture.</w:t>
      </w:r>
    </w:p>
    <w:p>
      <w:pPr>
        <w:pStyle w:val="BodyText"/>
        <w:spacing w:before="0" w:after="200"/>
        <w:rPr/>
      </w:pPr>
      <w:r>
        <w:rPr/>
        <w:t>Additional evidence sources may include:</w:t>
      </w:r>
    </w:p>
    <w:p>
      <w:pPr>
        <w:pStyle w:val="BodyText"/>
        <w:spacing w:before="0" w:after="200"/>
        <w:rPr/>
      </w:pPr>
      <w:r>
        <w:rPr/>
        <w:t>Documents.</w:t>
      </w:r>
    </w:p>
    <w:p>
      <w:pPr>
        <w:pStyle w:val="BodyText"/>
        <w:spacing w:before="0" w:after="200"/>
        <w:rPr/>
      </w:pPr>
      <w:r>
        <w:rPr/>
        <w:t>Expert testimony.</w:t>
      </w:r>
    </w:p>
    <w:p>
      <w:pPr>
        <w:pStyle w:val="BodyText"/>
        <w:spacing w:before="0" w:after="200"/>
        <w:rPr/>
      </w:pPr>
      <w:r>
        <w:rPr/>
        <w:t>Sensor data.</w:t>
      </w:r>
    </w:p>
    <w:p>
      <w:pPr>
        <w:pStyle w:val="BodyText"/>
        <w:spacing w:before="0" w:after="200"/>
        <w:rPr/>
      </w:pPr>
      <w:r>
        <w:rPr/>
        <w:t>Medical records.</w:t>
      </w:r>
    </w:p>
    <w:p>
      <w:pPr>
        <w:pStyle w:val="BodyText"/>
        <w:spacing w:before="0" w:after="200"/>
        <w:rPr/>
      </w:pPr>
      <w:r>
        <w:rPr/>
        <w:t>Legal records.</w:t>
      </w:r>
    </w:p>
    <w:p>
      <w:pPr>
        <w:pStyle w:val="BodyText"/>
        <w:spacing w:before="0" w:after="200"/>
        <w:rPr/>
      </w:pPr>
      <w:r>
        <w:rPr/>
        <w:t>System logs.</w:t>
      </w:r>
    </w:p>
    <w:p>
      <w:pPr>
        <w:pStyle w:val="BodyText"/>
        <w:spacing w:before="0" w:after="200"/>
        <w:rPr/>
      </w:pPr>
      <w:r>
        <w:rPr/>
        <w:t>Model outputs.</w:t>
      </w:r>
    </w:p>
    <w:p>
      <w:pPr>
        <w:pStyle w:val="BodyText"/>
        <w:spacing w:before="0" w:after="200"/>
        <w:rPr/>
      </w:pPr>
      <w:r>
        <w:rPr/>
        <w:t>Scientific literature.</w:t>
      </w:r>
    </w:p>
    <w:p>
      <w:pPr>
        <w:pStyle w:val="BodyText"/>
        <w:spacing w:before="0" w:after="200"/>
        <w:rPr/>
      </w:pPr>
      <w:r>
        <w:rPr/>
        <w:t>Simulation results.</w:t>
      </w:r>
    </w:p>
    <w:p>
      <w:pPr>
        <w:pStyle w:val="BodyText"/>
        <w:spacing w:before="0" w:after="200"/>
        <w:rPr/>
      </w:pPr>
      <w:r>
        <w:rPr/>
        <w:t>Stakeholder feedback.</w:t>
      </w:r>
    </w:p>
    <w:p>
      <w:pPr>
        <w:pStyle w:val="BodyText"/>
        <w:spacing w:before="0" w:after="200"/>
        <w:rPr/>
      </w:pPr>
      <w:r>
        <w:rPr/>
        <w:t>Surveys.</w:t>
      </w:r>
    </w:p>
    <w:p>
      <w:pPr>
        <w:pStyle w:val="BodyText"/>
        <w:spacing w:before="0" w:after="200"/>
        <w:rPr/>
      </w:pPr>
      <w:r>
        <w:rPr/>
        <w:t>Audit trails.</w:t>
      </w:r>
    </w:p>
    <w:p>
      <w:pPr>
        <w:pStyle w:val="BodyText"/>
        <w:spacing w:before="0" w:after="200"/>
        <w:rPr/>
      </w:pPr>
      <w:r>
        <w:rPr/>
        <w:t>Images, video, or spatial data.</w:t>
      </w:r>
    </w:p>
    <w:p>
      <w:pPr>
        <w:pStyle w:val="BodyText"/>
        <w:spacing w:before="0" w:after="200"/>
        <w:rPr/>
      </w:pPr>
      <w:r>
        <w:rPr/>
        <w:t>Institutional records.</w:t>
      </w:r>
    </w:p>
    <w:p>
      <w:pPr>
        <w:pStyle w:val="BodyText"/>
        <w:spacing w:before="0" w:after="200"/>
        <w:rPr/>
      </w:pPr>
      <w:r>
        <w:rPr/>
        <w:t>Historical outcome data.</w:t>
      </w:r>
    </w:p>
    <w:p>
      <w:pPr>
        <w:pStyle w:val="BodyText"/>
        <w:spacing w:before="0" w:after="200"/>
        <w:rPr/>
      </w:pPr>
      <w:r>
        <w:rPr/>
        <w:t>Future evidence formats.</w:t>
      </w:r>
    </w:p>
    <w:p>
      <w:pPr>
        <w:pStyle w:val="BodyText"/>
        <w:spacing w:before="0" w:after="200"/>
        <w:rPr/>
      </w:pPr>
      <w:r>
        <w:rPr/>
        <w:t>New evidence sources should be evaluated by relevance, quality, provenance, completeness, reliability, timeliness, and uncertainty. They should not automatically receive high confidence merely because they are new or technically sophisticated.</w:t>
      </w:r>
    </w:p>
    <w:p>
      <w:pPr>
        <w:pStyle w:val="BodyText"/>
        <w:spacing w:before="0" w:after="200"/>
        <w:rPr/>
      </w:pPr>
      <w:r>
        <w:rPr/>
        <w:t>Extensible evidence ingestion should allow the implementation to improve assessment quality as better evidence becomes available.</w:t>
      </w:r>
    </w:p>
    <w:p>
      <w:pPr>
        <w:pStyle w:val="Heading3"/>
        <w:ind w:hanging="0" w:left="0"/>
        <w:rPr/>
      </w:pPr>
      <w:r>
        <w:rPr/>
        <w:t>Evidence Source Adapters</w:t>
      </w:r>
    </w:p>
    <w:p>
      <w:pPr>
        <w:pStyle w:val="BodyText"/>
        <w:spacing w:before="0" w:after="200"/>
        <w:rPr/>
      </w:pPr>
      <w:r>
        <w:rPr/>
        <w:t>A practical implementation may use evidence source adapters.</w:t>
      </w:r>
    </w:p>
    <w:p>
      <w:pPr>
        <w:pStyle w:val="BodyText"/>
        <w:spacing w:before="0" w:after="200"/>
        <w:rPr/>
      </w:pPr>
      <w:r>
        <w:rPr/>
        <w:t>An evidence source adapter is an implementation component that translates a source of evidence into a form usable by the assessment workflow. It may parse documents, retrieve records, process sensor data, summarize logs, extract entities, assign provenance metadata, estimate reliability, or identify evidence gaps.</w:t>
      </w:r>
    </w:p>
    <w:p>
      <w:pPr>
        <w:pStyle w:val="BodyText"/>
        <w:spacing w:before="0" w:after="200"/>
        <w:rPr/>
      </w:pPr>
      <w:r>
        <w:rPr/>
        <w:t>Adapters allow new evidence sources to be added without changing the core assessment engine. For example, a clinical implementation may add a new medical-record connector. A robotics implementation may add a new sensor type. A legal implementation may add a new case-law database. An AI safety implementation may add new model-evaluation logs.</w:t>
      </w:r>
    </w:p>
    <w:p>
      <w:pPr>
        <w:pStyle w:val="BodyText"/>
        <w:spacing w:before="0" w:after="200"/>
        <w:rPr/>
      </w:pPr>
      <w:r>
        <w:rPr/>
        <w:t>Evidence source adapters should preserve provenance and uncertainty. They should identify where evidence came from, how it was transformed, and what limitations may affect its use.</w:t>
      </w:r>
    </w:p>
    <w:p>
      <w:pPr>
        <w:pStyle w:val="Heading3"/>
        <w:ind w:hanging="0" w:left="0"/>
        <w:rPr/>
      </w:pPr>
      <w:r>
        <w:rPr/>
        <w:t>Extensible Long-Term Flourishing Models</w:t>
      </w:r>
    </w:p>
    <w:p>
      <w:pPr>
        <w:pStyle w:val="BodyText"/>
        <w:spacing w:before="0" w:after="200"/>
        <w:rPr/>
      </w:pPr>
      <w:r>
        <w:rPr/>
        <w:t>Implementations should support refinement of Long-Term Flourishing models.</w:t>
      </w:r>
    </w:p>
    <w:p>
      <w:pPr>
        <w:pStyle w:val="BodyText"/>
        <w:spacing w:before="0" w:after="200"/>
        <w:rPr/>
      </w:pPr>
      <w:r>
        <w:rPr/>
        <w:t>The methodology introduces Long-Term Flourishing as a multidimensional relational state vector, with candidate dimensions such as Persistence, Adaptive Capacity, Future Possibilities, and Constructive Participation. The precise formalization remains open to future refinement.</w:t>
      </w:r>
    </w:p>
    <w:p>
      <w:pPr>
        <w:pStyle w:val="BodyText"/>
        <w:spacing w:before="0" w:after="200"/>
        <w:rPr/>
      </w:pPr>
      <w:r>
        <w:rPr/>
        <w:t>An extensible implementation should allow new flourishing dimensions, entity-specific interpretations, domain-specific flourishing models, revised weighting methods, materiality thresholds, and confidence methods to be added over time.</w:t>
      </w:r>
    </w:p>
    <w:p>
      <w:pPr>
        <w:pStyle w:val="BodyText"/>
        <w:spacing w:before="0" w:after="200"/>
        <w:rPr/>
      </w:pPr>
      <w:r>
        <w:rPr/>
        <w:t>For example, a medical implementation may refine flourishing around health, autonomy, function, pain, prognosis, and care relationships. An ecological implementation may refine flourishing around biodiversity, resilience, regenerative capacity, and ecosystem balance. An AI implementation may refine flourishing around safe agency, corrigibility, alignment stability, and compatibility with human and ecological flourishing.</w:t>
      </w:r>
    </w:p>
    <w:p>
      <w:pPr>
        <w:pStyle w:val="BodyText"/>
        <w:spacing w:before="0" w:after="200"/>
        <w:rPr/>
      </w:pPr>
      <w:r>
        <w:rPr/>
        <w:t>These refinements should remain traceable and versioned so that assessments can be interpreted according to the flourishing model active at the time.</w:t>
      </w:r>
    </w:p>
    <w:p>
      <w:pPr>
        <w:pStyle w:val="Heading3"/>
        <w:ind w:hanging="0" w:left="0"/>
        <w:rPr/>
      </w:pPr>
      <w:r>
        <w:rPr/>
        <w:t>Extensible Policy-Update Models</w:t>
      </w:r>
    </w:p>
    <w:p>
      <w:pPr>
        <w:pStyle w:val="BodyText"/>
        <w:spacing w:before="0" w:after="200"/>
        <w:rPr/>
      </w:pPr>
      <w:r>
        <w:rPr/>
        <w:t>Implementations should support refinement of Distributed Policy Update models.</w:t>
      </w:r>
    </w:p>
    <w:p>
      <w:pPr>
        <w:pStyle w:val="BodyText"/>
        <w:spacing w:before="0" w:after="200"/>
        <w:rPr/>
      </w:pPr>
      <w:r>
        <w:rPr/>
        <w:t>Policy updates may involve human learning, institutional precedent, observer behavior, responder behavior, artificial-system training, incentive structures, cultural norms, and future action-selection tendencies. These processes may be modeled differently across domains and may improve with research.</w:t>
      </w:r>
    </w:p>
    <w:p>
      <w:pPr>
        <w:pStyle w:val="BodyText"/>
        <w:spacing w:before="0" w:after="200"/>
        <w:rPr/>
      </w:pPr>
      <w:r>
        <w:rPr/>
        <w:t>An extensible implementation should allow policy-update models to evolve. It should support new policy-state variables, new propagation models, new evidence sources, new behavioral assumptions, and new confidence methods.</w:t>
      </w:r>
    </w:p>
    <w:p>
      <w:pPr>
        <w:pStyle w:val="BodyText"/>
        <w:spacing w:before="0" w:after="200"/>
        <w:rPr/>
      </w:pPr>
      <w:r>
        <w:rPr/>
        <w:t>For example, an organizational implementation may refine models of culture and incentive change. A legal implementation may refine models of precedent and compliance behavior. An AI implementation may refine models of training feedback, refusal behavior, tool-use behavior, and safety-policy updates.</w:t>
      </w:r>
    </w:p>
    <w:p>
      <w:pPr>
        <w:pStyle w:val="BodyText"/>
        <w:spacing w:before="0" w:after="200"/>
        <w:rPr/>
      </w:pPr>
      <w:r>
        <w:rPr/>
        <w:t>Because policy updates are central to the principle that the ends do not justify the means, implementations should be especially careful to preserve these models and improve them over time rather than omit them for simplicity.</w:t>
      </w:r>
    </w:p>
    <w:p>
      <w:pPr>
        <w:pStyle w:val="Heading3"/>
        <w:ind w:hanging="0" w:left="0"/>
        <w:rPr/>
      </w:pPr>
      <w:r>
        <w:rPr/>
        <w:t>Extensible Output Formats</w:t>
      </w:r>
    </w:p>
    <w:p>
      <w:pPr>
        <w:pStyle w:val="BodyText"/>
        <w:spacing w:before="0" w:after="200"/>
        <w:rPr/>
      </w:pPr>
      <w:r>
        <w:rPr/>
        <w:t>Implementations should support extensible output formats.</w:t>
      </w:r>
    </w:p>
    <w:p>
      <w:pPr>
        <w:pStyle w:val="BodyText"/>
        <w:spacing w:before="0" w:after="200"/>
        <w:rPr/>
      </w:pPr>
      <w:r>
        <w:rPr/>
        <w:t>The methodology requires structured Assessment Output, but it does not prescribe a single file format, schema, visualization, report style, or API response. Different domains and systems may require different outputs.</w:t>
      </w:r>
    </w:p>
    <w:p>
      <w:pPr>
        <w:pStyle w:val="BodyText"/>
        <w:spacing w:before="0" w:after="200"/>
        <w:rPr/>
      </w:pPr>
      <w:r>
        <w:rPr/>
        <w:t>An implementation may produce:</w:t>
      </w:r>
    </w:p>
    <w:p>
      <w:pPr>
        <w:pStyle w:val="BodyText"/>
        <w:spacing w:before="0" w:after="200"/>
        <w:rPr/>
      </w:pPr>
      <w:r>
        <w:rPr/>
        <w:t>Machine-readable assessment artifacts.</w:t>
      </w:r>
    </w:p>
    <w:p>
      <w:pPr>
        <w:pStyle w:val="BodyText"/>
        <w:spacing w:before="0" w:after="200"/>
        <w:rPr/>
      </w:pPr>
      <w:r>
        <w:rPr/>
        <w:t>Human-readable reports.</w:t>
      </w:r>
    </w:p>
    <w:p>
      <w:pPr>
        <w:pStyle w:val="BodyText"/>
        <w:spacing w:before="0" w:after="200"/>
        <w:rPr/>
      </w:pPr>
      <w:r>
        <w:rPr/>
        <w:t>Audit logs.</w:t>
      </w:r>
    </w:p>
    <w:p>
      <w:pPr>
        <w:pStyle w:val="BodyText"/>
        <w:spacing w:before="0" w:after="200"/>
        <w:rPr/>
      </w:pPr>
      <w:r>
        <w:rPr/>
        <w:t>Decision-support flags.</w:t>
      </w:r>
    </w:p>
    <w:p>
      <w:pPr>
        <w:pStyle w:val="BodyText"/>
        <w:spacing w:before="0" w:after="200"/>
        <w:rPr/>
      </w:pPr>
      <w:r>
        <w:rPr/>
        <w:t>Risk dashboards.</w:t>
      </w:r>
    </w:p>
    <w:p>
      <w:pPr>
        <w:pStyle w:val="BodyText"/>
        <w:spacing w:before="0" w:after="200"/>
        <w:rPr/>
      </w:pPr>
      <w:r>
        <w:rPr/>
        <w:t>Legal memoranda.</w:t>
      </w:r>
    </w:p>
    <w:p>
      <w:pPr>
        <w:pStyle w:val="BodyText"/>
        <w:spacing w:before="0" w:after="200"/>
        <w:rPr/>
      </w:pPr>
      <w:r>
        <w:rPr/>
        <w:t>Clinical review summaries.</w:t>
      </w:r>
    </w:p>
    <w:p>
      <w:pPr>
        <w:pStyle w:val="BodyText"/>
        <w:spacing w:before="0" w:after="200"/>
        <w:rPr/>
      </w:pPr>
      <w:r>
        <w:rPr/>
        <w:t>Governance records.</w:t>
      </w:r>
    </w:p>
    <w:p>
      <w:pPr>
        <w:pStyle w:val="BodyText"/>
        <w:spacing w:before="0" w:after="200"/>
        <w:rPr/>
      </w:pPr>
      <w:r>
        <w:rPr/>
        <w:t>Agent-control signals.</w:t>
      </w:r>
    </w:p>
    <w:p>
      <w:pPr>
        <w:pStyle w:val="BodyText"/>
        <w:spacing w:before="0" w:after="200"/>
        <w:rPr/>
      </w:pPr>
      <w:r>
        <w:rPr/>
        <w:t>Regulatory submissions.</w:t>
      </w:r>
    </w:p>
    <w:p>
      <w:pPr>
        <w:pStyle w:val="BodyText"/>
        <w:spacing w:before="0" w:after="200"/>
        <w:rPr/>
      </w:pPr>
      <w:r>
        <w:rPr/>
        <w:t>Simulation reports.</w:t>
      </w:r>
    </w:p>
    <w:p>
      <w:pPr>
        <w:pStyle w:val="BodyText"/>
        <w:spacing w:before="0" w:after="200"/>
        <w:rPr/>
      </w:pPr>
      <w:r>
        <w:rPr/>
        <w:t>Visualization artifacts.</w:t>
      </w:r>
    </w:p>
    <w:p>
      <w:pPr>
        <w:pStyle w:val="BodyText"/>
        <w:spacing w:before="0" w:after="200"/>
        <w:rPr/>
      </w:pPr>
      <w:r>
        <w:rPr/>
        <w:t>Output formats may evolve as downstream systems require new fields, metadata, explanations, or audit structures. Extensible output should preserve the underlying assessment artifact while allowing multiple renderings or integrations.</w:t>
      </w:r>
    </w:p>
    <w:p>
      <w:pPr>
        <w:pStyle w:val="BodyText"/>
        <w:spacing w:before="0" w:after="200"/>
        <w:rPr/>
      </w:pPr>
      <w:r>
        <w:rPr/>
        <w:t>The output format should not alter the assessment. It should present, transmit, or summarize it.</w:t>
      </w:r>
    </w:p>
    <w:p>
      <w:pPr>
        <w:pStyle w:val="Heading3"/>
        <w:ind w:hanging="0" w:left="0"/>
        <w:rPr/>
      </w:pPr>
      <w:r>
        <w:rPr/>
        <w:t>Backward Compatibility and Migration</w:t>
      </w:r>
    </w:p>
    <w:p>
      <w:pPr>
        <w:pStyle w:val="BodyText"/>
        <w:spacing w:before="0" w:after="200"/>
        <w:rPr/>
      </w:pPr>
      <w:r>
        <w:rPr/>
        <w:t>Extensibility requires careful management of backward compatibility and migration.</w:t>
      </w:r>
    </w:p>
    <w:p>
      <w:pPr>
        <w:pStyle w:val="BodyText"/>
        <w:spacing w:before="0" w:after="200"/>
        <w:rPr/>
      </w:pPr>
      <w:r>
        <w:rPr/>
        <w:t>When ontologies, models, evidence adapters, confidence methods, or output schemas change, prior assessments should remain interpretable. A system should not silently reinterpret historical assessments under new definitions unless explicitly performing a revised assessment.</w:t>
      </w:r>
    </w:p>
    <w:p>
      <w:pPr>
        <w:pStyle w:val="BodyText"/>
        <w:spacing w:before="0" w:after="200"/>
        <w:rPr/>
      </w:pPr>
      <w:r>
        <w:rPr/>
        <w:t>Migration may include:</w:t>
      </w:r>
    </w:p>
    <w:p>
      <w:pPr>
        <w:pStyle w:val="BodyText"/>
        <w:spacing w:before="0" w:after="200"/>
        <w:rPr/>
      </w:pPr>
      <w:r>
        <w:rPr/>
        <w:t>Mapping old ontology terms to new terms.</w:t>
      </w:r>
    </w:p>
    <w:p>
      <w:pPr>
        <w:pStyle w:val="BodyText"/>
        <w:spacing w:before="0" w:after="200"/>
        <w:rPr/>
      </w:pPr>
      <w:r>
        <w:rPr/>
        <w:t>Marking deprecated state variables.</w:t>
      </w:r>
    </w:p>
    <w:p>
      <w:pPr>
        <w:pStyle w:val="BodyText"/>
        <w:spacing w:before="0" w:after="200"/>
        <w:rPr/>
      </w:pPr>
      <w:r>
        <w:rPr/>
        <w:t>Translating output schemas.</w:t>
      </w:r>
    </w:p>
    <w:p>
      <w:pPr>
        <w:pStyle w:val="BodyText"/>
        <w:spacing w:before="0" w:after="200"/>
        <w:rPr/>
      </w:pPr>
      <w:r>
        <w:rPr/>
        <w:t>Recomputing confidence under new methods.</w:t>
      </w:r>
    </w:p>
    <w:p>
      <w:pPr>
        <w:pStyle w:val="BodyText"/>
        <w:spacing w:before="0" w:after="200"/>
        <w:rPr/>
      </w:pPr>
      <w:r>
        <w:rPr/>
        <w:t>Reassessing prior cases with updated models.</w:t>
      </w:r>
    </w:p>
    <w:p>
      <w:pPr>
        <w:pStyle w:val="BodyText"/>
        <w:spacing w:before="0" w:after="200"/>
        <w:rPr/>
      </w:pPr>
      <w:r>
        <w:rPr/>
        <w:t>Preserving original assessment artifacts.</w:t>
      </w:r>
    </w:p>
    <w:p>
      <w:pPr>
        <w:pStyle w:val="BodyText"/>
        <w:spacing w:before="0" w:after="200"/>
        <w:rPr/>
      </w:pPr>
      <w:r>
        <w:rPr/>
        <w:t>Recording version changes.</w:t>
      </w:r>
    </w:p>
    <w:p>
      <w:pPr>
        <w:pStyle w:val="BodyText"/>
        <w:spacing w:before="0" w:after="200"/>
        <w:rPr/>
      </w:pPr>
      <w:r>
        <w:rPr/>
        <w:t>Identifying non-comparable assessments.</w:t>
      </w:r>
    </w:p>
    <w:p>
      <w:pPr>
        <w:pStyle w:val="BodyText"/>
        <w:spacing w:before="0" w:after="200"/>
        <w:rPr/>
      </w:pPr>
      <w:r>
        <w:rPr/>
        <w:t>Some changes may be backward compatible. Others may create meaningful discontinuity. The implementation should identify the difference.</w:t>
      </w:r>
    </w:p>
    <w:p>
      <w:pPr>
        <w:pStyle w:val="Heading3"/>
        <w:ind w:hanging="0" w:left="0"/>
        <w:rPr/>
      </w:pPr>
      <w:r>
        <w:rPr/>
        <w:t>Extension Governance</w:t>
      </w:r>
    </w:p>
    <w:p>
      <w:pPr>
        <w:pStyle w:val="BodyText"/>
        <w:spacing w:before="0" w:after="200"/>
        <w:rPr/>
      </w:pPr>
      <w:r>
        <w:rPr/>
        <w:t>Extensions should be governed.</w:t>
      </w:r>
    </w:p>
    <w:p>
      <w:pPr>
        <w:pStyle w:val="BodyText"/>
        <w:spacing w:before="0" w:after="200"/>
        <w:rPr/>
      </w:pPr>
      <w:r>
        <w:rPr/>
        <w:t>A system that allows uncontrolled extension may become inconsistent, insecure, biased, or methodologically incoherent. New ontologies, evidence sources, inference engines, models, and output formats should be reviewed before deployment when they affect assessment quality or high-stakes decisions.</w:t>
      </w:r>
    </w:p>
    <w:p>
      <w:pPr>
        <w:pStyle w:val="BodyText"/>
        <w:spacing w:before="0" w:after="200"/>
        <w:rPr/>
      </w:pPr>
      <w:r>
        <w:rPr/>
        <w:t>Extension governance may define:</w:t>
      </w:r>
    </w:p>
    <w:p>
      <w:pPr>
        <w:pStyle w:val="BodyText"/>
        <w:spacing w:before="0" w:after="200"/>
        <w:rPr/>
      </w:pPr>
      <w:r>
        <w:rPr/>
        <w:t>Who may add extensions.</w:t>
      </w:r>
    </w:p>
    <w:p>
      <w:pPr>
        <w:pStyle w:val="BodyText"/>
        <w:spacing w:before="0" w:after="200"/>
        <w:rPr/>
      </w:pPr>
      <w:r>
        <w:rPr/>
        <w:t>Who may approve extensions.</w:t>
      </w:r>
    </w:p>
    <w:p>
      <w:pPr>
        <w:pStyle w:val="BodyText"/>
        <w:spacing w:before="0" w:after="200"/>
        <w:rPr/>
      </w:pPr>
      <w:r>
        <w:rPr/>
        <w:t>How extensions are tested.</w:t>
      </w:r>
    </w:p>
    <w:p>
      <w:pPr>
        <w:pStyle w:val="BodyText"/>
        <w:spacing w:before="0" w:after="200"/>
        <w:rPr/>
      </w:pPr>
      <w:r>
        <w:rPr/>
        <w:t>How extensions are versioned.</w:t>
      </w:r>
    </w:p>
    <w:p>
      <w:pPr>
        <w:pStyle w:val="BodyText"/>
        <w:spacing w:before="0" w:after="200"/>
        <w:rPr/>
      </w:pPr>
      <w:r>
        <w:rPr/>
        <w:t>How extensions are audited.</w:t>
      </w:r>
    </w:p>
    <w:p>
      <w:pPr>
        <w:pStyle w:val="BodyText"/>
        <w:spacing w:before="0" w:after="200"/>
        <w:rPr/>
      </w:pPr>
      <w:r>
        <w:rPr/>
        <w:t>How extensions are rolled back.</w:t>
      </w:r>
    </w:p>
    <w:p>
      <w:pPr>
        <w:pStyle w:val="BodyText"/>
        <w:spacing w:before="0" w:after="200"/>
        <w:rPr/>
      </w:pPr>
      <w:r>
        <w:rPr/>
        <w:t>How compatibility is verified.</w:t>
      </w:r>
    </w:p>
    <w:p>
      <w:pPr>
        <w:pStyle w:val="BodyText"/>
        <w:spacing w:before="0" w:after="200"/>
        <w:rPr/>
      </w:pPr>
      <w:r>
        <w:rPr/>
        <w:t>How security is reviewed.</w:t>
      </w:r>
    </w:p>
    <w:p>
      <w:pPr>
        <w:pStyle w:val="BodyText"/>
        <w:spacing w:before="0" w:after="200"/>
        <w:rPr/>
      </w:pPr>
      <w:r>
        <w:rPr/>
        <w:t>How methodological fidelity is evaluated.</w:t>
      </w:r>
    </w:p>
    <w:p>
      <w:pPr>
        <w:pStyle w:val="BodyText"/>
        <w:spacing w:before="0" w:after="200"/>
        <w:rPr/>
      </w:pPr>
      <w:r>
        <w:rPr/>
        <w:t>Extension governance is especially important in institutional, legal, medical, autonomous-system, and AI safety deployments.</w:t>
      </w:r>
    </w:p>
    <w:p>
      <w:pPr>
        <w:pStyle w:val="Heading3"/>
        <w:ind w:hanging="0" w:left="0"/>
        <w:rPr/>
      </w:pPr>
      <w:r>
        <w:rPr/>
        <w:t>Extension Validation</w:t>
      </w:r>
    </w:p>
    <w:p>
      <w:pPr>
        <w:pStyle w:val="BodyText"/>
        <w:spacing w:before="0" w:after="200"/>
        <w:rPr/>
      </w:pPr>
      <w:r>
        <w:rPr/>
        <w:t>Extensions should be validated against the Reference Architecture and Moral Assessment Methodology.</w:t>
      </w:r>
    </w:p>
    <w:p>
      <w:pPr>
        <w:pStyle w:val="BodyText"/>
        <w:spacing w:before="0" w:after="200"/>
        <w:rPr/>
      </w:pPr>
      <w:r>
        <w:rPr/>
        <w:t>A new mathematical method, inference engine, ontology, evidence source, or output format should be evaluated by whether it preserves the required assessment structure. It should not omit affected entities, collapse Long-Term Flourishing into an unsupported scalar, ignore Distributed Policy Updates, hide uncertainty, erase horizons, or break traceability.</w:t>
      </w:r>
    </w:p>
    <w:p>
      <w:pPr>
        <w:pStyle w:val="BodyText"/>
        <w:spacing w:before="0" w:after="200"/>
        <w:rPr/>
      </w:pPr>
      <w:r>
        <w:rPr/>
        <w:t>Extension validation should consider:</w:t>
      </w:r>
    </w:p>
    <w:p>
      <w:pPr>
        <w:pStyle w:val="BodyText"/>
        <w:spacing w:before="0" w:after="200"/>
        <w:rPr/>
      </w:pPr>
      <w:r>
        <w:rPr/>
        <w:t>Architectural fidelity.</w:t>
      </w:r>
    </w:p>
    <w:p>
      <w:pPr>
        <w:pStyle w:val="BodyText"/>
        <w:spacing w:before="0" w:after="200"/>
        <w:rPr/>
      </w:pPr>
      <w:r>
        <w:rPr/>
        <w:t>Methodological completeness.</w:t>
      </w:r>
    </w:p>
    <w:p>
      <w:pPr>
        <w:pStyle w:val="BodyText"/>
        <w:spacing w:before="0" w:after="200"/>
        <w:rPr/>
      </w:pPr>
      <w:r>
        <w:rPr/>
        <w:t>Evidence quality.</w:t>
      </w:r>
    </w:p>
    <w:p>
      <w:pPr>
        <w:pStyle w:val="BodyText"/>
        <w:spacing w:before="0" w:after="200"/>
        <w:rPr/>
      </w:pPr>
      <w:r>
        <w:rPr/>
        <w:t>Confidence propagation.</w:t>
      </w:r>
    </w:p>
    <w:p>
      <w:pPr>
        <w:pStyle w:val="BodyText"/>
        <w:spacing w:before="0" w:after="200"/>
        <w:rPr/>
      </w:pPr>
      <w:r>
        <w:rPr/>
        <w:t>Traceability.</w:t>
      </w:r>
    </w:p>
    <w:p>
      <w:pPr>
        <w:pStyle w:val="BodyText"/>
        <w:spacing w:before="0" w:after="200"/>
        <w:rPr/>
      </w:pPr>
      <w:r>
        <w:rPr/>
        <w:t>Security.</w:t>
      </w:r>
    </w:p>
    <w:p>
      <w:pPr>
        <w:pStyle w:val="BodyText"/>
        <w:spacing w:before="0" w:after="200"/>
        <w:rPr/>
      </w:pPr>
      <w:r>
        <w:rPr/>
        <w:t>Bias and failure modes.</w:t>
      </w:r>
    </w:p>
    <w:p>
      <w:pPr>
        <w:pStyle w:val="BodyText"/>
        <w:spacing w:before="0" w:after="200"/>
        <w:rPr/>
      </w:pPr>
      <w:r>
        <w:rPr/>
        <w:t>Domain adequacy.</w:t>
      </w:r>
    </w:p>
    <w:p>
      <w:pPr>
        <w:pStyle w:val="BodyText"/>
        <w:spacing w:before="0" w:after="200"/>
        <w:rPr/>
      </w:pPr>
      <w:r>
        <w:rPr/>
        <w:t>Compatibility with prior assessments.</w:t>
      </w:r>
    </w:p>
    <w:p>
      <w:pPr>
        <w:pStyle w:val="BodyText"/>
        <w:spacing w:before="0" w:after="200"/>
        <w:rPr/>
      </w:pPr>
      <w:r>
        <w:rPr/>
        <w:t>Impact on output interpretation.</w:t>
      </w:r>
    </w:p>
    <w:p>
      <w:pPr>
        <w:pStyle w:val="BodyText"/>
        <w:spacing w:before="0" w:after="200"/>
        <w:rPr/>
      </w:pPr>
      <w:r>
        <w:rPr/>
        <w:t>An extension that improves technical performance but reduces moral fidelity should not be treated as an improvement.</w:t>
      </w:r>
    </w:p>
    <w:p>
      <w:pPr>
        <w:pStyle w:val="Heading3"/>
        <w:ind w:hanging="0" w:left="0"/>
        <w:rPr>
          <w:rFonts w:ascii="Aptos" w:hAnsi="Aptos"/>
          <w:color w:val="auto"/>
        </w:rPr>
      </w:pPr>
      <w:r>
        <w:rPr/>
        <w:t>Common Extensibility Errors</w:t>
      </w:r>
    </w:p>
    <w:p>
      <w:pPr>
        <w:pStyle w:val="BodyText"/>
        <w:spacing w:before="0" w:after="200"/>
        <w:rPr/>
      </w:pPr>
      <w:r>
        <w:rPr/>
        <w:t>Implementations should avoid several common extensibility errors.</w:t>
      </w:r>
    </w:p>
    <w:p>
      <w:pPr>
        <w:pStyle w:val="BodyText"/>
        <w:spacing w:before="0" w:after="200"/>
        <w:rPr/>
      </w:pPr>
      <w:r>
        <w:rPr/>
        <w:t>First, they should avoid hard-coded assumptions that prevent future refinement.</w:t>
      </w:r>
    </w:p>
    <w:p>
      <w:pPr>
        <w:pStyle w:val="BodyText"/>
        <w:spacing w:before="0" w:after="200"/>
        <w:rPr/>
      </w:pPr>
      <w:r>
        <w:rPr/>
        <w:t>Second, they should avoid unversioned ontology changes that make prior assessments ambiguous.</w:t>
      </w:r>
    </w:p>
    <w:p>
      <w:pPr>
        <w:pStyle w:val="BodyText"/>
        <w:spacing w:before="0" w:after="200"/>
        <w:rPr/>
      </w:pPr>
      <w:r>
        <w:rPr/>
        <w:t>Third, they should avoid model substitution without audit records.</w:t>
      </w:r>
    </w:p>
    <w:p>
      <w:pPr>
        <w:pStyle w:val="BodyText"/>
        <w:spacing w:before="0" w:after="200"/>
        <w:rPr/>
      </w:pPr>
      <w:r>
        <w:rPr/>
        <w:t>Fourth, they should avoid evidence-source expansion without provenance and reliability evaluation.</w:t>
      </w:r>
    </w:p>
    <w:p>
      <w:pPr>
        <w:pStyle w:val="BodyText"/>
        <w:spacing w:before="0" w:after="200"/>
        <w:rPr/>
      </w:pPr>
      <w:r>
        <w:rPr/>
        <w:t>Fifth, they should avoid output schema changes that break downstream interpretation.</w:t>
      </w:r>
    </w:p>
    <w:p>
      <w:pPr>
        <w:pStyle w:val="BodyText"/>
        <w:spacing w:before="0" w:after="200"/>
        <w:rPr/>
      </w:pPr>
      <w:r>
        <w:rPr/>
        <w:t>Sixth, they should avoid inference-engine lock-in that makes the framework dependent on one AI technology.</w:t>
      </w:r>
    </w:p>
    <w:p>
      <w:pPr>
        <w:pStyle w:val="BodyText"/>
        <w:spacing w:before="0" w:after="200"/>
        <w:rPr/>
      </w:pPr>
      <w:r>
        <w:rPr/>
        <w:t>Seventh, they should avoid uncontrolled extension that allows inconsistent or unsafe components into high-stakes assessment.</w:t>
      </w:r>
    </w:p>
    <w:p>
      <w:pPr>
        <w:pStyle w:val="BodyText"/>
        <w:spacing w:before="0" w:after="200"/>
        <w:rPr/>
      </w:pPr>
      <w:r>
        <w:rPr/>
        <w:t>Eighth, they should avoid treating implementation extensions as changes to the Reference Architecture.</w:t>
      </w:r>
    </w:p>
    <w:p>
      <w:pPr>
        <w:pStyle w:val="BodyText"/>
        <w:spacing w:before="0" w:after="200"/>
        <w:rPr/>
      </w:pPr>
      <w:r>
        <w:rPr/>
        <w:t>Extensibility should increase capability while preserving coherence.</w:t>
      </w:r>
    </w:p>
    <w:p>
      <w:pPr>
        <w:pStyle w:val="Heading3"/>
        <w:ind w:hanging="0" w:left="0"/>
        <w:rPr/>
      </w:pPr>
      <w:r>
        <w:rPr/>
        <w:t>Extensibility Boundary</w:t>
      </w:r>
    </w:p>
    <w:p>
      <w:pPr>
        <w:pStyle w:val="BodyText"/>
        <w:spacing w:before="0" w:after="200"/>
        <w:rPr/>
      </w:pPr>
      <w:r>
        <w:rPr/>
        <w:t>Extensibility concerns implementation evolution. It does not mean that every implementation may redefine the framework’s core concepts.</w:t>
      </w:r>
    </w:p>
    <w:p>
      <w:pPr>
        <w:pStyle w:val="BodyText"/>
        <w:spacing w:before="0" w:after="200"/>
        <w:rPr/>
      </w:pPr>
      <w:r>
        <w:rPr/>
        <w:t>An implementation may add new mathematical methods, inference engines, ontologies, evidence sources, output formats, or runtime components. It may refine domain-specific representations and improve assessment quality. However, it should still preserve the central structure of the framework: evaluation of an Assessed Action as a transition from World Context₀ to World Context₁, with explicit representation of entities, Associations, Long-Term Flourishing, Distributed Policy Updates, uncertainty, confidence, horizons, and structured output.</w:t>
      </w:r>
    </w:p>
    <w:p>
      <w:pPr>
        <w:pStyle w:val="BodyText"/>
        <w:spacing w:before="0" w:after="200"/>
        <w:rPr/>
      </w:pPr>
      <w:r>
        <w:rPr/>
        <w:t>Extensibility should make the framework more useful over time without dissolving its conceptual identity.</w:t>
      </w:r>
    </w:p>
    <w:p>
      <w:pPr>
        <w:pStyle w:val="BodyText"/>
        <w:spacing w:before="0" w:after="200"/>
        <w:rPr/>
      </w:pPr>
      <w:r>
        <w:rPr/>
        <w:t>The goal is controlled adaptability: implementations should be open to future improvement while remaining faithful to the Reference Architecture and Moral Assessment Methodology.</w:t>
      </w:r>
    </w:p>
    <w:p>
      <w:pPr>
        <w:pStyle w:val="Normal"/>
        <w:widowControl/>
        <w:bidi w:val="0"/>
        <w:spacing w:lineRule="auto" w:line="276"/>
        <w:jc w:val="left"/>
        <w:rPr/>
      </w:pPr>
      <w:r>
        <w:rPr/>
      </w:r>
    </w:p>
    <w:p>
      <w:pPr>
        <w:pStyle w:val="Heading1"/>
        <w:widowControl/>
        <w:numPr>
          <w:ilvl w:val="0"/>
          <w:numId w:val="179"/>
        </w:numPr>
        <w:bidi w:val="0"/>
        <w:spacing w:lineRule="auto" w:line="276"/>
        <w:ind w:hanging="0" w:left="0"/>
        <w:jc w:val="left"/>
        <w:rPr/>
      </w:pPr>
      <w:r>
        <w:rPr/>
        <w:t>Validation, Comparative Analysis, and Future Research</w:t>
      </w:r>
    </w:p>
    <w:p>
      <w:pPr>
        <w:pStyle w:val="Heading2"/>
        <w:ind w:hanging="0" w:left="0"/>
        <w:rPr>
          <w:rFonts w:ascii="Aptos" w:hAnsi="Aptos"/>
          <w:color w:val="auto"/>
        </w:rPr>
      </w:pPr>
      <w:r>
        <w:rPr/>
        <w:t>Summary</w:t>
      </w:r>
    </w:p>
    <w:p>
      <w:pPr>
        <w:pStyle w:val="BodyText"/>
        <w:spacing w:before="0" w:after="200"/>
        <w:rPr/>
      </w:pPr>
      <w:r>
        <w:rPr/>
        <w:t>This section evaluates the proposed Objective-Based Systems Ethics framework through structured comparison, internal conformance analysis, critical examination, and identification of future research needs. Its purpose is not to establish the framework’s validity merely by contrasting it with established ethical traditions, nor to claim that those traditions can be reduced to a single computational model. Rather, the analysis clarifies the framework’s intellectual relationships, exposes its normative and methodological assumptions, tests its coherence and completeness, and identifies opportunities for refinement or integration.</w:t>
      </w:r>
    </w:p>
    <w:p>
      <w:pPr>
        <w:pStyle w:val="BodyText"/>
        <w:spacing w:before="0" w:after="200"/>
        <w:rPr/>
      </w:pPr>
      <w:r>
        <w:rPr/>
        <w:t>Each selected ethical framework will be examined using a consistent analytical structure. The analysis will identify its principal experts, foundational assumptions, relationship to the proposed framework, concepts adopted or adapted, significant similarities and differences, and potential opportunities for integration. Particular attention will be given to how each framework defines the object of moral assessment and how its central concerns—such as consequences, duties, virtues, rights, relationships, social agreements, natural purposes, or systemic effects—relate to World Context Transitions, Long-Term Flourishing, Distributed Policy Effects, multiple Assessment Horizons, and explicit uncertainty.</w:t>
      </w:r>
    </w:p>
    <w:p>
      <w:pPr>
        <w:pStyle w:val="BodyText"/>
        <w:spacing w:before="0" w:after="200"/>
        <w:rPr/>
      </w:pPr>
      <w:r>
        <w:rPr/>
        <w:t>The comparative analysis will be followed by anticipated counterarguments developed from the perspective of each ethical tradition. These critiques will test the proposed framework on terms meaningful to the tradition raising the objection. Responses will identify relevant assumptions, explain how the architecture addresses them, explore the incremental questions that remain, and explicitly record unresolved issues. The framework will also be evaluated against its own Design Principles to determine whether its definitions, methodology, and Reference Architecture satisfy their stated requirements and to identify any internal inconsistencies or deficiencies.</w:t>
      </w:r>
    </w:p>
    <w:p>
      <w:pPr>
        <w:pStyle w:val="BodyText"/>
        <w:spacing w:before="0" w:after="200"/>
        <w:rPr/>
      </w:pPr>
      <w:r>
        <w:rPr/>
        <w:t>Finally, this section documents known limitations and establishes a future research agenda. Areas of concern include the formal definition and measurement of Long-Term Flourishing, selection of World Context and assessment boundaries, computational complexity, incomplete or biased information, prediction uncertainty, and scalability. Each limitation will be considered in terms of its potential exposure, practical consequences, possible mitigations, required research, and residual risk. Open research questions will guide further formalization, empirical validation, alternative mathematical representations, improved stochastic assessment, representation of World Context, and analysis of Distributed Policy Effects. Collectively, these activities position the framework as a transparent and evolving computational reference architecture whose strengths, dependencies, limitations, and unresolved questions remain open to inspection and revision.</w:t>
      </w:r>
    </w:p>
    <w:p>
      <w:pPr>
        <w:pStyle w:val="Heading2"/>
        <w:ind w:hanging="0" w:left="0"/>
        <w:rPr/>
      </w:pPr>
      <w:r>
        <w:rPr/>
        <w:t>Comparison with Existing Ethical Frameworks</w:t>
      </w:r>
    </w:p>
    <w:p>
      <w:pPr>
        <w:pStyle w:val="BodyText"/>
        <w:widowControl/>
        <w:bidi w:val="0"/>
        <w:spacing w:lineRule="auto" w:line="276" w:before="0" w:after="200"/>
        <w:jc w:val="left"/>
        <w:rPr/>
      </w:pPr>
      <w:r>
        <w:rPr/>
        <w:t>This section compares the proposed Objective-Based Systems Ethics framework with established ethical traditions to clarify its intellectual foundations, distinctive contributions, and areas of convergence or disagreement. Each comparison examines the tradition’s principal experts and core assumptions, identifies concepts adopted or adapted by this framework, and evaluates important similarities, differences, and potential opportunities for integration. The purpose is not to declare one framework superior, but to position the proposed architecture within the broader field of moral philosophy and identify how established ethical insights may strengthen its development.</w:t>
      </w:r>
    </w:p>
    <w:p>
      <w:pPr>
        <w:pStyle w:val="BodyText"/>
        <w:widowControl/>
        <w:bidi w:val="0"/>
        <w:spacing w:lineRule="auto" w:line="276" w:before="0" w:after="200"/>
        <w:jc w:val="left"/>
        <w:rPr/>
      </w:pPr>
      <w:r>
        <w:rPr/>
        <w:t>Each system of ethics are evaluated on the following topics:</w:t>
      </w:r>
    </w:p>
    <w:p>
      <w:pPr>
        <w:pStyle w:val="ListBullet"/>
        <w:numPr>
          <w:ilvl w:val="0"/>
          <w:numId w:val="2"/>
        </w:numPr>
        <w:rPr/>
      </w:pPr>
      <w:r>
        <w:rPr/>
        <w:t>Primary expert(s), include list of names, years born and died (if relevant) and their Associated institution</w:t>
      </w:r>
    </w:p>
    <w:p>
      <w:pPr>
        <w:pStyle w:val="ListBullet"/>
        <w:numPr>
          <w:ilvl w:val="0"/>
          <w:numId w:val="2"/>
        </w:numPr>
        <w:rPr/>
      </w:pPr>
      <w:r>
        <w:rPr/>
        <w:t>Core assumptions</w:t>
      </w:r>
    </w:p>
    <w:p>
      <w:pPr>
        <w:pStyle w:val="ListBullet"/>
        <w:numPr>
          <w:ilvl w:val="0"/>
          <w:numId w:val="2"/>
        </w:numPr>
        <w:rPr/>
      </w:pPr>
      <w:r>
        <w:rPr/>
        <w:t>Relationship to this framework</w:t>
      </w:r>
    </w:p>
    <w:p>
      <w:pPr>
        <w:pStyle w:val="ListBullet"/>
        <w:numPr>
          <w:ilvl w:val="0"/>
          <w:numId w:val="2"/>
        </w:numPr>
        <w:rPr/>
      </w:pPr>
      <w:r>
        <w:rPr/>
        <w:t>Concepts adopted or adapted by this framework</w:t>
      </w:r>
    </w:p>
    <w:p>
      <w:pPr>
        <w:pStyle w:val="ListBullet"/>
        <w:numPr>
          <w:ilvl w:val="0"/>
          <w:numId w:val="2"/>
        </w:numPr>
        <w:rPr/>
      </w:pPr>
      <w:r>
        <w:rPr/>
        <w:t>Similarities</w:t>
      </w:r>
    </w:p>
    <w:p>
      <w:pPr>
        <w:pStyle w:val="ListBullet"/>
        <w:numPr>
          <w:ilvl w:val="0"/>
          <w:numId w:val="2"/>
        </w:numPr>
        <w:rPr/>
      </w:pPr>
      <w:r>
        <w:rPr/>
        <w:t>Differences</w:t>
      </w:r>
    </w:p>
    <w:p>
      <w:pPr>
        <w:pStyle w:val="ListBullet"/>
        <w:numPr>
          <w:ilvl w:val="0"/>
          <w:numId w:val="2"/>
        </w:numPr>
        <w:rPr/>
      </w:pPr>
      <w:r>
        <w:rPr/>
        <w:t>Potential integration opportunities</w:t>
      </w:r>
    </w:p>
    <w:p>
      <w:pPr>
        <w:pStyle w:val="Heading3"/>
        <w:ind w:hanging="0" w:left="0"/>
        <w:rPr/>
      </w:pPr>
      <w:r>
        <w:rPr/>
        <w:t>Utilitarianism</w:t>
      </w:r>
    </w:p>
    <w:p>
      <w:pPr>
        <w:pStyle w:val="BodyText"/>
        <w:spacing w:before="0" w:after="200"/>
        <w:rPr/>
      </w:pPr>
      <w:r>
        <w:rPr/>
        <w:t xml:space="preserve">Utilitarianism is a family of consequentialist ethical theories holding that the moral quality of an action, policy, rule, or institution depends principally on the value of its consequences. Classical utilitarianism generally identifies that value with aggregate happiness or welfare and directs Moral Agents to select the available alternative expected to produce the greatest net benefit. Contemporary variants differ over what constitutes welfare, whose welfare counts, how it should be aggregated, and whether individual actions or generally adopted rules should be evaluated. </w:t>
      </w:r>
    </w:p>
    <w:p>
      <w:pPr>
        <w:pStyle w:val="Heading4"/>
        <w:ind w:hanging="0" w:left="0"/>
        <w:rPr>
          <w:rFonts w:ascii="Aptos" w:hAnsi="Aptos"/>
          <w:color w:val="auto"/>
        </w:rPr>
      </w:pPr>
      <w:r>
        <w:rPr/>
        <w:t>Primary Experts</w:t>
      </w:r>
    </w:p>
    <w:tbl>
      <w:tblPr>
        <w:tblW w:w="8640" w:type="dxa"/>
        <w:jc w:val="left"/>
        <w:tblInd w:w="28" w:type="dxa"/>
        <w:tblLayout w:type="fixed"/>
        <w:tblCellMar>
          <w:top w:w="28" w:type="dxa"/>
          <w:left w:w="28" w:type="dxa"/>
          <w:bottom w:w="28" w:type="dxa"/>
          <w:right w:w="28" w:type="dxa"/>
        </w:tblCellMar>
      </w:tblPr>
      <w:tblGrid>
        <w:gridCol w:w="1105"/>
        <w:gridCol w:w="1143"/>
        <w:gridCol w:w="2338"/>
        <w:gridCol w:w="4054"/>
      </w:tblGrid>
      <w:tr>
        <w:trPr>
          <w:tblHeader w:val="true"/>
        </w:trPr>
        <w:tc>
          <w:tcPr>
            <w:tcW w:w="1105" w:type="dxa"/>
            <w:tcBorders/>
            <w:vAlign w:val="center"/>
          </w:tcPr>
          <w:p>
            <w:pPr>
              <w:pStyle w:val="TableHeading"/>
              <w:suppressLineNumbers/>
              <w:spacing w:before="0" w:after="200"/>
              <w:jc w:val="center"/>
              <w:rPr/>
            </w:pPr>
            <w:r>
              <w:rPr/>
              <w:t>Expert</w:t>
            </w:r>
          </w:p>
        </w:tc>
        <w:tc>
          <w:tcPr>
            <w:tcW w:w="1143" w:type="dxa"/>
            <w:tcBorders/>
            <w:vAlign w:val="center"/>
          </w:tcPr>
          <w:p>
            <w:pPr>
              <w:pStyle w:val="TableHeading"/>
              <w:spacing w:before="0" w:after="200"/>
              <w:jc w:val="right"/>
              <w:rPr/>
            </w:pPr>
            <w:r>
              <w:rPr/>
              <w:t>Life</w:t>
            </w:r>
          </w:p>
        </w:tc>
        <w:tc>
          <w:tcPr>
            <w:tcW w:w="2338" w:type="dxa"/>
            <w:tcBorders/>
            <w:vAlign w:val="center"/>
          </w:tcPr>
          <w:p>
            <w:pPr>
              <w:pStyle w:val="TableHeading"/>
              <w:suppressLineNumbers/>
              <w:spacing w:before="0" w:after="200"/>
              <w:jc w:val="center"/>
              <w:rPr/>
            </w:pPr>
            <w:r>
              <w:rPr/>
              <w:t>Associated institution</w:t>
            </w:r>
          </w:p>
        </w:tc>
        <w:tc>
          <w:tcPr>
            <w:tcW w:w="4054" w:type="dxa"/>
            <w:tcBorders/>
            <w:vAlign w:val="center"/>
          </w:tcPr>
          <w:p>
            <w:pPr>
              <w:pStyle w:val="TableHeading"/>
              <w:suppressLineNumbers/>
              <w:spacing w:before="0" w:after="200"/>
              <w:jc w:val="center"/>
              <w:rPr/>
            </w:pPr>
            <w:r>
              <w:rPr/>
              <w:t>Principal contribution</w:t>
            </w:r>
          </w:p>
        </w:tc>
      </w:tr>
      <w:tr>
        <w:trPr/>
        <w:tc>
          <w:tcPr>
            <w:tcW w:w="1105" w:type="dxa"/>
            <w:tcBorders/>
            <w:vAlign w:val="center"/>
          </w:tcPr>
          <w:p>
            <w:pPr>
              <w:pStyle w:val="TableContents"/>
              <w:widowControl w:val="false"/>
              <w:suppressLineNumbers/>
              <w:spacing w:before="0" w:after="200"/>
              <w:rPr/>
            </w:pPr>
            <w:r>
              <w:rPr/>
              <w:t>Jeremy Bentham</w:t>
            </w:r>
          </w:p>
        </w:tc>
        <w:tc>
          <w:tcPr>
            <w:tcW w:w="1143" w:type="dxa"/>
            <w:tcBorders/>
            <w:vAlign w:val="center"/>
          </w:tcPr>
          <w:p>
            <w:pPr>
              <w:pStyle w:val="TableContents"/>
              <w:spacing w:before="0" w:after="200"/>
              <w:jc w:val="right"/>
              <w:rPr/>
            </w:pPr>
            <w:r>
              <w:rPr/>
              <w:t>1748–1832</w:t>
            </w:r>
          </w:p>
        </w:tc>
        <w:tc>
          <w:tcPr>
            <w:tcW w:w="2338" w:type="dxa"/>
            <w:tcBorders/>
            <w:vAlign w:val="center"/>
          </w:tcPr>
          <w:p>
            <w:pPr>
              <w:pStyle w:val="TableContents"/>
              <w:widowControl w:val="false"/>
              <w:suppressLineNumbers/>
              <w:spacing w:before="0" w:after="200"/>
              <w:rPr/>
            </w:pPr>
            <w:r>
              <w:rPr/>
              <w:t>University College London—intellectual or “spiritual” founder; UCL houses the Bentham Project and principal collection of his papers</w:t>
            </w:r>
          </w:p>
        </w:tc>
        <w:tc>
          <w:tcPr>
            <w:tcW w:w="4054" w:type="dxa"/>
            <w:tcBorders/>
            <w:vAlign w:val="center"/>
          </w:tcPr>
          <w:p>
            <w:pPr>
              <w:pStyle w:val="TableContents"/>
              <w:widowControl w:val="false"/>
              <w:suppressLineNumbers/>
              <w:spacing w:before="0" w:after="200"/>
              <w:rPr/>
            </w:pPr>
            <w:r>
              <w:rPr/>
              <w:t xml:space="preserve">Founder of classical utilitarianism. Bentham proposed evaluating actions and laws according to their tendency to increase pleasure and reduce pain, supported by a systematic “felicific” or hedonic calculus. </w:t>
            </w:r>
            <w:hyperlink r:id="rId3">
              <w:r>
                <w:rPr>
                  <w:rStyle w:val="Hyperlink"/>
                </w:rPr>
                <w:t>UCL Bentham Project</w:t>
              </w:r>
            </w:hyperlink>
          </w:p>
        </w:tc>
      </w:tr>
      <w:tr>
        <w:trPr/>
        <w:tc>
          <w:tcPr>
            <w:tcW w:w="1105" w:type="dxa"/>
            <w:tcBorders/>
            <w:vAlign w:val="center"/>
          </w:tcPr>
          <w:p>
            <w:pPr>
              <w:pStyle w:val="TableContents"/>
              <w:widowControl w:val="false"/>
              <w:suppressLineNumbers/>
              <w:spacing w:before="0" w:after="200"/>
              <w:rPr/>
            </w:pPr>
            <w:r>
              <w:rPr/>
              <w:t>John Stuart Mill</w:t>
            </w:r>
          </w:p>
        </w:tc>
        <w:tc>
          <w:tcPr>
            <w:tcW w:w="1143" w:type="dxa"/>
            <w:tcBorders/>
            <w:vAlign w:val="center"/>
          </w:tcPr>
          <w:p>
            <w:pPr>
              <w:pStyle w:val="TableContents"/>
              <w:spacing w:before="0" w:after="200"/>
              <w:jc w:val="right"/>
              <w:rPr/>
            </w:pPr>
            <w:r>
              <w:rPr/>
              <w:t>1806–1873</w:t>
            </w:r>
          </w:p>
        </w:tc>
        <w:tc>
          <w:tcPr>
            <w:tcW w:w="2338" w:type="dxa"/>
            <w:tcBorders/>
            <w:vAlign w:val="center"/>
          </w:tcPr>
          <w:p>
            <w:pPr>
              <w:pStyle w:val="TableContents"/>
              <w:widowControl w:val="false"/>
              <w:suppressLineNumbers/>
              <w:spacing w:before="0" w:after="200"/>
              <w:rPr/>
            </w:pPr>
            <w:r>
              <w:rPr/>
              <w:t>University of St Andrews—Rector, 1865–1868</w:t>
            </w:r>
          </w:p>
        </w:tc>
        <w:tc>
          <w:tcPr>
            <w:tcW w:w="4054" w:type="dxa"/>
            <w:tcBorders/>
            <w:vAlign w:val="center"/>
          </w:tcPr>
          <w:p>
            <w:pPr>
              <w:pStyle w:val="TableContents"/>
              <w:widowControl w:val="false"/>
              <w:suppressLineNumbers/>
              <w:spacing w:before="0" w:after="200"/>
              <w:rPr/>
            </w:pPr>
            <w:r>
              <w:rPr/>
              <w:t xml:space="preserve">Developed a more differentiated form of utilitarianism that distinguished qualitatively higher and lower pleasures and connected utility with liberty, individuality, justice, and institutional development. </w:t>
            </w:r>
            <w:hyperlink r:id="rId4">
              <w:r>
                <w:rPr>
                  <w:rStyle w:val="Hyperlink"/>
                </w:rPr>
                <w:t>Stanford Encyclopedia of Philosophy</w:t>
              </w:r>
            </w:hyperlink>
            <w:r>
              <w:rPr/>
              <w:t xml:space="preserve">, </w:t>
            </w:r>
            <w:hyperlink r:id="rId5">
              <w:r>
                <w:rPr>
                  <w:rStyle w:val="Hyperlink"/>
                </w:rPr>
                <w:t>University of St Andrews</w:t>
              </w:r>
            </w:hyperlink>
          </w:p>
        </w:tc>
      </w:tr>
      <w:tr>
        <w:trPr/>
        <w:tc>
          <w:tcPr>
            <w:tcW w:w="1105" w:type="dxa"/>
            <w:tcBorders/>
            <w:vAlign w:val="center"/>
          </w:tcPr>
          <w:p>
            <w:pPr>
              <w:pStyle w:val="TableContents"/>
              <w:widowControl w:val="false"/>
              <w:suppressLineNumbers/>
              <w:spacing w:before="0" w:after="200"/>
              <w:rPr/>
            </w:pPr>
            <w:r>
              <w:rPr/>
              <w:t>Henry Sidgwick</w:t>
            </w:r>
          </w:p>
        </w:tc>
        <w:tc>
          <w:tcPr>
            <w:tcW w:w="1143" w:type="dxa"/>
            <w:tcBorders/>
            <w:vAlign w:val="center"/>
          </w:tcPr>
          <w:p>
            <w:pPr>
              <w:pStyle w:val="TableContents"/>
              <w:spacing w:before="0" w:after="200"/>
              <w:jc w:val="right"/>
              <w:rPr/>
            </w:pPr>
            <w:r>
              <w:rPr/>
              <w:t>1838–1900</w:t>
            </w:r>
          </w:p>
        </w:tc>
        <w:tc>
          <w:tcPr>
            <w:tcW w:w="2338" w:type="dxa"/>
            <w:tcBorders/>
            <w:vAlign w:val="center"/>
          </w:tcPr>
          <w:p>
            <w:pPr>
              <w:pStyle w:val="TableContents"/>
              <w:widowControl w:val="false"/>
              <w:suppressLineNumbers/>
              <w:spacing w:before="0" w:after="200"/>
              <w:rPr/>
            </w:pPr>
            <w:r>
              <w:rPr/>
              <w:t>University of Cambridge and Trinity College—Knightbridge Professor of Moral Philosophy and Fellow of Trinity</w:t>
            </w:r>
          </w:p>
        </w:tc>
        <w:tc>
          <w:tcPr>
            <w:tcW w:w="4054" w:type="dxa"/>
            <w:tcBorders/>
            <w:vAlign w:val="center"/>
          </w:tcPr>
          <w:p>
            <w:pPr>
              <w:pStyle w:val="TableContents"/>
              <w:widowControl w:val="false"/>
              <w:suppressLineNumbers/>
              <w:spacing w:before="0" w:after="200"/>
              <w:rPr/>
            </w:pPr>
            <w:r>
              <w:rPr/>
              <w:t xml:space="preserve">Produced one of the most systematic philosophical treatments of utilitarianism in </w:t>
            </w:r>
            <w:r>
              <w:rPr>
                <w:rStyle w:val="Emphasis"/>
              </w:rPr>
              <w:t>The Methods of Ethics</w:t>
            </w:r>
            <w:r>
              <w:rPr/>
              <w:t xml:space="preserve">. Sidgwick emphasized impartial rational benevolence and the equal moral importance of each person’s good. </w:t>
            </w:r>
            <w:hyperlink r:id="rId6">
              <w:r>
                <w:rPr>
                  <w:rStyle w:val="Hyperlink"/>
                </w:rPr>
                <w:t>Trinity College, Cambridge</w:t>
              </w:r>
            </w:hyperlink>
            <w:r>
              <w:rPr/>
              <w:t xml:space="preserve">, </w:t>
            </w:r>
            <w:hyperlink r:id="rId7">
              <w:r>
                <w:rPr>
                  <w:rStyle w:val="Hyperlink"/>
                </w:rPr>
                <w:t>Stanford Encyclopedia of Philosophy</w:t>
              </w:r>
            </w:hyperlink>
          </w:p>
        </w:tc>
      </w:tr>
      <w:tr>
        <w:trPr/>
        <w:tc>
          <w:tcPr>
            <w:tcW w:w="1105" w:type="dxa"/>
            <w:tcBorders/>
            <w:vAlign w:val="center"/>
          </w:tcPr>
          <w:p>
            <w:pPr>
              <w:pStyle w:val="TableContents"/>
              <w:widowControl w:val="false"/>
              <w:suppressLineNumbers/>
              <w:spacing w:before="0" w:after="200"/>
              <w:rPr/>
            </w:pPr>
            <w:r>
              <w:rPr/>
              <w:t>Peter Singer</w:t>
            </w:r>
          </w:p>
        </w:tc>
        <w:tc>
          <w:tcPr>
            <w:tcW w:w="1143" w:type="dxa"/>
            <w:tcBorders/>
            <w:vAlign w:val="center"/>
          </w:tcPr>
          <w:p>
            <w:pPr>
              <w:pStyle w:val="TableContents"/>
              <w:spacing w:before="0" w:after="200"/>
              <w:jc w:val="right"/>
              <w:rPr/>
            </w:pPr>
            <w:r>
              <w:rPr/>
              <w:t>Born 1946</w:t>
            </w:r>
          </w:p>
        </w:tc>
        <w:tc>
          <w:tcPr>
            <w:tcW w:w="2338" w:type="dxa"/>
            <w:tcBorders/>
            <w:vAlign w:val="center"/>
          </w:tcPr>
          <w:p>
            <w:pPr>
              <w:pStyle w:val="TableContents"/>
              <w:widowControl w:val="false"/>
              <w:suppressLineNumbers/>
              <w:spacing w:before="0" w:after="200"/>
              <w:rPr/>
            </w:pPr>
            <w:r>
              <w:rPr/>
              <w:t>Princeton University—Ira W. DeCamp Professor Emeritus of Bioethics, University Center for Human Values</w:t>
            </w:r>
          </w:p>
        </w:tc>
        <w:tc>
          <w:tcPr>
            <w:tcW w:w="4054" w:type="dxa"/>
            <w:tcBorders/>
            <w:vAlign w:val="center"/>
          </w:tcPr>
          <w:p>
            <w:pPr>
              <w:pStyle w:val="TableContents"/>
              <w:widowControl w:val="false"/>
              <w:suppressLineNumbers/>
              <w:spacing w:before="0" w:after="200"/>
              <w:rPr/>
            </w:pPr>
            <w:r>
              <w:rPr/>
              <w:t xml:space="preserve">Extended utilitarian reasoning into applied ethics, particularly animal welfare, global poverty, bioethics, and the equal consideration of comparable interests across species. </w:t>
            </w:r>
            <w:hyperlink r:id="rId8">
              <w:r>
                <w:rPr>
                  <w:rStyle w:val="Hyperlink"/>
                </w:rPr>
                <w:t>Princeton University</w:t>
              </w:r>
            </w:hyperlink>
          </w:p>
        </w:tc>
      </w:tr>
    </w:tbl>
    <w:p>
      <w:pPr>
        <w:pStyle w:val="Heading4"/>
        <w:ind w:hanging="0" w:left="0"/>
        <w:rPr>
          <w:rFonts w:ascii="Aptos" w:hAnsi="Aptos"/>
          <w:color w:val="auto"/>
        </w:rPr>
      </w:pPr>
      <w:r>
        <w:rPr/>
        <w:t>Core Assumptions</w:t>
      </w:r>
    </w:p>
    <w:p>
      <w:pPr>
        <w:pStyle w:val="BodyText"/>
        <w:numPr>
          <w:ilvl w:val="0"/>
          <w:numId w:val="25"/>
        </w:numPr>
        <w:tabs>
          <w:tab w:val="clear" w:pos="720"/>
          <w:tab w:val="left" w:pos="0" w:leader="none"/>
        </w:tabs>
        <w:spacing w:before="0" w:after="200"/>
        <w:ind w:hanging="283" w:left="709"/>
        <w:rPr/>
      </w:pPr>
      <w:r>
        <w:rPr>
          <w:rStyle w:val="Strong"/>
        </w:rPr>
        <w:t>Consequentialism:</w:t>
      </w:r>
      <w:r>
        <w:rPr/>
        <w:t xml:space="preserve"> The moral status of an action depends on the goodness or badness of its consequences rather than primarily on the action’s conformity to a duty, the Actor’s character, or the intrinsic nature of the means employed.</w:t>
      </w:r>
    </w:p>
    <w:p>
      <w:pPr>
        <w:pStyle w:val="BodyText"/>
        <w:numPr>
          <w:ilvl w:val="0"/>
          <w:numId w:val="25"/>
        </w:numPr>
        <w:tabs>
          <w:tab w:val="clear" w:pos="720"/>
          <w:tab w:val="left" w:pos="0" w:leader="none"/>
        </w:tabs>
        <w:spacing w:before="0" w:after="200"/>
        <w:ind w:hanging="283" w:left="709"/>
        <w:rPr/>
      </w:pPr>
      <w:r>
        <w:rPr>
          <w:rStyle w:val="Strong"/>
        </w:rPr>
        <w:t>Welfarism:</w:t>
      </w:r>
      <w:r>
        <w:rPr/>
        <w:t xml:space="preserve"> Consequences are evaluated according to their effects on welfare. Classical utilitarians generally understood welfare in terms of pleasure and the absence of pain. Later theories may use preference satisfaction, interests, informed preferences, or broader accounts of well-being.</w:t>
      </w:r>
    </w:p>
    <w:p>
      <w:pPr>
        <w:pStyle w:val="BodyText"/>
        <w:numPr>
          <w:ilvl w:val="0"/>
          <w:numId w:val="25"/>
        </w:numPr>
        <w:tabs>
          <w:tab w:val="clear" w:pos="720"/>
          <w:tab w:val="left" w:pos="0" w:leader="none"/>
        </w:tabs>
        <w:spacing w:before="0" w:after="200"/>
        <w:ind w:hanging="283" w:left="709"/>
        <w:rPr/>
      </w:pPr>
      <w:r>
        <w:rPr>
          <w:rStyle w:val="Strong"/>
        </w:rPr>
        <w:t>Impartiality:</w:t>
      </w:r>
      <w:r>
        <w:rPr/>
        <w:t xml:space="preserve"> Comparable interests receive comparable consideration regardless of whose interests they are. An Actor’s welfare does not receive greater moral weight merely because it belongs to the Actor. Mill’s utilitarianism was notably universal and egalitarian in this respect. </w:t>
      </w:r>
      <w:hyperlink r:id="rId9">
        <w:r>
          <w:rPr>
            <w:rStyle w:val="Hyperlink"/>
          </w:rPr>
          <w:t>Stanford Encyclopedia of Philosophy</w:t>
        </w:r>
      </w:hyperlink>
    </w:p>
    <w:p>
      <w:pPr>
        <w:pStyle w:val="BodyText"/>
        <w:numPr>
          <w:ilvl w:val="0"/>
          <w:numId w:val="25"/>
        </w:numPr>
        <w:tabs>
          <w:tab w:val="clear" w:pos="720"/>
          <w:tab w:val="left" w:pos="0" w:leader="none"/>
        </w:tabs>
        <w:spacing w:before="0" w:after="200"/>
        <w:ind w:hanging="283" w:left="709"/>
        <w:rPr/>
      </w:pPr>
      <w:r>
        <w:rPr>
          <w:rStyle w:val="Strong"/>
        </w:rPr>
        <w:t>Aggregation:</w:t>
      </w:r>
      <w:r>
        <w:rPr/>
        <w:t xml:space="preserve"> The benefits and harms experienced by affected entities may be combined to evaluate the overall outcome. Classical utilitarianism commonly aggregates welfare across individuals, although total, average, prioritarian, and distribution-sensitive formulations produce different conclusions.</w:t>
      </w:r>
    </w:p>
    <w:p>
      <w:pPr>
        <w:pStyle w:val="BodyText"/>
        <w:numPr>
          <w:ilvl w:val="0"/>
          <w:numId w:val="25"/>
        </w:numPr>
        <w:tabs>
          <w:tab w:val="clear" w:pos="720"/>
          <w:tab w:val="left" w:pos="0" w:leader="none"/>
        </w:tabs>
        <w:spacing w:before="0" w:after="200"/>
        <w:ind w:hanging="283" w:left="709"/>
        <w:rPr/>
      </w:pPr>
      <w:r>
        <w:rPr>
          <w:rStyle w:val="Strong"/>
        </w:rPr>
        <w:t>Maximization:</w:t>
      </w:r>
      <w:r>
        <w:rPr/>
        <w:t xml:space="preserve"> The morally preferred action is generally the available action expected to produce the greatest net welfare. This requires comparing the proposed action with relevant alternatives, including omission or inaction.</w:t>
      </w:r>
    </w:p>
    <w:p>
      <w:pPr>
        <w:pStyle w:val="BodyText"/>
        <w:numPr>
          <w:ilvl w:val="0"/>
          <w:numId w:val="25"/>
        </w:numPr>
        <w:tabs>
          <w:tab w:val="clear" w:pos="720"/>
          <w:tab w:val="left" w:pos="0" w:leader="none"/>
        </w:tabs>
        <w:spacing w:before="0" w:after="200"/>
        <w:ind w:hanging="283" w:left="709"/>
        <w:rPr/>
      </w:pPr>
      <w:r>
        <w:rPr>
          <w:rStyle w:val="Strong"/>
        </w:rPr>
        <w:t>Equal consideration does not necessarily mean equal outcomes:</w:t>
      </w:r>
      <w:r>
        <w:rPr/>
        <w:t xml:space="preserve"> Utilitarianism assigns equal consideration to comparable interests, but it may support unequal allocations when the inequality is expected to produce greater aggregate welfare.</w:t>
      </w:r>
    </w:p>
    <w:p>
      <w:pPr>
        <w:pStyle w:val="BodyText"/>
        <w:numPr>
          <w:ilvl w:val="0"/>
          <w:numId w:val="25"/>
        </w:numPr>
        <w:tabs>
          <w:tab w:val="clear" w:pos="720"/>
          <w:tab w:val="left" w:pos="0" w:leader="none"/>
        </w:tabs>
        <w:spacing w:before="0" w:after="200"/>
        <w:ind w:hanging="283" w:left="709"/>
        <w:rPr/>
      </w:pPr>
      <w:r>
        <w:rPr>
          <w:rStyle w:val="Strong"/>
        </w:rPr>
        <w:t>Broad moral scope:</w:t>
      </w:r>
      <w:r>
        <w:rPr/>
        <w:t xml:space="preserve"> Any entity capable of experiencing welfare, suffering, or preference satisfaction may merit moral consideration. Contemporary utilitarian arguments have been especially influential in extending moral consideration to non-human animals. </w:t>
      </w:r>
      <w:hyperlink r:id="rId10">
        <w:r>
          <w:rPr>
            <w:rStyle w:val="Hyperlink"/>
          </w:rPr>
          <w:t>Stanford Encyclopedia of Philosophy</w:t>
        </w:r>
      </w:hyperlink>
    </w:p>
    <w:p>
      <w:pPr>
        <w:pStyle w:val="BodyText"/>
        <w:numPr>
          <w:ilvl w:val="0"/>
          <w:numId w:val="25"/>
        </w:numPr>
        <w:tabs>
          <w:tab w:val="clear" w:pos="720"/>
          <w:tab w:val="left" w:pos="0" w:leader="none"/>
        </w:tabs>
        <w:spacing w:before="0" w:after="200"/>
        <w:ind w:hanging="283" w:left="709"/>
        <w:rPr/>
      </w:pPr>
      <w:r>
        <w:rPr>
          <w:rStyle w:val="Strong"/>
        </w:rPr>
        <w:t>Act and rule alternatives:</w:t>
      </w:r>
      <w:r>
        <w:rPr/>
        <w:t xml:space="preserve"> Act utilitarianism evaluates individual actions directly. Rule utilitarianism evaluates rules, practices, or institutions according to the net benefits expected from their general acceptance or observance. </w:t>
      </w:r>
      <w:hyperlink r:id="rId11">
        <w:r>
          <w:rPr>
            <w:rStyle w:val="Hyperlink"/>
          </w:rPr>
          <w:t>Stanford Encyclopedia of Philosophy</w:t>
        </w:r>
      </w:hyperlink>
    </w:p>
    <w:p>
      <w:pPr>
        <w:pStyle w:val="BodyText"/>
        <w:numPr>
          <w:ilvl w:val="0"/>
          <w:numId w:val="25"/>
        </w:numPr>
        <w:tabs>
          <w:tab w:val="clear" w:pos="720"/>
          <w:tab w:val="left" w:pos="0" w:leader="none"/>
        </w:tabs>
        <w:spacing w:before="0" w:after="200"/>
        <w:ind w:hanging="283" w:left="709"/>
        <w:rPr/>
      </w:pPr>
      <w:r>
        <w:rPr>
          <w:rStyle w:val="Strong"/>
        </w:rPr>
        <w:t>Empirical and predictive dependence:</w:t>
      </w:r>
      <w:r>
        <w:rPr/>
        <w:t xml:space="preserve"> Applying utilitarianism requires evidence concerning causal effects, affected entities, probabilities, benefit and harm magnitudes, and the duration of those effects.</w:t>
      </w:r>
    </w:p>
    <w:p>
      <w:pPr>
        <w:pStyle w:val="BodyText"/>
        <w:numPr>
          <w:ilvl w:val="0"/>
          <w:numId w:val="25"/>
        </w:numPr>
        <w:tabs>
          <w:tab w:val="clear" w:pos="720"/>
          <w:tab w:val="left" w:pos="0" w:leader="none"/>
        </w:tabs>
        <w:spacing w:before="0" w:after="200"/>
        <w:ind w:hanging="283" w:left="709"/>
        <w:rPr/>
      </w:pPr>
      <w:r>
        <w:rPr>
          <w:rStyle w:val="Strong"/>
        </w:rPr>
        <w:t>Decision-making under uncertainty:</w:t>
      </w:r>
      <w:r>
        <w:rPr/>
        <w:t xml:space="preserve"> Where outcomes are uncertain, utilitarian reasoning can employ expected-utility methods that combine estimated outcome values with their probabilities. Expected utility, however, depends on the adequacy of both the value model and the probability estimates. </w:t>
      </w:r>
      <w:hyperlink r:id="rId12">
        <w:r>
          <w:rPr>
            <w:rStyle w:val="Hyperlink"/>
          </w:rPr>
          <w:t>Stanford Encyclopedia of Philosophy</w:t>
        </w:r>
      </w:hyperlink>
    </w:p>
    <w:p>
      <w:pPr>
        <w:pStyle w:val="Heading4"/>
        <w:ind w:hanging="0" w:left="0"/>
        <w:rPr>
          <w:rFonts w:ascii="Aptos" w:hAnsi="Aptos"/>
          <w:color w:val="auto"/>
        </w:rPr>
      </w:pPr>
      <w:r>
        <w:rPr/>
        <w:t>Relationship to This Framework</w:t>
      </w:r>
    </w:p>
    <w:p>
      <w:pPr>
        <w:pStyle w:val="BodyText"/>
        <w:spacing w:before="0" w:after="200"/>
        <w:rPr/>
      </w:pPr>
      <w:r>
        <w:rPr/>
        <w:t xml:space="preserve">The proposed framework is consequence-sensitive but is not equivalent to classical utilitarianism. Both approaches evaluate actions by examining how they change conditions for affected entities. The proposed framework, however, makes the complete </w:t>
      </w:r>
      <w:r>
        <w:rPr>
          <w:rStyle w:val="Strong"/>
        </w:rPr>
        <w:t>World Context Transition</w:t>
      </w:r>
      <w:r>
        <w:rPr/>
        <w:t>—rather than aggregate utility—the principal object of moral assessment.</w:t>
      </w:r>
    </w:p>
    <w:p>
      <w:pPr>
        <w:pStyle w:val="BodyText"/>
        <w:spacing w:before="0" w:after="200"/>
        <w:rPr/>
      </w:pPr>
      <w:r>
        <w:rPr/>
        <w:t>Utilitarian analysis can be represented within the architecture as one method for estimating selected consequences of an Assessed Action. Welfare measurements may contribute to assessments of changes in health, security, opportunity, suffering, preference satisfaction, institutional effectiveness, or other dimensions of Long-Term Flourishing. These measurements remain assessment artifacts within a broader representation of the resulting World Context.</w:t>
      </w:r>
    </w:p>
    <w:p>
      <w:pPr>
        <w:pStyle w:val="BodyText"/>
        <w:spacing w:before="0" w:after="200"/>
        <w:rPr/>
      </w:pPr>
      <w:r>
        <w:rPr/>
        <w:t>The Foundational Axiom also differs from an unrestricted utility-maximization principle. It directs the moral system to preserve and promote the Long-Term Flourishing of relevant persistent adaptive entities while avoiding actions that materially diminish the Long-Term Flourishing of other relevant entities. Consequently, a large aggregate gain does not automatically justify severe harm to a particular entity or class of entities. The distribution, concentration, duration, reversibility, and systemic significance of the harm must remain visible within the assessment.</w:t>
      </w:r>
    </w:p>
    <w:p>
      <w:pPr>
        <w:pStyle w:val="BodyText"/>
        <w:spacing w:before="0" w:after="200"/>
        <w:rPr/>
      </w:pPr>
      <w:r>
        <w:rPr/>
        <w:t>The framework also expands the meaning of consequences. An Assessed Action can change not only welfare outcomes but also Associations, trust, legitimacy, information states, institutional conditions, future opportunities, Future State Space, and the future decision policies of Actors, observers, responders, institutions, and artificial systems. These changes become part of the resulting World Context even when they are difficult to express as a common unit of utility.</w:t>
      </w:r>
    </w:p>
    <w:p>
      <w:pPr>
        <w:pStyle w:val="BodyText"/>
        <w:spacing w:before="0" w:after="200"/>
        <w:rPr/>
      </w:pPr>
      <w:r>
        <w:rPr/>
        <w:t>A utilitarian could argue that all these factors are ultimately consequences and can therefore be included in a sufficiently comprehensive utility calculation. The remaining distinction is that the proposed framework does not require them to be converted into, or resolved by, a single aggregate welfare value. It preserves their structure so that conflicts, distributions, uncertainty, and material diminishment remain inspectable.</w:t>
      </w:r>
    </w:p>
    <w:p>
      <w:pPr>
        <w:pStyle w:val="Heading4"/>
        <w:ind w:hanging="0" w:left="0"/>
        <w:rPr>
          <w:rFonts w:ascii="Aptos" w:hAnsi="Aptos"/>
          <w:color w:val="auto"/>
        </w:rPr>
      </w:pPr>
      <w:r>
        <w:rPr/>
        <w:t>Concepts Adopted or Adapted by This Framework</w:t>
      </w:r>
    </w:p>
    <w:tbl>
      <w:tblPr>
        <w:tblW w:w="8640" w:type="dxa"/>
        <w:jc w:val="left"/>
        <w:tblInd w:w="28" w:type="dxa"/>
        <w:tblLayout w:type="fixed"/>
        <w:tblCellMar>
          <w:top w:w="28" w:type="dxa"/>
          <w:left w:w="28" w:type="dxa"/>
          <w:bottom w:w="28" w:type="dxa"/>
          <w:right w:w="28" w:type="dxa"/>
        </w:tblCellMar>
      </w:tblPr>
      <w:tblGrid>
        <w:gridCol w:w="2142"/>
        <w:gridCol w:w="6498"/>
      </w:tblGrid>
      <w:tr>
        <w:trPr>
          <w:tblHeader w:val="true"/>
        </w:trPr>
        <w:tc>
          <w:tcPr>
            <w:tcW w:w="2142" w:type="dxa"/>
            <w:tcBorders/>
            <w:vAlign w:val="center"/>
          </w:tcPr>
          <w:p>
            <w:pPr>
              <w:pStyle w:val="TableHeading"/>
              <w:suppressLineNumbers/>
              <w:spacing w:before="0" w:after="200"/>
              <w:jc w:val="center"/>
              <w:rPr/>
            </w:pPr>
            <w:r>
              <w:rPr/>
              <w:t>Utilitarian concept</w:t>
            </w:r>
          </w:p>
        </w:tc>
        <w:tc>
          <w:tcPr>
            <w:tcW w:w="6498" w:type="dxa"/>
            <w:tcBorders/>
            <w:vAlign w:val="center"/>
          </w:tcPr>
          <w:p>
            <w:pPr>
              <w:pStyle w:val="TableHeading"/>
              <w:suppressLineNumbers/>
              <w:spacing w:before="0" w:after="200"/>
              <w:jc w:val="center"/>
              <w:rPr/>
            </w:pPr>
            <w:r>
              <w:rPr/>
              <w:t>Adoption or adaptation within the proposed framework</w:t>
            </w:r>
          </w:p>
        </w:tc>
      </w:tr>
      <w:tr>
        <w:trPr/>
        <w:tc>
          <w:tcPr>
            <w:tcW w:w="2142" w:type="dxa"/>
            <w:tcBorders/>
            <w:vAlign w:val="center"/>
          </w:tcPr>
          <w:p>
            <w:pPr>
              <w:pStyle w:val="TableContents"/>
              <w:widowControl w:val="false"/>
              <w:suppressLineNumbers/>
              <w:spacing w:before="0" w:after="200"/>
              <w:rPr/>
            </w:pPr>
            <w:r>
              <w:rPr/>
              <w:t>Evaluation of consequences</w:t>
            </w:r>
          </w:p>
        </w:tc>
        <w:tc>
          <w:tcPr>
            <w:tcW w:w="6498" w:type="dxa"/>
            <w:tcBorders/>
            <w:vAlign w:val="center"/>
          </w:tcPr>
          <w:p>
            <w:pPr>
              <w:pStyle w:val="TableContents"/>
              <w:widowControl w:val="false"/>
              <w:suppressLineNumbers/>
              <w:spacing w:before="0" w:after="200"/>
              <w:rPr/>
            </w:pPr>
            <w:r>
              <w:rPr/>
              <w:t>Adapted into the evaluation of explicit State Transitions and the resulting World Context Transition.</w:t>
            </w:r>
          </w:p>
        </w:tc>
      </w:tr>
      <w:tr>
        <w:trPr/>
        <w:tc>
          <w:tcPr>
            <w:tcW w:w="2142" w:type="dxa"/>
            <w:tcBorders/>
            <w:vAlign w:val="center"/>
          </w:tcPr>
          <w:p>
            <w:pPr>
              <w:pStyle w:val="TableContents"/>
              <w:widowControl w:val="false"/>
              <w:suppressLineNumbers/>
              <w:spacing w:before="0" w:after="200"/>
              <w:rPr/>
            </w:pPr>
            <w:r>
              <w:rPr/>
              <w:t>Welfare or happiness</w:t>
            </w:r>
          </w:p>
        </w:tc>
        <w:tc>
          <w:tcPr>
            <w:tcW w:w="6498" w:type="dxa"/>
            <w:tcBorders/>
            <w:vAlign w:val="center"/>
          </w:tcPr>
          <w:p>
            <w:pPr>
              <w:pStyle w:val="TableContents"/>
              <w:widowControl w:val="false"/>
              <w:suppressLineNumbers/>
              <w:spacing w:before="0" w:after="200"/>
              <w:rPr/>
            </w:pPr>
            <w:r>
              <w:rPr/>
              <w:t>Expanded into Long-Term Flourishing, defined as a multidimensional and relational state rather than a single measure of pleasure, preference satisfaction, or welfare.</w:t>
            </w:r>
          </w:p>
        </w:tc>
      </w:tr>
      <w:tr>
        <w:trPr/>
        <w:tc>
          <w:tcPr>
            <w:tcW w:w="2142" w:type="dxa"/>
            <w:tcBorders/>
            <w:vAlign w:val="center"/>
          </w:tcPr>
          <w:p>
            <w:pPr>
              <w:pStyle w:val="TableContents"/>
              <w:widowControl w:val="false"/>
              <w:suppressLineNumbers/>
              <w:spacing w:before="0" w:after="200"/>
              <w:rPr/>
            </w:pPr>
            <w:r>
              <w:rPr/>
              <w:t>Impartial consideration</w:t>
            </w:r>
          </w:p>
        </w:tc>
        <w:tc>
          <w:tcPr>
            <w:tcW w:w="6498" w:type="dxa"/>
            <w:tcBorders/>
            <w:vAlign w:val="center"/>
          </w:tcPr>
          <w:p>
            <w:pPr>
              <w:pStyle w:val="TableContents"/>
              <w:widowControl w:val="false"/>
              <w:suppressLineNumbers/>
              <w:spacing w:before="0" w:after="200"/>
              <w:rPr/>
            </w:pPr>
            <w:r>
              <w:rPr/>
              <w:t>Reflected in the requirement to consider all relevant Flourishing Entities rather than privileging the Actor’s operational objective or preferences.</w:t>
            </w:r>
          </w:p>
        </w:tc>
      </w:tr>
      <w:tr>
        <w:trPr/>
        <w:tc>
          <w:tcPr>
            <w:tcW w:w="2142" w:type="dxa"/>
            <w:tcBorders/>
            <w:vAlign w:val="center"/>
          </w:tcPr>
          <w:p>
            <w:pPr>
              <w:pStyle w:val="TableContents"/>
              <w:widowControl w:val="false"/>
              <w:suppressLineNumbers/>
              <w:spacing w:before="0" w:after="200"/>
              <w:rPr/>
            </w:pPr>
            <w:r>
              <w:rPr/>
              <w:t>Comparison of alternatives</w:t>
            </w:r>
          </w:p>
        </w:tc>
        <w:tc>
          <w:tcPr>
            <w:tcW w:w="6498" w:type="dxa"/>
            <w:tcBorders/>
            <w:vAlign w:val="center"/>
          </w:tcPr>
          <w:p>
            <w:pPr>
              <w:pStyle w:val="TableContents"/>
              <w:widowControl w:val="false"/>
              <w:suppressLineNumbers/>
              <w:spacing w:before="0" w:after="200"/>
              <w:rPr/>
            </w:pPr>
            <w:r>
              <w:rPr/>
              <w:t>Incorporated through the comparison of candidate actions, omissions, and their predicted World Context Transitions.</w:t>
            </w:r>
          </w:p>
        </w:tc>
      </w:tr>
      <w:tr>
        <w:trPr/>
        <w:tc>
          <w:tcPr>
            <w:tcW w:w="2142" w:type="dxa"/>
            <w:tcBorders/>
            <w:vAlign w:val="center"/>
          </w:tcPr>
          <w:p>
            <w:pPr>
              <w:pStyle w:val="TableContents"/>
              <w:widowControl w:val="false"/>
              <w:suppressLineNumbers/>
              <w:spacing w:before="0" w:after="200"/>
              <w:rPr/>
            </w:pPr>
            <w:r>
              <w:rPr/>
              <w:t>Aggregation</w:t>
            </w:r>
          </w:p>
        </w:tc>
        <w:tc>
          <w:tcPr>
            <w:tcW w:w="6498" w:type="dxa"/>
            <w:tcBorders/>
            <w:vAlign w:val="center"/>
          </w:tcPr>
          <w:p>
            <w:pPr>
              <w:pStyle w:val="TableContents"/>
              <w:widowControl w:val="false"/>
              <w:suppressLineNumbers/>
              <w:spacing w:before="0" w:after="200"/>
              <w:rPr/>
            </w:pPr>
            <w:r>
              <w:rPr/>
              <w:t>Permitted as an analytical technique for estimating the scale and direction of effects, but not treated as a substitute for the complete moral assessment.</w:t>
            </w:r>
          </w:p>
        </w:tc>
      </w:tr>
      <w:tr>
        <w:trPr/>
        <w:tc>
          <w:tcPr>
            <w:tcW w:w="2142" w:type="dxa"/>
            <w:tcBorders/>
            <w:vAlign w:val="center"/>
          </w:tcPr>
          <w:p>
            <w:pPr>
              <w:pStyle w:val="TableContents"/>
              <w:widowControl w:val="false"/>
              <w:suppressLineNumbers/>
              <w:spacing w:before="0" w:after="200"/>
              <w:rPr/>
            </w:pPr>
            <w:r>
              <w:rPr/>
              <w:t>Expected utility</w:t>
            </w:r>
          </w:p>
        </w:tc>
        <w:tc>
          <w:tcPr>
            <w:tcW w:w="6498" w:type="dxa"/>
            <w:tcBorders/>
            <w:vAlign w:val="center"/>
          </w:tcPr>
          <w:p>
            <w:pPr>
              <w:pStyle w:val="TableContents"/>
              <w:widowControl w:val="false"/>
              <w:suppressLineNumbers/>
              <w:spacing w:before="0" w:after="200"/>
              <w:rPr/>
            </w:pPr>
            <w:r>
              <w:rPr/>
              <w:t>Adapted through probabilistic reasoning, scenario analysis, confidence estimates, and uncertainty propagation across predicted State Transitions.</w:t>
            </w:r>
          </w:p>
        </w:tc>
      </w:tr>
      <w:tr>
        <w:trPr/>
        <w:tc>
          <w:tcPr>
            <w:tcW w:w="2142" w:type="dxa"/>
            <w:tcBorders/>
            <w:vAlign w:val="center"/>
          </w:tcPr>
          <w:p>
            <w:pPr>
              <w:pStyle w:val="TableContents"/>
              <w:widowControl w:val="false"/>
              <w:suppressLineNumbers/>
              <w:spacing w:before="0" w:after="200"/>
              <w:rPr/>
            </w:pPr>
            <w:r>
              <w:rPr/>
              <w:t>Long-term consequences</w:t>
            </w:r>
          </w:p>
        </w:tc>
        <w:tc>
          <w:tcPr>
            <w:tcW w:w="6498" w:type="dxa"/>
            <w:tcBorders/>
            <w:vAlign w:val="center"/>
          </w:tcPr>
          <w:p>
            <w:pPr>
              <w:pStyle w:val="TableContents"/>
              <w:widowControl w:val="false"/>
              <w:suppressLineNumbers/>
              <w:spacing w:before="0" w:after="200"/>
              <w:rPr/>
            </w:pPr>
            <w:r>
              <w:rPr/>
              <w:t>Formalized through immediate, short-term, long-term, multi-generational, and civilizational Assessment Horizons.</w:t>
            </w:r>
          </w:p>
        </w:tc>
      </w:tr>
      <w:tr>
        <w:trPr/>
        <w:tc>
          <w:tcPr>
            <w:tcW w:w="2142" w:type="dxa"/>
            <w:tcBorders/>
            <w:vAlign w:val="center"/>
          </w:tcPr>
          <w:p>
            <w:pPr>
              <w:pStyle w:val="TableContents"/>
              <w:widowControl w:val="false"/>
              <w:suppressLineNumbers/>
              <w:spacing w:before="0" w:after="200"/>
              <w:rPr/>
            </w:pPr>
            <w:r>
              <w:rPr/>
              <w:t>Rule utilitarianism</w:t>
            </w:r>
          </w:p>
        </w:tc>
        <w:tc>
          <w:tcPr>
            <w:tcW w:w="6498" w:type="dxa"/>
            <w:tcBorders/>
            <w:vAlign w:val="center"/>
          </w:tcPr>
          <w:p>
            <w:pPr>
              <w:pStyle w:val="TableContents"/>
              <w:widowControl w:val="false"/>
              <w:suppressLineNumbers/>
              <w:spacing w:before="0" w:after="200"/>
              <w:rPr/>
            </w:pPr>
            <w:r>
              <w:rPr/>
              <w:t>Reflected in the examination of institutions, precedents, norms, incentives, and Distributed Policy Effects that influence recurring behavior.</w:t>
            </w:r>
          </w:p>
        </w:tc>
      </w:tr>
      <w:tr>
        <w:trPr/>
        <w:tc>
          <w:tcPr>
            <w:tcW w:w="2142" w:type="dxa"/>
            <w:tcBorders/>
            <w:vAlign w:val="center"/>
          </w:tcPr>
          <w:p>
            <w:pPr>
              <w:pStyle w:val="TableContents"/>
              <w:widowControl w:val="false"/>
              <w:suppressLineNumbers/>
              <w:spacing w:before="0" w:after="200"/>
              <w:rPr/>
            </w:pPr>
            <w:r>
              <w:rPr/>
              <w:t>Equal consideration across species</w:t>
            </w:r>
          </w:p>
        </w:tc>
        <w:tc>
          <w:tcPr>
            <w:tcW w:w="6498" w:type="dxa"/>
            <w:tcBorders/>
            <w:vAlign w:val="center"/>
          </w:tcPr>
          <w:p>
            <w:pPr>
              <w:pStyle w:val="TableContents"/>
              <w:widowControl w:val="false"/>
              <w:suppressLineNumbers/>
              <w:spacing w:before="0" w:after="200"/>
              <w:rPr/>
            </w:pPr>
            <w:r>
              <w:rPr/>
              <w:t>Extended through the concept of Flourishing Entities, potentially encompassing humans, non-human organisms, ecosystems, and qualifying artificial systems.</w:t>
            </w:r>
          </w:p>
        </w:tc>
      </w:tr>
      <w:tr>
        <w:trPr/>
        <w:tc>
          <w:tcPr>
            <w:tcW w:w="2142" w:type="dxa"/>
            <w:tcBorders/>
            <w:vAlign w:val="center"/>
          </w:tcPr>
          <w:p>
            <w:pPr>
              <w:pStyle w:val="TableContents"/>
              <w:widowControl w:val="false"/>
              <w:suppressLineNumbers/>
              <w:spacing w:before="0" w:after="200"/>
              <w:rPr/>
            </w:pPr>
            <w:r>
              <w:rPr/>
              <w:t>Public-policy application</w:t>
            </w:r>
          </w:p>
        </w:tc>
        <w:tc>
          <w:tcPr>
            <w:tcW w:w="6498" w:type="dxa"/>
            <w:tcBorders/>
            <w:vAlign w:val="center"/>
          </w:tcPr>
          <w:p>
            <w:pPr>
              <w:pStyle w:val="TableContents"/>
              <w:widowControl w:val="false"/>
              <w:suppressLineNumbers/>
              <w:spacing w:before="0" w:after="200"/>
              <w:rPr/>
            </w:pPr>
            <w:r>
              <w:rPr/>
              <w:t>Reflected in the architecture’s intended use for governance, healthcare, law, robotics, artificial intelligence, and institutional decision support.</w:t>
            </w:r>
          </w:p>
        </w:tc>
      </w:tr>
    </w:tbl>
    <w:p>
      <w:pPr>
        <w:pStyle w:val="Heading4"/>
        <w:ind w:hanging="0" w:left="0"/>
        <w:rPr>
          <w:rFonts w:ascii="Aptos" w:hAnsi="Aptos"/>
          <w:color w:val="auto"/>
        </w:rPr>
      </w:pPr>
      <w:r>
        <w:rPr/>
        <w:t>Similarities</w:t>
      </w:r>
    </w:p>
    <w:p>
      <w:pPr>
        <w:pStyle w:val="BodyText"/>
        <w:numPr>
          <w:ilvl w:val="0"/>
          <w:numId w:val="26"/>
        </w:numPr>
        <w:tabs>
          <w:tab w:val="clear" w:pos="720"/>
          <w:tab w:val="left" w:pos="0" w:leader="none"/>
        </w:tabs>
        <w:spacing w:before="0" w:after="200"/>
        <w:ind w:hanging="283" w:left="709"/>
        <w:rPr/>
      </w:pPr>
      <w:r>
        <w:rPr/>
        <w:t>Both approaches assess an action by examining its effects rather than relying solely on tradition, authority, intuition, or an Actor’s stated intention.</w:t>
      </w:r>
    </w:p>
    <w:p>
      <w:pPr>
        <w:pStyle w:val="BodyText"/>
        <w:numPr>
          <w:ilvl w:val="0"/>
          <w:numId w:val="26"/>
        </w:numPr>
        <w:tabs>
          <w:tab w:val="clear" w:pos="720"/>
          <w:tab w:val="left" w:pos="0" w:leader="none"/>
        </w:tabs>
        <w:spacing w:before="0" w:after="200"/>
        <w:ind w:hanging="283" w:left="709"/>
        <w:rPr/>
      </w:pPr>
      <w:r>
        <w:rPr/>
        <w:t>Both require consideration of all materially affected entities within the relevant assessment boundary.</w:t>
      </w:r>
    </w:p>
    <w:p>
      <w:pPr>
        <w:pStyle w:val="BodyText"/>
        <w:numPr>
          <w:ilvl w:val="0"/>
          <w:numId w:val="26"/>
        </w:numPr>
        <w:tabs>
          <w:tab w:val="clear" w:pos="720"/>
          <w:tab w:val="left" w:pos="0" w:leader="none"/>
        </w:tabs>
        <w:spacing w:before="0" w:after="200"/>
        <w:ind w:hanging="283" w:left="709"/>
        <w:rPr/>
      </w:pPr>
      <w:r>
        <w:rPr/>
        <w:t>Both resist privileging the Actor’s private interests merely because the Actor controls the decision.</w:t>
      </w:r>
    </w:p>
    <w:p>
      <w:pPr>
        <w:pStyle w:val="BodyText"/>
        <w:numPr>
          <w:ilvl w:val="0"/>
          <w:numId w:val="26"/>
        </w:numPr>
        <w:tabs>
          <w:tab w:val="clear" w:pos="720"/>
          <w:tab w:val="left" w:pos="0" w:leader="none"/>
        </w:tabs>
        <w:spacing w:before="0" w:after="200"/>
        <w:ind w:hanging="283" w:left="709"/>
        <w:rPr/>
      </w:pPr>
      <w:r>
        <w:rPr/>
        <w:t>Both compare available alternatives and recognize omission or inaction as morally assessable.</w:t>
      </w:r>
    </w:p>
    <w:p>
      <w:pPr>
        <w:pStyle w:val="BodyText"/>
        <w:numPr>
          <w:ilvl w:val="0"/>
          <w:numId w:val="26"/>
        </w:numPr>
        <w:tabs>
          <w:tab w:val="clear" w:pos="720"/>
          <w:tab w:val="left" w:pos="0" w:leader="none"/>
        </w:tabs>
        <w:spacing w:before="0" w:after="200"/>
        <w:ind w:hanging="283" w:left="709"/>
        <w:rPr/>
      </w:pPr>
      <w:r>
        <w:rPr/>
        <w:t>Both depend on empirical evidence and causal prediction when estimating the effects of an action.</w:t>
      </w:r>
    </w:p>
    <w:p>
      <w:pPr>
        <w:pStyle w:val="BodyText"/>
        <w:numPr>
          <w:ilvl w:val="0"/>
          <w:numId w:val="26"/>
        </w:numPr>
        <w:tabs>
          <w:tab w:val="clear" w:pos="720"/>
          <w:tab w:val="left" w:pos="0" w:leader="none"/>
        </w:tabs>
        <w:spacing w:before="0" w:after="200"/>
        <w:ind w:hanging="283" w:left="709"/>
        <w:rPr/>
      </w:pPr>
      <w:r>
        <w:rPr/>
        <w:t>Both can evaluate actions, policies, institutions, and recurring practices.</w:t>
      </w:r>
    </w:p>
    <w:p>
      <w:pPr>
        <w:pStyle w:val="BodyText"/>
        <w:numPr>
          <w:ilvl w:val="0"/>
          <w:numId w:val="26"/>
        </w:numPr>
        <w:tabs>
          <w:tab w:val="clear" w:pos="720"/>
          <w:tab w:val="left" w:pos="0" w:leader="none"/>
        </w:tabs>
        <w:spacing w:before="0" w:after="200"/>
        <w:ind w:hanging="283" w:left="709"/>
        <w:rPr/>
      </w:pPr>
      <w:r>
        <w:rPr/>
        <w:t>Both recognize that morally relevant effects can extend beyond the immediate participants and immediate timeframe.</w:t>
      </w:r>
    </w:p>
    <w:p>
      <w:pPr>
        <w:pStyle w:val="BodyText"/>
        <w:numPr>
          <w:ilvl w:val="0"/>
          <w:numId w:val="26"/>
        </w:numPr>
        <w:tabs>
          <w:tab w:val="clear" w:pos="720"/>
          <w:tab w:val="left" w:pos="0" w:leader="none"/>
        </w:tabs>
        <w:spacing w:before="0" w:after="200"/>
        <w:ind w:hanging="283" w:left="709"/>
        <w:rPr/>
      </w:pPr>
      <w:r>
        <w:rPr/>
        <w:t>Both can incorporate probabilistic reasoning when consequences are uncertain.</w:t>
      </w:r>
    </w:p>
    <w:p>
      <w:pPr>
        <w:pStyle w:val="BodyText"/>
        <w:numPr>
          <w:ilvl w:val="0"/>
          <w:numId w:val="26"/>
        </w:numPr>
        <w:tabs>
          <w:tab w:val="clear" w:pos="720"/>
          <w:tab w:val="left" w:pos="0" w:leader="none"/>
        </w:tabs>
        <w:spacing w:before="0" w:after="200"/>
        <w:ind w:hanging="283" w:left="709"/>
        <w:rPr/>
      </w:pPr>
      <w:r>
        <w:rPr/>
        <w:t>Both support explicit, systematic, and potentially computational moral assessment.</w:t>
      </w:r>
    </w:p>
    <w:p>
      <w:pPr>
        <w:pStyle w:val="BodyText"/>
        <w:numPr>
          <w:ilvl w:val="0"/>
          <w:numId w:val="26"/>
        </w:numPr>
        <w:tabs>
          <w:tab w:val="clear" w:pos="720"/>
          <w:tab w:val="left" w:pos="0" w:leader="none"/>
        </w:tabs>
        <w:spacing w:before="0" w:after="200"/>
        <w:ind w:hanging="283" w:left="709"/>
        <w:rPr/>
      </w:pPr>
      <w:r>
        <w:rPr/>
        <w:t>Both can extend moral consideration beyond present human interests to non-human entities and future generations.</w:t>
      </w:r>
    </w:p>
    <w:p>
      <w:pPr>
        <w:pStyle w:val="Heading4"/>
        <w:ind w:hanging="0" w:left="0"/>
        <w:rPr>
          <w:rFonts w:ascii="Aptos" w:hAnsi="Aptos"/>
          <w:color w:val="auto"/>
        </w:rPr>
      </w:pPr>
      <w:r>
        <w:rPr/>
        <w:t>Differences</w:t>
      </w:r>
    </w:p>
    <w:tbl>
      <w:tblPr>
        <w:tblW w:w="8640" w:type="dxa"/>
        <w:jc w:val="left"/>
        <w:tblInd w:w="28" w:type="dxa"/>
        <w:tblLayout w:type="fixed"/>
        <w:tblCellMar>
          <w:top w:w="28" w:type="dxa"/>
          <w:left w:w="28" w:type="dxa"/>
          <w:bottom w:w="28" w:type="dxa"/>
          <w:right w:w="28" w:type="dxa"/>
        </w:tblCellMar>
      </w:tblPr>
      <w:tblGrid>
        <w:gridCol w:w="1767"/>
        <w:gridCol w:w="3239"/>
        <w:gridCol w:w="3634"/>
      </w:tblGrid>
      <w:tr>
        <w:trPr>
          <w:tblHeader w:val="true"/>
        </w:trPr>
        <w:tc>
          <w:tcPr>
            <w:tcW w:w="1767" w:type="dxa"/>
            <w:tcBorders/>
            <w:vAlign w:val="center"/>
          </w:tcPr>
          <w:p>
            <w:pPr>
              <w:pStyle w:val="TableHeading"/>
              <w:suppressLineNumbers/>
              <w:spacing w:before="0" w:after="200"/>
              <w:jc w:val="center"/>
              <w:rPr/>
            </w:pPr>
            <w:r>
              <w:rPr/>
              <w:t>Dimension</w:t>
            </w:r>
          </w:p>
        </w:tc>
        <w:tc>
          <w:tcPr>
            <w:tcW w:w="3239" w:type="dxa"/>
            <w:tcBorders/>
            <w:vAlign w:val="center"/>
          </w:tcPr>
          <w:p>
            <w:pPr>
              <w:pStyle w:val="TableHeading"/>
              <w:suppressLineNumbers/>
              <w:spacing w:before="0" w:after="200"/>
              <w:jc w:val="center"/>
              <w:rPr/>
            </w:pPr>
            <w:r>
              <w:rPr/>
              <w:t>Utilitarianism</w:t>
            </w:r>
          </w:p>
        </w:tc>
        <w:tc>
          <w:tcPr>
            <w:tcW w:w="3634" w:type="dxa"/>
            <w:tcBorders/>
            <w:vAlign w:val="center"/>
          </w:tcPr>
          <w:p>
            <w:pPr>
              <w:pStyle w:val="TableHeading"/>
              <w:suppressLineNumbers/>
              <w:spacing w:before="0" w:after="200"/>
              <w:jc w:val="center"/>
              <w:rPr/>
            </w:pPr>
            <w:r>
              <w:rPr/>
              <w:t>Proposed framework</w:t>
            </w:r>
          </w:p>
        </w:tc>
      </w:tr>
      <w:tr>
        <w:trPr/>
        <w:tc>
          <w:tcPr>
            <w:tcW w:w="1767" w:type="dxa"/>
            <w:tcBorders/>
            <w:vAlign w:val="center"/>
          </w:tcPr>
          <w:p>
            <w:pPr>
              <w:pStyle w:val="TableContents"/>
              <w:widowControl w:val="false"/>
              <w:suppressLineNumbers/>
              <w:spacing w:before="0" w:after="200"/>
              <w:rPr/>
            </w:pPr>
            <w:r>
              <w:rPr/>
              <w:t>Principal object of assessment</w:t>
            </w:r>
          </w:p>
        </w:tc>
        <w:tc>
          <w:tcPr>
            <w:tcW w:w="3239" w:type="dxa"/>
            <w:tcBorders/>
            <w:vAlign w:val="center"/>
          </w:tcPr>
          <w:p>
            <w:pPr>
              <w:pStyle w:val="TableContents"/>
              <w:widowControl w:val="false"/>
              <w:suppressLineNumbers/>
              <w:spacing w:before="0" w:after="200"/>
              <w:rPr/>
            </w:pPr>
            <w:r>
              <w:rPr/>
              <w:t>The welfare value of an action’s consequences or of the rules and institutions producing those consequences</w:t>
            </w:r>
          </w:p>
        </w:tc>
        <w:tc>
          <w:tcPr>
            <w:tcW w:w="3634" w:type="dxa"/>
            <w:tcBorders/>
            <w:vAlign w:val="center"/>
          </w:tcPr>
          <w:p>
            <w:pPr>
              <w:pStyle w:val="TableContents"/>
              <w:widowControl w:val="false"/>
              <w:suppressLineNumbers/>
              <w:spacing w:before="0" w:after="200"/>
              <w:rPr/>
            </w:pPr>
            <w:r>
              <w:rPr/>
              <w:t>The complete transition from an initial World Context to a resulting World Context</w:t>
            </w:r>
          </w:p>
        </w:tc>
      </w:tr>
      <w:tr>
        <w:trPr/>
        <w:tc>
          <w:tcPr>
            <w:tcW w:w="1767" w:type="dxa"/>
            <w:tcBorders/>
            <w:vAlign w:val="center"/>
          </w:tcPr>
          <w:p>
            <w:pPr>
              <w:pStyle w:val="TableContents"/>
              <w:widowControl w:val="false"/>
              <w:suppressLineNumbers/>
              <w:spacing w:before="0" w:after="200"/>
              <w:rPr/>
            </w:pPr>
            <w:r>
              <w:rPr/>
              <w:t>Primary normative value</w:t>
            </w:r>
          </w:p>
        </w:tc>
        <w:tc>
          <w:tcPr>
            <w:tcW w:w="3239" w:type="dxa"/>
            <w:tcBorders/>
            <w:vAlign w:val="center"/>
          </w:tcPr>
          <w:p>
            <w:pPr>
              <w:pStyle w:val="TableContents"/>
              <w:widowControl w:val="false"/>
              <w:suppressLineNumbers/>
              <w:spacing w:before="0" w:after="200"/>
              <w:rPr/>
            </w:pPr>
            <w:r>
              <w:rPr/>
              <w:t>Utility, happiness, welfare, preference satisfaction, or another account of well-being</w:t>
            </w:r>
          </w:p>
        </w:tc>
        <w:tc>
          <w:tcPr>
            <w:tcW w:w="3634" w:type="dxa"/>
            <w:tcBorders/>
            <w:vAlign w:val="center"/>
          </w:tcPr>
          <w:p>
            <w:pPr>
              <w:pStyle w:val="TableContents"/>
              <w:widowControl w:val="false"/>
              <w:suppressLineNumbers/>
              <w:spacing w:before="0" w:after="200"/>
              <w:rPr/>
            </w:pPr>
            <w:r>
              <w:rPr/>
              <w:t>Compatible Long-Term Flourishing within the relevant World Context</w:t>
            </w:r>
          </w:p>
        </w:tc>
      </w:tr>
      <w:tr>
        <w:trPr/>
        <w:tc>
          <w:tcPr>
            <w:tcW w:w="1767" w:type="dxa"/>
            <w:tcBorders/>
            <w:vAlign w:val="center"/>
          </w:tcPr>
          <w:p>
            <w:pPr>
              <w:pStyle w:val="TableContents"/>
              <w:widowControl w:val="false"/>
              <w:suppressLineNumbers/>
              <w:spacing w:before="0" w:after="200"/>
              <w:rPr/>
            </w:pPr>
            <w:r>
              <w:rPr/>
              <w:t>Representation of value</w:t>
            </w:r>
          </w:p>
        </w:tc>
        <w:tc>
          <w:tcPr>
            <w:tcW w:w="3239" w:type="dxa"/>
            <w:tcBorders/>
            <w:vAlign w:val="center"/>
          </w:tcPr>
          <w:p>
            <w:pPr>
              <w:pStyle w:val="TableContents"/>
              <w:widowControl w:val="false"/>
              <w:suppressLineNumbers/>
              <w:spacing w:before="0" w:after="200"/>
              <w:rPr/>
            </w:pPr>
            <w:r>
              <w:rPr/>
              <w:t>Commonly expressed through an aggregate or comparable welfare measure</w:t>
            </w:r>
          </w:p>
        </w:tc>
        <w:tc>
          <w:tcPr>
            <w:tcW w:w="3634" w:type="dxa"/>
            <w:tcBorders/>
            <w:vAlign w:val="center"/>
          </w:tcPr>
          <w:p>
            <w:pPr>
              <w:pStyle w:val="TableContents"/>
              <w:widowControl w:val="false"/>
              <w:suppressLineNumbers/>
              <w:spacing w:before="0" w:after="200"/>
              <w:rPr/>
            </w:pPr>
            <w:r>
              <w:rPr/>
              <w:t>Represented as a multidimensional relational state vector</w:t>
            </w:r>
          </w:p>
        </w:tc>
      </w:tr>
      <w:tr>
        <w:trPr/>
        <w:tc>
          <w:tcPr>
            <w:tcW w:w="1767" w:type="dxa"/>
            <w:tcBorders/>
            <w:vAlign w:val="center"/>
          </w:tcPr>
          <w:p>
            <w:pPr>
              <w:pStyle w:val="TableContents"/>
              <w:widowControl w:val="false"/>
              <w:suppressLineNumbers/>
              <w:spacing w:before="0" w:after="200"/>
              <w:rPr/>
            </w:pPr>
            <w:r>
              <w:rPr/>
              <w:t>Decision criterion</w:t>
            </w:r>
          </w:p>
        </w:tc>
        <w:tc>
          <w:tcPr>
            <w:tcW w:w="3239" w:type="dxa"/>
            <w:tcBorders/>
            <w:vAlign w:val="center"/>
          </w:tcPr>
          <w:p>
            <w:pPr>
              <w:pStyle w:val="TableContents"/>
              <w:widowControl w:val="false"/>
              <w:suppressLineNumbers/>
              <w:spacing w:before="0" w:after="200"/>
              <w:rPr/>
            </w:pPr>
            <w:r>
              <w:rPr/>
              <w:t>Generally maximize total or expected net welfare</w:t>
            </w:r>
          </w:p>
        </w:tc>
        <w:tc>
          <w:tcPr>
            <w:tcW w:w="3634" w:type="dxa"/>
            <w:tcBorders/>
            <w:vAlign w:val="center"/>
          </w:tcPr>
          <w:p>
            <w:pPr>
              <w:pStyle w:val="TableContents"/>
              <w:widowControl w:val="false"/>
              <w:suppressLineNumbers/>
              <w:spacing w:before="0" w:after="200"/>
              <w:rPr/>
            </w:pPr>
            <w:r>
              <w:rPr/>
              <w:t>Preserve and promote Long-Term Flourishing while avoiding material diminishment of other relevant Flourishing Entities</w:t>
            </w:r>
          </w:p>
        </w:tc>
      </w:tr>
      <w:tr>
        <w:trPr/>
        <w:tc>
          <w:tcPr>
            <w:tcW w:w="1767" w:type="dxa"/>
            <w:tcBorders/>
            <w:vAlign w:val="center"/>
          </w:tcPr>
          <w:p>
            <w:pPr>
              <w:pStyle w:val="TableContents"/>
              <w:widowControl w:val="false"/>
              <w:suppressLineNumbers/>
              <w:spacing w:before="0" w:after="200"/>
              <w:rPr/>
            </w:pPr>
            <w:r>
              <w:rPr/>
              <w:t>Treatment of distribution</w:t>
            </w:r>
          </w:p>
        </w:tc>
        <w:tc>
          <w:tcPr>
            <w:tcW w:w="3239" w:type="dxa"/>
            <w:tcBorders/>
            <w:vAlign w:val="center"/>
          </w:tcPr>
          <w:p>
            <w:pPr>
              <w:pStyle w:val="TableContents"/>
              <w:widowControl w:val="false"/>
              <w:suppressLineNumbers/>
              <w:spacing w:before="0" w:after="200"/>
              <w:rPr/>
            </w:pPr>
            <w:r>
              <w:rPr/>
              <w:t>Distribution matters principally when it affects aggregate welfare, although some variants introduce distribution-sensitive weighting</w:t>
            </w:r>
          </w:p>
        </w:tc>
        <w:tc>
          <w:tcPr>
            <w:tcW w:w="3634" w:type="dxa"/>
            <w:tcBorders/>
            <w:vAlign w:val="center"/>
          </w:tcPr>
          <w:p>
            <w:pPr>
              <w:pStyle w:val="TableContents"/>
              <w:widowControl w:val="false"/>
              <w:suppressLineNumbers/>
              <w:spacing w:before="0" w:after="200"/>
              <w:rPr/>
            </w:pPr>
            <w:r>
              <w:rPr/>
              <w:t>Distribution, concentration, vulnerability, and material diminishment remain explicit components of the transition</w:t>
            </w:r>
          </w:p>
        </w:tc>
      </w:tr>
      <w:tr>
        <w:trPr/>
        <w:tc>
          <w:tcPr>
            <w:tcW w:w="1767" w:type="dxa"/>
            <w:tcBorders/>
            <w:vAlign w:val="center"/>
          </w:tcPr>
          <w:p>
            <w:pPr>
              <w:pStyle w:val="TableContents"/>
              <w:widowControl w:val="false"/>
              <w:suppressLineNumbers/>
              <w:spacing w:before="0" w:after="200"/>
              <w:rPr/>
            </w:pPr>
            <w:r>
              <w:rPr/>
              <w:t>Interpersonal trade-offs</w:t>
            </w:r>
          </w:p>
        </w:tc>
        <w:tc>
          <w:tcPr>
            <w:tcW w:w="3239" w:type="dxa"/>
            <w:tcBorders/>
            <w:vAlign w:val="center"/>
          </w:tcPr>
          <w:p>
            <w:pPr>
              <w:pStyle w:val="TableContents"/>
              <w:widowControl w:val="false"/>
              <w:suppressLineNumbers/>
              <w:spacing w:before="0" w:after="200"/>
              <w:rPr/>
            </w:pPr>
            <w:r>
              <w:rPr/>
              <w:t>May permit serious harm to some entities when outweighed by sufficiently large aggregate benefits</w:t>
            </w:r>
          </w:p>
        </w:tc>
        <w:tc>
          <w:tcPr>
            <w:tcW w:w="3634" w:type="dxa"/>
            <w:tcBorders/>
            <w:vAlign w:val="center"/>
          </w:tcPr>
          <w:p>
            <w:pPr>
              <w:pStyle w:val="TableContents"/>
              <w:widowControl w:val="false"/>
              <w:suppressLineNumbers/>
              <w:spacing w:before="0" w:after="200"/>
              <w:rPr/>
            </w:pPr>
            <w:r>
              <w:rPr/>
              <w:t>Does not allow aggregate improvement alone to conceal or automatically justify material diminishment</w:t>
            </w:r>
          </w:p>
        </w:tc>
      </w:tr>
      <w:tr>
        <w:trPr/>
        <w:tc>
          <w:tcPr>
            <w:tcW w:w="1767" w:type="dxa"/>
            <w:tcBorders/>
            <w:vAlign w:val="center"/>
          </w:tcPr>
          <w:p>
            <w:pPr>
              <w:pStyle w:val="TableContents"/>
              <w:widowControl w:val="false"/>
              <w:suppressLineNumbers/>
              <w:spacing w:before="0" w:after="200"/>
              <w:rPr/>
            </w:pPr>
            <w:r>
              <w:rPr/>
              <w:t>Moral importance of means</w:t>
            </w:r>
          </w:p>
        </w:tc>
        <w:tc>
          <w:tcPr>
            <w:tcW w:w="3239" w:type="dxa"/>
            <w:tcBorders/>
            <w:vAlign w:val="center"/>
          </w:tcPr>
          <w:p>
            <w:pPr>
              <w:pStyle w:val="TableContents"/>
              <w:widowControl w:val="false"/>
              <w:suppressLineNumbers/>
              <w:spacing w:before="0" w:after="200"/>
              <w:rPr/>
            </w:pPr>
            <w:r>
              <w:rPr/>
              <w:t>Usually derivative of the consequences produced by the means; rule utilitarianism addresses broader effects of generally permitted means</w:t>
            </w:r>
          </w:p>
        </w:tc>
        <w:tc>
          <w:tcPr>
            <w:tcW w:w="3634" w:type="dxa"/>
            <w:tcBorders/>
            <w:vAlign w:val="center"/>
          </w:tcPr>
          <w:p>
            <w:pPr>
              <w:pStyle w:val="TableContents"/>
              <w:widowControl w:val="false"/>
              <w:suppressLineNumbers/>
              <w:spacing w:before="0" w:after="200"/>
              <w:rPr/>
            </w:pPr>
            <w:r>
              <w:rPr/>
              <w:t>Explicitly represented through Distributed Policy Effects, institutional changes, precedents, trust, and changes to future behavior</w:t>
            </w:r>
          </w:p>
        </w:tc>
      </w:tr>
      <w:tr>
        <w:trPr/>
        <w:tc>
          <w:tcPr>
            <w:tcW w:w="1767" w:type="dxa"/>
            <w:tcBorders/>
            <w:vAlign w:val="center"/>
          </w:tcPr>
          <w:p>
            <w:pPr>
              <w:pStyle w:val="TableContents"/>
              <w:widowControl w:val="false"/>
              <w:suppressLineNumbers/>
              <w:spacing w:before="0" w:after="200"/>
              <w:rPr/>
            </w:pPr>
            <w:r>
              <w:rPr/>
              <w:t>Moral standing</w:t>
            </w:r>
          </w:p>
        </w:tc>
        <w:tc>
          <w:tcPr>
            <w:tcW w:w="3239" w:type="dxa"/>
            <w:tcBorders/>
            <w:vAlign w:val="center"/>
          </w:tcPr>
          <w:p>
            <w:pPr>
              <w:pStyle w:val="TableContents"/>
              <w:widowControl w:val="false"/>
              <w:suppressLineNumbers/>
              <w:spacing w:before="0" w:after="200"/>
              <w:rPr/>
            </w:pPr>
            <w:r>
              <w:rPr/>
              <w:t>Commonly based on sentience, interests, welfare, or preference-bearing capacity</w:t>
            </w:r>
          </w:p>
        </w:tc>
        <w:tc>
          <w:tcPr>
            <w:tcW w:w="3634" w:type="dxa"/>
            <w:tcBorders/>
            <w:vAlign w:val="center"/>
          </w:tcPr>
          <w:p>
            <w:pPr>
              <w:pStyle w:val="TableContents"/>
              <w:widowControl w:val="false"/>
              <w:suppressLineNumbers/>
              <w:spacing w:before="0" w:after="200"/>
              <w:rPr/>
            </w:pPr>
            <w:r>
              <w:rPr/>
              <w:t>Based on the framework’s classification of Self-Directed and Flourishing Entities, including persistence, adaptive capacity, and relational participation</w:t>
            </w:r>
          </w:p>
        </w:tc>
      </w:tr>
      <w:tr>
        <w:trPr/>
        <w:tc>
          <w:tcPr>
            <w:tcW w:w="1767" w:type="dxa"/>
            <w:tcBorders/>
            <w:vAlign w:val="center"/>
          </w:tcPr>
          <w:p>
            <w:pPr>
              <w:pStyle w:val="TableContents"/>
              <w:widowControl w:val="false"/>
              <w:suppressLineNumbers/>
              <w:spacing w:before="0" w:after="200"/>
              <w:rPr/>
            </w:pPr>
            <w:r>
              <w:rPr/>
              <w:t>Time horizons</w:t>
            </w:r>
          </w:p>
        </w:tc>
        <w:tc>
          <w:tcPr>
            <w:tcW w:w="3239" w:type="dxa"/>
            <w:tcBorders/>
            <w:vAlign w:val="center"/>
          </w:tcPr>
          <w:p>
            <w:pPr>
              <w:pStyle w:val="TableContents"/>
              <w:widowControl w:val="false"/>
              <w:suppressLineNumbers/>
              <w:spacing w:before="0" w:after="200"/>
              <w:rPr/>
            </w:pPr>
            <w:r>
              <w:rPr/>
              <w:t>Can consider any timeframe but does not always require a formal multi-horizon structure</w:t>
            </w:r>
          </w:p>
        </w:tc>
        <w:tc>
          <w:tcPr>
            <w:tcW w:w="3634" w:type="dxa"/>
            <w:tcBorders/>
            <w:vAlign w:val="center"/>
          </w:tcPr>
          <w:p>
            <w:pPr>
              <w:pStyle w:val="TableContents"/>
              <w:widowControl w:val="false"/>
              <w:suppressLineNumbers/>
              <w:spacing w:before="0" w:after="200"/>
              <w:rPr/>
            </w:pPr>
            <w:r>
              <w:rPr/>
              <w:t>Requires assessment across all materially relevant Assessment Horizons</w:t>
            </w:r>
          </w:p>
        </w:tc>
      </w:tr>
      <w:tr>
        <w:trPr/>
        <w:tc>
          <w:tcPr>
            <w:tcW w:w="1767" w:type="dxa"/>
            <w:tcBorders/>
            <w:vAlign w:val="center"/>
          </w:tcPr>
          <w:p>
            <w:pPr>
              <w:pStyle w:val="TableContents"/>
              <w:widowControl w:val="false"/>
              <w:suppressLineNumbers/>
              <w:spacing w:before="0" w:after="200"/>
              <w:rPr/>
            </w:pPr>
            <w:r>
              <w:rPr/>
              <w:t>Uncertainty</w:t>
            </w:r>
          </w:p>
        </w:tc>
        <w:tc>
          <w:tcPr>
            <w:tcW w:w="3239" w:type="dxa"/>
            <w:tcBorders/>
            <w:vAlign w:val="center"/>
          </w:tcPr>
          <w:p>
            <w:pPr>
              <w:pStyle w:val="TableContents"/>
              <w:widowControl w:val="false"/>
              <w:suppressLineNumbers/>
              <w:spacing w:before="0" w:after="200"/>
              <w:rPr/>
            </w:pPr>
            <w:r>
              <w:rPr/>
              <w:t>Often handled through expected-utility maximization</w:t>
            </w:r>
          </w:p>
        </w:tc>
        <w:tc>
          <w:tcPr>
            <w:tcW w:w="3634" w:type="dxa"/>
            <w:tcBorders/>
            <w:vAlign w:val="center"/>
          </w:tcPr>
          <w:p>
            <w:pPr>
              <w:pStyle w:val="TableContents"/>
              <w:widowControl w:val="false"/>
              <w:suppressLineNumbers/>
              <w:spacing w:before="0" w:after="200"/>
              <w:rPr/>
            </w:pPr>
            <w:r>
              <w:rPr/>
              <w:t>Retained through confidence bounds, alternative scenarios, sensitivity analysis, and potentially ambiguous or confidence-limited conclusions</w:t>
            </w:r>
          </w:p>
        </w:tc>
      </w:tr>
      <w:tr>
        <w:trPr/>
        <w:tc>
          <w:tcPr>
            <w:tcW w:w="1767" w:type="dxa"/>
            <w:tcBorders/>
            <w:vAlign w:val="center"/>
          </w:tcPr>
          <w:p>
            <w:pPr>
              <w:pStyle w:val="TableContents"/>
              <w:widowControl w:val="false"/>
              <w:suppressLineNumbers/>
              <w:spacing w:before="0" w:after="200"/>
              <w:rPr/>
            </w:pPr>
            <w:r>
              <w:rPr/>
              <w:t>Future possibilities</w:t>
            </w:r>
          </w:p>
        </w:tc>
        <w:tc>
          <w:tcPr>
            <w:tcW w:w="3239" w:type="dxa"/>
            <w:tcBorders/>
            <w:vAlign w:val="center"/>
          </w:tcPr>
          <w:p>
            <w:pPr>
              <w:pStyle w:val="TableContents"/>
              <w:widowControl w:val="false"/>
              <w:suppressLineNumbers/>
              <w:spacing w:before="0" w:after="200"/>
              <w:rPr/>
            </w:pPr>
            <w:r>
              <w:rPr/>
              <w:t>Usually valued through their expected contribution to welfare</w:t>
            </w:r>
          </w:p>
        </w:tc>
        <w:tc>
          <w:tcPr>
            <w:tcW w:w="3634" w:type="dxa"/>
            <w:tcBorders/>
            <w:vAlign w:val="center"/>
          </w:tcPr>
          <w:p>
            <w:pPr>
              <w:pStyle w:val="TableContents"/>
              <w:widowControl w:val="false"/>
              <w:suppressLineNumbers/>
              <w:spacing w:before="0" w:after="200"/>
              <w:rPr/>
            </w:pPr>
            <w:r>
              <w:rPr/>
              <w:t>Future Opportunities and Future State Space are independently represented components of the World Context</w:t>
            </w:r>
          </w:p>
        </w:tc>
      </w:tr>
      <w:tr>
        <w:trPr/>
        <w:tc>
          <w:tcPr>
            <w:tcW w:w="1767" w:type="dxa"/>
            <w:tcBorders/>
            <w:vAlign w:val="center"/>
          </w:tcPr>
          <w:p>
            <w:pPr>
              <w:pStyle w:val="TableContents"/>
              <w:widowControl w:val="false"/>
              <w:suppressLineNumbers/>
              <w:spacing w:before="0" w:after="200"/>
              <w:rPr/>
            </w:pPr>
            <w:r>
              <w:rPr/>
              <w:t>Relationships and institutions</w:t>
            </w:r>
          </w:p>
        </w:tc>
        <w:tc>
          <w:tcPr>
            <w:tcW w:w="3239" w:type="dxa"/>
            <w:tcBorders/>
            <w:vAlign w:val="center"/>
          </w:tcPr>
          <w:p>
            <w:pPr>
              <w:pStyle w:val="TableContents"/>
              <w:widowControl w:val="false"/>
              <w:suppressLineNumbers/>
              <w:spacing w:before="0" w:after="200"/>
              <w:rPr/>
            </w:pPr>
            <w:r>
              <w:rPr/>
              <w:t>Usually instrumentally valuable because of their welfare consequences</w:t>
            </w:r>
          </w:p>
        </w:tc>
        <w:tc>
          <w:tcPr>
            <w:tcW w:w="3634" w:type="dxa"/>
            <w:tcBorders/>
            <w:vAlign w:val="center"/>
          </w:tcPr>
          <w:p>
            <w:pPr>
              <w:pStyle w:val="TableContents"/>
              <w:widowControl w:val="false"/>
              <w:suppressLineNumbers/>
              <w:spacing w:before="0" w:after="200"/>
              <w:rPr/>
            </w:pPr>
            <w:r>
              <w:rPr/>
              <w:t>Represented as state-bearing architectural elements whose alteration is independently inspectable</w:t>
            </w:r>
          </w:p>
        </w:tc>
      </w:tr>
      <w:tr>
        <w:trPr/>
        <w:tc>
          <w:tcPr>
            <w:tcW w:w="1767" w:type="dxa"/>
            <w:tcBorders/>
            <w:vAlign w:val="center"/>
          </w:tcPr>
          <w:p>
            <w:pPr>
              <w:pStyle w:val="TableContents"/>
              <w:widowControl w:val="false"/>
              <w:suppressLineNumbers/>
              <w:spacing w:before="0" w:after="200"/>
              <w:rPr/>
            </w:pPr>
            <w:r>
              <w:rPr/>
              <w:t>Responsibility</w:t>
            </w:r>
          </w:p>
        </w:tc>
        <w:tc>
          <w:tcPr>
            <w:tcW w:w="3239" w:type="dxa"/>
            <w:tcBorders/>
            <w:vAlign w:val="center"/>
          </w:tcPr>
          <w:p>
            <w:pPr>
              <w:pStyle w:val="TableContents"/>
              <w:widowControl w:val="false"/>
              <w:suppressLineNumbers/>
              <w:spacing w:before="0" w:after="200"/>
              <w:rPr/>
            </w:pPr>
            <w:r>
              <w:rPr/>
              <w:t>Primarily concerned with selecting welfare-producing actions, although variants address intention and foreseeability</w:t>
            </w:r>
          </w:p>
        </w:tc>
        <w:tc>
          <w:tcPr>
            <w:tcW w:w="3634" w:type="dxa"/>
            <w:tcBorders/>
            <w:vAlign w:val="center"/>
          </w:tcPr>
          <w:p>
            <w:pPr>
              <w:pStyle w:val="TableContents"/>
              <w:widowControl w:val="false"/>
              <w:suppressLineNumbers/>
              <w:spacing w:before="0" w:after="200"/>
              <w:rPr/>
            </w:pPr>
            <w:r>
              <w:rPr/>
              <w:t>Separates causal effects from responsibility using role, authority, intent, foreseeability, capability, and available information</w:t>
            </w:r>
          </w:p>
        </w:tc>
      </w:tr>
      <w:tr>
        <w:trPr/>
        <w:tc>
          <w:tcPr>
            <w:tcW w:w="1767" w:type="dxa"/>
            <w:tcBorders/>
            <w:vAlign w:val="center"/>
          </w:tcPr>
          <w:p>
            <w:pPr>
              <w:pStyle w:val="TableContents"/>
              <w:widowControl w:val="false"/>
              <w:suppressLineNumbers/>
              <w:spacing w:before="0" w:after="200"/>
              <w:rPr/>
            </w:pPr>
            <w:r>
              <w:rPr/>
              <w:t>Output</w:t>
            </w:r>
          </w:p>
        </w:tc>
        <w:tc>
          <w:tcPr>
            <w:tcW w:w="3239" w:type="dxa"/>
            <w:tcBorders/>
            <w:vAlign w:val="center"/>
          </w:tcPr>
          <w:p>
            <w:pPr>
              <w:pStyle w:val="TableContents"/>
              <w:widowControl w:val="false"/>
              <w:suppressLineNumbers/>
              <w:spacing w:before="0" w:after="200"/>
              <w:rPr/>
            </w:pPr>
            <w:r>
              <w:rPr/>
              <w:t>Ordinarily identifies the action or rule that maximizes utility</w:t>
            </w:r>
          </w:p>
        </w:tc>
        <w:tc>
          <w:tcPr>
            <w:tcW w:w="3634" w:type="dxa"/>
            <w:tcBorders/>
            <w:vAlign w:val="center"/>
          </w:tcPr>
          <w:p>
            <w:pPr>
              <w:pStyle w:val="TableContents"/>
              <w:widowControl w:val="false"/>
              <w:suppressLineNumbers/>
              <w:spacing w:before="0" w:after="200"/>
              <w:rPr/>
            </w:pPr>
            <w:r>
              <w:rPr/>
              <w:t>May produce a permissibility judgment, comparative ranking, risk flag, structured transition report, or confidence-limited assessment</w:t>
            </w:r>
          </w:p>
        </w:tc>
      </w:tr>
      <w:tr>
        <w:trPr/>
        <w:tc>
          <w:tcPr>
            <w:tcW w:w="1767" w:type="dxa"/>
            <w:tcBorders/>
            <w:vAlign w:val="center"/>
          </w:tcPr>
          <w:p>
            <w:pPr>
              <w:pStyle w:val="TableContents"/>
              <w:widowControl w:val="false"/>
              <w:suppressLineNumbers/>
              <w:spacing w:before="0" w:after="200"/>
              <w:rPr/>
            </w:pPr>
            <w:r>
              <w:rPr/>
              <w:t>Theoretical form</w:t>
            </w:r>
          </w:p>
        </w:tc>
        <w:tc>
          <w:tcPr>
            <w:tcW w:w="3239" w:type="dxa"/>
            <w:tcBorders/>
            <w:vAlign w:val="center"/>
          </w:tcPr>
          <w:p>
            <w:pPr>
              <w:pStyle w:val="TableContents"/>
              <w:widowControl w:val="false"/>
              <w:suppressLineNumbers/>
              <w:spacing w:before="0" w:after="200"/>
              <w:rPr/>
            </w:pPr>
            <w:r>
              <w:rPr/>
              <w:t>A normative ethical theory</w:t>
            </w:r>
          </w:p>
        </w:tc>
        <w:tc>
          <w:tcPr>
            <w:tcW w:w="3634" w:type="dxa"/>
            <w:tcBorders/>
            <w:vAlign w:val="center"/>
          </w:tcPr>
          <w:p>
            <w:pPr>
              <w:pStyle w:val="TableContents"/>
              <w:widowControl w:val="false"/>
              <w:suppressLineNumbers/>
              <w:spacing w:before="0" w:after="200"/>
              <w:rPr/>
            </w:pPr>
            <w:r>
              <w:rPr/>
              <w:t>An implementation-neutral computational reference architecture containing an explicit normative axiom</w:t>
            </w:r>
          </w:p>
        </w:tc>
      </w:tr>
    </w:tbl>
    <w:p>
      <w:pPr>
        <w:pStyle w:val="BodyText"/>
        <w:spacing w:before="0" w:after="200"/>
        <w:rPr/>
      </w:pPr>
      <w:r>
        <w:rPr/>
        <w:t xml:space="preserve">A significant point of divergence concerns population ethics. Maximizing total welfare can produce conclusions in which an extremely large population with lives barely worth living is ranked above a smaller population with very high well-being—the “Repugnant Conclusion.” This illustrates the difficulty of reducing multi-generational flourishing and Future State Space to a single aggregate value. </w:t>
      </w:r>
      <w:hyperlink r:id="rId13">
        <w:r>
          <w:rPr>
            <w:rStyle w:val="Hyperlink"/>
          </w:rPr>
          <w:t>Stanford Encyclopedia of Philosophy</w:t>
        </w:r>
      </w:hyperlink>
    </w:p>
    <w:p>
      <w:pPr>
        <w:pStyle w:val="Heading4"/>
        <w:ind w:hanging="0" w:left="0"/>
        <w:rPr>
          <w:rFonts w:ascii="Aptos" w:hAnsi="Aptos"/>
          <w:color w:val="auto"/>
        </w:rPr>
      </w:pPr>
      <w:r>
        <w:rPr/>
        <w:t>Potential Integration Opportunities</w:t>
      </w:r>
    </w:p>
    <w:p>
      <w:pPr>
        <w:pStyle w:val="BodyText"/>
        <w:numPr>
          <w:ilvl w:val="0"/>
          <w:numId w:val="27"/>
        </w:numPr>
        <w:tabs>
          <w:tab w:val="clear" w:pos="720"/>
          <w:tab w:val="left" w:pos="0" w:leader="none"/>
        </w:tabs>
        <w:spacing w:before="0" w:after="200"/>
        <w:ind w:hanging="283" w:left="709"/>
        <w:rPr/>
      </w:pPr>
      <w:r>
        <w:rPr>
          <w:rStyle w:val="Strong"/>
        </w:rPr>
        <w:t>Utility as a subordinate assessment metric</w:t>
      </w:r>
    </w:p>
    <w:p>
      <w:pPr>
        <w:pStyle w:val="BodyText"/>
        <w:numPr>
          <w:ilvl w:val="0"/>
          <w:numId w:val="0"/>
        </w:numPr>
        <w:spacing w:before="0" w:after="200"/>
        <w:ind w:hanging="0" w:left="0"/>
        <w:rPr/>
      </w:pPr>
      <w:r>
        <w:rPr/>
        <w:t>Utility measures could estimate particular dimensions of Long-Term Flourishing, including health, suffering, security, preference satisfaction, or access to beneficial opportunities. Such measures should remain components of the World Context Transition rather than becoming the governing moral objective.</w:t>
      </w:r>
    </w:p>
    <w:p>
      <w:pPr>
        <w:pStyle w:val="BodyText"/>
        <w:numPr>
          <w:ilvl w:val="0"/>
          <w:numId w:val="27"/>
        </w:numPr>
        <w:tabs>
          <w:tab w:val="clear" w:pos="720"/>
          <w:tab w:val="left" w:pos="0" w:leader="none"/>
        </w:tabs>
        <w:spacing w:before="0" w:after="200"/>
        <w:ind w:hanging="283" w:left="709"/>
        <w:rPr/>
      </w:pPr>
      <w:r>
        <w:rPr>
          <w:rStyle w:val="Strong"/>
        </w:rPr>
        <w:t>Expected-utility analysis under uncertainty</w:t>
      </w:r>
    </w:p>
    <w:p>
      <w:pPr>
        <w:pStyle w:val="BodyText"/>
        <w:numPr>
          <w:ilvl w:val="0"/>
          <w:numId w:val="0"/>
        </w:numPr>
        <w:spacing w:before="0" w:after="200"/>
        <w:ind w:hanging="0" w:left="0"/>
        <w:rPr/>
      </w:pPr>
      <w:r>
        <w:rPr/>
        <w:t>Probability-weighted utility estimates could support comparison of candidate actions when outcomes are uncertain. The implementation should retain probability distributions, confidence levels, model uncertainty, and low-probability catastrophic outcomes rather than reporting only a single expected value.</w:t>
      </w:r>
    </w:p>
    <w:p>
      <w:pPr>
        <w:pStyle w:val="BodyText"/>
        <w:numPr>
          <w:ilvl w:val="0"/>
          <w:numId w:val="27"/>
        </w:numPr>
        <w:tabs>
          <w:tab w:val="clear" w:pos="720"/>
          <w:tab w:val="left" w:pos="0" w:leader="none"/>
        </w:tabs>
        <w:spacing w:before="0" w:after="200"/>
        <w:ind w:hanging="283" w:left="709"/>
        <w:rPr/>
      </w:pPr>
      <w:r>
        <w:rPr>
          <w:rStyle w:val="Strong"/>
        </w:rPr>
        <w:t>Multi-attribute utility models</w:t>
      </w:r>
    </w:p>
    <w:p>
      <w:pPr>
        <w:pStyle w:val="BodyText"/>
        <w:numPr>
          <w:ilvl w:val="0"/>
          <w:numId w:val="0"/>
        </w:numPr>
        <w:spacing w:before="0" w:after="200"/>
        <w:ind w:hanging="0" w:left="0"/>
        <w:rPr/>
      </w:pPr>
      <w:r>
        <w:rPr/>
        <w:t>Multi-attribute utility theory could help represent the dimensions of Long-Term Flourishing. Separate measures might address persistence, adaptive capacity, autonomy, health, relationships, institutional legitimacy, resilience, and Future State Space. The original vector and distributional information should be retained even when a composite score is generated.</w:t>
      </w:r>
    </w:p>
    <w:p>
      <w:pPr>
        <w:pStyle w:val="BodyText"/>
        <w:numPr>
          <w:ilvl w:val="0"/>
          <w:numId w:val="27"/>
        </w:numPr>
        <w:tabs>
          <w:tab w:val="clear" w:pos="720"/>
          <w:tab w:val="left" w:pos="0" w:leader="none"/>
        </w:tabs>
        <w:spacing w:before="0" w:after="200"/>
        <w:ind w:hanging="283" w:left="709"/>
        <w:rPr/>
      </w:pPr>
      <w:r>
        <w:rPr>
          <w:rStyle w:val="Strong"/>
        </w:rPr>
        <w:t>Distribution-sensitive social welfare analysis</w:t>
      </w:r>
    </w:p>
    <w:p>
      <w:pPr>
        <w:pStyle w:val="BodyText"/>
        <w:numPr>
          <w:ilvl w:val="0"/>
          <w:numId w:val="0"/>
        </w:numPr>
        <w:spacing w:before="0" w:after="200"/>
        <w:ind w:hanging="0" w:left="0"/>
        <w:rPr/>
      </w:pPr>
      <w:r>
        <w:rPr/>
        <w:t>Social welfare functions, inequality penalties, priority weighting, harm thresholds, and minimum-flourishing constraints could improve the evaluation of how benefits and harms are distributed. Sensitivity analysis could compare conclusions under total, average, prioritarian, and threshold-constrained formulations.</w:t>
      </w:r>
    </w:p>
    <w:p>
      <w:pPr>
        <w:pStyle w:val="BodyText"/>
        <w:numPr>
          <w:ilvl w:val="0"/>
          <w:numId w:val="27"/>
        </w:numPr>
        <w:tabs>
          <w:tab w:val="clear" w:pos="720"/>
          <w:tab w:val="left" w:pos="0" w:leader="none"/>
        </w:tabs>
        <w:spacing w:before="0" w:after="200"/>
        <w:ind w:hanging="283" w:left="709"/>
        <w:rPr/>
      </w:pPr>
      <w:r>
        <w:rPr>
          <w:rStyle w:val="Strong"/>
        </w:rPr>
        <w:t>Rule-utilitarian analysis of Distributed Policy Effects</w:t>
      </w:r>
    </w:p>
    <w:p>
      <w:pPr>
        <w:pStyle w:val="BodyText"/>
        <w:numPr>
          <w:ilvl w:val="0"/>
          <w:numId w:val="0"/>
        </w:numPr>
        <w:spacing w:before="0" w:after="200"/>
        <w:ind w:hanging="0" w:left="0"/>
        <w:rPr/>
      </w:pPr>
      <w:r>
        <w:rPr/>
        <w:t>Rule utilitarianism could help estimate the consequences of normalizing a type of action. Simulations could assess how general acceptance of a rule changes trust, compliance, institutional legitimacy, incentives, enforcement practices, and the future policies of human and artificial Moral Agents.</w:t>
      </w:r>
    </w:p>
    <w:p>
      <w:pPr>
        <w:pStyle w:val="BodyText"/>
        <w:numPr>
          <w:ilvl w:val="0"/>
          <w:numId w:val="27"/>
        </w:numPr>
        <w:tabs>
          <w:tab w:val="clear" w:pos="720"/>
          <w:tab w:val="left" w:pos="0" w:leader="none"/>
        </w:tabs>
        <w:spacing w:before="0" w:after="200"/>
        <w:ind w:hanging="283" w:left="709"/>
        <w:rPr/>
      </w:pPr>
      <w:r>
        <w:rPr>
          <w:rStyle w:val="Strong"/>
        </w:rPr>
        <w:t>Counterfactual and opportunity-cost analysis</w:t>
      </w:r>
    </w:p>
    <w:p>
      <w:pPr>
        <w:pStyle w:val="BodyText"/>
        <w:numPr>
          <w:ilvl w:val="0"/>
          <w:numId w:val="0"/>
        </w:numPr>
        <w:spacing w:before="0" w:after="200"/>
        <w:ind w:hanging="0" w:left="0"/>
        <w:rPr/>
      </w:pPr>
      <w:r>
        <w:rPr/>
        <w:t>Utilitarian comparison methods could strengthen the framework’s evaluation of alternatives. Each Assessed Action should be compared with credible counterfactual actions, including delay, mitigation, partial implementation, delegation, and inaction.</w:t>
      </w:r>
    </w:p>
    <w:p>
      <w:pPr>
        <w:pStyle w:val="BodyText"/>
        <w:numPr>
          <w:ilvl w:val="0"/>
          <w:numId w:val="27"/>
        </w:numPr>
        <w:tabs>
          <w:tab w:val="clear" w:pos="720"/>
          <w:tab w:val="left" w:pos="0" w:leader="none"/>
        </w:tabs>
        <w:spacing w:before="0" w:after="200"/>
        <w:ind w:hanging="283" w:left="709"/>
        <w:rPr/>
      </w:pPr>
      <w:r>
        <w:rPr>
          <w:rStyle w:val="Strong"/>
        </w:rPr>
        <w:t>Population ethics and future generations</w:t>
      </w:r>
    </w:p>
    <w:p>
      <w:pPr>
        <w:pStyle w:val="BodyText"/>
        <w:numPr>
          <w:ilvl w:val="0"/>
          <w:numId w:val="0"/>
        </w:numPr>
        <w:spacing w:before="0" w:after="200"/>
        <w:ind w:hanging="0" w:left="0"/>
        <w:rPr/>
      </w:pPr>
      <w:r>
        <w:rPr/>
        <w:t>Utilitarian population ethics can supply established problems and analytical tools for evaluating future persons, population size, intergenerational effects, and nonidentity. These methods could inform the representation of Future Opportunities and Future State Space without requiring the framework to adopt total-welfare maximization.</w:t>
      </w:r>
    </w:p>
    <w:p>
      <w:pPr>
        <w:pStyle w:val="BodyText"/>
        <w:numPr>
          <w:ilvl w:val="0"/>
          <w:numId w:val="27"/>
        </w:numPr>
        <w:tabs>
          <w:tab w:val="clear" w:pos="720"/>
          <w:tab w:val="left" w:pos="0" w:leader="none"/>
        </w:tabs>
        <w:spacing w:before="0" w:after="200"/>
        <w:ind w:hanging="283" w:left="709"/>
        <w:rPr/>
      </w:pPr>
      <w:r>
        <w:rPr>
          <w:rStyle w:val="Strong"/>
        </w:rPr>
        <w:t>Non-human welfare assessment</w:t>
      </w:r>
    </w:p>
    <w:p>
      <w:pPr>
        <w:pStyle w:val="BodyText"/>
        <w:numPr>
          <w:ilvl w:val="0"/>
          <w:numId w:val="0"/>
        </w:numPr>
        <w:spacing w:before="0" w:after="200"/>
        <w:ind w:hanging="0" w:left="0"/>
        <w:rPr/>
      </w:pPr>
      <w:r>
        <w:rPr/>
        <w:t>Contemporary utilitarian work on animal suffering and equal consideration could help prevent the Flourishing Entity classification from overlooking sentient beings whose adaptive or self-directed capacities are difficult to measure. Sentience-based welfare could be represented as an additional basis for moral relevance where appropriate.</w:t>
      </w:r>
    </w:p>
    <w:p>
      <w:pPr>
        <w:pStyle w:val="BodyText"/>
        <w:numPr>
          <w:ilvl w:val="0"/>
          <w:numId w:val="27"/>
        </w:numPr>
        <w:tabs>
          <w:tab w:val="clear" w:pos="720"/>
          <w:tab w:val="left" w:pos="0" w:leader="none"/>
        </w:tabs>
        <w:spacing w:before="0" w:after="200"/>
        <w:ind w:hanging="283" w:left="709"/>
        <w:rPr/>
      </w:pPr>
      <w:r>
        <w:rPr>
          <w:rStyle w:val="Strong"/>
        </w:rPr>
        <w:t>Empirical welfare measurement</w:t>
      </w:r>
    </w:p>
    <w:p>
      <w:pPr>
        <w:pStyle w:val="BodyText"/>
        <w:numPr>
          <w:ilvl w:val="0"/>
          <w:numId w:val="0"/>
        </w:numPr>
        <w:spacing w:before="0" w:after="200"/>
        <w:ind w:hanging="0" w:left="0"/>
        <w:rPr/>
      </w:pPr>
      <w:r>
        <w:rPr/>
        <w:t>Research from welfare economics, public health, psychology, environmental science, and quality-of-life measurement could provide evidence for specific state variables. The framework would need to distinguish measurable welfare indicators from the broader construct of Long-Term Flourishing.</w:t>
      </w:r>
    </w:p>
    <w:p>
      <w:pPr>
        <w:pStyle w:val="BodyText"/>
        <w:numPr>
          <w:ilvl w:val="0"/>
          <w:numId w:val="27"/>
        </w:numPr>
        <w:tabs>
          <w:tab w:val="clear" w:pos="720"/>
          <w:tab w:val="left" w:pos="0" w:leader="none"/>
        </w:tabs>
        <w:spacing w:before="0" w:after="200"/>
        <w:ind w:hanging="283" w:left="709"/>
        <w:rPr/>
      </w:pPr>
      <w:r>
        <w:rPr>
          <w:rStyle w:val="Strong"/>
        </w:rPr>
        <w:t>Computational prioritization</w:t>
      </w:r>
    </w:p>
    <w:p>
      <w:pPr>
        <w:pStyle w:val="BodyText"/>
        <w:numPr>
          <w:ilvl w:val="0"/>
          <w:numId w:val="0"/>
        </w:numPr>
        <w:spacing w:before="0" w:after="200"/>
        <w:ind w:hanging="0" w:left="0"/>
        <w:rPr/>
      </w:pPr>
      <w:r>
        <w:rPr/>
        <w:t>Where complete World Context representation is infeasible, utilitarian estimates could help identify high-impact entities, consequences, and causal pathways for deeper analysis. This would make utility a method of allocating assessment effort rather than the final moral decision rule.</w:t>
      </w:r>
    </w:p>
    <w:p>
      <w:pPr>
        <w:pStyle w:val="BodyText"/>
        <w:bidi w:val="0"/>
        <w:spacing w:before="0" w:after="200"/>
        <w:rPr/>
      </w:pPr>
      <w:r>
        <w:rPr/>
        <w:t>The strongest integration would therefore use utilitarianism as a quantitative and comparative analytical layer within the Reference Architecture. Its methods can improve consequence estimation, alternative comparison, uncertainty analysis, and welfare measurement, while the broader framework preserves distributional effects, relationships, institutional conditions, Distributed Policy Effects, and Future State Space that should not be prematurely collapsed into a single utility value.</w:t>
      </w:r>
    </w:p>
    <w:p>
      <w:pPr>
        <w:pStyle w:val="Heading2"/>
        <w:rPr/>
      </w:pPr>
      <w:r>
        <w:rPr/>
        <w:t>Deontology</w:t>
      </w:r>
    </w:p>
    <w:p>
      <w:pPr>
        <w:pStyle w:val="BodyText"/>
        <w:spacing w:before="0" w:after="200"/>
        <w:rPr/>
      </w:pPr>
      <w:r>
        <w:rPr/>
        <w:t xml:space="preserve">Deontology is a family of normative ethical theories concerned with what Moral Agents are required, permitted, or forbidden to do. Deontological theories hold that at least some actions possess a moral status that cannot be determined solely by comparing their consequences. Duties, prohibitions, rights, intentions, relationships, and respect for persons may constrain an Actor even when violating the constraint would produce a better aggregate outcome. Deontology includes agent-centered, patient-centered, Kantian, contractualist, absolutist, threshold, and pluralistic forms rather than one uniform doctrine. </w:t>
      </w:r>
      <w:hyperlink r:id="rId14">
        <w:r>
          <w:rPr>
            <w:rStyle w:val="Hyperlink"/>
          </w:rPr>
          <w:t>Stanford Encyclopedia of Philosophy</w:t>
        </w:r>
      </w:hyperlink>
    </w:p>
    <w:p>
      <w:pPr>
        <w:pStyle w:val="Heading3"/>
        <w:rPr/>
      </w:pPr>
      <w:r>
        <w:rPr/>
        <w:t>Primary Experts</w:t>
      </w:r>
    </w:p>
    <w:tbl>
      <w:tblPr>
        <w:tblW w:w="8640" w:type="dxa"/>
        <w:jc w:val="left"/>
        <w:tblInd w:w="28" w:type="dxa"/>
        <w:tblLayout w:type="fixed"/>
        <w:tblCellMar>
          <w:top w:w="28" w:type="dxa"/>
          <w:left w:w="28" w:type="dxa"/>
          <w:bottom w:w="28" w:type="dxa"/>
          <w:right w:w="28" w:type="dxa"/>
        </w:tblCellMar>
      </w:tblPr>
      <w:tblGrid>
        <w:gridCol w:w="1236"/>
        <w:gridCol w:w="708"/>
        <w:gridCol w:w="2210"/>
        <w:gridCol w:w="4486"/>
      </w:tblGrid>
      <w:tr>
        <w:trPr>
          <w:tblHeader w:val="true"/>
        </w:trPr>
        <w:tc>
          <w:tcPr>
            <w:tcW w:w="1236" w:type="dxa"/>
            <w:tcBorders/>
            <w:vAlign w:val="center"/>
          </w:tcPr>
          <w:p>
            <w:pPr>
              <w:pStyle w:val="TableHeading"/>
              <w:suppressLineNumbers/>
              <w:spacing w:before="0" w:after="200"/>
              <w:jc w:val="center"/>
              <w:rPr/>
            </w:pPr>
            <w:r>
              <w:rPr/>
              <w:t>Expert</w:t>
            </w:r>
          </w:p>
        </w:tc>
        <w:tc>
          <w:tcPr>
            <w:tcW w:w="708" w:type="dxa"/>
            <w:tcBorders/>
            <w:vAlign w:val="center"/>
          </w:tcPr>
          <w:p>
            <w:pPr>
              <w:pStyle w:val="TableHeading"/>
              <w:spacing w:before="0" w:after="200"/>
              <w:jc w:val="right"/>
              <w:rPr/>
            </w:pPr>
            <w:r>
              <w:rPr/>
              <w:t>Life</w:t>
            </w:r>
          </w:p>
        </w:tc>
        <w:tc>
          <w:tcPr>
            <w:tcW w:w="2210" w:type="dxa"/>
            <w:tcBorders/>
            <w:vAlign w:val="center"/>
          </w:tcPr>
          <w:p>
            <w:pPr>
              <w:pStyle w:val="TableHeading"/>
              <w:suppressLineNumbers/>
              <w:spacing w:before="0" w:after="200"/>
              <w:jc w:val="center"/>
              <w:rPr/>
            </w:pPr>
            <w:r>
              <w:rPr/>
              <w:t>Associated institution</w:t>
            </w:r>
          </w:p>
        </w:tc>
        <w:tc>
          <w:tcPr>
            <w:tcW w:w="4486" w:type="dxa"/>
            <w:tcBorders/>
            <w:vAlign w:val="center"/>
          </w:tcPr>
          <w:p>
            <w:pPr>
              <w:pStyle w:val="TableHeading"/>
              <w:suppressLineNumbers/>
              <w:spacing w:before="0" w:after="200"/>
              <w:jc w:val="center"/>
              <w:rPr/>
            </w:pPr>
            <w:r>
              <w:rPr/>
              <w:t>Principal contribution</w:t>
            </w:r>
          </w:p>
        </w:tc>
      </w:tr>
      <w:tr>
        <w:trPr/>
        <w:tc>
          <w:tcPr>
            <w:tcW w:w="1236" w:type="dxa"/>
            <w:tcBorders/>
            <w:vAlign w:val="center"/>
          </w:tcPr>
          <w:p>
            <w:pPr>
              <w:pStyle w:val="TableContents"/>
              <w:widowControl w:val="false"/>
              <w:suppressLineNumbers/>
              <w:spacing w:before="0" w:after="200"/>
              <w:rPr/>
            </w:pPr>
            <w:r>
              <w:rPr/>
              <w:t>Immanuel Kant</w:t>
            </w:r>
          </w:p>
        </w:tc>
        <w:tc>
          <w:tcPr>
            <w:tcW w:w="708" w:type="dxa"/>
            <w:tcBorders/>
            <w:vAlign w:val="center"/>
          </w:tcPr>
          <w:p>
            <w:pPr>
              <w:pStyle w:val="TableContents"/>
              <w:spacing w:before="0" w:after="200"/>
              <w:jc w:val="right"/>
              <w:rPr/>
            </w:pPr>
            <w:r>
              <w:rPr/>
              <w:t>1724–1804</w:t>
            </w:r>
          </w:p>
        </w:tc>
        <w:tc>
          <w:tcPr>
            <w:tcW w:w="2210" w:type="dxa"/>
            <w:tcBorders/>
            <w:vAlign w:val="center"/>
          </w:tcPr>
          <w:p>
            <w:pPr>
              <w:pStyle w:val="TableContents"/>
              <w:widowControl w:val="false"/>
              <w:suppressLineNumbers/>
              <w:spacing w:before="0" w:after="200"/>
              <w:rPr/>
            </w:pPr>
            <w:r>
              <w:rPr/>
              <w:t>University of Königsberg—the Albertina; Professor of Logic and Metaphysics</w:t>
            </w:r>
          </w:p>
        </w:tc>
        <w:tc>
          <w:tcPr>
            <w:tcW w:w="4486" w:type="dxa"/>
            <w:tcBorders/>
            <w:vAlign w:val="center"/>
          </w:tcPr>
          <w:p>
            <w:pPr>
              <w:pStyle w:val="TableContents"/>
              <w:widowControl w:val="false"/>
              <w:suppressLineNumbers/>
              <w:spacing w:before="0" w:after="200"/>
              <w:rPr/>
            </w:pPr>
            <w:r>
              <w:rPr/>
              <w:t xml:space="preserve">Developed the most influential systematic form of deontological ethics. Kant grounded morality in rational autonomy, good will, duty, and the Categorical Imperative, including universalizability and the requirement to treat humanity as an end rather than merely as a means. Kant studied and taught at the University of Königsberg and was appointed to its chair in logic and metaphysics in 1770. </w:t>
            </w:r>
            <w:hyperlink r:id="rId15">
              <w:r>
                <w:rPr>
                  <w:rStyle w:val="Hyperlink"/>
                </w:rPr>
                <w:t>Stanford Encyclopedia of Philosophy</w:t>
              </w:r>
            </w:hyperlink>
          </w:p>
        </w:tc>
      </w:tr>
      <w:tr>
        <w:trPr/>
        <w:tc>
          <w:tcPr>
            <w:tcW w:w="1236" w:type="dxa"/>
            <w:tcBorders/>
            <w:vAlign w:val="center"/>
          </w:tcPr>
          <w:p>
            <w:pPr>
              <w:pStyle w:val="TableContents"/>
              <w:widowControl w:val="false"/>
              <w:suppressLineNumbers/>
              <w:spacing w:before="0" w:after="200"/>
              <w:rPr/>
            </w:pPr>
            <w:r>
              <w:rPr/>
              <w:t>Sir William David Ross</w:t>
            </w:r>
          </w:p>
        </w:tc>
        <w:tc>
          <w:tcPr>
            <w:tcW w:w="708" w:type="dxa"/>
            <w:tcBorders/>
            <w:vAlign w:val="center"/>
          </w:tcPr>
          <w:p>
            <w:pPr>
              <w:pStyle w:val="TableContents"/>
              <w:spacing w:before="0" w:after="200"/>
              <w:jc w:val="right"/>
              <w:rPr/>
            </w:pPr>
            <w:r>
              <w:rPr/>
              <w:t>1877–1971</w:t>
            </w:r>
          </w:p>
        </w:tc>
        <w:tc>
          <w:tcPr>
            <w:tcW w:w="2210" w:type="dxa"/>
            <w:tcBorders/>
            <w:vAlign w:val="center"/>
          </w:tcPr>
          <w:p>
            <w:pPr>
              <w:pStyle w:val="TableContents"/>
              <w:widowControl w:val="false"/>
              <w:suppressLineNumbers/>
              <w:spacing w:before="0" w:after="200"/>
              <w:rPr/>
            </w:pPr>
            <w:r>
              <w:rPr/>
              <w:t>University of Oxford; Fellow and Provost of Oriel College, and Vice-Chancellor of Oxford</w:t>
            </w:r>
          </w:p>
        </w:tc>
        <w:tc>
          <w:tcPr>
            <w:tcW w:w="4486" w:type="dxa"/>
            <w:tcBorders/>
            <w:vAlign w:val="center"/>
          </w:tcPr>
          <w:p>
            <w:pPr>
              <w:pStyle w:val="TableContents"/>
              <w:widowControl w:val="false"/>
              <w:suppressLineNumbers/>
              <w:spacing w:before="0" w:after="200"/>
              <w:rPr/>
            </w:pPr>
            <w:r>
              <w:rPr/>
              <w:t xml:space="preserve">Developed a pluralistic deontology based on multiple </w:t>
            </w:r>
            <w:r>
              <w:rPr>
                <w:rStyle w:val="Emphasis"/>
              </w:rPr>
              <w:t>prima facie</w:t>
            </w:r>
            <w:r>
              <w:rPr/>
              <w:t xml:space="preserve"> duties, including fidelity, reparation, gratitude, justice, beneficence, self-improvement, and non-maleficence. Ross argued that these duties can conflict and that the Actor must determine the most stringent actual duty in the circumstances. </w:t>
            </w:r>
            <w:hyperlink r:id="rId16">
              <w:r>
                <w:rPr>
                  <w:rStyle w:val="Hyperlink"/>
                </w:rPr>
                <w:t>Oriel College, Oxford</w:t>
              </w:r>
            </w:hyperlink>
            <w:r>
              <w:rPr/>
              <w:t xml:space="preserve">, </w:t>
            </w:r>
            <w:hyperlink r:id="rId17">
              <w:r>
                <w:rPr>
                  <w:rStyle w:val="Hyperlink"/>
                </w:rPr>
                <w:t>Stanford Encyclopedia of Philosophy</w:t>
              </w:r>
            </w:hyperlink>
          </w:p>
        </w:tc>
      </w:tr>
      <w:tr>
        <w:trPr/>
        <w:tc>
          <w:tcPr>
            <w:tcW w:w="1236" w:type="dxa"/>
            <w:tcBorders/>
            <w:vAlign w:val="center"/>
          </w:tcPr>
          <w:p>
            <w:pPr>
              <w:pStyle w:val="TableContents"/>
              <w:widowControl w:val="false"/>
              <w:suppressLineNumbers/>
              <w:spacing w:before="0" w:after="200"/>
              <w:rPr/>
            </w:pPr>
            <w:r>
              <w:rPr/>
              <w:t>Onora O’Neill</w:t>
            </w:r>
          </w:p>
        </w:tc>
        <w:tc>
          <w:tcPr>
            <w:tcW w:w="708" w:type="dxa"/>
            <w:tcBorders/>
            <w:vAlign w:val="center"/>
          </w:tcPr>
          <w:p>
            <w:pPr>
              <w:pStyle w:val="TableContents"/>
              <w:spacing w:before="0" w:after="200"/>
              <w:jc w:val="right"/>
              <w:rPr/>
            </w:pPr>
            <w:r>
              <w:rPr/>
              <w:t>Born 1941</w:t>
            </w:r>
          </w:p>
        </w:tc>
        <w:tc>
          <w:tcPr>
            <w:tcW w:w="2210" w:type="dxa"/>
            <w:tcBorders/>
            <w:vAlign w:val="center"/>
          </w:tcPr>
          <w:p>
            <w:pPr>
              <w:pStyle w:val="TableContents"/>
              <w:widowControl w:val="false"/>
              <w:suppressLineNumbers/>
              <w:spacing w:before="0" w:after="200"/>
              <w:rPr/>
            </w:pPr>
            <w:r>
              <w:rPr/>
              <w:t>University of Cambridge—Professor Emerita of Philosophy; Principal of Newnham College, 1992–2006</w:t>
            </w:r>
          </w:p>
        </w:tc>
        <w:tc>
          <w:tcPr>
            <w:tcW w:w="4486" w:type="dxa"/>
            <w:tcBorders/>
            <w:vAlign w:val="center"/>
          </w:tcPr>
          <w:p>
            <w:pPr>
              <w:pStyle w:val="TableContents"/>
              <w:widowControl w:val="false"/>
              <w:suppressLineNumbers/>
              <w:spacing w:before="0" w:after="200"/>
              <w:rPr/>
            </w:pPr>
            <w:r>
              <w:rPr/>
              <w:t xml:space="preserve">Extended Kantian ethics into political philosophy, bioethics, international justice, trust, consent, communication, and institutional accountability. Her work demonstrates how universalizable principles and duties can be applied to complex institutional and public-policy contexts. </w:t>
            </w:r>
            <w:hyperlink r:id="rId18">
              <w:r>
                <w:rPr>
                  <w:rStyle w:val="Hyperlink"/>
                </w:rPr>
                <w:t>University of Cambridge</w:t>
              </w:r>
            </w:hyperlink>
            <w:r>
              <w:rPr/>
              <w:t xml:space="preserve">, </w:t>
            </w:r>
            <w:hyperlink r:id="rId19">
              <w:r>
                <w:rPr>
                  <w:rStyle w:val="Hyperlink"/>
                </w:rPr>
                <w:t>Newnham College</w:t>
              </w:r>
            </w:hyperlink>
          </w:p>
        </w:tc>
      </w:tr>
    </w:tbl>
    <w:p>
      <w:pPr>
        <w:pStyle w:val="Heading3"/>
        <w:rPr/>
      </w:pPr>
      <w:r>
        <w:rPr/>
        <w:t>Core Assumptions</w:t>
      </w:r>
    </w:p>
    <w:p>
      <w:pPr>
        <w:pStyle w:val="BodyText"/>
        <w:spacing w:before="0" w:after="200"/>
        <w:rPr/>
      </w:pPr>
      <w:r>
        <w:rPr/>
        <w:t>Because deontology encompasses several theories, not every deontologist accepts every assumption below. The following assumptions describe the central deontological positions most relevant to comparison with the proposed framework.</w:t>
      </w:r>
    </w:p>
    <w:p>
      <w:pPr>
        <w:pStyle w:val="BodyText"/>
        <w:numPr>
          <w:ilvl w:val="0"/>
          <w:numId w:val="32"/>
        </w:numPr>
        <w:tabs>
          <w:tab w:val="clear" w:pos="720"/>
          <w:tab w:val="left" w:pos="0" w:leader="none"/>
        </w:tabs>
        <w:spacing w:before="0" w:after="200"/>
        <w:ind w:hanging="283" w:left="709"/>
        <w:rPr/>
      </w:pPr>
      <w:r>
        <w:rPr>
          <w:rStyle w:val="Strong"/>
        </w:rPr>
        <w:t>The right is not reducible to the good:</w:t>
      </w:r>
      <w:r>
        <w:rPr/>
        <w:t xml:space="preserve"> An action is not necessarily permissible merely because it produces the greatest aggregate benefit. Some acts may remain wrong because of the duty violated, the means employed, the intention adopted, or the way another entity is treated.</w:t>
      </w:r>
    </w:p>
    <w:p>
      <w:pPr>
        <w:pStyle w:val="BodyText"/>
        <w:numPr>
          <w:ilvl w:val="0"/>
          <w:numId w:val="32"/>
        </w:numPr>
        <w:tabs>
          <w:tab w:val="clear" w:pos="720"/>
          <w:tab w:val="left" w:pos="0" w:leader="none"/>
        </w:tabs>
        <w:spacing w:before="0" w:after="200"/>
        <w:ind w:hanging="283" w:left="709"/>
        <w:rPr/>
      </w:pPr>
      <w:r>
        <w:rPr>
          <w:rStyle w:val="Strong"/>
        </w:rPr>
        <w:t>Moral requirements constrain action:</w:t>
      </w:r>
      <w:r>
        <w:rPr/>
        <w:t xml:space="preserve"> Duties and prohibitions establish limits on what an Actor may do. These constraints can apply even when violating them would prevent other Actors from committing comparable violations.</w:t>
      </w:r>
    </w:p>
    <w:p>
      <w:pPr>
        <w:pStyle w:val="BodyText"/>
        <w:numPr>
          <w:ilvl w:val="0"/>
          <w:numId w:val="32"/>
        </w:numPr>
        <w:tabs>
          <w:tab w:val="clear" w:pos="720"/>
          <w:tab w:val="left" w:pos="0" w:leader="none"/>
        </w:tabs>
        <w:spacing w:before="0" w:after="200"/>
        <w:ind w:hanging="283" w:left="709"/>
        <w:rPr/>
      </w:pPr>
      <w:r>
        <w:rPr>
          <w:rStyle w:val="Strong"/>
        </w:rPr>
        <w:t>Moral agency is significant:</w:t>
      </w:r>
      <w:r>
        <w:rPr/>
        <w:t xml:space="preserve"> The Actor is responsible for maintaining the moral integrity of the Actor’s own intentions and actions. Agent-centered deontology emphasizes the Actor’s special responsibility for what the Actor personally chooses, intends, authorizes, or performs.</w:t>
      </w:r>
    </w:p>
    <w:p>
      <w:pPr>
        <w:pStyle w:val="BodyText"/>
        <w:numPr>
          <w:ilvl w:val="0"/>
          <w:numId w:val="32"/>
        </w:numPr>
        <w:tabs>
          <w:tab w:val="clear" w:pos="720"/>
          <w:tab w:val="left" w:pos="0" w:leader="none"/>
        </w:tabs>
        <w:spacing w:before="0" w:after="200"/>
        <w:ind w:hanging="283" w:left="709"/>
        <w:rPr/>
      </w:pPr>
      <w:r>
        <w:rPr>
          <w:rStyle w:val="Strong"/>
        </w:rPr>
        <w:t>Intentions and maxims matter:</w:t>
      </w:r>
      <w:r>
        <w:rPr/>
        <w:t xml:space="preserve"> In Kantian ethics, the maxim or subjective policy underlying an action is central to its moral assessment. Intending a harmful outcome as a means may differ morally from foreseeing but not intending that outcome.</w:t>
      </w:r>
    </w:p>
    <w:p>
      <w:pPr>
        <w:pStyle w:val="BodyText"/>
        <w:numPr>
          <w:ilvl w:val="0"/>
          <w:numId w:val="32"/>
        </w:numPr>
        <w:tabs>
          <w:tab w:val="clear" w:pos="720"/>
          <w:tab w:val="left" w:pos="0" w:leader="none"/>
        </w:tabs>
        <w:spacing w:before="0" w:after="200"/>
        <w:ind w:hanging="283" w:left="709"/>
        <w:rPr/>
      </w:pPr>
      <w:r>
        <w:rPr>
          <w:rStyle w:val="Strong"/>
        </w:rPr>
        <w:t>Universalizability:</w:t>
      </w:r>
      <w:r>
        <w:rPr/>
        <w:t xml:space="preserve"> A Moral Agent should act only on a maxim that could be rationally adopted as a universal law. This evaluates whether the Actor’s policy is coherent and whether the Actor could rationally will a world in which all similarly situated agents adopted it. </w:t>
      </w:r>
      <w:hyperlink r:id="rId20">
        <w:r>
          <w:rPr>
            <w:rStyle w:val="Hyperlink"/>
          </w:rPr>
          <w:t>Stanford Encyclopedia of Philosophy</w:t>
        </w:r>
      </w:hyperlink>
    </w:p>
    <w:p>
      <w:pPr>
        <w:pStyle w:val="BodyText"/>
        <w:numPr>
          <w:ilvl w:val="0"/>
          <w:numId w:val="32"/>
        </w:numPr>
        <w:tabs>
          <w:tab w:val="clear" w:pos="720"/>
          <w:tab w:val="left" w:pos="0" w:leader="none"/>
        </w:tabs>
        <w:spacing w:before="0" w:after="200"/>
        <w:ind w:hanging="283" w:left="709"/>
        <w:rPr/>
      </w:pPr>
      <w:r>
        <w:rPr>
          <w:rStyle w:val="Strong"/>
        </w:rPr>
        <w:t>Persons must not be treated merely as means:</w:t>
      </w:r>
      <w:r>
        <w:rPr/>
        <w:t xml:space="preserve"> Rational agents possess a moral status that prohibits their reduction to instruments for another Actor’s objectives. Consent, autonomy, coercion, deception, and manipulation therefore have direct moral importance.</w:t>
      </w:r>
    </w:p>
    <w:p>
      <w:pPr>
        <w:pStyle w:val="BodyText"/>
        <w:numPr>
          <w:ilvl w:val="0"/>
          <w:numId w:val="32"/>
        </w:numPr>
        <w:tabs>
          <w:tab w:val="clear" w:pos="720"/>
          <w:tab w:val="left" w:pos="0" w:leader="none"/>
        </w:tabs>
        <w:spacing w:before="0" w:after="200"/>
        <w:ind w:hanging="283" w:left="709"/>
        <w:rPr/>
      </w:pPr>
      <w:r>
        <w:rPr>
          <w:rStyle w:val="Strong"/>
        </w:rPr>
        <w:t>Autonomy is foundational:</w:t>
      </w:r>
      <w:r>
        <w:rPr/>
        <w:t xml:space="preserve"> Kantian deontology understands morality as self-legislation by rational agents rather than obedience to contingent desire, external authority, or the pursuit of happiness.</w:t>
      </w:r>
    </w:p>
    <w:p>
      <w:pPr>
        <w:pStyle w:val="BodyText"/>
        <w:numPr>
          <w:ilvl w:val="0"/>
          <w:numId w:val="32"/>
        </w:numPr>
        <w:tabs>
          <w:tab w:val="clear" w:pos="720"/>
          <w:tab w:val="left" w:pos="0" w:leader="none"/>
        </w:tabs>
        <w:spacing w:before="0" w:after="200"/>
        <w:ind w:hanging="283" w:left="709"/>
        <w:rPr/>
      </w:pPr>
      <w:r>
        <w:rPr>
          <w:rStyle w:val="Strong"/>
        </w:rPr>
        <w:t>Duties may be perfect or imperfect:</w:t>
      </w:r>
      <w:r>
        <w:rPr/>
        <w:t xml:space="preserve"> Perfect duties, such as prohibitions against certain forms of deception or coercion, are ordinarily strict. Imperfect duties, such as beneficence or self-development, require the adoption of an end while allowing discretion concerning how and when it is pursued.</w:t>
      </w:r>
    </w:p>
    <w:p>
      <w:pPr>
        <w:pStyle w:val="BodyText"/>
        <w:numPr>
          <w:ilvl w:val="0"/>
          <w:numId w:val="32"/>
        </w:numPr>
        <w:tabs>
          <w:tab w:val="clear" w:pos="720"/>
          <w:tab w:val="left" w:pos="0" w:leader="none"/>
        </w:tabs>
        <w:spacing w:before="0" w:after="200"/>
        <w:ind w:hanging="283" w:left="709"/>
        <w:rPr/>
      </w:pPr>
      <w:r>
        <w:rPr>
          <w:rStyle w:val="Strong"/>
        </w:rPr>
        <w:t xml:space="preserve">Duties may be absolute, threshold-constrained, or </w:t>
      </w:r>
      <w:r>
        <w:rPr>
          <w:rStyle w:val="Emphasis"/>
        </w:rPr>
        <w:t>prima facie</w:t>
      </w:r>
      <w:r>
        <w:rPr>
          <w:rStyle w:val="Strong"/>
        </w:rPr>
        <w:t>:</w:t>
      </w:r>
      <w:r>
        <w:rPr/>
        <w:t xml:space="preserve"> Some deontological theories treat certain prohibitions as exceptionless. Threshold deontology permits overriding a prohibition when consequences exceed a sufficiently serious threshold. Rossian deontology treats duties as </w:t>
      </w:r>
      <w:r>
        <w:rPr>
          <w:rStyle w:val="Emphasis"/>
        </w:rPr>
        <w:t>prima facie</w:t>
      </w:r>
      <w:r>
        <w:rPr/>
        <w:t xml:space="preserve"> reasons whose relative stringency must be judged within the situation.</w:t>
      </w:r>
    </w:p>
    <w:p>
      <w:pPr>
        <w:pStyle w:val="BodyText"/>
        <w:numPr>
          <w:ilvl w:val="0"/>
          <w:numId w:val="32"/>
        </w:numPr>
        <w:tabs>
          <w:tab w:val="clear" w:pos="720"/>
          <w:tab w:val="left" w:pos="0" w:leader="none"/>
        </w:tabs>
        <w:spacing w:before="0" w:after="200"/>
        <w:ind w:hanging="283" w:left="709"/>
        <w:rPr/>
      </w:pPr>
      <w:r>
        <w:rPr>
          <w:rStyle w:val="Strong"/>
        </w:rPr>
        <w:t>Relationships can generate special obligations:</w:t>
      </w:r>
      <w:r>
        <w:rPr/>
        <w:t xml:space="preserve"> Promises, contracts, professional roles, family relationships, prior wrongdoing, and legitimate institutional responsibilities may create duties that are not reducible to aggregate benefit.</w:t>
      </w:r>
    </w:p>
    <w:p>
      <w:pPr>
        <w:pStyle w:val="BodyText"/>
        <w:numPr>
          <w:ilvl w:val="0"/>
          <w:numId w:val="32"/>
        </w:numPr>
        <w:tabs>
          <w:tab w:val="clear" w:pos="720"/>
          <w:tab w:val="left" w:pos="0" w:leader="none"/>
        </w:tabs>
        <w:spacing w:before="0" w:after="200"/>
        <w:ind w:hanging="283" w:left="709"/>
        <w:rPr/>
      </w:pPr>
      <w:r>
        <w:rPr>
          <w:rStyle w:val="Strong"/>
        </w:rPr>
        <w:t>Doing and allowing may differ:</w:t>
      </w:r>
      <w:r>
        <w:rPr/>
        <w:t xml:space="preserve"> Some deontological theories distinguish actively causing harm from failing to prevent harm, although the meaning and defensibility of this distinction remain contested.</w:t>
      </w:r>
    </w:p>
    <w:p>
      <w:pPr>
        <w:pStyle w:val="BodyText"/>
        <w:numPr>
          <w:ilvl w:val="0"/>
          <w:numId w:val="32"/>
        </w:numPr>
        <w:tabs>
          <w:tab w:val="clear" w:pos="720"/>
          <w:tab w:val="left" w:pos="0" w:leader="none"/>
        </w:tabs>
        <w:spacing w:before="0" w:after="200"/>
        <w:ind w:hanging="283" w:left="709"/>
        <w:rPr/>
      </w:pPr>
      <w:r>
        <w:rPr>
          <w:rStyle w:val="Strong"/>
        </w:rPr>
        <w:t>Moral permissibility and moral goodness are distinct:</w:t>
      </w:r>
      <w:r>
        <w:rPr/>
        <w:t xml:space="preserve"> An action can be permissible without being required, and an Actor may have several permissible alternatives. Deontology therefore does not necessarily require the Actor to produce the best available outcome.</w:t>
      </w:r>
    </w:p>
    <w:p>
      <w:pPr>
        <w:pStyle w:val="Heading3"/>
        <w:rPr/>
      </w:pPr>
      <w:r>
        <w:rPr/>
        <w:t>Relationship to This Framework</w:t>
      </w:r>
    </w:p>
    <w:p>
      <w:pPr>
        <w:pStyle w:val="BodyText"/>
        <w:spacing w:before="0" w:after="200"/>
        <w:rPr/>
      </w:pPr>
      <w:r>
        <w:rPr/>
        <w:t xml:space="preserve">The proposed framework is not primarily deontological because its principal object of assessment is the </w:t>
      </w:r>
      <w:r>
        <w:rPr>
          <w:rStyle w:val="Strong"/>
        </w:rPr>
        <w:t>World Context Transition</w:t>
      </w:r>
      <w:r>
        <w:rPr/>
        <w:t xml:space="preserve"> produced or influenced by an Assessed Action. Consequences, state changes, and future trajectories are central to the assessment. Deontology, by contrast, holds that the moral status of at least some actions cannot be derived solely from the state of affairs they produce.</w:t>
      </w:r>
    </w:p>
    <w:p>
      <w:pPr>
        <w:pStyle w:val="BodyText"/>
        <w:spacing w:before="0" w:after="200"/>
        <w:rPr/>
      </w:pPr>
      <w:r>
        <w:rPr/>
        <w:t>Nevertheless, the framework contains several deontological features. The Foundational Axiom constrains the pursuit of operational objectives by requiring the preservation and promotion of Long-Term Flourishing while avoiding actions that materially diminish other relevant Flourishing Entities. An Actor cannot justify a harmful means merely by demonstrating that it efficiently achieves a private or institutional objective.</w:t>
      </w:r>
    </w:p>
    <w:p>
      <w:pPr>
        <w:pStyle w:val="BodyText"/>
        <w:spacing w:before="0" w:after="200"/>
        <w:rPr/>
      </w:pPr>
      <w:r>
        <w:rPr/>
        <w:t>The framework also treats objectives, intention, authority, consent, legitimacy, responsibility, and the Actor’s decision policy as morally relevant. These elements allow an assessment to distinguish what the Actor intended, what the Actor could reasonably foresee, what authority the Actor possessed, and whether the Actor used deception, coercion, manipulation, or other morally problematic means.</w:t>
      </w:r>
    </w:p>
    <w:p>
      <w:pPr>
        <w:pStyle w:val="BodyText"/>
        <w:spacing w:before="0" w:after="200"/>
        <w:rPr/>
      </w:pPr>
      <w:r>
        <w:rPr/>
        <w:t>Distributed Policy Effects provide a systems-oriented explanation for why means matter. A deceptive or coercive act may change the future decision policies of the Actor, observers, institutions, and artificial systems, thereby normalizing harmful conduct. This overlaps with deontological concern for maxims and moral integrity, but the justification differs. In the proposed framework, the means are assessed partly through their effects on the resulting World Context. In Kantian deontology, an impermissible maxim may be wrong even if no harmful downstream effect can be demonstrated.</w:t>
      </w:r>
    </w:p>
    <w:p>
      <w:pPr>
        <w:pStyle w:val="BodyText"/>
        <w:spacing w:before="0" w:after="200"/>
        <w:rPr/>
      </w:pPr>
      <w:r>
        <w:rPr/>
        <w:t>The architecture can represent deontological duties as constraints, objectives, Associations, authority conditions, or institutional responsibilities. The central unresolved question is whether such duties possess independent normative force or remain subordinate to the Foundational Axiom’s concern with Long-Term Flourishing. Treating a duty as an absolute constraint would add deontological normative content. Treating it as an empirically useful practice because it usually promotes flourishing would be closer to rule consequentialism.</w:t>
      </w:r>
    </w:p>
    <w:p>
      <w:pPr>
        <w:pStyle w:val="BodyText"/>
        <w:spacing w:before="0" w:after="200"/>
        <w:rPr/>
      </w:pPr>
      <w:r>
        <w:rPr/>
        <w:t>The proposed framework is therefore best understood as a consequence-sensitive systems architecture that can incorporate deontological constraints without currently deriving its foundational morality from duty alone.</w:t>
      </w:r>
    </w:p>
    <w:p>
      <w:pPr>
        <w:pStyle w:val="Heading3"/>
        <w:rPr/>
      </w:pPr>
      <w:r>
        <w:rPr/>
        <w:t>Concepts Adopted or Adapted by This Framework</w:t>
      </w:r>
    </w:p>
    <w:tbl>
      <w:tblPr>
        <w:tblW w:w="8640" w:type="dxa"/>
        <w:jc w:val="left"/>
        <w:tblInd w:w="28" w:type="dxa"/>
        <w:tblLayout w:type="fixed"/>
        <w:tblCellMar>
          <w:top w:w="28" w:type="dxa"/>
          <w:left w:w="28" w:type="dxa"/>
          <w:bottom w:w="28" w:type="dxa"/>
          <w:right w:w="28" w:type="dxa"/>
        </w:tblCellMar>
      </w:tblPr>
      <w:tblGrid>
        <w:gridCol w:w="2326"/>
        <w:gridCol w:w="6314"/>
      </w:tblGrid>
      <w:tr>
        <w:trPr>
          <w:tblHeader w:val="true"/>
        </w:trPr>
        <w:tc>
          <w:tcPr>
            <w:tcW w:w="2326" w:type="dxa"/>
            <w:tcBorders/>
            <w:vAlign w:val="center"/>
          </w:tcPr>
          <w:p>
            <w:pPr>
              <w:pStyle w:val="TableHeading"/>
              <w:suppressLineNumbers/>
              <w:spacing w:before="0" w:after="200"/>
              <w:jc w:val="center"/>
              <w:rPr/>
            </w:pPr>
            <w:r>
              <w:rPr/>
              <w:t>Deontological concept</w:t>
            </w:r>
          </w:p>
        </w:tc>
        <w:tc>
          <w:tcPr>
            <w:tcW w:w="6314" w:type="dxa"/>
            <w:tcBorders/>
            <w:vAlign w:val="center"/>
          </w:tcPr>
          <w:p>
            <w:pPr>
              <w:pStyle w:val="TableHeading"/>
              <w:suppressLineNumbers/>
              <w:spacing w:before="0" w:after="200"/>
              <w:jc w:val="center"/>
              <w:rPr/>
            </w:pPr>
            <w:r>
              <w:rPr/>
              <w:t>Adoption or adaptation within the proposed framework</w:t>
            </w:r>
          </w:p>
        </w:tc>
      </w:tr>
      <w:tr>
        <w:trPr/>
        <w:tc>
          <w:tcPr>
            <w:tcW w:w="2326" w:type="dxa"/>
            <w:tcBorders/>
            <w:vAlign w:val="center"/>
          </w:tcPr>
          <w:p>
            <w:pPr>
              <w:pStyle w:val="TableContents"/>
              <w:widowControl w:val="false"/>
              <w:suppressLineNumbers/>
              <w:spacing w:before="0" w:after="200"/>
              <w:rPr/>
            </w:pPr>
            <w:r>
              <w:rPr/>
              <w:t>Moral duties and prohibitions</w:t>
            </w:r>
          </w:p>
        </w:tc>
        <w:tc>
          <w:tcPr>
            <w:tcW w:w="6314" w:type="dxa"/>
            <w:tcBorders/>
            <w:vAlign w:val="center"/>
          </w:tcPr>
          <w:p>
            <w:pPr>
              <w:pStyle w:val="TableContents"/>
              <w:widowControl w:val="false"/>
              <w:suppressLineNumbers/>
              <w:spacing w:before="0" w:after="200"/>
              <w:rPr/>
            </w:pPr>
            <w:r>
              <w:rPr/>
              <w:t>Represented as constraints, obligations, authority conditions, institutional responsibilities, or domain-specific objectives.</w:t>
            </w:r>
          </w:p>
        </w:tc>
      </w:tr>
      <w:tr>
        <w:trPr/>
        <w:tc>
          <w:tcPr>
            <w:tcW w:w="2326" w:type="dxa"/>
            <w:tcBorders/>
            <w:vAlign w:val="center"/>
          </w:tcPr>
          <w:p>
            <w:pPr>
              <w:pStyle w:val="TableContents"/>
              <w:widowControl w:val="false"/>
              <w:suppressLineNumbers/>
              <w:spacing w:before="0" w:after="200"/>
              <w:rPr/>
            </w:pPr>
            <w:r>
              <w:rPr/>
              <w:t>Categorical limits on means</w:t>
            </w:r>
          </w:p>
        </w:tc>
        <w:tc>
          <w:tcPr>
            <w:tcW w:w="6314" w:type="dxa"/>
            <w:tcBorders/>
            <w:vAlign w:val="center"/>
          </w:tcPr>
          <w:p>
            <w:pPr>
              <w:pStyle w:val="TableContents"/>
              <w:widowControl w:val="false"/>
              <w:suppressLineNumbers/>
              <w:spacing w:before="0" w:after="200"/>
              <w:rPr/>
            </w:pPr>
            <w:r>
              <w:rPr/>
              <w:t>Reflected in the Foundational Axiom’s limitation on actions that materially diminish other Flourishing Entities.</w:t>
            </w:r>
          </w:p>
        </w:tc>
      </w:tr>
      <w:tr>
        <w:trPr/>
        <w:tc>
          <w:tcPr>
            <w:tcW w:w="2326" w:type="dxa"/>
            <w:tcBorders/>
            <w:vAlign w:val="center"/>
          </w:tcPr>
          <w:p>
            <w:pPr>
              <w:pStyle w:val="TableContents"/>
              <w:widowControl w:val="false"/>
              <w:suppressLineNumbers/>
              <w:spacing w:before="0" w:after="200"/>
              <w:rPr/>
            </w:pPr>
            <w:r>
              <w:rPr/>
              <w:t>Maxims</w:t>
            </w:r>
          </w:p>
        </w:tc>
        <w:tc>
          <w:tcPr>
            <w:tcW w:w="6314" w:type="dxa"/>
            <w:tcBorders/>
            <w:vAlign w:val="center"/>
          </w:tcPr>
          <w:p>
            <w:pPr>
              <w:pStyle w:val="TableContents"/>
              <w:widowControl w:val="false"/>
              <w:suppressLineNumbers/>
              <w:spacing w:before="0" w:after="200"/>
              <w:rPr/>
            </w:pPr>
            <w:r>
              <w:rPr/>
              <w:t>Adapted through Actor Policy States, Objectives, intentions, and the policy underlying an Assessed Action.</w:t>
            </w:r>
          </w:p>
        </w:tc>
      </w:tr>
      <w:tr>
        <w:trPr/>
        <w:tc>
          <w:tcPr>
            <w:tcW w:w="2326" w:type="dxa"/>
            <w:tcBorders/>
            <w:vAlign w:val="center"/>
          </w:tcPr>
          <w:p>
            <w:pPr>
              <w:pStyle w:val="TableContents"/>
              <w:widowControl w:val="false"/>
              <w:suppressLineNumbers/>
              <w:spacing w:before="0" w:after="200"/>
              <w:rPr/>
            </w:pPr>
            <w:r>
              <w:rPr/>
              <w:t>Universalizability</w:t>
            </w:r>
          </w:p>
        </w:tc>
        <w:tc>
          <w:tcPr>
            <w:tcW w:w="6314" w:type="dxa"/>
            <w:tcBorders/>
            <w:vAlign w:val="center"/>
          </w:tcPr>
          <w:p>
            <w:pPr>
              <w:pStyle w:val="TableContents"/>
              <w:widowControl w:val="false"/>
              <w:suppressLineNumbers/>
              <w:spacing w:before="0" w:after="200"/>
              <w:rPr/>
            </w:pPr>
            <w:r>
              <w:rPr/>
              <w:t>Partially adapted through Distributed Policy Effects and analysis of what would occur if an action policy were adopted or normalized across Actors and institutions.</w:t>
            </w:r>
          </w:p>
        </w:tc>
      </w:tr>
      <w:tr>
        <w:trPr/>
        <w:tc>
          <w:tcPr>
            <w:tcW w:w="2326" w:type="dxa"/>
            <w:tcBorders/>
            <w:vAlign w:val="center"/>
          </w:tcPr>
          <w:p>
            <w:pPr>
              <w:pStyle w:val="TableContents"/>
              <w:widowControl w:val="false"/>
              <w:suppressLineNumbers/>
              <w:spacing w:before="0" w:after="200"/>
              <w:rPr/>
            </w:pPr>
            <w:r>
              <w:rPr/>
              <w:t>Respect for persons</w:t>
            </w:r>
          </w:p>
        </w:tc>
        <w:tc>
          <w:tcPr>
            <w:tcW w:w="6314" w:type="dxa"/>
            <w:tcBorders/>
            <w:vAlign w:val="center"/>
          </w:tcPr>
          <w:p>
            <w:pPr>
              <w:pStyle w:val="TableContents"/>
              <w:widowControl w:val="false"/>
              <w:suppressLineNumbers/>
              <w:spacing w:before="0" w:after="200"/>
              <w:rPr/>
            </w:pPr>
            <w:r>
              <w:rPr/>
              <w:t>Reflected in the treatment of autonomy, consent, agency, identity, dignity-related interests, and protection from coercion or manipulation.</w:t>
            </w:r>
          </w:p>
        </w:tc>
      </w:tr>
      <w:tr>
        <w:trPr/>
        <w:tc>
          <w:tcPr>
            <w:tcW w:w="2326" w:type="dxa"/>
            <w:tcBorders/>
            <w:vAlign w:val="center"/>
          </w:tcPr>
          <w:p>
            <w:pPr>
              <w:pStyle w:val="TableContents"/>
              <w:widowControl w:val="false"/>
              <w:suppressLineNumbers/>
              <w:spacing w:before="0" w:after="200"/>
              <w:rPr/>
            </w:pPr>
            <w:r>
              <w:rPr/>
              <w:t>Persons as ends</w:t>
            </w:r>
          </w:p>
        </w:tc>
        <w:tc>
          <w:tcPr>
            <w:tcW w:w="6314" w:type="dxa"/>
            <w:tcBorders/>
            <w:vAlign w:val="center"/>
          </w:tcPr>
          <w:p>
            <w:pPr>
              <w:pStyle w:val="TableContents"/>
              <w:widowControl w:val="false"/>
              <w:suppressLineNumbers/>
              <w:spacing w:before="0" w:after="200"/>
              <w:rPr/>
            </w:pPr>
            <w:r>
              <w:rPr/>
              <w:t>Adapted through the requirement that an Actor’s operational objective not reduce affected Flourishing Entities to resources or instruments.</w:t>
            </w:r>
          </w:p>
        </w:tc>
      </w:tr>
      <w:tr>
        <w:trPr/>
        <w:tc>
          <w:tcPr>
            <w:tcW w:w="2326" w:type="dxa"/>
            <w:tcBorders/>
            <w:vAlign w:val="center"/>
          </w:tcPr>
          <w:p>
            <w:pPr>
              <w:pStyle w:val="TableContents"/>
              <w:widowControl w:val="false"/>
              <w:suppressLineNumbers/>
              <w:spacing w:before="0" w:after="200"/>
              <w:rPr/>
            </w:pPr>
            <w:r>
              <w:rPr/>
              <w:t>Moral autonomy</w:t>
            </w:r>
          </w:p>
        </w:tc>
        <w:tc>
          <w:tcPr>
            <w:tcW w:w="6314" w:type="dxa"/>
            <w:tcBorders/>
            <w:vAlign w:val="center"/>
          </w:tcPr>
          <w:p>
            <w:pPr>
              <w:pStyle w:val="TableContents"/>
              <w:widowControl w:val="false"/>
              <w:suppressLineNumbers/>
              <w:spacing w:before="0" w:after="200"/>
              <w:rPr/>
            </w:pPr>
            <w:r>
              <w:rPr/>
              <w:t>Reflected in the definitions of Self-Directed Entity and Moral Agent and in the assessment of changes to agency and adaptive capacity.</w:t>
            </w:r>
          </w:p>
        </w:tc>
      </w:tr>
      <w:tr>
        <w:trPr/>
        <w:tc>
          <w:tcPr>
            <w:tcW w:w="2326" w:type="dxa"/>
            <w:tcBorders/>
            <w:vAlign w:val="center"/>
          </w:tcPr>
          <w:p>
            <w:pPr>
              <w:pStyle w:val="TableContents"/>
              <w:widowControl w:val="false"/>
              <w:suppressLineNumbers/>
              <w:spacing w:before="0" w:after="200"/>
              <w:rPr/>
            </w:pPr>
            <w:r>
              <w:rPr/>
              <w:t>Perfect and imperfect duties</w:t>
            </w:r>
          </w:p>
        </w:tc>
        <w:tc>
          <w:tcPr>
            <w:tcW w:w="6314" w:type="dxa"/>
            <w:tcBorders/>
            <w:vAlign w:val="center"/>
          </w:tcPr>
          <w:p>
            <w:pPr>
              <w:pStyle w:val="TableContents"/>
              <w:widowControl w:val="false"/>
              <w:suppressLineNumbers/>
              <w:spacing w:before="0" w:after="200"/>
              <w:rPr/>
            </w:pPr>
            <w:r>
              <w:rPr/>
              <w:t>Potentially represented as hard constraints and affirmative objectives, respectively.</w:t>
            </w:r>
          </w:p>
        </w:tc>
      </w:tr>
      <w:tr>
        <w:trPr/>
        <w:tc>
          <w:tcPr>
            <w:tcW w:w="2326" w:type="dxa"/>
            <w:tcBorders/>
            <w:vAlign w:val="center"/>
          </w:tcPr>
          <w:p>
            <w:pPr>
              <w:pStyle w:val="TableContents"/>
              <w:widowControl w:val="false"/>
              <w:suppressLineNumbers/>
              <w:spacing w:before="0" w:after="200"/>
              <w:rPr/>
            </w:pPr>
            <w:r>
              <w:rPr>
                <w:rStyle w:val="Emphasis"/>
              </w:rPr>
              <w:t>Prima facie</w:t>
            </w:r>
            <w:r>
              <w:rPr/>
              <w:t xml:space="preserve"> duties</w:t>
            </w:r>
          </w:p>
        </w:tc>
        <w:tc>
          <w:tcPr>
            <w:tcW w:w="6314" w:type="dxa"/>
            <w:tcBorders/>
            <w:vAlign w:val="center"/>
          </w:tcPr>
          <w:p>
            <w:pPr>
              <w:pStyle w:val="TableContents"/>
              <w:widowControl w:val="false"/>
              <w:suppressLineNumbers/>
              <w:spacing w:before="0" w:after="200"/>
              <w:rPr/>
            </w:pPr>
            <w:r>
              <w:rPr/>
              <w:t>Compatible with the architecture’s representation of multiple relevant obligations whose relative importance may vary with the Situational Context.</w:t>
            </w:r>
          </w:p>
        </w:tc>
      </w:tr>
      <w:tr>
        <w:trPr/>
        <w:tc>
          <w:tcPr>
            <w:tcW w:w="2326" w:type="dxa"/>
            <w:tcBorders/>
            <w:vAlign w:val="center"/>
          </w:tcPr>
          <w:p>
            <w:pPr>
              <w:pStyle w:val="TableContents"/>
              <w:widowControl w:val="false"/>
              <w:suppressLineNumbers/>
              <w:spacing w:before="0" w:after="200"/>
              <w:rPr/>
            </w:pPr>
            <w:r>
              <w:rPr/>
              <w:t>Conflicting duties</w:t>
            </w:r>
          </w:p>
        </w:tc>
        <w:tc>
          <w:tcPr>
            <w:tcW w:w="6314" w:type="dxa"/>
            <w:tcBorders/>
            <w:vAlign w:val="center"/>
          </w:tcPr>
          <w:p>
            <w:pPr>
              <w:pStyle w:val="TableContents"/>
              <w:widowControl w:val="false"/>
              <w:suppressLineNumbers/>
              <w:spacing w:before="0" w:after="200"/>
              <w:rPr/>
            </w:pPr>
            <w:r>
              <w:rPr/>
              <w:t>Reflected in Objective Conflict, competing constraints, action alternatives, and comparison of candidate World Context Transitions.</w:t>
            </w:r>
          </w:p>
        </w:tc>
      </w:tr>
      <w:tr>
        <w:trPr/>
        <w:tc>
          <w:tcPr>
            <w:tcW w:w="2326" w:type="dxa"/>
            <w:tcBorders/>
            <w:vAlign w:val="center"/>
          </w:tcPr>
          <w:p>
            <w:pPr>
              <w:pStyle w:val="TableContents"/>
              <w:widowControl w:val="false"/>
              <w:suppressLineNumbers/>
              <w:spacing w:before="0" w:after="200"/>
              <w:rPr/>
            </w:pPr>
            <w:r>
              <w:rPr/>
              <w:t>Special obligations</w:t>
            </w:r>
          </w:p>
        </w:tc>
        <w:tc>
          <w:tcPr>
            <w:tcW w:w="6314" w:type="dxa"/>
            <w:tcBorders/>
            <w:vAlign w:val="center"/>
          </w:tcPr>
          <w:p>
            <w:pPr>
              <w:pStyle w:val="TableContents"/>
              <w:widowControl w:val="false"/>
              <w:suppressLineNumbers/>
              <w:spacing w:before="0" w:after="200"/>
              <w:rPr/>
            </w:pPr>
            <w:r>
              <w:rPr/>
              <w:t>Represented through Associations such as promises, contracts, fiduciary relationships, family relationships, professional roles, and institutional responsibilities.</w:t>
            </w:r>
          </w:p>
        </w:tc>
      </w:tr>
      <w:tr>
        <w:trPr/>
        <w:tc>
          <w:tcPr>
            <w:tcW w:w="2326" w:type="dxa"/>
            <w:tcBorders/>
            <w:vAlign w:val="center"/>
          </w:tcPr>
          <w:p>
            <w:pPr>
              <w:pStyle w:val="TableContents"/>
              <w:widowControl w:val="false"/>
              <w:suppressLineNumbers/>
              <w:spacing w:before="0" w:after="200"/>
              <w:rPr/>
            </w:pPr>
            <w:r>
              <w:rPr/>
              <w:t>Intention and foreseeability</w:t>
            </w:r>
          </w:p>
        </w:tc>
        <w:tc>
          <w:tcPr>
            <w:tcW w:w="6314" w:type="dxa"/>
            <w:tcBorders/>
            <w:vAlign w:val="center"/>
          </w:tcPr>
          <w:p>
            <w:pPr>
              <w:pStyle w:val="TableContents"/>
              <w:widowControl w:val="false"/>
              <w:suppressLineNumbers/>
              <w:spacing w:before="0" w:after="200"/>
              <w:rPr/>
            </w:pPr>
            <w:r>
              <w:rPr/>
              <w:t>Incorporated into responsibility assessment while remaining distinct from the complete causal consequences of the action.</w:t>
            </w:r>
          </w:p>
        </w:tc>
      </w:tr>
      <w:tr>
        <w:trPr/>
        <w:tc>
          <w:tcPr>
            <w:tcW w:w="2326" w:type="dxa"/>
            <w:tcBorders/>
            <w:vAlign w:val="center"/>
          </w:tcPr>
          <w:p>
            <w:pPr>
              <w:pStyle w:val="TableContents"/>
              <w:widowControl w:val="false"/>
              <w:suppressLineNumbers/>
              <w:spacing w:before="0" w:after="200"/>
              <w:rPr/>
            </w:pPr>
            <w:r>
              <w:rPr/>
              <w:t>Doing versus allowing</w:t>
            </w:r>
          </w:p>
        </w:tc>
        <w:tc>
          <w:tcPr>
            <w:tcW w:w="6314" w:type="dxa"/>
            <w:tcBorders/>
            <w:vAlign w:val="center"/>
          </w:tcPr>
          <w:p>
            <w:pPr>
              <w:pStyle w:val="TableContents"/>
              <w:widowControl w:val="false"/>
              <w:suppressLineNumbers/>
              <w:spacing w:before="0" w:after="200"/>
              <w:rPr/>
            </w:pPr>
            <w:r>
              <w:rPr/>
              <w:t>Represented through actions, omissions, non-actions, causal roles, authority, and the Actor’s capacity to intervene.</w:t>
            </w:r>
          </w:p>
        </w:tc>
      </w:tr>
      <w:tr>
        <w:trPr/>
        <w:tc>
          <w:tcPr>
            <w:tcW w:w="2326" w:type="dxa"/>
            <w:tcBorders/>
            <w:vAlign w:val="center"/>
          </w:tcPr>
          <w:p>
            <w:pPr>
              <w:pStyle w:val="TableContents"/>
              <w:widowControl w:val="false"/>
              <w:suppressLineNumbers/>
              <w:spacing w:before="0" w:after="200"/>
              <w:rPr/>
            </w:pPr>
            <w:r>
              <w:rPr/>
              <w:t>Moral integrity of the Actor</w:t>
            </w:r>
          </w:p>
        </w:tc>
        <w:tc>
          <w:tcPr>
            <w:tcW w:w="6314" w:type="dxa"/>
            <w:tcBorders/>
            <w:vAlign w:val="center"/>
          </w:tcPr>
          <w:p>
            <w:pPr>
              <w:pStyle w:val="TableContents"/>
              <w:widowControl w:val="false"/>
              <w:suppressLineNumbers/>
              <w:spacing w:before="0" w:after="200"/>
              <w:rPr/>
            </w:pPr>
            <w:r>
              <w:rPr/>
              <w:t>Adapted through beneficial or detrimental Actor Policy Updates and their effects on future decisions.</w:t>
            </w:r>
          </w:p>
        </w:tc>
      </w:tr>
      <w:tr>
        <w:trPr/>
        <w:tc>
          <w:tcPr>
            <w:tcW w:w="2326" w:type="dxa"/>
            <w:tcBorders/>
            <w:vAlign w:val="center"/>
          </w:tcPr>
          <w:p>
            <w:pPr>
              <w:pStyle w:val="TableContents"/>
              <w:widowControl w:val="false"/>
              <w:suppressLineNumbers/>
              <w:spacing w:before="0" w:after="200"/>
              <w:rPr/>
            </w:pPr>
            <w:r>
              <w:rPr/>
              <w:t>Respect for legitimate authority</w:t>
            </w:r>
          </w:p>
        </w:tc>
        <w:tc>
          <w:tcPr>
            <w:tcW w:w="6314" w:type="dxa"/>
            <w:tcBorders/>
            <w:vAlign w:val="center"/>
          </w:tcPr>
          <w:p>
            <w:pPr>
              <w:pStyle w:val="TableContents"/>
              <w:widowControl w:val="false"/>
              <w:suppressLineNumbers/>
              <w:spacing w:before="0" w:after="200"/>
              <w:rPr/>
            </w:pPr>
            <w:r>
              <w:rPr/>
              <w:t>Represented through explicit authority and legitimacy conditions rather than assumed from status or institutional power alone.</w:t>
            </w:r>
          </w:p>
        </w:tc>
      </w:tr>
    </w:tbl>
    <w:p>
      <w:pPr>
        <w:pStyle w:val="BodyText"/>
        <w:spacing w:before="0" w:after="200"/>
        <w:rPr/>
      </w:pPr>
      <w:r>
        <w:rPr/>
        <w:t>The relationship between Kantian universalizability and Distributed Policy Effects requires particular care. Kant’s universalization test is principally a rational test of the Actor’s maxim, not an empirical forecast of whether widespread adoption would produce beneficial consequences. The framework can incorporate both tests, but they should not be treated as equivalent.</w:t>
      </w:r>
    </w:p>
    <w:p>
      <w:pPr>
        <w:pStyle w:val="Heading3"/>
        <w:rPr/>
      </w:pPr>
      <w:r>
        <w:rPr/>
        <w:t>Similarities</w:t>
      </w:r>
    </w:p>
    <w:p>
      <w:pPr>
        <w:pStyle w:val="BodyText"/>
        <w:numPr>
          <w:ilvl w:val="0"/>
          <w:numId w:val="33"/>
        </w:numPr>
        <w:tabs>
          <w:tab w:val="clear" w:pos="720"/>
          <w:tab w:val="left" w:pos="0" w:leader="none"/>
        </w:tabs>
        <w:spacing w:before="0" w:after="200"/>
        <w:ind w:hanging="283" w:left="709"/>
        <w:rPr/>
      </w:pPr>
      <w:r>
        <w:rPr/>
        <w:t>Both approaches reject the proposition that achieving an operational objective is sufficient to make an action morally permissible.</w:t>
      </w:r>
    </w:p>
    <w:p>
      <w:pPr>
        <w:pStyle w:val="BodyText"/>
        <w:numPr>
          <w:ilvl w:val="0"/>
          <w:numId w:val="33"/>
        </w:numPr>
        <w:tabs>
          <w:tab w:val="clear" w:pos="720"/>
          <w:tab w:val="left" w:pos="0" w:leader="none"/>
        </w:tabs>
        <w:spacing w:before="0" w:after="200"/>
        <w:ind w:hanging="283" w:left="709"/>
        <w:rPr/>
      </w:pPr>
      <w:r>
        <w:rPr/>
        <w:t>Both recognize that the means used to achieve an objective possess moral significance.</w:t>
      </w:r>
    </w:p>
    <w:p>
      <w:pPr>
        <w:pStyle w:val="BodyText"/>
        <w:numPr>
          <w:ilvl w:val="0"/>
          <w:numId w:val="33"/>
        </w:numPr>
        <w:tabs>
          <w:tab w:val="clear" w:pos="720"/>
          <w:tab w:val="left" w:pos="0" w:leader="none"/>
        </w:tabs>
        <w:spacing w:before="0" w:after="200"/>
        <w:ind w:hanging="283" w:left="709"/>
        <w:rPr/>
      </w:pPr>
      <w:r>
        <w:rPr/>
        <w:t>Both require the Actor’s governing objective, maxim, or policy to be made explicit.</w:t>
      </w:r>
    </w:p>
    <w:p>
      <w:pPr>
        <w:pStyle w:val="BodyText"/>
        <w:numPr>
          <w:ilvl w:val="0"/>
          <w:numId w:val="33"/>
        </w:numPr>
        <w:tabs>
          <w:tab w:val="clear" w:pos="720"/>
          <w:tab w:val="left" w:pos="0" w:leader="none"/>
        </w:tabs>
        <w:spacing w:before="0" w:after="200"/>
        <w:ind w:hanging="283" w:left="709"/>
        <w:rPr/>
      </w:pPr>
      <w:r>
        <w:rPr/>
        <w:t>Both distinguish a Moral Agent’s responsibility from the complete set of consequences causally following an action.</w:t>
      </w:r>
    </w:p>
    <w:p>
      <w:pPr>
        <w:pStyle w:val="BodyText"/>
        <w:numPr>
          <w:ilvl w:val="0"/>
          <w:numId w:val="33"/>
        </w:numPr>
        <w:tabs>
          <w:tab w:val="clear" w:pos="720"/>
          <w:tab w:val="left" w:pos="0" w:leader="none"/>
        </w:tabs>
        <w:spacing w:before="0" w:after="200"/>
        <w:ind w:hanging="283" w:left="709"/>
        <w:rPr/>
      </w:pPr>
      <w:r>
        <w:rPr/>
        <w:t>Both consider intention, authority, knowledge, foreseeability, and available alternatives when evaluating responsibility.</w:t>
      </w:r>
    </w:p>
    <w:p>
      <w:pPr>
        <w:pStyle w:val="BodyText"/>
        <w:numPr>
          <w:ilvl w:val="0"/>
          <w:numId w:val="33"/>
        </w:numPr>
        <w:tabs>
          <w:tab w:val="clear" w:pos="720"/>
          <w:tab w:val="left" w:pos="0" w:leader="none"/>
        </w:tabs>
        <w:spacing w:before="0" w:after="200"/>
        <w:ind w:hanging="283" w:left="709"/>
        <w:rPr/>
      </w:pPr>
      <w:r>
        <w:rPr/>
        <w:t>Both recognize that deception, coercion, manipulation, exploitation, and abuse of authority can be morally objectionable even when they produce an apparent benefit.</w:t>
      </w:r>
    </w:p>
    <w:p>
      <w:pPr>
        <w:pStyle w:val="BodyText"/>
        <w:numPr>
          <w:ilvl w:val="0"/>
          <w:numId w:val="33"/>
        </w:numPr>
        <w:tabs>
          <w:tab w:val="clear" w:pos="720"/>
          <w:tab w:val="left" w:pos="0" w:leader="none"/>
        </w:tabs>
        <w:spacing w:before="0" w:after="200"/>
        <w:ind w:hanging="283" w:left="709"/>
        <w:rPr/>
      </w:pPr>
      <w:r>
        <w:rPr/>
        <w:t>Both protect agency and autonomy from being treated merely as components of aggregate value.</w:t>
      </w:r>
    </w:p>
    <w:p>
      <w:pPr>
        <w:pStyle w:val="BodyText"/>
        <w:numPr>
          <w:ilvl w:val="0"/>
          <w:numId w:val="33"/>
        </w:numPr>
        <w:tabs>
          <w:tab w:val="clear" w:pos="720"/>
          <w:tab w:val="left" w:pos="0" w:leader="none"/>
        </w:tabs>
        <w:spacing w:before="0" w:after="200"/>
        <w:ind w:hanging="283" w:left="709"/>
        <w:rPr/>
      </w:pPr>
      <w:r>
        <w:rPr/>
        <w:t>Both recognize obligations created by promises, consent, relationships, roles, institutions, and prior conduct.</w:t>
      </w:r>
    </w:p>
    <w:p>
      <w:pPr>
        <w:pStyle w:val="BodyText"/>
        <w:numPr>
          <w:ilvl w:val="0"/>
          <w:numId w:val="33"/>
        </w:numPr>
        <w:tabs>
          <w:tab w:val="clear" w:pos="720"/>
          <w:tab w:val="left" w:pos="0" w:leader="none"/>
        </w:tabs>
        <w:spacing w:before="0" w:after="200"/>
        <w:ind w:hanging="283" w:left="709"/>
        <w:rPr/>
      </w:pPr>
      <w:r>
        <w:rPr/>
        <w:t>Both can evaluate omissions and failures to perform affirmative responsibilities.</w:t>
      </w:r>
    </w:p>
    <w:p>
      <w:pPr>
        <w:pStyle w:val="BodyText"/>
        <w:numPr>
          <w:ilvl w:val="0"/>
          <w:numId w:val="33"/>
        </w:numPr>
        <w:tabs>
          <w:tab w:val="clear" w:pos="720"/>
          <w:tab w:val="left" w:pos="0" w:leader="none"/>
        </w:tabs>
        <w:spacing w:before="0" w:after="200"/>
        <w:ind w:hanging="283" w:left="709"/>
        <w:rPr/>
      </w:pPr>
      <w:r>
        <w:rPr/>
        <w:t>Both support consistent application of moral principles across similarly situated Actors and cases.</w:t>
      </w:r>
    </w:p>
    <w:p>
      <w:pPr>
        <w:pStyle w:val="BodyText"/>
        <w:numPr>
          <w:ilvl w:val="0"/>
          <w:numId w:val="33"/>
        </w:numPr>
        <w:tabs>
          <w:tab w:val="clear" w:pos="720"/>
          <w:tab w:val="left" w:pos="0" w:leader="none"/>
        </w:tabs>
        <w:spacing w:before="0" w:after="200"/>
        <w:ind w:hanging="283" w:left="709"/>
        <w:rPr/>
      </w:pPr>
      <w:r>
        <w:rPr/>
        <w:t>Both are compatible with explainable and computational representations of constraints, obligations, permissions, and prohibitions.</w:t>
      </w:r>
    </w:p>
    <w:p>
      <w:pPr>
        <w:pStyle w:val="BodyText"/>
        <w:numPr>
          <w:ilvl w:val="0"/>
          <w:numId w:val="33"/>
        </w:numPr>
        <w:tabs>
          <w:tab w:val="clear" w:pos="720"/>
          <w:tab w:val="left" w:pos="0" w:leader="none"/>
        </w:tabs>
        <w:spacing w:before="0" w:after="200"/>
        <w:ind w:hanging="283" w:left="709"/>
        <w:rPr/>
      </w:pPr>
      <w:r>
        <w:rPr/>
        <w:t>Both recognize that an Actor’s present decision can shape the Actor’s future moral policy.</w:t>
      </w:r>
    </w:p>
    <w:p>
      <w:pPr>
        <w:pStyle w:val="BodyText"/>
        <w:numPr>
          <w:ilvl w:val="0"/>
          <w:numId w:val="33"/>
        </w:numPr>
        <w:tabs>
          <w:tab w:val="clear" w:pos="720"/>
          <w:tab w:val="left" w:pos="0" w:leader="none"/>
        </w:tabs>
        <w:spacing w:before="0" w:after="200"/>
        <w:ind w:hanging="283" w:left="709"/>
        <w:rPr/>
      </w:pPr>
      <w:r>
        <w:rPr/>
        <w:t>Both reject unrestricted “ends justify the means” reasoning.</w:t>
      </w:r>
    </w:p>
    <w:p>
      <w:pPr>
        <w:pStyle w:val="Heading3"/>
        <w:rPr/>
      </w:pPr>
      <w:r>
        <w:rPr/>
        <w:t>Differences</w:t>
      </w:r>
    </w:p>
    <w:tbl>
      <w:tblPr>
        <w:tblW w:w="8640" w:type="dxa"/>
        <w:jc w:val="left"/>
        <w:tblInd w:w="28" w:type="dxa"/>
        <w:tblLayout w:type="fixed"/>
        <w:tblCellMar>
          <w:top w:w="28" w:type="dxa"/>
          <w:left w:w="28" w:type="dxa"/>
          <w:bottom w:w="28" w:type="dxa"/>
          <w:right w:w="28" w:type="dxa"/>
        </w:tblCellMar>
      </w:tblPr>
      <w:tblGrid>
        <w:gridCol w:w="1922"/>
        <w:gridCol w:w="2930"/>
        <w:gridCol w:w="3788"/>
      </w:tblGrid>
      <w:tr>
        <w:trPr>
          <w:tblHeader w:val="true"/>
        </w:trPr>
        <w:tc>
          <w:tcPr>
            <w:tcW w:w="1922" w:type="dxa"/>
            <w:tcBorders/>
            <w:vAlign w:val="center"/>
          </w:tcPr>
          <w:p>
            <w:pPr>
              <w:pStyle w:val="TableHeading"/>
              <w:suppressLineNumbers/>
              <w:spacing w:before="0" w:after="200"/>
              <w:jc w:val="center"/>
              <w:rPr/>
            </w:pPr>
            <w:r>
              <w:rPr/>
              <w:t>Dimension</w:t>
            </w:r>
          </w:p>
        </w:tc>
        <w:tc>
          <w:tcPr>
            <w:tcW w:w="2930" w:type="dxa"/>
            <w:tcBorders/>
            <w:vAlign w:val="center"/>
          </w:tcPr>
          <w:p>
            <w:pPr>
              <w:pStyle w:val="TableHeading"/>
              <w:suppressLineNumbers/>
              <w:spacing w:before="0" w:after="200"/>
              <w:jc w:val="center"/>
              <w:rPr/>
            </w:pPr>
            <w:r>
              <w:rPr/>
              <w:t>Deontology</w:t>
            </w:r>
          </w:p>
        </w:tc>
        <w:tc>
          <w:tcPr>
            <w:tcW w:w="3788" w:type="dxa"/>
            <w:tcBorders/>
            <w:vAlign w:val="center"/>
          </w:tcPr>
          <w:p>
            <w:pPr>
              <w:pStyle w:val="TableHeading"/>
              <w:suppressLineNumbers/>
              <w:spacing w:before="0" w:after="200"/>
              <w:jc w:val="center"/>
              <w:rPr/>
            </w:pPr>
            <w:r>
              <w:rPr/>
              <w:t>Proposed framework</w:t>
            </w:r>
          </w:p>
        </w:tc>
      </w:tr>
      <w:tr>
        <w:trPr/>
        <w:tc>
          <w:tcPr>
            <w:tcW w:w="1922" w:type="dxa"/>
            <w:tcBorders/>
            <w:vAlign w:val="center"/>
          </w:tcPr>
          <w:p>
            <w:pPr>
              <w:pStyle w:val="TableContents"/>
              <w:widowControl w:val="false"/>
              <w:suppressLineNumbers/>
              <w:spacing w:before="0" w:after="200"/>
              <w:rPr/>
            </w:pPr>
            <w:r>
              <w:rPr/>
              <w:t>Source of normativity</w:t>
            </w:r>
          </w:p>
        </w:tc>
        <w:tc>
          <w:tcPr>
            <w:tcW w:w="2930" w:type="dxa"/>
            <w:tcBorders/>
            <w:vAlign w:val="center"/>
          </w:tcPr>
          <w:p>
            <w:pPr>
              <w:pStyle w:val="TableContents"/>
              <w:widowControl w:val="false"/>
              <w:suppressLineNumbers/>
              <w:spacing w:before="0" w:after="200"/>
              <w:rPr/>
            </w:pPr>
            <w:r>
              <w:rPr/>
              <w:t>Duty, rational autonomy, rights, moral constraints, relationships, or principles that agents could rationally accept</w:t>
            </w:r>
          </w:p>
        </w:tc>
        <w:tc>
          <w:tcPr>
            <w:tcW w:w="3788" w:type="dxa"/>
            <w:tcBorders/>
            <w:vAlign w:val="center"/>
          </w:tcPr>
          <w:p>
            <w:pPr>
              <w:pStyle w:val="TableContents"/>
              <w:widowControl w:val="false"/>
              <w:suppressLineNumbers/>
              <w:spacing w:before="0" w:after="200"/>
              <w:rPr/>
            </w:pPr>
            <w:r>
              <w:rPr/>
              <w:t>The explicit Foundational Axiom directing preservation and promotion of compatible Long-Term Flourishing</w:t>
            </w:r>
          </w:p>
        </w:tc>
      </w:tr>
      <w:tr>
        <w:trPr/>
        <w:tc>
          <w:tcPr>
            <w:tcW w:w="1922" w:type="dxa"/>
            <w:tcBorders/>
            <w:vAlign w:val="center"/>
          </w:tcPr>
          <w:p>
            <w:pPr>
              <w:pStyle w:val="TableContents"/>
              <w:widowControl w:val="false"/>
              <w:suppressLineNumbers/>
              <w:spacing w:before="0" w:after="200"/>
              <w:rPr/>
            </w:pPr>
            <w:r>
              <w:rPr/>
              <w:t>Principal object of assessment</w:t>
            </w:r>
          </w:p>
        </w:tc>
        <w:tc>
          <w:tcPr>
            <w:tcW w:w="2930" w:type="dxa"/>
            <w:tcBorders/>
            <w:vAlign w:val="center"/>
          </w:tcPr>
          <w:p>
            <w:pPr>
              <w:pStyle w:val="TableContents"/>
              <w:widowControl w:val="false"/>
              <w:suppressLineNumbers/>
              <w:spacing w:before="0" w:after="200"/>
              <w:rPr/>
            </w:pPr>
            <w:r>
              <w:rPr/>
              <w:t>The action, maxim, intention, duty, or treatment of the affected person</w:t>
            </w:r>
          </w:p>
        </w:tc>
        <w:tc>
          <w:tcPr>
            <w:tcW w:w="3788" w:type="dxa"/>
            <w:tcBorders/>
            <w:vAlign w:val="center"/>
          </w:tcPr>
          <w:p>
            <w:pPr>
              <w:pStyle w:val="TableContents"/>
              <w:widowControl w:val="false"/>
              <w:suppressLineNumbers/>
              <w:spacing w:before="0" w:after="200"/>
              <w:rPr/>
            </w:pPr>
            <w:r>
              <w:rPr/>
              <w:t>The complete World Context Transition</w:t>
            </w:r>
          </w:p>
        </w:tc>
      </w:tr>
      <w:tr>
        <w:trPr/>
        <w:tc>
          <w:tcPr>
            <w:tcW w:w="1922" w:type="dxa"/>
            <w:tcBorders/>
            <w:vAlign w:val="center"/>
          </w:tcPr>
          <w:p>
            <w:pPr>
              <w:pStyle w:val="TableContents"/>
              <w:widowControl w:val="false"/>
              <w:suppressLineNumbers/>
              <w:spacing w:before="0" w:after="200"/>
              <w:rPr/>
            </w:pPr>
            <w:r>
              <w:rPr/>
              <w:t>Primary question</w:t>
            </w:r>
          </w:p>
        </w:tc>
        <w:tc>
          <w:tcPr>
            <w:tcW w:w="2930" w:type="dxa"/>
            <w:tcBorders/>
            <w:vAlign w:val="center"/>
          </w:tcPr>
          <w:p>
            <w:pPr>
              <w:pStyle w:val="TableContents"/>
              <w:widowControl w:val="false"/>
              <w:suppressLineNumbers/>
              <w:spacing w:before="0" w:after="200"/>
              <w:rPr/>
            </w:pPr>
            <w:r>
              <w:rPr/>
              <w:t>What is the Actor required, permitted, or forbidden to do?</w:t>
            </w:r>
          </w:p>
        </w:tc>
        <w:tc>
          <w:tcPr>
            <w:tcW w:w="3788" w:type="dxa"/>
            <w:tcBorders/>
            <w:vAlign w:val="center"/>
          </w:tcPr>
          <w:p>
            <w:pPr>
              <w:pStyle w:val="TableContents"/>
              <w:widowControl w:val="false"/>
              <w:suppressLineNumbers/>
              <w:spacing w:before="0" w:after="200"/>
              <w:rPr/>
            </w:pPr>
            <w:r>
              <w:rPr/>
              <w:t>What kind of World Context does the action help create, and is that transition morally supportable?</w:t>
            </w:r>
          </w:p>
        </w:tc>
      </w:tr>
      <w:tr>
        <w:trPr/>
        <w:tc>
          <w:tcPr>
            <w:tcW w:w="1922" w:type="dxa"/>
            <w:tcBorders/>
            <w:vAlign w:val="center"/>
          </w:tcPr>
          <w:p>
            <w:pPr>
              <w:pStyle w:val="TableContents"/>
              <w:widowControl w:val="false"/>
              <w:suppressLineNumbers/>
              <w:spacing w:before="0" w:after="200"/>
              <w:rPr/>
            </w:pPr>
            <w:r>
              <w:rPr/>
              <w:t>Role of consequences</w:t>
            </w:r>
          </w:p>
        </w:tc>
        <w:tc>
          <w:tcPr>
            <w:tcW w:w="2930" w:type="dxa"/>
            <w:tcBorders/>
            <w:vAlign w:val="center"/>
          </w:tcPr>
          <w:p>
            <w:pPr>
              <w:pStyle w:val="TableContents"/>
              <w:widowControl w:val="false"/>
              <w:suppressLineNumbers/>
              <w:spacing w:before="0" w:after="200"/>
              <w:rPr/>
            </w:pPr>
            <w:r>
              <w:rPr/>
              <w:t>Consequences may inform judgment but do not determine all duties or prohibitions</w:t>
            </w:r>
          </w:p>
        </w:tc>
        <w:tc>
          <w:tcPr>
            <w:tcW w:w="3788" w:type="dxa"/>
            <w:tcBorders/>
            <w:vAlign w:val="center"/>
          </w:tcPr>
          <w:p>
            <w:pPr>
              <w:pStyle w:val="TableContents"/>
              <w:widowControl w:val="false"/>
              <w:suppressLineNumbers/>
              <w:spacing w:before="0" w:after="200"/>
              <w:rPr/>
            </w:pPr>
            <w:r>
              <w:rPr/>
              <w:t>Consequences and state changes are central to the moral assessment</w:t>
            </w:r>
          </w:p>
        </w:tc>
      </w:tr>
      <w:tr>
        <w:trPr/>
        <w:tc>
          <w:tcPr>
            <w:tcW w:w="1922" w:type="dxa"/>
            <w:tcBorders/>
            <w:vAlign w:val="center"/>
          </w:tcPr>
          <w:p>
            <w:pPr>
              <w:pStyle w:val="TableContents"/>
              <w:widowControl w:val="false"/>
              <w:suppressLineNumbers/>
              <w:spacing w:before="0" w:after="200"/>
              <w:rPr/>
            </w:pPr>
            <w:r>
              <w:rPr/>
              <w:t>Methodological foundation</w:t>
            </w:r>
          </w:p>
        </w:tc>
        <w:tc>
          <w:tcPr>
            <w:tcW w:w="2930" w:type="dxa"/>
            <w:tcBorders/>
            <w:vAlign w:val="center"/>
          </w:tcPr>
          <w:p>
            <w:pPr>
              <w:pStyle w:val="TableContents"/>
              <w:widowControl w:val="false"/>
              <w:suppressLineNumbers/>
              <w:spacing w:before="0" w:after="200"/>
              <w:rPr/>
            </w:pPr>
            <w:r>
              <w:rPr/>
              <w:t xml:space="preserve">Kantian theories emphasize rational and, in important respects, </w:t>
            </w:r>
            <w:r>
              <w:rPr>
                <w:rStyle w:val="Emphasis"/>
              </w:rPr>
              <w:t>a priori</w:t>
            </w:r>
            <w:r>
              <w:rPr/>
              <w:t xml:space="preserve"> moral principles</w:t>
            </w:r>
          </w:p>
        </w:tc>
        <w:tc>
          <w:tcPr>
            <w:tcW w:w="3788" w:type="dxa"/>
            <w:tcBorders/>
            <w:vAlign w:val="center"/>
          </w:tcPr>
          <w:p>
            <w:pPr>
              <w:pStyle w:val="TableContents"/>
              <w:widowControl w:val="false"/>
              <w:suppressLineNumbers/>
              <w:spacing w:before="0" w:after="200"/>
              <w:rPr/>
            </w:pPr>
            <w:r>
              <w:rPr/>
              <w:t>The framework combines an explicit normative axiom with empirical evidence, causal modeling, and probabilistic prediction</w:t>
            </w:r>
          </w:p>
        </w:tc>
      </w:tr>
      <w:tr>
        <w:trPr/>
        <w:tc>
          <w:tcPr>
            <w:tcW w:w="1922" w:type="dxa"/>
            <w:tcBorders/>
            <w:vAlign w:val="center"/>
          </w:tcPr>
          <w:p>
            <w:pPr>
              <w:pStyle w:val="TableContents"/>
              <w:widowControl w:val="false"/>
              <w:suppressLineNumbers/>
              <w:spacing w:before="0" w:after="200"/>
              <w:rPr/>
            </w:pPr>
            <w:r>
              <w:rPr/>
              <w:t>Treatment of means</w:t>
            </w:r>
          </w:p>
        </w:tc>
        <w:tc>
          <w:tcPr>
            <w:tcW w:w="2930" w:type="dxa"/>
            <w:tcBorders/>
            <w:vAlign w:val="center"/>
          </w:tcPr>
          <w:p>
            <w:pPr>
              <w:pStyle w:val="TableContents"/>
              <w:widowControl w:val="false"/>
              <w:suppressLineNumbers/>
              <w:spacing w:before="0" w:after="200"/>
              <w:rPr/>
            </w:pPr>
            <w:r>
              <w:rPr/>
              <w:t>Some means are intrinsically impermissible or inconsistent with duty</w:t>
            </w:r>
          </w:p>
        </w:tc>
        <w:tc>
          <w:tcPr>
            <w:tcW w:w="3788" w:type="dxa"/>
            <w:tcBorders/>
            <w:vAlign w:val="center"/>
          </w:tcPr>
          <w:p>
            <w:pPr>
              <w:pStyle w:val="TableContents"/>
              <w:widowControl w:val="false"/>
              <w:suppressLineNumbers/>
              <w:spacing w:before="0" w:after="200"/>
              <w:rPr/>
            </w:pPr>
            <w:r>
              <w:rPr/>
              <w:t>Means are evaluated through their direct effects, relational effects, policy updates, and compatibility with the Foundational Axiom</w:t>
            </w:r>
          </w:p>
        </w:tc>
      </w:tr>
      <w:tr>
        <w:trPr/>
        <w:tc>
          <w:tcPr>
            <w:tcW w:w="1922" w:type="dxa"/>
            <w:tcBorders/>
            <w:vAlign w:val="center"/>
          </w:tcPr>
          <w:p>
            <w:pPr>
              <w:pStyle w:val="TableContents"/>
              <w:widowControl w:val="false"/>
              <w:suppressLineNumbers/>
              <w:spacing w:before="0" w:after="200"/>
              <w:rPr/>
            </w:pPr>
            <w:r>
              <w:rPr/>
              <w:t>Universalization</w:t>
            </w:r>
          </w:p>
        </w:tc>
        <w:tc>
          <w:tcPr>
            <w:tcW w:w="2930" w:type="dxa"/>
            <w:tcBorders/>
            <w:vAlign w:val="center"/>
          </w:tcPr>
          <w:p>
            <w:pPr>
              <w:pStyle w:val="TableContents"/>
              <w:widowControl w:val="false"/>
              <w:suppressLineNumbers/>
              <w:spacing w:before="0" w:after="200"/>
              <w:rPr/>
            </w:pPr>
            <w:r>
              <w:rPr/>
              <w:t>Tests whether the maxim can be coherently and rationally willed as a universal law</w:t>
            </w:r>
          </w:p>
        </w:tc>
        <w:tc>
          <w:tcPr>
            <w:tcW w:w="3788" w:type="dxa"/>
            <w:tcBorders/>
            <w:vAlign w:val="center"/>
          </w:tcPr>
          <w:p>
            <w:pPr>
              <w:pStyle w:val="TableContents"/>
              <w:widowControl w:val="false"/>
              <w:suppressLineNumbers/>
              <w:spacing w:before="0" w:after="200"/>
              <w:rPr/>
            </w:pPr>
            <w:r>
              <w:rPr/>
              <w:t>Evaluates logical consistency where implemented and predicts systemic consequences of policy adoption or propagation</w:t>
            </w:r>
          </w:p>
        </w:tc>
      </w:tr>
      <w:tr>
        <w:trPr/>
        <w:tc>
          <w:tcPr>
            <w:tcW w:w="1922" w:type="dxa"/>
            <w:tcBorders/>
            <w:vAlign w:val="center"/>
          </w:tcPr>
          <w:p>
            <w:pPr>
              <w:pStyle w:val="TableContents"/>
              <w:widowControl w:val="false"/>
              <w:suppressLineNumbers/>
              <w:spacing w:before="0" w:after="200"/>
              <w:rPr/>
            </w:pPr>
            <w:r>
              <w:rPr/>
              <w:t>Moral standing</w:t>
            </w:r>
          </w:p>
        </w:tc>
        <w:tc>
          <w:tcPr>
            <w:tcW w:w="2930" w:type="dxa"/>
            <w:tcBorders/>
            <w:vAlign w:val="center"/>
          </w:tcPr>
          <w:p>
            <w:pPr>
              <w:pStyle w:val="TableContents"/>
              <w:widowControl w:val="false"/>
              <w:suppressLineNumbers/>
              <w:spacing w:before="0" w:after="200"/>
              <w:rPr/>
            </w:pPr>
            <w:r>
              <w:rPr/>
              <w:t>Kantian approaches traditionally emphasize rational agency and autonomy; other deontological theories may protect rights-bearing or vulnerable persons</w:t>
            </w:r>
          </w:p>
        </w:tc>
        <w:tc>
          <w:tcPr>
            <w:tcW w:w="3788" w:type="dxa"/>
            <w:tcBorders/>
            <w:vAlign w:val="center"/>
          </w:tcPr>
          <w:p>
            <w:pPr>
              <w:pStyle w:val="TableContents"/>
              <w:widowControl w:val="false"/>
              <w:suppressLineNumbers/>
              <w:spacing w:before="0" w:after="200"/>
              <w:rPr/>
            </w:pPr>
            <w:r>
              <w:rPr/>
              <w:t>Moral relevance extends to qualifying humans, non-human organisms, ecosystems, and artificial systems through the Flourishing Entity classification</w:t>
            </w:r>
          </w:p>
        </w:tc>
      </w:tr>
      <w:tr>
        <w:trPr/>
        <w:tc>
          <w:tcPr>
            <w:tcW w:w="1922" w:type="dxa"/>
            <w:tcBorders/>
            <w:vAlign w:val="center"/>
          </w:tcPr>
          <w:p>
            <w:pPr>
              <w:pStyle w:val="TableContents"/>
              <w:widowControl w:val="false"/>
              <w:suppressLineNumbers/>
              <w:spacing w:before="0" w:after="200"/>
              <w:rPr/>
            </w:pPr>
            <w:r>
              <w:rPr/>
              <w:t>Intention</w:t>
            </w:r>
          </w:p>
        </w:tc>
        <w:tc>
          <w:tcPr>
            <w:tcW w:w="2930" w:type="dxa"/>
            <w:tcBorders/>
            <w:vAlign w:val="center"/>
          </w:tcPr>
          <w:p>
            <w:pPr>
              <w:pStyle w:val="TableContents"/>
              <w:widowControl w:val="false"/>
              <w:suppressLineNumbers/>
              <w:spacing w:before="0" w:after="200"/>
              <w:rPr/>
            </w:pPr>
            <w:r>
              <w:rPr/>
              <w:t>Can determine moral worth or permissibility independently of outcome</w:t>
            </w:r>
          </w:p>
        </w:tc>
        <w:tc>
          <w:tcPr>
            <w:tcW w:w="3788" w:type="dxa"/>
            <w:tcBorders/>
            <w:vAlign w:val="center"/>
          </w:tcPr>
          <w:p>
            <w:pPr>
              <w:pStyle w:val="TableContents"/>
              <w:widowControl w:val="false"/>
              <w:suppressLineNumbers/>
              <w:spacing w:before="0" w:after="200"/>
              <w:rPr/>
            </w:pPr>
            <w:r>
              <w:rPr/>
              <w:t>Affects responsibility and Actor Policy State but does not replace assessment of the resulting World Context</w:t>
            </w:r>
          </w:p>
        </w:tc>
      </w:tr>
      <w:tr>
        <w:trPr/>
        <w:tc>
          <w:tcPr>
            <w:tcW w:w="1922" w:type="dxa"/>
            <w:tcBorders/>
            <w:vAlign w:val="center"/>
          </w:tcPr>
          <w:p>
            <w:pPr>
              <w:pStyle w:val="TableContents"/>
              <w:widowControl w:val="false"/>
              <w:suppressLineNumbers/>
              <w:spacing w:before="0" w:after="200"/>
              <w:rPr/>
            </w:pPr>
            <w:r>
              <w:rPr/>
              <w:t>Duties</w:t>
            </w:r>
          </w:p>
        </w:tc>
        <w:tc>
          <w:tcPr>
            <w:tcW w:w="2930" w:type="dxa"/>
            <w:tcBorders/>
            <w:vAlign w:val="center"/>
          </w:tcPr>
          <w:p>
            <w:pPr>
              <w:pStyle w:val="TableContents"/>
              <w:widowControl w:val="false"/>
              <w:suppressLineNumbers/>
              <w:spacing w:before="0" w:after="200"/>
              <w:rPr/>
            </w:pPr>
            <w:r>
              <w:rPr/>
              <w:t xml:space="preserve">May be absolute, threshold-constrained, relational, or </w:t>
            </w:r>
            <w:r>
              <w:rPr>
                <w:rStyle w:val="Emphasis"/>
              </w:rPr>
              <w:t>prima facie</w:t>
            </w:r>
          </w:p>
        </w:tc>
        <w:tc>
          <w:tcPr>
            <w:tcW w:w="3788" w:type="dxa"/>
            <w:tcBorders/>
            <w:vAlign w:val="center"/>
          </w:tcPr>
          <w:p>
            <w:pPr>
              <w:pStyle w:val="TableContents"/>
              <w:widowControl w:val="false"/>
              <w:suppressLineNumbers/>
              <w:spacing w:before="0" w:after="200"/>
              <w:rPr/>
            </w:pPr>
            <w:r>
              <w:rPr/>
              <w:t>Currently represented as constraints or objectives whose independent normative priority has not been fully formalized</w:t>
            </w:r>
          </w:p>
        </w:tc>
      </w:tr>
      <w:tr>
        <w:trPr/>
        <w:tc>
          <w:tcPr>
            <w:tcW w:w="1922" w:type="dxa"/>
            <w:tcBorders/>
            <w:vAlign w:val="center"/>
          </w:tcPr>
          <w:p>
            <w:pPr>
              <w:pStyle w:val="TableContents"/>
              <w:widowControl w:val="false"/>
              <w:suppressLineNumbers/>
              <w:spacing w:before="0" w:after="200"/>
              <w:rPr/>
            </w:pPr>
            <w:r>
              <w:rPr/>
              <w:t>Conflict resolution</w:t>
            </w:r>
          </w:p>
        </w:tc>
        <w:tc>
          <w:tcPr>
            <w:tcW w:w="2930" w:type="dxa"/>
            <w:tcBorders/>
            <w:vAlign w:val="center"/>
          </w:tcPr>
          <w:p>
            <w:pPr>
              <w:pStyle w:val="TableContents"/>
              <w:widowControl w:val="false"/>
              <w:suppressLineNumbers/>
              <w:spacing w:before="0" w:after="200"/>
              <w:rPr/>
            </w:pPr>
            <w:r>
              <w:rPr/>
              <w:t>Uses duty priority, judgment of stringency, specifications of rights, or consequence thresholds</w:t>
            </w:r>
          </w:p>
        </w:tc>
        <w:tc>
          <w:tcPr>
            <w:tcW w:w="3788" w:type="dxa"/>
            <w:tcBorders/>
            <w:vAlign w:val="center"/>
          </w:tcPr>
          <w:p>
            <w:pPr>
              <w:pStyle w:val="TableContents"/>
              <w:widowControl w:val="false"/>
              <w:suppressLineNumbers/>
              <w:spacing w:before="0" w:after="200"/>
              <w:rPr/>
            </w:pPr>
            <w:r>
              <w:rPr/>
              <w:t>Compares complete transitions using Long-Term Flourishing, materiality, distribution, uncertainty, and systemic effects</w:t>
            </w:r>
          </w:p>
        </w:tc>
      </w:tr>
      <w:tr>
        <w:trPr/>
        <w:tc>
          <w:tcPr>
            <w:tcW w:w="1922" w:type="dxa"/>
            <w:tcBorders/>
            <w:vAlign w:val="center"/>
          </w:tcPr>
          <w:p>
            <w:pPr>
              <w:pStyle w:val="TableContents"/>
              <w:widowControl w:val="false"/>
              <w:suppressLineNumbers/>
              <w:spacing w:before="0" w:after="200"/>
              <w:rPr/>
            </w:pPr>
            <w:r>
              <w:rPr/>
              <w:t>Aggregation</w:t>
            </w:r>
          </w:p>
        </w:tc>
        <w:tc>
          <w:tcPr>
            <w:tcW w:w="2930" w:type="dxa"/>
            <w:tcBorders/>
            <w:vAlign w:val="center"/>
          </w:tcPr>
          <w:p>
            <w:pPr>
              <w:pStyle w:val="TableContents"/>
              <w:widowControl w:val="false"/>
              <w:suppressLineNumbers/>
              <w:spacing w:before="0" w:after="200"/>
              <w:rPr/>
            </w:pPr>
            <w:r>
              <w:rPr/>
              <w:t>Often rejects aggregating benefits as a justification for violating a duty or person</w:t>
            </w:r>
          </w:p>
        </w:tc>
        <w:tc>
          <w:tcPr>
            <w:tcW w:w="3788" w:type="dxa"/>
            <w:tcBorders/>
            <w:vAlign w:val="center"/>
          </w:tcPr>
          <w:p>
            <w:pPr>
              <w:pStyle w:val="TableContents"/>
              <w:widowControl w:val="false"/>
              <w:suppressLineNumbers/>
              <w:spacing w:before="0" w:after="200"/>
              <w:rPr/>
            </w:pPr>
            <w:r>
              <w:rPr/>
              <w:t>Allows aggregate metrics but does not make them the complete moral assessment</w:t>
            </w:r>
          </w:p>
        </w:tc>
      </w:tr>
      <w:tr>
        <w:trPr/>
        <w:tc>
          <w:tcPr>
            <w:tcW w:w="1922" w:type="dxa"/>
            <w:tcBorders/>
            <w:vAlign w:val="center"/>
          </w:tcPr>
          <w:p>
            <w:pPr>
              <w:pStyle w:val="TableContents"/>
              <w:widowControl w:val="false"/>
              <w:suppressLineNumbers/>
              <w:spacing w:before="0" w:after="200"/>
              <w:rPr/>
            </w:pPr>
            <w:r>
              <w:rPr/>
              <w:t>Doing and allowing</w:t>
            </w:r>
          </w:p>
        </w:tc>
        <w:tc>
          <w:tcPr>
            <w:tcW w:w="2930" w:type="dxa"/>
            <w:tcBorders/>
            <w:vAlign w:val="center"/>
          </w:tcPr>
          <w:p>
            <w:pPr>
              <w:pStyle w:val="TableContents"/>
              <w:widowControl w:val="false"/>
              <w:suppressLineNumbers/>
              <w:spacing w:before="0" w:after="200"/>
              <w:rPr/>
            </w:pPr>
            <w:r>
              <w:rPr/>
              <w:t>May assign different moral significance to causing harm and permitting harm</w:t>
            </w:r>
          </w:p>
        </w:tc>
        <w:tc>
          <w:tcPr>
            <w:tcW w:w="3788" w:type="dxa"/>
            <w:tcBorders/>
            <w:vAlign w:val="center"/>
          </w:tcPr>
          <w:p>
            <w:pPr>
              <w:pStyle w:val="TableContents"/>
              <w:widowControl w:val="false"/>
              <w:suppressLineNumbers/>
              <w:spacing w:before="0" w:after="200"/>
              <w:rPr/>
            </w:pPr>
            <w:r>
              <w:rPr/>
              <w:t>Represents both actions and omissions and evaluates their complete causal and policy effects</w:t>
            </w:r>
          </w:p>
        </w:tc>
      </w:tr>
      <w:tr>
        <w:trPr/>
        <w:tc>
          <w:tcPr>
            <w:tcW w:w="1922" w:type="dxa"/>
            <w:tcBorders/>
            <w:vAlign w:val="center"/>
          </w:tcPr>
          <w:p>
            <w:pPr>
              <w:pStyle w:val="TableContents"/>
              <w:widowControl w:val="false"/>
              <w:suppressLineNumbers/>
              <w:spacing w:before="0" w:after="200"/>
              <w:rPr/>
            </w:pPr>
            <w:r>
              <w:rPr/>
              <w:t>Moral permissibility</w:t>
            </w:r>
          </w:p>
        </w:tc>
        <w:tc>
          <w:tcPr>
            <w:tcW w:w="2930" w:type="dxa"/>
            <w:tcBorders/>
            <w:vAlign w:val="center"/>
          </w:tcPr>
          <w:p>
            <w:pPr>
              <w:pStyle w:val="TableContents"/>
              <w:widowControl w:val="false"/>
              <w:suppressLineNumbers/>
              <w:spacing w:before="0" w:after="200"/>
              <w:rPr/>
            </w:pPr>
            <w:r>
              <w:rPr/>
              <w:t>May permit several alternatives without requiring the best outcome</w:t>
            </w:r>
          </w:p>
        </w:tc>
        <w:tc>
          <w:tcPr>
            <w:tcW w:w="3788" w:type="dxa"/>
            <w:tcBorders/>
            <w:vAlign w:val="center"/>
          </w:tcPr>
          <w:p>
            <w:pPr>
              <w:pStyle w:val="TableContents"/>
              <w:widowControl w:val="false"/>
              <w:suppressLineNumbers/>
              <w:spacing w:before="0" w:after="200"/>
              <w:rPr/>
            </w:pPr>
            <w:r>
              <w:rPr/>
              <w:t>May produce permissibility judgments, risk findings, or comparative rankings of candidate transitions</w:t>
            </w:r>
          </w:p>
        </w:tc>
      </w:tr>
      <w:tr>
        <w:trPr/>
        <w:tc>
          <w:tcPr>
            <w:tcW w:w="1922" w:type="dxa"/>
            <w:tcBorders/>
            <w:vAlign w:val="center"/>
          </w:tcPr>
          <w:p>
            <w:pPr>
              <w:pStyle w:val="TableContents"/>
              <w:widowControl w:val="false"/>
              <w:suppressLineNumbers/>
              <w:spacing w:before="0" w:after="200"/>
              <w:rPr/>
            </w:pPr>
            <w:r>
              <w:rPr/>
              <w:t>Uncertainty</w:t>
            </w:r>
          </w:p>
        </w:tc>
        <w:tc>
          <w:tcPr>
            <w:tcW w:w="2930" w:type="dxa"/>
            <w:tcBorders/>
            <w:vAlign w:val="center"/>
          </w:tcPr>
          <w:p>
            <w:pPr>
              <w:pStyle w:val="TableContents"/>
              <w:widowControl w:val="false"/>
              <w:suppressLineNumbers/>
              <w:spacing w:before="0" w:after="200"/>
              <w:rPr/>
            </w:pPr>
            <w:r>
              <w:rPr/>
              <w:t>Creates difficulties when it is uncertain whether an action violates a duty or right</w:t>
            </w:r>
          </w:p>
        </w:tc>
        <w:tc>
          <w:tcPr>
            <w:tcW w:w="3788" w:type="dxa"/>
            <w:tcBorders/>
            <w:vAlign w:val="center"/>
          </w:tcPr>
          <w:p>
            <w:pPr>
              <w:pStyle w:val="TableContents"/>
              <w:widowControl w:val="false"/>
              <w:suppressLineNumbers/>
              <w:spacing w:before="0" w:after="200"/>
              <w:rPr/>
            </w:pPr>
            <w:r>
              <w:rPr/>
              <w:t>Explicitly propagates uncertainty through predicted transitions and confidence-bounded conclusions</w:t>
            </w:r>
          </w:p>
        </w:tc>
      </w:tr>
      <w:tr>
        <w:trPr/>
        <w:tc>
          <w:tcPr>
            <w:tcW w:w="1922" w:type="dxa"/>
            <w:tcBorders/>
            <w:vAlign w:val="center"/>
          </w:tcPr>
          <w:p>
            <w:pPr>
              <w:pStyle w:val="TableContents"/>
              <w:widowControl w:val="false"/>
              <w:suppressLineNumbers/>
              <w:spacing w:before="0" w:after="200"/>
              <w:rPr/>
            </w:pPr>
            <w:r>
              <w:rPr/>
              <w:t>Relationship to implementation</w:t>
            </w:r>
          </w:p>
        </w:tc>
        <w:tc>
          <w:tcPr>
            <w:tcW w:w="2930" w:type="dxa"/>
            <w:tcBorders/>
            <w:vAlign w:val="center"/>
          </w:tcPr>
          <w:p>
            <w:pPr>
              <w:pStyle w:val="TableContents"/>
              <w:widowControl w:val="false"/>
              <w:suppressLineNumbers/>
              <w:spacing w:before="0" w:after="200"/>
              <w:rPr/>
            </w:pPr>
            <w:r>
              <w:rPr/>
              <w:t>A normative ethical family</w:t>
            </w:r>
          </w:p>
        </w:tc>
        <w:tc>
          <w:tcPr>
            <w:tcW w:w="3788" w:type="dxa"/>
            <w:tcBorders/>
            <w:vAlign w:val="center"/>
          </w:tcPr>
          <w:p>
            <w:pPr>
              <w:pStyle w:val="TableContents"/>
              <w:widowControl w:val="false"/>
              <w:suppressLineNumbers/>
              <w:spacing w:before="0" w:after="200"/>
              <w:rPr/>
            </w:pPr>
            <w:r>
              <w:rPr/>
              <w:t>An implementation-neutral computational reference architecture with an explicit normative foundation</w:t>
            </w:r>
          </w:p>
        </w:tc>
      </w:tr>
    </w:tbl>
    <w:p>
      <w:pPr>
        <w:pStyle w:val="BodyText"/>
        <w:spacing w:before="0" w:after="200"/>
        <w:rPr/>
      </w:pPr>
      <w:r>
        <w:rPr/>
        <w:t xml:space="preserve">Rossian pluralism is especially relevant to the proposed framework because it permits multiple duties to apply simultaneously without declaring every duty absolute. Ross distinguishes </w:t>
      </w:r>
      <w:r>
        <w:rPr>
          <w:rStyle w:val="Emphasis"/>
        </w:rPr>
        <w:t>prima facie</w:t>
      </w:r>
      <w:r>
        <w:rPr/>
        <w:t xml:space="preserve"> duties from the Actor’s actual duty and requires judgment concerning their relative stringency in the particular situation. </w:t>
      </w:r>
      <w:hyperlink r:id="rId21">
        <w:r>
          <w:rPr>
            <w:rStyle w:val="Hyperlink"/>
          </w:rPr>
          <w:t>Stanford Encyclopedia of Philosophy</w:t>
        </w:r>
      </w:hyperlink>
      <w:r>
        <w:rPr/>
        <w:t xml:space="preserve"> The framework could formalize this process through explicit duty representations, evidence, action alternatives, and comparative World Context Transitions.</w:t>
      </w:r>
    </w:p>
    <w:p>
      <w:pPr>
        <w:pStyle w:val="Heading3"/>
        <w:rPr/>
      </w:pPr>
      <w:r>
        <w:rPr/>
        <w:t>Potential Integration Opportunities</w:t>
      </w:r>
    </w:p>
    <w:p>
      <w:pPr>
        <w:pStyle w:val="BodyText"/>
        <w:numPr>
          <w:ilvl w:val="0"/>
          <w:numId w:val="34"/>
        </w:numPr>
        <w:tabs>
          <w:tab w:val="clear" w:pos="720"/>
          <w:tab w:val="left" w:pos="0" w:leader="none"/>
        </w:tabs>
        <w:spacing w:before="0" w:after="200"/>
        <w:ind w:hanging="283" w:left="709"/>
        <w:rPr/>
      </w:pPr>
      <w:r>
        <w:rPr>
          <w:rStyle w:val="Strong"/>
        </w:rPr>
        <w:t>Deontic constraint layer</w:t>
      </w:r>
    </w:p>
    <w:p>
      <w:pPr>
        <w:pStyle w:val="BodyText"/>
        <w:numPr>
          <w:ilvl w:val="0"/>
          <w:numId w:val="0"/>
        </w:numPr>
        <w:spacing w:before="0" w:after="200"/>
        <w:ind w:hanging="0" w:left="0"/>
        <w:rPr/>
      </w:pPr>
      <w:r>
        <w:rPr/>
        <w:t>The architecture could include a formal layer identifying actions as required, permitted, prohibited, or conditionally permitted. This layer could operate before consequence optimization so that impermissible actions are excluded unless an explicitly defined exception or threshold applies.</w:t>
      </w:r>
    </w:p>
    <w:p>
      <w:pPr>
        <w:pStyle w:val="BodyText"/>
        <w:numPr>
          <w:ilvl w:val="0"/>
          <w:numId w:val="34"/>
        </w:numPr>
        <w:tabs>
          <w:tab w:val="clear" w:pos="720"/>
          <w:tab w:val="left" w:pos="0" w:leader="none"/>
        </w:tabs>
        <w:spacing w:before="0" w:after="200"/>
        <w:ind w:hanging="283" w:left="709"/>
        <w:rPr/>
      </w:pPr>
      <w:r>
        <w:rPr>
          <w:rStyle w:val="Strong"/>
        </w:rPr>
        <w:t>Duty and obligation ontology</w:t>
      </w:r>
    </w:p>
    <w:p>
      <w:pPr>
        <w:pStyle w:val="BodyText"/>
        <w:numPr>
          <w:ilvl w:val="0"/>
          <w:numId w:val="0"/>
        </w:numPr>
        <w:spacing w:before="0" w:after="200"/>
        <w:ind w:hanging="0" w:left="0"/>
        <w:rPr/>
      </w:pPr>
      <w:r>
        <w:rPr/>
        <w:t>Duties could be represented as structured objects containing:</w:t>
      </w:r>
    </w:p>
    <w:p>
      <w:pPr>
        <w:pStyle w:val="BodyText"/>
        <w:numPr>
          <w:ilvl w:val="1"/>
          <w:numId w:val="34"/>
        </w:numPr>
        <w:tabs>
          <w:tab w:val="clear" w:pos="720"/>
          <w:tab w:val="left" w:pos="0" w:leader="none"/>
        </w:tabs>
        <w:spacing w:before="0" w:after="200"/>
        <w:ind w:hanging="283" w:left="1418"/>
        <w:rPr/>
      </w:pPr>
      <w:r>
        <w:rPr/>
        <w:t>Duty holder</w:t>
      </w:r>
    </w:p>
    <w:p>
      <w:pPr>
        <w:pStyle w:val="BodyText"/>
        <w:numPr>
          <w:ilvl w:val="1"/>
          <w:numId w:val="34"/>
        </w:numPr>
        <w:tabs>
          <w:tab w:val="clear" w:pos="720"/>
          <w:tab w:val="left" w:pos="0" w:leader="none"/>
        </w:tabs>
        <w:spacing w:before="0" w:after="200"/>
        <w:ind w:hanging="283" w:left="1418"/>
        <w:rPr/>
      </w:pPr>
      <w:r>
        <w:rPr/>
        <w:t>Duty beneficiary</w:t>
      </w:r>
    </w:p>
    <w:p>
      <w:pPr>
        <w:pStyle w:val="BodyText"/>
        <w:numPr>
          <w:ilvl w:val="1"/>
          <w:numId w:val="34"/>
        </w:numPr>
        <w:tabs>
          <w:tab w:val="clear" w:pos="720"/>
          <w:tab w:val="left" w:pos="0" w:leader="none"/>
        </w:tabs>
        <w:spacing w:before="0" w:after="200"/>
        <w:ind w:hanging="283" w:left="1418"/>
        <w:rPr/>
      </w:pPr>
      <w:r>
        <w:rPr/>
        <w:t>Duty source</w:t>
      </w:r>
    </w:p>
    <w:p>
      <w:pPr>
        <w:pStyle w:val="BodyText"/>
        <w:numPr>
          <w:ilvl w:val="1"/>
          <w:numId w:val="34"/>
        </w:numPr>
        <w:tabs>
          <w:tab w:val="clear" w:pos="720"/>
          <w:tab w:val="left" w:pos="0" w:leader="none"/>
        </w:tabs>
        <w:spacing w:before="0" w:after="200"/>
        <w:ind w:hanging="283" w:left="1418"/>
        <w:rPr/>
      </w:pPr>
      <w:r>
        <w:rPr/>
        <w:t>Required or prohibited conduct</w:t>
      </w:r>
    </w:p>
    <w:p>
      <w:pPr>
        <w:pStyle w:val="BodyText"/>
        <w:numPr>
          <w:ilvl w:val="1"/>
          <w:numId w:val="34"/>
        </w:numPr>
        <w:tabs>
          <w:tab w:val="clear" w:pos="720"/>
          <w:tab w:val="left" w:pos="0" w:leader="none"/>
        </w:tabs>
        <w:spacing w:before="0" w:after="200"/>
        <w:ind w:hanging="283" w:left="1418"/>
        <w:rPr/>
      </w:pPr>
      <w:r>
        <w:rPr/>
        <w:t>Triggering conditions</w:t>
      </w:r>
    </w:p>
    <w:p>
      <w:pPr>
        <w:pStyle w:val="BodyText"/>
        <w:numPr>
          <w:ilvl w:val="1"/>
          <w:numId w:val="34"/>
        </w:numPr>
        <w:tabs>
          <w:tab w:val="clear" w:pos="720"/>
          <w:tab w:val="left" w:pos="0" w:leader="none"/>
        </w:tabs>
        <w:spacing w:before="0" w:after="200"/>
        <w:ind w:hanging="283" w:left="1418"/>
        <w:rPr/>
      </w:pPr>
      <w:r>
        <w:rPr/>
        <w:t>Scope and Assessment Horizon</w:t>
      </w:r>
    </w:p>
    <w:p>
      <w:pPr>
        <w:pStyle w:val="BodyText"/>
        <w:numPr>
          <w:ilvl w:val="1"/>
          <w:numId w:val="34"/>
        </w:numPr>
        <w:tabs>
          <w:tab w:val="clear" w:pos="720"/>
          <w:tab w:val="left" w:pos="0" w:leader="none"/>
        </w:tabs>
        <w:spacing w:before="0" w:after="200"/>
        <w:ind w:hanging="283" w:left="1418"/>
        <w:rPr/>
      </w:pPr>
      <w:r>
        <w:rPr/>
        <w:t>Strength or priority</w:t>
      </w:r>
    </w:p>
    <w:p>
      <w:pPr>
        <w:pStyle w:val="BodyText"/>
        <w:numPr>
          <w:ilvl w:val="1"/>
          <w:numId w:val="34"/>
        </w:numPr>
        <w:tabs>
          <w:tab w:val="clear" w:pos="720"/>
          <w:tab w:val="left" w:pos="0" w:leader="none"/>
        </w:tabs>
        <w:spacing w:before="0" w:after="200"/>
        <w:ind w:hanging="283" w:left="1418"/>
        <w:rPr/>
      </w:pPr>
      <w:r>
        <w:rPr/>
        <w:t>Exception conditions</w:t>
      </w:r>
    </w:p>
    <w:p>
      <w:pPr>
        <w:pStyle w:val="BodyText"/>
        <w:numPr>
          <w:ilvl w:val="1"/>
          <w:numId w:val="34"/>
        </w:numPr>
        <w:tabs>
          <w:tab w:val="clear" w:pos="720"/>
          <w:tab w:val="left" w:pos="0" w:leader="none"/>
        </w:tabs>
        <w:spacing w:before="0" w:after="200"/>
        <w:ind w:hanging="283" w:left="1418"/>
        <w:rPr/>
      </w:pPr>
      <w:r>
        <w:rPr/>
        <w:t>Relevant authority</w:t>
      </w:r>
    </w:p>
    <w:p>
      <w:pPr>
        <w:pStyle w:val="BodyText"/>
        <w:numPr>
          <w:ilvl w:val="1"/>
          <w:numId w:val="34"/>
        </w:numPr>
        <w:tabs>
          <w:tab w:val="clear" w:pos="720"/>
          <w:tab w:val="left" w:pos="0" w:leader="none"/>
        </w:tabs>
        <w:spacing w:before="0" w:after="200"/>
        <w:ind w:hanging="283" w:left="1418"/>
        <w:rPr/>
      </w:pPr>
      <w:r>
        <w:rPr/>
        <w:t>Evidence and confidence</w:t>
      </w:r>
    </w:p>
    <w:p>
      <w:pPr>
        <w:pStyle w:val="BodyText"/>
        <w:numPr>
          <w:ilvl w:val="1"/>
          <w:numId w:val="34"/>
        </w:numPr>
        <w:tabs>
          <w:tab w:val="clear" w:pos="720"/>
          <w:tab w:val="left" w:pos="0" w:leader="none"/>
        </w:tabs>
        <w:spacing w:before="0" w:after="200"/>
        <w:ind w:hanging="283" w:left="1418"/>
        <w:rPr/>
      </w:pPr>
      <w:r>
        <w:rPr/>
        <w:t>Fulfillment or violation state</w:t>
      </w:r>
    </w:p>
    <w:p>
      <w:pPr>
        <w:pStyle w:val="BodyText"/>
        <w:numPr>
          <w:ilvl w:val="0"/>
          <w:numId w:val="34"/>
        </w:numPr>
        <w:tabs>
          <w:tab w:val="clear" w:pos="720"/>
          <w:tab w:val="left" w:pos="0" w:leader="none"/>
        </w:tabs>
        <w:spacing w:before="0" w:after="200"/>
        <w:ind w:hanging="283" w:left="709"/>
        <w:rPr/>
      </w:pPr>
      <w:r>
        <w:rPr>
          <w:rStyle w:val="Strong"/>
        </w:rPr>
        <w:t>Universalization assessment</w:t>
      </w:r>
    </w:p>
    <w:p>
      <w:pPr>
        <w:pStyle w:val="BodyText"/>
        <w:numPr>
          <w:ilvl w:val="0"/>
          <w:numId w:val="0"/>
        </w:numPr>
        <w:spacing w:before="0" w:after="200"/>
        <w:ind w:hanging="0" w:left="0"/>
        <w:rPr/>
      </w:pPr>
      <w:r>
        <w:rPr/>
        <w:t>Each Assessed Action could include an explicit policy or maxim. The assessment could then ask:</w:t>
      </w:r>
    </w:p>
    <w:p>
      <w:pPr>
        <w:pStyle w:val="BodyText"/>
        <w:numPr>
          <w:ilvl w:val="1"/>
          <w:numId w:val="34"/>
        </w:numPr>
        <w:tabs>
          <w:tab w:val="clear" w:pos="720"/>
          <w:tab w:val="left" w:pos="0" w:leader="none"/>
        </w:tabs>
        <w:spacing w:before="0" w:after="200"/>
        <w:ind w:hanging="283" w:left="1418"/>
        <w:rPr/>
      </w:pPr>
      <w:r>
        <w:rPr/>
        <w:t>Can the policy be consistently applied to all similarly situated Moral Agents?</w:t>
      </w:r>
    </w:p>
    <w:p>
      <w:pPr>
        <w:pStyle w:val="BodyText"/>
        <w:numPr>
          <w:ilvl w:val="1"/>
          <w:numId w:val="34"/>
        </w:numPr>
        <w:tabs>
          <w:tab w:val="clear" w:pos="720"/>
          <w:tab w:val="left" w:pos="0" w:leader="none"/>
        </w:tabs>
        <w:spacing w:before="0" w:after="200"/>
        <w:ind w:hanging="283" w:left="1418"/>
        <w:rPr/>
      </w:pPr>
      <w:r>
        <w:rPr/>
        <w:t>Would universal adoption undermine the practice on which the action depends?</w:t>
      </w:r>
    </w:p>
    <w:p>
      <w:pPr>
        <w:pStyle w:val="BodyText"/>
        <w:numPr>
          <w:ilvl w:val="1"/>
          <w:numId w:val="34"/>
        </w:numPr>
        <w:tabs>
          <w:tab w:val="clear" w:pos="720"/>
          <w:tab w:val="left" w:pos="0" w:leader="none"/>
        </w:tabs>
        <w:spacing w:before="0" w:after="200"/>
        <w:ind w:hanging="283" w:left="1418"/>
        <w:rPr/>
      </w:pPr>
      <w:r>
        <w:rPr/>
        <w:t>Could affected Moral Agents rationally endorse the policy?</w:t>
      </w:r>
    </w:p>
    <w:p>
      <w:pPr>
        <w:pStyle w:val="BodyText"/>
        <w:numPr>
          <w:ilvl w:val="1"/>
          <w:numId w:val="34"/>
        </w:numPr>
        <w:tabs>
          <w:tab w:val="clear" w:pos="720"/>
          <w:tab w:val="left" w:pos="0" w:leader="none"/>
        </w:tabs>
        <w:spacing w:before="0" w:after="200"/>
        <w:ind w:hanging="283" w:left="1418"/>
        <w:rPr/>
      </w:pPr>
      <w:r>
        <w:rPr/>
        <w:t>What World Context and Distributed Policy Effects would widespread adoption create?</w:t>
      </w:r>
    </w:p>
    <w:p>
      <w:pPr>
        <w:pStyle w:val="BodyText"/>
        <w:numPr>
          <w:ilvl w:val="0"/>
          <w:numId w:val="0"/>
        </w:numPr>
        <w:spacing w:before="0" w:after="200"/>
        <w:ind w:hanging="0" w:left="0"/>
        <w:rPr/>
      </w:pPr>
      <w:r>
        <w:rPr/>
        <w:t>The logical universalization test and the empirical policy-propagation analysis should be reported separately.</w:t>
      </w:r>
    </w:p>
    <w:p>
      <w:pPr>
        <w:pStyle w:val="BodyText"/>
        <w:numPr>
          <w:ilvl w:val="0"/>
          <w:numId w:val="34"/>
        </w:numPr>
        <w:tabs>
          <w:tab w:val="clear" w:pos="720"/>
          <w:tab w:val="left" w:pos="0" w:leader="none"/>
        </w:tabs>
        <w:spacing w:before="0" w:after="200"/>
        <w:ind w:hanging="283" w:left="709"/>
        <w:rPr/>
      </w:pPr>
      <w:r>
        <w:rPr>
          <w:rStyle w:val="Strong"/>
        </w:rPr>
        <w:t>Humanity-as-an-end assessment</w:t>
      </w:r>
    </w:p>
    <w:p>
      <w:pPr>
        <w:pStyle w:val="BodyText"/>
        <w:numPr>
          <w:ilvl w:val="0"/>
          <w:numId w:val="0"/>
        </w:numPr>
        <w:spacing w:before="0" w:after="200"/>
        <w:ind w:hanging="0" w:left="0"/>
        <w:rPr/>
      </w:pPr>
      <w:r>
        <w:rPr/>
        <w:t>A specific assessment component could identify whether an action treats a person merely as an instrument. Indicators could include deception, lack of meaningful consent, coercion, manipulation, exploitation, denial of agency, preventable dependency, or exclusion from decisions materially affecting the person.</w:t>
      </w:r>
    </w:p>
    <w:p>
      <w:pPr>
        <w:pStyle w:val="BodyText"/>
        <w:numPr>
          <w:ilvl w:val="0"/>
          <w:numId w:val="34"/>
        </w:numPr>
        <w:tabs>
          <w:tab w:val="clear" w:pos="720"/>
          <w:tab w:val="left" w:pos="0" w:leader="none"/>
        </w:tabs>
        <w:spacing w:before="0" w:after="200"/>
        <w:ind w:hanging="283" w:left="709"/>
        <w:rPr/>
      </w:pPr>
      <w:r>
        <w:rPr>
          <w:rStyle w:val="Strong"/>
        </w:rPr>
        <w:t>Agency and autonomy protections</w:t>
      </w:r>
    </w:p>
    <w:p>
      <w:pPr>
        <w:pStyle w:val="BodyText"/>
        <w:numPr>
          <w:ilvl w:val="0"/>
          <w:numId w:val="0"/>
        </w:numPr>
        <w:spacing w:before="0" w:after="200"/>
        <w:ind w:hanging="0" w:left="0"/>
        <w:rPr/>
      </w:pPr>
      <w:r>
        <w:rPr/>
        <w:t>Minimum autonomy conditions could be represented as moral constraints rather than ordinary flourishing variables. This would reduce the possibility that gains to aggregate flourishing could automatically outweigh severe destruction of another entity’s agency.</w:t>
      </w:r>
    </w:p>
    <w:p>
      <w:pPr>
        <w:pStyle w:val="BodyText"/>
        <w:numPr>
          <w:ilvl w:val="0"/>
          <w:numId w:val="34"/>
        </w:numPr>
        <w:tabs>
          <w:tab w:val="clear" w:pos="720"/>
          <w:tab w:val="left" w:pos="0" w:leader="none"/>
        </w:tabs>
        <w:spacing w:before="0" w:after="200"/>
        <w:ind w:hanging="283" w:left="709"/>
        <w:rPr/>
      </w:pPr>
      <w:r>
        <w:rPr>
          <w:rStyle w:val="Strong"/>
        </w:rPr>
        <w:t xml:space="preserve">Rossian </w:t>
      </w:r>
      <w:r>
        <w:rPr>
          <w:rStyle w:val="Emphasis"/>
        </w:rPr>
        <w:t>prima facie</w:t>
      </w:r>
      <w:r>
        <w:rPr>
          <w:rStyle w:val="Strong"/>
        </w:rPr>
        <w:t xml:space="preserve"> duties</w:t>
      </w:r>
    </w:p>
    <w:p>
      <w:pPr>
        <w:pStyle w:val="BodyText"/>
        <w:numPr>
          <w:ilvl w:val="0"/>
          <w:numId w:val="0"/>
        </w:numPr>
        <w:spacing w:before="0" w:after="200"/>
        <w:ind w:hanging="0" w:left="0"/>
        <w:rPr/>
      </w:pPr>
      <w:r>
        <w:rPr/>
        <w:t>The framework could represent multiple duties simultaneously rather than assuming a single rule. Fidelity, non-maleficence, beneficence, reparation, gratitude, justice, and self-development could be treated as reasons attached to particular Objects and Associations.</w:t>
      </w:r>
    </w:p>
    <w:p>
      <w:pPr>
        <w:pStyle w:val="BodyText"/>
        <w:numPr>
          <w:ilvl w:val="0"/>
          <w:numId w:val="0"/>
        </w:numPr>
        <w:spacing w:before="0" w:after="200"/>
        <w:ind w:hanging="0" w:left="0"/>
        <w:rPr/>
      </w:pPr>
      <w:r>
        <w:rPr/>
        <w:t>For each candidate action, the assessment could identify:</w:t>
      </w:r>
    </w:p>
    <w:p>
      <w:pPr>
        <w:pStyle w:val="BodyText"/>
        <w:numPr>
          <w:ilvl w:val="1"/>
          <w:numId w:val="34"/>
        </w:numPr>
        <w:tabs>
          <w:tab w:val="clear" w:pos="720"/>
          <w:tab w:val="left" w:pos="0" w:leader="none"/>
        </w:tabs>
        <w:spacing w:before="0" w:after="200"/>
        <w:ind w:hanging="283" w:left="1418"/>
        <w:rPr/>
      </w:pPr>
      <w:r>
        <w:rPr/>
        <w:t>Duties satisfied</w:t>
      </w:r>
    </w:p>
    <w:p>
      <w:pPr>
        <w:pStyle w:val="BodyText"/>
        <w:numPr>
          <w:ilvl w:val="1"/>
          <w:numId w:val="34"/>
        </w:numPr>
        <w:tabs>
          <w:tab w:val="clear" w:pos="720"/>
          <w:tab w:val="left" w:pos="0" w:leader="none"/>
        </w:tabs>
        <w:spacing w:before="0" w:after="200"/>
        <w:ind w:hanging="283" w:left="1418"/>
        <w:rPr/>
      </w:pPr>
      <w:r>
        <w:rPr/>
        <w:t>Duties violated</w:t>
      </w:r>
    </w:p>
    <w:p>
      <w:pPr>
        <w:pStyle w:val="BodyText"/>
        <w:numPr>
          <w:ilvl w:val="1"/>
          <w:numId w:val="34"/>
        </w:numPr>
        <w:tabs>
          <w:tab w:val="clear" w:pos="720"/>
          <w:tab w:val="left" w:pos="0" w:leader="none"/>
        </w:tabs>
        <w:spacing w:before="0" w:after="200"/>
        <w:ind w:hanging="283" w:left="1418"/>
        <w:rPr/>
      </w:pPr>
      <w:r>
        <w:rPr/>
        <w:t>Degree of violation</w:t>
      </w:r>
    </w:p>
    <w:p>
      <w:pPr>
        <w:pStyle w:val="BodyText"/>
        <w:numPr>
          <w:ilvl w:val="1"/>
          <w:numId w:val="34"/>
        </w:numPr>
        <w:tabs>
          <w:tab w:val="clear" w:pos="720"/>
          <w:tab w:val="left" w:pos="0" w:leader="none"/>
        </w:tabs>
        <w:spacing w:before="0" w:after="200"/>
        <w:ind w:hanging="283" w:left="1418"/>
        <w:rPr/>
      </w:pPr>
      <w:r>
        <w:rPr/>
        <w:t>Parties affected</w:t>
      </w:r>
    </w:p>
    <w:p>
      <w:pPr>
        <w:pStyle w:val="BodyText"/>
        <w:numPr>
          <w:ilvl w:val="1"/>
          <w:numId w:val="34"/>
        </w:numPr>
        <w:tabs>
          <w:tab w:val="clear" w:pos="720"/>
          <w:tab w:val="left" w:pos="0" w:leader="none"/>
        </w:tabs>
        <w:spacing w:before="0" w:after="200"/>
        <w:ind w:hanging="283" w:left="1418"/>
        <w:rPr/>
      </w:pPr>
      <w:r>
        <w:rPr/>
        <w:t>Contextual stringency</w:t>
      </w:r>
    </w:p>
    <w:p>
      <w:pPr>
        <w:pStyle w:val="BodyText"/>
        <w:numPr>
          <w:ilvl w:val="1"/>
          <w:numId w:val="34"/>
        </w:numPr>
        <w:tabs>
          <w:tab w:val="clear" w:pos="720"/>
          <w:tab w:val="left" w:pos="0" w:leader="none"/>
        </w:tabs>
        <w:spacing w:before="0" w:after="200"/>
        <w:ind w:hanging="283" w:left="1418"/>
        <w:rPr/>
      </w:pPr>
      <w:r>
        <w:rPr/>
        <w:t>Available mitigation</w:t>
      </w:r>
    </w:p>
    <w:p>
      <w:pPr>
        <w:pStyle w:val="BodyText"/>
        <w:numPr>
          <w:ilvl w:val="1"/>
          <w:numId w:val="34"/>
        </w:numPr>
        <w:tabs>
          <w:tab w:val="clear" w:pos="720"/>
          <w:tab w:val="left" w:pos="0" w:leader="none"/>
        </w:tabs>
        <w:spacing w:before="0" w:after="200"/>
        <w:ind w:hanging="283" w:left="1418"/>
        <w:rPr/>
      </w:pPr>
      <w:r>
        <w:rPr/>
        <w:t>Residual duty of explanation or reparation</w:t>
      </w:r>
    </w:p>
    <w:p>
      <w:pPr>
        <w:pStyle w:val="BodyText"/>
        <w:numPr>
          <w:ilvl w:val="0"/>
          <w:numId w:val="34"/>
        </w:numPr>
        <w:tabs>
          <w:tab w:val="clear" w:pos="720"/>
          <w:tab w:val="left" w:pos="0" w:leader="none"/>
        </w:tabs>
        <w:spacing w:before="0" w:after="200"/>
        <w:ind w:hanging="283" w:left="709"/>
        <w:rPr/>
      </w:pPr>
      <w:r>
        <w:rPr>
          <w:rStyle w:val="Strong"/>
        </w:rPr>
        <w:t>Threshold deontology</w:t>
      </w:r>
    </w:p>
    <w:p>
      <w:pPr>
        <w:pStyle w:val="BodyText"/>
        <w:numPr>
          <w:ilvl w:val="0"/>
          <w:numId w:val="0"/>
        </w:numPr>
        <w:spacing w:before="0" w:after="200"/>
        <w:ind w:hanging="0" w:left="0"/>
        <w:rPr/>
      </w:pPr>
      <w:r>
        <w:rPr/>
        <w:t>The architecture could distinguish:</w:t>
      </w:r>
    </w:p>
    <w:p>
      <w:pPr>
        <w:pStyle w:val="BodyText"/>
        <w:numPr>
          <w:ilvl w:val="1"/>
          <w:numId w:val="34"/>
        </w:numPr>
        <w:tabs>
          <w:tab w:val="clear" w:pos="720"/>
          <w:tab w:val="left" w:pos="0" w:leader="none"/>
        </w:tabs>
        <w:spacing w:before="0" w:after="200"/>
        <w:ind w:hanging="283" w:left="1418"/>
        <w:rPr/>
      </w:pPr>
      <w:r>
        <w:rPr/>
        <w:t>Absolute prohibitions</w:t>
      </w:r>
    </w:p>
    <w:p>
      <w:pPr>
        <w:pStyle w:val="BodyText"/>
        <w:numPr>
          <w:ilvl w:val="1"/>
          <w:numId w:val="34"/>
        </w:numPr>
        <w:tabs>
          <w:tab w:val="clear" w:pos="720"/>
          <w:tab w:val="left" w:pos="0" w:leader="none"/>
        </w:tabs>
        <w:spacing w:before="0" w:after="200"/>
        <w:ind w:hanging="283" w:left="1418"/>
        <w:rPr/>
      </w:pPr>
      <w:r>
        <w:rPr/>
        <w:t>Strong presumptive prohibitions</w:t>
      </w:r>
    </w:p>
    <w:p>
      <w:pPr>
        <w:pStyle w:val="BodyText"/>
        <w:numPr>
          <w:ilvl w:val="1"/>
          <w:numId w:val="34"/>
        </w:numPr>
        <w:tabs>
          <w:tab w:val="clear" w:pos="720"/>
          <w:tab w:val="left" w:pos="0" w:leader="none"/>
        </w:tabs>
        <w:spacing w:before="0" w:after="200"/>
        <w:ind w:hanging="283" w:left="1418"/>
        <w:rPr/>
      </w:pPr>
      <w:r>
        <w:rPr/>
        <w:t>Threshold-constrained prohibitions</w:t>
      </w:r>
    </w:p>
    <w:p>
      <w:pPr>
        <w:pStyle w:val="BodyText"/>
        <w:numPr>
          <w:ilvl w:val="1"/>
          <w:numId w:val="34"/>
        </w:numPr>
        <w:tabs>
          <w:tab w:val="clear" w:pos="720"/>
          <w:tab w:val="left" w:pos="0" w:leader="none"/>
        </w:tabs>
        <w:spacing w:before="0" w:after="200"/>
        <w:ind w:hanging="283" w:left="1418"/>
        <w:rPr/>
      </w:pPr>
      <w:r>
        <w:rPr/>
        <w:t xml:space="preserve">Ordinary </w:t>
      </w:r>
      <w:r>
        <w:rPr>
          <w:rStyle w:val="Emphasis"/>
        </w:rPr>
        <w:t>prima facie</w:t>
      </w:r>
      <w:r>
        <w:rPr/>
        <w:t xml:space="preserve"> duties</w:t>
      </w:r>
    </w:p>
    <w:p>
      <w:pPr>
        <w:pStyle w:val="BodyText"/>
        <w:numPr>
          <w:ilvl w:val="1"/>
          <w:numId w:val="34"/>
        </w:numPr>
        <w:tabs>
          <w:tab w:val="clear" w:pos="720"/>
          <w:tab w:val="left" w:pos="0" w:leader="none"/>
        </w:tabs>
        <w:spacing w:before="0" w:after="200"/>
        <w:ind w:hanging="283" w:left="1418"/>
        <w:rPr/>
      </w:pPr>
      <w:r>
        <w:rPr/>
        <w:t>Discretionary permissions</w:t>
      </w:r>
    </w:p>
    <w:p>
      <w:pPr>
        <w:pStyle w:val="BodyText"/>
        <w:numPr>
          <w:ilvl w:val="0"/>
          <w:numId w:val="0"/>
        </w:numPr>
        <w:spacing w:before="0" w:after="200"/>
        <w:ind w:hanging="0" w:left="0"/>
        <w:rPr/>
      </w:pPr>
      <w:r>
        <w:rPr/>
        <w:t xml:space="preserve">Any threshold should be explicit and subject to sensitivity analysis. Threshold deontology remains controversial because the placement of the threshold can appear arbitrary and may cause the theory to collapse into consequentialism once the threshold is crossed. </w:t>
      </w:r>
      <w:hyperlink r:id="rId22">
        <w:r>
          <w:rPr>
            <w:rStyle w:val="Hyperlink"/>
          </w:rPr>
          <w:t>Stanford Encyclopedia of Philosophy</w:t>
        </w:r>
      </w:hyperlink>
    </w:p>
    <w:p>
      <w:pPr>
        <w:pStyle w:val="BodyText"/>
        <w:numPr>
          <w:ilvl w:val="0"/>
          <w:numId w:val="34"/>
        </w:numPr>
        <w:tabs>
          <w:tab w:val="clear" w:pos="720"/>
          <w:tab w:val="left" w:pos="0" w:leader="none"/>
        </w:tabs>
        <w:spacing w:before="0" w:after="200"/>
        <w:ind w:hanging="283" w:left="709"/>
        <w:rPr/>
      </w:pPr>
      <w:r>
        <w:rPr>
          <w:rStyle w:val="Strong"/>
        </w:rPr>
        <w:t>Intent, maxim, and means representation</w:t>
      </w:r>
    </w:p>
    <w:p>
      <w:pPr>
        <w:pStyle w:val="BodyText"/>
        <w:numPr>
          <w:ilvl w:val="0"/>
          <w:numId w:val="0"/>
        </w:numPr>
        <w:spacing w:before="0" w:after="200"/>
        <w:ind w:hanging="0" w:left="0"/>
        <w:rPr/>
      </w:pPr>
      <w:r>
        <w:rPr/>
        <w:t>The Assessed Action could separately represent:</w:t>
      </w:r>
    </w:p>
    <w:p>
      <w:pPr>
        <w:pStyle w:val="BodyText"/>
        <w:numPr>
          <w:ilvl w:val="1"/>
          <w:numId w:val="34"/>
        </w:numPr>
        <w:tabs>
          <w:tab w:val="clear" w:pos="720"/>
          <w:tab w:val="left" w:pos="0" w:leader="none"/>
        </w:tabs>
        <w:spacing w:before="0" w:after="200"/>
        <w:ind w:hanging="283" w:left="1418"/>
        <w:rPr/>
      </w:pPr>
      <w:r>
        <w:rPr/>
        <w:t>The Actor’s stated objective</w:t>
      </w:r>
    </w:p>
    <w:p>
      <w:pPr>
        <w:pStyle w:val="BodyText"/>
        <w:numPr>
          <w:ilvl w:val="1"/>
          <w:numId w:val="34"/>
        </w:numPr>
        <w:tabs>
          <w:tab w:val="clear" w:pos="720"/>
          <w:tab w:val="left" w:pos="0" w:leader="none"/>
        </w:tabs>
        <w:spacing w:before="0" w:after="200"/>
        <w:ind w:hanging="283" w:left="1418"/>
        <w:rPr/>
      </w:pPr>
      <w:r>
        <w:rPr/>
        <w:t>The Actor’s operative maxim</w:t>
      </w:r>
    </w:p>
    <w:p>
      <w:pPr>
        <w:pStyle w:val="BodyText"/>
        <w:numPr>
          <w:ilvl w:val="1"/>
          <w:numId w:val="34"/>
        </w:numPr>
        <w:tabs>
          <w:tab w:val="clear" w:pos="720"/>
          <w:tab w:val="left" w:pos="0" w:leader="none"/>
        </w:tabs>
        <w:spacing w:before="0" w:after="200"/>
        <w:ind w:hanging="283" w:left="1418"/>
        <w:rPr/>
      </w:pPr>
      <w:r>
        <w:rPr/>
        <w:t>Intended ends</w:t>
      </w:r>
    </w:p>
    <w:p>
      <w:pPr>
        <w:pStyle w:val="BodyText"/>
        <w:numPr>
          <w:ilvl w:val="1"/>
          <w:numId w:val="34"/>
        </w:numPr>
        <w:tabs>
          <w:tab w:val="clear" w:pos="720"/>
          <w:tab w:val="left" w:pos="0" w:leader="none"/>
        </w:tabs>
        <w:spacing w:before="0" w:after="200"/>
        <w:ind w:hanging="283" w:left="1418"/>
        <w:rPr/>
      </w:pPr>
      <w:r>
        <w:rPr/>
        <w:t>Intended means</w:t>
      </w:r>
    </w:p>
    <w:p>
      <w:pPr>
        <w:pStyle w:val="BodyText"/>
        <w:numPr>
          <w:ilvl w:val="1"/>
          <w:numId w:val="34"/>
        </w:numPr>
        <w:tabs>
          <w:tab w:val="clear" w:pos="720"/>
          <w:tab w:val="left" w:pos="0" w:leader="none"/>
        </w:tabs>
        <w:spacing w:before="0" w:after="200"/>
        <w:ind w:hanging="283" w:left="1418"/>
        <w:rPr/>
      </w:pPr>
      <w:r>
        <w:rPr/>
        <w:t>Foreseen but unintended consequences</w:t>
      </w:r>
    </w:p>
    <w:p>
      <w:pPr>
        <w:pStyle w:val="BodyText"/>
        <w:numPr>
          <w:ilvl w:val="1"/>
          <w:numId w:val="34"/>
        </w:numPr>
        <w:tabs>
          <w:tab w:val="clear" w:pos="720"/>
          <w:tab w:val="left" w:pos="0" w:leader="none"/>
        </w:tabs>
        <w:spacing w:before="0" w:after="200"/>
        <w:ind w:hanging="283" w:left="1418"/>
        <w:rPr/>
      </w:pPr>
      <w:r>
        <w:rPr/>
        <w:t>Risks accepted</w:t>
      </w:r>
    </w:p>
    <w:p>
      <w:pPr>
        <w:pStyle w:val="BodyText"/>
        <w:numPr>
          <w:ilvl w:val="1"/>
          <w:numId w:val="34"/>
        </w:numPr>
        <w:tabs>
          <w:tab w:val="clear" w:pos="720"/>
          <w:tab w:val="left" w:pos="0" w:leader="none"/>
        </w:tabs>
        <w:spacing w:before="0" w:after="200"/>
        <w:ind w:hanging="283" w:left="1418"/>
        <w:rPr/>
      </w:pPr>
      <w:r>
        <w:rPr/>
        <w:t>Consequences that were not reasonably foreseeable</w:t>
      </w:r>
    </w:p>
    <w:p>
      <w:pPr>
        <w:pStyle w:val="BodyText"/>
        <w:numPr>
          <w:ilvl w:val="0"/>
          <w:numId w:val="0"/>
        </w:numPr>
        <w:spacing w:before="0" w:after="200"/>
        <w:ind w:hanging="0" w:left="0"/>
        <w:rPr/>
      </w:pPr>
      <w:r>
        <w:rPr/>
        <w:t>This would strengthen the distinction between causal contribution and moral responsibility.</w:t>
      </w:r>
    </w:p>
    <w:p>
      <w:pPr>
        <w:pStyle w:val="BodyText"/>
        <w:numPr>
          <w:ilvl w:val="0"/>
          <w:numId w:val="34"/>
        </w:numPr>
        <w:tabs>
          <w:tab w:val="clear" w:pos="720"/>
          <w:tab w:val="left" w:pos="0" w:leader="none"/>
        </w:tabs>
        <w:spacing w:before="0" w:after="200"/>
        <w:ind w:hanging="283" w:left="709"/>
        <w:rPr/>
      </w:pPr>
      <w:r>
        <w:rPr>
          <w:rStyle w:val="Strong"/>
        </w:rPr>
        <w:t>Role-specific and institutional duties</w:t>
      </w:r>
    </w:p>
    <w:p>
      <w:pPr>
        <w:pStyle w:val="BodyText"/>
        <w:numPr>
          <w:ilvl w:val="0"/>
          <w:numId w:val="0"/>
        </w:numPr>
        <w:spacing w:before="0" w:after="200"/>
        <w:ind w:hanging="0" w:left="0"/>
        <w:rPr/>
      </w:pPr>
      <w:r>
        <w:rPr/>
        <w:t>Professional, fiduciary, governmental, parental, contractual, and system-operator responsibilities could be modeled as obligations arising from Associations and legitimate roles. Possessing power or technical control would not itself establish legitimate authority.</w:t>
      </w:r>
    </w:p>
    <w:p>
      <w:pPr>
        <w:pStyle w:val="BodyText"/>
        <w:numPr>
          <w:ilvl w:val="0"/>
          <w:numId w:val="34"/>
        </w:numPr>
        <w:tabs>
          <w:tab w:val="clear" w:pos="720"/>
          <w:tab w:val="left" w:pos="0" w:leader="none"/>
        </w:tabs>
        <w:spacing w:before="0" w:after="200"/>
        <w:ind w:hanging="283" w:left="709"/>
        <w:rPr/>
      </w:pPr>
      <w:r>
        <w:rPr>
          <w:rStyle w:val="Strong"/>
        </w:rPr>
        <w:t>Consent and non-manipulation tests</w:t>
      </w:r>
    </w:p>
    <w:p>
      <w:pPr>
        <w:pStyle w:val="BodyText"/>
        <w:numPr>
          <w:ilvl w:val="0"/>
          <w:numId w:val="0"/>
        </w:numPr>
        <w:spacing w:before="0" w:after="200"/>
        <w:ind w:hanging="0" w:left="0"/>
        <w:rPr/>
      </w:pPr>
      <w:r>
        <w:rPr/>
        <w:t>The framework could require explicit evaluation of whether affected entities had adequate information, decision capacity, voluntariness, and a meaningful opportunity to refuse. Consent would not necessarily make every action permissible, but its absence would become a clearly represented constraint.</w:t>
      </w:r>
    </w:p>
    <w:p>
      <w:pPr>
        <w:pStyle w:val="BodyText"/>
        <w:numPr>
          <w:ilvl w:val="0"/>
          <w:numId w:val="34"/>
        </w:numPr>
        <w:tabs>
          <w:tab w:val="clear" w:pos="720"/>
          <w:tab w:val="left" w:pos="0" w:leader="none"/>
        </w:tabs>
        <w:spacing w:before="0" w:after="200"/>
        <w:ind w:hanging="283" w:left="709"/>
        <w:rPr/>
      </w:pPr>
      <w:r>
        <w:rPr>
          <w:rStyle w:val="Strong"/>
        </w:rPr>
        <w:t>Trustworthiness and accountability</w:t>
      </w:r>
    </w:p>
    <w:p>
      <w:pPr>
        <w:pStyle w:val="BodyText"/>
        <w:numPr>
          <w:ilvl w:val="0"/>
          <w:numId w:val="0"/>
        </w:numPr>
        <w:spacing w:before="0" w:after="200"/>
        <w:ind w:hanging="0" w:left="0"/>
        <w:rPr/>
      </w:pPr>
      <w:r>
        <w:rPr/>
        <w:t>O’Neill’s work on trust and institutional responsibility could strengthen the framework’s representation of information quality, transparency, communication, reliance, and legitimate accountability. This is particularly applicable to healthcare, government, financial systems, and artificial intelligence.</w:t>
      </w:r>
    </w:p>
    <w:p>
      <w:pPr>
        <w:pStyle w:val="BodyText"/>
        <w:numPr>
          <w:ilvl w:val="0"/>
          <w:numId w:val="34"/>
        </w:numPr>
        <w:tabs>
          <w:tab w:val="clear" w:pos="720"/>
          <w:tab w:val="left" w:pos="0" w:leader="none"/>
        </w:tabs>
        <w:spacing w:before="0" w:after="200"/>
        <w:ind w:hanging="283" w:left="709"/>
        <w:rPr/>
      </w:pPr>
      <w:r>
        <w:rPr>
          <w:rStyle w:val="Strong"/>
        </w:rPr>
        <w:t>Two-stage assessment output</w:t>
      </w:r>
    </w:p>
    <w:p>
      <w:pPr>
        <w:pStyle w:val="BodyText"/>
        <w:numPr>
          <w:ilvl w:val="0"/>
          <w:numId w:val="0"/>
        </w:numPr>
        <w:spacing w:before="0" w:after="200"/>
        <w:ind w:hanging="0" w:left="0"/>
        <w:rPr/>
      </w:pPr>
      <w:r>
        <w:rPr/>
        <w:t>A practical implementation could report two distinct results:</w:t>
      </w:r>
    </w:p>
    <w:p>
      <w:pPr>
        <w:pStyle w:val="BodyText"/>
        <w:numPr>
          <w:ilvl w:val="1"/>
          <w:numId w:val="34"/>
        </w:numPr>
        <w:tabs>
          <w:tab w:val="clear" w:pos="720"/>
          <w:tab w:val="left" w:pos="0" w:leader="none"/>
        </w:tabs>
        <w:spacing w:before="0" w:after="200"/>
        <w:ind w:hanging="283" w:left="1418"/>
        <w:rPr/>
      </w:pPr>
      <w:r>
        <w:rPr>
          <w:rStyle w:val="Strong"/>
        </w:rPr>
        <w:t>Deontic status:</w:t>
      </w:r>
      <w:r>
        <w:rPr/>
        <w:t xml:space="preserve"> required, permitted, prohibited, or conditionally permitted.</w:t>
      </w:r>
    </w:p>
    <w:p>
      <w:pPr>
        <w:pStyle w:val="BodyText"/>
        <w:numPr>
          <w:ilvl w:val="1"/>
          <w:numId w:val="34"/>
        </w:numPr>
        <w:tabs>
          <w:tab w:val="clear" w:pos="720"/>
          <w:tab w:val="left" w:pos="0" w:leader="none"/>
        </w:tabs>
        <w:spacing w:before="0" w:after="200"/>
        <w:ind w:hanging="283" w:left="1418"/>
        <w:rPr/>
      </w:pPr>
      <w:r>
        <w:rPr>
          <w:rStyle w:val="Strong"/>
        </w:rPr>
        <w:t>World Context assessment:</w:t>
      </w:r>
      <w:r>
        <w:rPr/>
        <w:t xml:space="preserve"> beneficial, detrimental, ambiguous, or confidence-limited.</w:t>
      </w:r>
    </w:p>
    <w:p>
      <w:pPr>
        <w:pStyle w:val="BodyText"/>
        <w:numPr>
          <w:ilvl w:val="0"/>
          <w:numId w:val="0"/>
        </w:numPr>
        <w:spacing w:before="0" w:after="200"/>
        <w:ind w:hanging="0" w:left="0"/>
        <w:rPr/>
      </w:pPr>
      <w:r>
        <w:rPr/>
        <w:t>An action producing a favorable predicted transition but violating a strong duty would therefore not automatically be recommended. The conflict would remain explicit for review.</w:t>
      </w:r>
    </w:p>
    <w:p>
      <w:pPr>
        <w:pStyle w:val="BodyText"/>
        <w:numPr>
          <w:ilvl w:val="0"/>
          <w:numId w:val="34"/>
        </w:numPr>
        <w:tabs>
          <w:tab w:val="clear" w:pos="720"/>
          <w:tab w:val="left" w:pos="0" w:leader="none"/>
        </w:tabs>
        <w:spacing w:before="0" w:after="200"/>
        <w:ind w:hanging="283" w:left="709"/>
        <w:rPr/>
      </w:pPr>
      <w:r>
        <w:rPr>
          <w:rStyle w:val="Strong"/>
        </w:rPr>
        <w:t>Artificial-system governance</w:t>
      </w:r>
    </w:p>
    <w:p>
      <w:pPr>
        <w:pStyle w:val="BodyText"/>
        <w:numPr>
          <w:ilvl w:val="0"/>
          <w:numId w:val="0"/>
        </w:numPr>
        <w:spacing w:before="0" w:after="200"/>
        <w:ind w:hanging="0" w:left="0"/>
        <w:rPr/>
      </w:pPr>
      <w:r>
        <w:rPr/>
        <w:t>Deontological rules can provide high-assurance boundaries for autonomous and AI systems, particularly where probabilistic outcome models are unreliable. Prohibitions on deception, unauthorized coercion, discriminatory treatment, privacy invasion, or manipulation could operate as enforceable constraints while the broader architecture evaluates Long-Term Flourishing and World Context effects.</w:t>
      </w:r>
    </w:p>
    <w:p>
      <w:pPr>
        <w:pStyle w:val="BodyText"/>
        <w:spacing w:before="0" w:after="200"/>
        <w:rPr/>
      </w:pPr>
      <w:r>
        <w:rPr/>
        <w:t>The strongest integration would use deontology to supply explicit duties, permissions, prohibitions, autonomy protections, and tests concerning the Actor’s maxim and means. The proposed framework would then evaluate the systemic consequences of observing or violating those duties. This combination would preserve deontology’s protection against sacrificing entities for aggregate benefit while retaining the framework’s ability to evaluate uncertainty, institutional effects, Distributed Policy Effects, and Long-Term Flourishing across the complete World Context.</w:t>
      </w:r>
    </w:p>
    <w:p>
      <w:pPr>
        <w:pStyle w:val="Heading2"/>
        <w:rPr/>
      </w:pPr>
      <w:r>
        <w:rPr/>
        <w:t>Rights-Based Ethics</w:t>
      </w:r>
    </w:p>
    <w:p>
      <w:pPr>
        <w:pStyle w:val="BodyText"/>
        <w:spacing w:before="0" w:after="200"/>
        <w:rPr/>
      </w:pPr>
      <w:r>
        <w:rPr/>
        <w:t>Rights-based ethics evaluates conduct by determining whether it respects the justified claims, liberties, powers, and immunities of affected entities. Unlike approaches that judge an action primarily by its aggregate consequences, a rights-based approach gives special normative importance to what may or must be done to particular right-holders. Rights may be understood as moral rights that exist independently of legal recognition, or as legal and institutional rights created and enforced within a particular jurisdiction. Rights-based theories differ over the source, scope, and strength of rights, but generally hold that the interests of an individual or minority cannot be disregarded solely because doing so would produce a larger aggregate benefit.</w:t>
      </w:r>
    </w:p>
    <w:p>
      <w:pPr>
        <w:pStyle w:val="Heading3"/>
        <w:rPr/>
      </w:pPr>
      <w:r>
        <w:rPr>
          <w:rFonts w:ascii="Aptos" w:hAnsi="Aptos"/>
          <w:color w:val="auto"/>
        </w:rPr>
        <w:t>P</w:t>
      </w:r>
      <w:r>
        <w:rPr>
          <w:rFonts w:ascii="Aptos" w:hAnsi="Aptos"/>
          <w:color w:val="auto"/>
        </w:rPr>
        <w:t>rimary Experts</w:t>
      </w:r>
    </w:p>
    <w:p>
      <w:pPr>
        <w:pStyle w:val="BodyText"/>
        <w:spacing w:before="0" w:after="200"/>
        <w:rPr/>
      </w:pPr>
      <w:r>
        <w:rPr/>
        <w:t>The following figures represent several major strands of rights-based thought. The list is illustrative rather than exhaustive.</w:t>
      </w:r>
    </w:p>
    <w:tbl>
      <w:tblPr>
        <w:tblW w:w="8640" w:type="dxa"/>
        <w:jc w:val="left"/>
        <w:tblInd w:w="28" w:type="dxa"/>
        <w:tblLayout w:type="fixed"/>
        <w:tblCellMar>
          <w:top w:w="28" w:type="dxa"/>
          <w:left w:w="28" w:type="dxa"/>
          <w:bottom w:w="28" w:type="dxa"/>
          <w:right w:w="28" w:type="dxa"/>
        </w:tblCellMar>
      </w:tblPr>
      <w:tblGrid>
        <w:gridCol w:w="1340"/>
        <w:gridCol w:w="752"/>
        <w:gridCol w:w="1876"/>
        <w:gridCol w:w="4672"/>
      </w:tblGrid>
      <w:tr>
        <w:trPr>
          <w:tblHeader w:val="true"/>
        </w:trPr>
        <w:tc>
          <w:tcPr>
            <w:tcW w:w="1340" w:type="dxa"/>
            <w:tcBorders/>
            <w:vAlign w:val="center"/>
          </w:tcPr>
          <w:p>
            <w:pPr>
              <w:pStyle w:val="TableHeading"/>
              <w:suppressLineNumbers/>
              <w:spacing w:before="0" w:after="200"/>
              <w:jc w:val="center"/>
              <w:rPr/>
            </w:pPr>
            <w:r>
              <w:rPr/>
              <w:t>Expert</w:t>
            </w:r>
          </w:p>
        </w:tc>
        <w:tc>
          <w:tcPr>
            <w:tcW w:w="752" w:type="dxa"/>
            <w:tcBorders/>
            <w:vAlign w:val="center"/>
          </w:tcPr>
          <w:p>
            <w:pPr>
              <w:pStyle w:val="TableHeading"/>
              <w:spacing w:before="0" w:after="200"/>
              <w:jc w:val="right"/>
              <w:rPr/>
            </w:pPr>
            <w:r>
              <w:rPr/>
              <w:t>Years</w:t>
            </w:r>
          </w:p>
        </w:tc>
        <w:tc>
          <w:tcPr>
            <w:tcW w:w="1876" w:type="dxa"/>
            <w:tcBorders/>
            <w:vAlign w:val="center"/>
          </w:tcPr>
          <w:p>
            <w:pPr>
              <w:pStyle w:val="TableHeading"/>
              <w:suppressLineNumbers/>
              <w:spacing w:before="0" w:after="200"/>
              <w:jc w:val="center"/>
              <w:rPr/>
            </w:pPr>
            <w:r>
              <w:rPr/>
              <w:t>Associated institution(s)</w:t>
            </w:r>
          </w:p>
        </w:tc>
        <w:tc>
          <w:tcPr>
            <w:tcW w:w="4672" w:type="dxa"/>
            <w:tcBorders/>
            <w:vAlign w:val="center"/>
          </w:tcPr>
          <w:p>
            <w:pPr>
              <w:pStyle w:val="TableHeading"/>
              <w:suppressLineNumbers/>
              <w:spacing w:before="0" w:after="200"/>
              <w:jc w:val="center"/>
              <w:rPr/>
            </w:pPr>
            <w:r>
              <w:rPr/>
              <w:t>Principal contribution</w:t>
            </w:r>
          </w:p>
        </w:tc>
      </w:tr>
      <w:tr>
        <w:trPr/>
        <w:tc>
          <w:tcPr>
            <w:tcW w:w="1340" w:type="dxa"/>
            <w:tcBorders/>
            <w:vAlign w:val="center"/>
          </w:tcPr>
          <w:p>
            <w:pPr>
              <w:pStyle w:val="TableContents"/>
              <w:widowControl w:val="false"/>
              <w:suppressLineNumbers/>
              <w:spacing w:before="0" w:after="200"/>
              <w:rPr/>
            </w:pPr>
            <w:r>
              <w:rPr>
                <w:rStyle w:val="Strong"/>
              </w:rPr>
              <w:t>John Locke</w:t>
            </w:r>
          </w:p>
        </w:tc>
        <w:tc>
          <w:tcPr>
            <w:tcW w:w="752" w:type="dxa"/>
            <w:tcBorders/>
            <w:vAlign w:val="center"/>
          </w:tcPr>
          <w:p>
            <w:pPr>
              <w:pStyle w:val="TableContents"/>
              <w:spacing w:before="0" w:after="200"/>
              <w:jc w:val="right"/>
              <w:rPr/>
            </w:pPr>
            <w:r>
              <w:rPr/>
              <w:t>1632–1704</w:t>
            </w:r>
          </w:p>
        </w:tc>
        <w:tc>
          <w:tcPr>
            <w:tcW w:w="1876" w:type="dxa"/>
            <w:tcBorders/>
            <w:vAlign w:val="center"/>
          </w:tcPr>
          <w:p>
            <w:pPr>
              <w:pStyle w:val="TableContents"/>
              <w:widowControl w:val="false"/>
              <w:suppressLineNumbers/>
              <w:spacing w:before="0" w:after="200"/>
              <w:rPr/>
            </w:pPr>
            <w:r>
              <w:rPr/>
              <w:t>Christ Church, University of Oxford</w:t>
            </w:r>
          </w:p>
        </w:tc>
        <w:tc>
          <w:tcPr>
            <w:tcW w:w="4672" w:type="dxa"/>
            <w:tcBorders/>
            <w:vAlign w:val="center"/>
          </w:tcPr>
          <w:p>
            <w:pPr>
              <w:pStyle w:val="TableContents"/>
              <w:widowControl w:val="false"/>
              <w:suppressLineNumbers/>
              <w:spacing w:before="0" w:after="200"/>
              <w:rPr/>
            </w:pPr>
            <w:r>
              <w:rPr/>
              <w:t xml:space="preserve">Developed an influential natural-rights account in which persons possess rights to life, liberty, and property independently of government. Political authority is legitimate only through consent and is principally established to protect those rights. </w:t>
            </w:r>
            <w:hyperlink r:id="rId23">
              <w:r>
                <w:rPr>
                  <w:rStyle w:val="Hyperlink"/>
                </w:rPr>
                <w:t>Stanford Encyclopedia of Philosophy</w:t>
              </w:r>
            </w:hyperlink>
            <w:r>
              <w:rPr/>
              <w:t xml:space="preserve">, </w:t>
            </w:r>
            <w:hyperlink r:id="rId24">
              <w:r>
                <w:rPr>
                  <w:rStyle w:val="Hyperlink"/>
                </w:rPr>
                <w:t>Christ Church, Oxford</w:t>
              </w:r>
            </w:hyperlink>
          </w:p>
        </w:tc>
      </w:tr>
      <w:tr>
        <w:trPr/>
        <w:tc>
          <w:tcPr>
            <w:tcW w:w="1340" w:type="dxa"/>
            <w:tcBorders/>
            <w:vAlign w:val="center"/>
          </w:tcPr>
          <w:p>
            <w:pPr>
              <w:pStyle w:val="TableContents"/>
              <w:widowControl w:val="false"/>
              <w:suppressLineNumbers/>
              <w:spacing w:before="0" w:after="200"/>
              <w:rPr/>
            </w:pPr>
            <w:r>
              <w:rPr>
                <w:rStyle w:val="Strong"/>
              </w:rPr>
              <w:t>Wesley Newcomb Hohfeld</w:t>
            </w:r>
          </w:p>
        </w:tc>
        <w:tc>
          <w:tcPr>
            <w:tcW w:w="752" w:type="dxa"/>
            <w:tcBorders/>
            <w:vAlign w:val="center"/>
          </w:tcPr>
          <w:p>
            <w:pPr>
              <w:pStyle w:val="TableContents"/>
              <w:spacing w:before="0" w:after="200"/>
              <w:jc w:val="right"/>
              <w:rPr/>
            </w:pPr>
            <w:r>
              <w:rPr/>
              <w:t>1879–1918</w:t>
            </w:r>
          </w:p>
        </w:tc>
        <w:tc>
          <w:tcPr>
            <w:tcW w:w="1876" w:type="dxa"/>
            <w:tcBorders/>
            <w:vAlign w:val="center"/>
          </w:tcPr>
          <w:p>
            <w:pPr>
              <w:pStyle w:val="TableContents"/>
              <w:widowControl w:val="false"/>
              <w:suppressLineNumbers/>
              <w:spacing w:before="0" w:after="200"/>
              <w:rPr/>
            </w:pPr>
            <w:r>
              <w:rPr/>
              <w:t>Stanford Law School; Yale Law School, Southmayd Professor of Law</w:t>
            </w:r>
          </w:p>
        </w:tc>
        <w:tc>
          <w:tcPr>
            <w:tcW w:w="4672" w:type="dxa"/>
            <w:tcBorders/>
            <w:vAlign w:val="center"/>
          </w:tcPr>
          <w:p>
            <w:pPr>
              <w:pStyle w:val="TableContents"/>
              <w:widowControl w:val="false"/>
              <w:suppressLineNumbers/>
              <w:spacing w:before="0" w:after="200"/>
              <w:rPr/>
            </w:pPr>
            <w:r>
              <w:rPr/>
              <w:t xml:space="preserve">Developed the analytical classification of rights into claim-rights, privileges or liberties, powers, and immunities. His framework clarifies the corresponding duties, liabilities, and limitations held by other parties. </w:t>
            </w:r>
            <w:hyperlink r:id="rId25">
              <w:r>
                <w:rPr>
                  <w:rStyle w:val="Hyperlink"/>
                </w:rPr>
                <w:t>Yale Law School</w:t>
              </w:r>
            </w:hyperlink>
          </w:p>
        </w:tc>
      </w:tr>
      <w:tr>
        <w:trPr/>
        <w:tc>
          <w:tcPr>
            <w:tcW w:w="1340" w:type="dxa"/>
            <w:tcBorders/>
            <w:vAlign w:val="center"/>
          </w:tcPr>
          <w:p>
            <w:pPr>
              <w:pStyle w:val="TableContents"/>
              <w:widowControl w:val="false"/>
              <w:suppressLineNumbers/>
              <w:spacing w:before="0" w:after="200"/>
              <w:rPr/>
            </w:pPr>
            <w:r>
              <w:rPr>
                <w:rStyle w:val="Strong"/>
              </w:rPr>
              <w:t>Ronald Dworkin</w:t>
            </w:r>
          </w:p>
        </w:tc>
        <w:tc>
          <w:tcPr>
            <w:tcW w:w="752" w:type="dxa"/>
            <w:tcBorders/>
            <w:vAlign w:val="center"/>
          </w:tcPr>
          <w:p>
            <w:pPr>
              <w:pStyle w:val="TableContents"/>
              <w:spacing w:before="0" w:after="200"/>
              <w:jc w:val="right"/>
              <w:rPr/>
            </w:pPr>
            <w:r>
              <w:rPr/>
              <w:t>1931–2013</w:t>
            </w:r>
          </w:p>
        </w:tc>
        <w:tc>
          <w:tcPr>
            <w:tcW w:w="1876" w:type="dxa"/>
            <w:tcBorders/>
            <w:vAlign w:val="center"/>
          </w:tcPr>
          <w:p>
            <w:pPr>
              <w:pStyle w:val="TableContents"/>
              <w:widowControl w:val="false"/>
              <w:suppressLineNumbers/>
              <w:spacing w:before="0" w:after="200"/>
              <w:rPr/>
            </w:pPr>
            <w:r>
              <w:rPr/>
              <w:t>New York University School of Law; University of Oxford</w:t>
            </w:r>
          </w:p>
        </w:tc>
        <w:tc>
          <w:tcPr>
            <w:tcW w:w="4672" w:type="dxa"/>
            <w:tcBorders/>
            <w:vAlign w:val="center"/>
          </w:tcPr>
          <w:p>
            <w:pPr>
              <w:pStyle w:val="TableContents"/>
              <w:widowControl w:val="false"/>
              <w:suppressLineNumbers/>
              <w:spacing w:before="0" w:after="200"/>
              <w:rPr/>
            </w:pPr>
            <w:r>
              <w:rPr/>
              <w:t xml:space="preserve">Argued that individual rights have a special status in moral and legal reasoning and can function as “trumps” against policies justified only by collective welfare. He connected rights with equal concern, respect, and the integrity of legal institutions. </w:t>
            </w:r>
            <w:hyperlink r:id="rId26">
              <w:r>
                <w:rPr>
                  <w:rStyle w:val="Hyperlink"/>
                </w:rPr>
                <w:t>New York University School of Law</w:t>
              </w:r>
            </w:hyperlink>
            <w:r>
              <w:rPr/>
              <w:t xml:space="preserve">, </w:t>
            </w:r>
            <w:hyperlink r:id="rId27">
              <w:r>
                <w:rPr>
                  <w:rStyle w:val="Hyperlink"/>
                </w:rPr>
                <w:t>Stanford Encyclopedia of Philosophy</w:t>
              </w:r>
            </w:hyperlink>
          </w:p>
        </w:tc>
      </w:tr>
      <w:tr>
        <w:trPr/>
        <w:tc>
          <w:tcPr>
            <w:tcW w:w="1340" w:type="dxa"/>
            <w:tcBorders/>
            <w:vAlign w:val="center"/>
          </w:tcPr>
          <w:p>
            <w:pPr>
              <w:pStyle w:val="TableContents"/>
              <w:widowControl w:val="false"/>
              <w:suppressLineNumbers/>
              <w:spacing w:before="0" w:after="200"/>
              <w:rPr/>
            </w:pPr>
            <w:r>
              <w:rPr>
                <w:rStyle w:val="Strong"/>
              </w:rPr>
              <w:t>Robert Nozick</w:t>
            </w:r>
          </w:p>
        </w:tc>
        <w:tc>
          <w:tcPr>
            <w:tcW w:w="752" w:type="dxa"/>
            <w:tcBorders/>
            <w:vAlign w:val="center"/>
          </w:tcPr>
          <w:p>
            <w:pPr>
              <w:pStyle w:val="TableContents"/>
              <w:spacing w:before="0" w:after="200"/>
              <w:jc w:val="right"/>
              <w:rPr/>
            </w:pPr>
            <w:r>
              <w:rPr/>
              <w:t>1938–2002</w:t>
            </w:r>
          </w:p>
        </w:tc>
        <w:tc>
          <w:tcPr>
            <w:tcW w:w="1876" w:type="dxa"/>
            <w:tcBorders/>
            <w:vAlign w:val="center"/>
          </w:tcPr>
          <w:p>
            <w:pPr>
              <w:pStyle w:val="TableContents"/>
              <w:widowControl w:val="false"/>
              <w:suppressLineNumbers/>
              <w:spacing w:before="0" w:after="200"/>
              <w:rPr/>
            </w:pPr>
            <w:r>
              <w:rPr/>
              <w:t>Harvard University</w:t>
            </w:r>
          </w:p>
        </w:tc>
        <w:tc>
          <w:tcPr>
            <w:tcW w:w="4672" w:type="dxa"/>
            <w:tcBorders/>
            <w:vAlign w:val="center"/>
          </w:tcPr>
          <w:p>
            <w:pPr>
              <w:pStyle w:val="TableContents"/>
              <w:widowControl w:val="false"/>
              <w:suppressLineNumbers/>
              <w:spacing w:before="0" w:after="200"/>
              <w:rPr/>
            </w:pPr>
            <w:r>
              <w:rPr/>
              <w:t xml:space="preserve">Presented individual rights as moral side constraints that restrict how persons may be treated, even when violating those constraints might appear to produce better overall consequences. </w:t>
            </w:r>
            <w:hyperlink r:id="rId28">
              <w:r>
                <w:rPr>
                  <w:rStyle w:val="Hyperlink"/>
                </w:rPr>
                <w:t>Stanford Encyclopedia of Philosophy</w:t>
              </w:r>
            </w:hyperlink>
          </w:p>
        </w:tc>
      </w:tr>
    </w:tbl>
    <w:p>
      <w:pPr>
        <w:pStyle w:val="Heading3"/>
        <w:spacing w:before="0" w:after="200"/>
        <w:ind w:hanging="0" w:left="0"/>
        <w:rPr>
          <w:rFonts w:ascii="Aptos" w:hAnsi="Aptos"/>
          <w:color w:val="auto"/>
        </w:rPr>
      </w:pPr>
      <w:r>
        <w:rPr>
          <w:rFonts w:ascii="Aptos" w:hAnsi="Aptos"/>
          <w:color w:val="auto"/>
        </w:rPr>
        <w:t>Core Assumptions</w:t>
      </w:r>
    </w:p>
    <w:p>
      <w:pPr>
        <w:pStyle w:val="BodyText"/>
        <w:spacing w:before="0" w:after="200"/>
        <w:rPr/>
      </w:pPr>
      <w:r>
        <w:rPr/>
        <w:t>Rights-based ethics encompasses multiple theories rather than a single unified doctrine. Its principal assumptions generally include the following:</w:t>
      </w:r>
    </w:p>
    <w:p>
      <w:pPr>
        <w:pStyle w:val="BodyText"/>
        <w:numPr>
          <w:ilvl w:val="0"/>
          <w:numId w:val="47"/>
        </w:numPr>
        <w:tabs>
          <w:tab w:val="clear" w:pos="720"/>
          <w:tab w:val="left" w:pos="0" w:leader="none"/>
        </w:tabs>
        <w:spacing w:before="0" w:after="200"/>
        <w:ind w:hanging="283" w:left="709"/>
        <w:rPr/>
      </w:pPr>
      <w:r>
        <w:rPr>
          <w:rStyle w:val="Strong"/>
        </w:rPr>
        <w:t>Right-holders possess distinctive moral standing.</w:t>
      </w:r>
      <w:r>
        <w:rPr/>
        <w:t xml:space="preserve"> A right identifies an interest, liberty, status, or sphere of agency that others are required to recognize.</w:t>
      </w:r>
    </w:p>
    <w:p>
      <w:pPr>
        <w:pStyle w:val="BodyText"/>
        <w:numPr>
          <w:ilvl w:val="0"/>
          <w:numId w:val="47"/>
        </w:numPr>
        <w:tabs>
          <w:tab w:val="clear" w:pos="720"/>
          <w:tab w:val="left" w:pos="0" w:leader="none"/>
        </w:tabs>
        <w:spacing w:before="0" w:after="200"/>
        <w:ind w:hanging="283" w:left="709"/>
        <w:rPr/>
      </w:pPr>
      <w:r>
        <w:rPr>
          <w:rStyle w:val="Strong"/>
        </w:rPr>
        <w:t>Rights establish normative relationships.</w:t>
      </w:r>
      <w:r>
        <w:rPr/>
        <w:t xml:space="preserve"> A right is ordinarily held by one entity against one or more identifiable duty-bearers. It is therefore not merely a desirable outcome or an impersonal social objective.</w:t>
      </w:r>
    </w:p>
    <w:p>
      <w:pPr>
        <w:pStyle w:val="BodyText"/>
        <w:numPr>
          <w:ilvl w:val="0"/>
          <w:numId w:val="47"/>
        </w:numPr>
        <w:tabs>
          <w:tab w:val="clear" w:pos="720"/>
          <w:tab w:val="left" w:pos="0" w:leader="none"/>
        </w:tabs>
        <w:spacing w:before="0" w:after="200"/>
        <w:ind w:hanging="283" w:left="709"/>
        <w:rPr/>
      </w:pPr>
      <w:r>
        <w:rPr>
          <w:rStyle w:val="Strong"/>
        </w:rPr>
        <w:t>Claim-rights correlate with duties.</w:t>
      </w:r>
      <w:r>
        <w:rPr/>
        <w:t xml:space="preserve"> If one entity has a valid claim-right, another entity or institution has a corresponding duty to act or refrain from acting.</w:t>
      </w:r>
    </w:p>
    <w:p>
      <w:pPr>
        <w:pStyle w:val="BodyText"/>
        <w:numPr>
          <w:ilvl w:val="0"/>
          <w:numId w:val="47"/>
        </w:numPr>
        <w:tabs>
          <w:tab w:val="clear" w:pos="720"/>
          <w:tab w:val="left" w:pos="0" w:leader="none"/>
        </w:tabs>
        <w:spacing w:before="0" w:after="200"/>
        <w:ind w:hanging="283" w:left="709"/>
        <w:rPr/>
      </w:pPr>
      <w:r>
        <w:rPr>
          <w:rStyle w:val="Strong"/>
        </w:rPr>
        <w:t>Rights may include several different incidents.</w:t>
      </w:r>
      <w:r>
        <w:rPr/>
        <w:t xml:space="preserve"> Hohfeld’s analysis distinguishes:</w:t>
      </w:r>
    </w:p>
    <w:p>
      <w:pPr>
        <w:pStyle w:val="BodyText"/>
        <w:numPr>
          <w:ilvl w:val="1"/>
          <w:numId w:val="47"/>
        </w:numPr>
        <w:tabs>
          <w:tab w:val="clear" w:pos="720"/>
          <w:tab w:val="left" w:pos="0" w:leader="none"/>
        </w:tabs>
        <w:spacing w:before="0" w:after="200"/>
        <w:ind w:hanging="283" w:left="1418"/>
        <w:rPr/>
      </w:pPr>
      <w:r>
        <w:rPr/>
        <w:t xml:space="preserve">A </w:t>
      </w:r>
      <w:r>
        <w:rPr>
          <w:rStyle w:val="Strong"/>
        </w:rPr>
        <w:t>claim-right</w:t>
      </w:r>
      <w:r>
        <w:rPr/>
        <w:t>, correlated with another party’s duty;</w:t>
      </w:r>
    </w:p>
    <w:p>
      <w:pPr>
        <w:pStyle w:val="BodyText"/>
        <w:numPr>
          <w:ilvl w:val="1"/>
          <w:numId w:val="47"/>
        </w:numPr>
        <w:tabs>
          <w:tab w:val="clear" w:pos="720"/>
          <w:tab w:val="left" w:pos="0" w:leader="none"/>
        </w:tabs>
        <w:spacing w:before="0" w:after="200"/>
        <w:ind w:hanging="283" w:left="1418"/>
        <w:rPr/>
      </w:pPr>
      <w:r>
        <w:rPr/>
        <w:t xml:space="preserve">A </w:t>
      </w:r>
      <w:r>
        <w:rPr>
          <w:rStyle w:val="Strong"/>
        </w:rPr>
        <w:t>liberty or privilege</w:t>
      </w:r>
      <w:r>
        <w:rPr/>
        <w:t>, correlated with another party’s absence of a claim that the holder refrain from acting;</w:t>
      </w:r>
    </w:p>
    <w:p>
      <w:pPr>
        <w:pStyle w:val="BodyText"/>
        <w:numPr>
          <w:ilvl w:val="1"/>
          <w:numId w:val="47"/>
        </w:numPr>
        <w:tabs>
          <w:tab w:val="clear" w:pos="720"/>
          <w:tab w:val="left" w:pos="0" w:leader="none"/>
        </w:tabs>
        <w:spacing w:before="0" w:after="200"/>
        <w:ind w:hanging="283" w:left="1418"/>
        <w:rPr/>
      </w:pPr>
      <w:r>
        <w:rPr/>
        <w:t xml:space="preserve">A </w:t>
      </w:r>
      <w:r>
        <w:rPr>
          <w:rStyle w:val="Strong"/>
        </w:rPr>
        <w:t>power</w:t>
      </w:r>
      <w:r>
        <w:rPr/>
        <w:t>, through which the holder can alter normative relationships; and</w:t>
      </w:r>
    </w:p>
    <w:p>
      <w:pPr>
        <w:pStyle w:val="BodyText"/>
        <w:numPr>
          <w:ilvl w:val="1"/>
          <w:numId w:val="47"/>
        </w:numPr>
        <w:tabs>
          <w:tab w:val="clear" w:pos="720"/>
          <w:tab w:val="left" w:pos="0" w:leader="none"/>
        </w:tabs>
        <w:spacing w:before="0" w:after="200"/>
        <w:ind w:hanging="283" w:left="1418"/>
        <w:rPr/>
      </w:pPr>
      <w:r>
        <w:rPr/>
        <w:t xml:space="preserve">An </w:t>
      </w:r>
      <w:r>
        <w:rPr>
          <w:rStyle w:val="Strong"/>
        </w:rPr>
        <w:t>immunity</w:t>
      </w:r>
      <w:r>
        <w:rPr/>
        <w:t>, which prevents another party from altering the holder’s normative position.</w:t>
      </w:r>
    </w:p>
    <w:p>
      <w:pPr>
        <w:pStyle w:val="BodyText"/>
        <w:numPr>
          <w:ilvl w:val="0"/>
          <w:numId w:val="0"/>
        </w:numPr>
        <w:spacing w:before="0" w:after="200"/>
        <w:ind w:hanging="0" w:left="0"/>
        <w:rPr/>
      </w:pPr>
      <w:r>
        <w:rPr/>
        <w:t xml:space="preserve">These incidents can be combined into more complex rights. </w:t>
      </w:r>
      <w:hyperlink r:id="rId29">
        <w:r>
          <w:rPr>
            <w:rStyle w:val="Hyperlink"/>
          </w:rPr>
          <w:t>Stanford Encyclopedia of Philosophy</w:t>
        </w:r>
      </w:hyperlink>
    </w:p>
    <w:p>
      <w:pPr>
        <w:pStyle w:val="BodyText"/>
        <w:numPr>
          <w:ilvl w:val="0"/>
          <w:numId w:val="47"/>
        </w:numPr>
        <w:tabs>
          <w:tab w:val="clear" w:pos="720"/>
          <w:tab w:val="left" w:pos="0" w:leader="none"/>
        </w:tabs>
        <w:spacing w:before="0" w:after="200"/>
        <w:ind w:hanging="283" w:left="709"/>
        <w:rPr/>
      </w:pPr>
      <w:r>
        <w:rPr>
          <w:rStyle w:val="Strong"/>
        </w:rPr>
        <w:t>Some rights impose negative duties.</w:t>
      </w:r>
      <w:r>
        <w:rPr/>
        <w:t xml:space="preserve"> These require noninterference, such as duties not to coerce, injure, deceive, or unlawfully deprive another entity of its possessions.</w:t>
      </w:r>
    </w:p>
    <w:p>
      <w:pPr>
        <w:pStyle w:val="BodyText"/>
        <w:numPr>
          <w:ilvl w:val="0"/>
          <w:numId w:val="47"/>
        </w:numPr>
        <w:tabs>
          <w:tab w:val="clear" w:pos="720"/>
          <w:tab w:val="left" w:pos="0" w:leader="none"/>
        </w:tabs>
        <w:spacing w:before="0" w:after="200"/>
        <w:ind w:hanging="283" w:left="709"/>
        <w:rPr/>
      </w:pPr>
      <w:r>
        <w:rPr>
          <w:rStyle w:val="Strong"/>
        </w:rPr>
        <w:t>Some rights impose positive duties.</w:t>
      </w:r>
      <w:r>
        <w:rPr/>
        <w:t xml:space="preserve"> These may require protection, assistance, access to essential resources, institutional safeguards, or remedies following a violation.</w:t>
      </w:r>
    </w:p>
    <w:p>
      <w:pPr>
        <w:pStyle w:val="BodyText"/>
        <w:numPr>
          <w:ilvl w:val="0"/>
          <w:numId w:val="47"/>
        </w:numPr>
        <w:tabs>
          <w:tab w:val="clear" w:pos="720"/>
          <w:tab w:val="left" w:pos="0" w:leader="none"/>
        </w:tabs>
        <w:spacing w:before="0" w:after="200"/>
        <w:ind w:hanging="283" w:left="709"/>
        <w:rPr/>
      </w:pPr>
      <w:r>
        <w:rPr>
          <w:rStyle w:val="Strong"/>
        </w:rPr>
        <w:t>Rights may constrain aggregation.</w:t>
      </w:r>
      <w:r>
        <w:rPr/>
        <w:t xml:space="preserve"> An action does not automatically become permissible merely because its benefits to a majority outweigh its burdens on a minority.</w:t>
      </w:r>
    </w:p>
    <w:p>
      <w:pPr>
        <w:pStyle w:val="BodyText"/>
        <w:numPr>
          <w:ilvl w:val="0"/>
          <w:numId w:val="47"/>
        </w:numPr>
        <w:tabs>
          <w:tab w:val="clear" w:pos="720"/>
          <w:tab w:val="left" w:pos="0" w:leader="none"/>
        </w:tabs>
        <w:spacing w:before="0" w:after="200"/>
        <w:ind w:hanging="283" w:left="709"/>
        <w:rPr/>
      </w:pPr>
      <w:r>
        <w:rPr>
          <w:rStyle w:val="Strong"/>
        </w:rPr>
        <w:t>Rights protect agency and status as well as welfare.</w:t>
      </w:r>
      <w:r>
        <w:rPr/>
        <w:t xml:space="preserve"> Bodily integrity, consent, privacy, expression, due process, and political participation can retain importance even when a violation produces no easily measurable reduction in aggregate welfare.</w:t>
      </w:r>
    </w:p>
    <w:p>
      <w:pPr>
        <w:pStyle w:val="BodyText"/>
        <w:numPr>
          <w:ilvl w:val="0"/>
          <w:numId w:val="47"/>
        </w:numPr>
        <w:tabs>
          <w:tab w:val="clear" w:pos="720"/>
          <w:tab w:val="left" w:pos="0" w:leader="none"/>
        </w:tabs>
        <w:spacing w:before="0" w:after="200"/>
        <w:ind w:hanging="283" w:left="709"/>
        <w:rPr/>
      </w:pPr>
      <w:r>
        <w:rPr>
          <w:rStyle w:val="Strong"/>
        </w:rPr>
        <w:t>Rights are not necessarily absolute.</w:t>
      </w:r>
      <w:r>
        <w:rPr/>
        <w:t xml:space="preserve"> Rights may conflict, contain internal limitations, or be subject to carefully defined exceptions. Any limitation ordinarily requires stronger justification than a general claim that the action would be socially beneficial.</w:t>
      </w:r>
    </w:p>
    <w:p>
      <w:pPr>
        <w:pStyle w:val="BodyText"/>
        <w:numPr>
          <w:ilvl w:val="0"/>
          <w:numId w:val="47"/>
        </w:numPr>
        <w:tabs>
          <w:tab w:val="clear" w:pos="720"/>
          <w:tab w:val="left" w:pos="0" w:leader="none"/>
        </w:tabs>
        <w:spacing w:before="0" w:after="200"/>
        <w:ind w:hanging="283" w:left="709"/>
        <w:rPr/>
      </w:pPr>
      <w:r>
        <w:rPr>
          <w:rStyle w:val="Strong"/>
        </w:rPr>
        <w:t>Consent, waiver, and transfer have limited but important roles.</w:t>
      </w:r>
      <w:r>
        <w:rPr/>
        <w:t xml:space="preserve"> Some rights may be waived or transferred by a competent right-holder, while others may be considered inalienable or non-waivable.</w:t>
      </w:r>
    </w:p>
    <w:p>
      <w:pPr>
        <w:pStyle w:val="BodyText"/>
        <w:numPr>
          <w:ilvl w:val="0"/>
          <w:numId w:val="47"/>
        </w:numPr>
        <w:tabs>
          <w:tab w:val="clear" w:pos="720"/>
          <w:tab w:val="left" w:pos="0" w:leader="none"/>
        </w:tabs>
        <w:spacing w:before="0" w:after="200"/>
        <w:ind w:hanging="283" w:left="709"/>
        <w:rPr/>
      </w:pPr>
      <w:r>
        <w:rPr>
          <w:rStyle w:val="Strong"/>
        </w:rPr>
        <w:t>Institutions have rights-related obligations.</w:t>
      </w:r>
      <w:r>
        <w:rPr/>
        <w:t xml:space="preserve"> Governments and other powerful institutions may be required to respect rights directly, protect right-holders against third-party interference, and provide procedures for enforcement and remedy.</w:t>
      </w:r>
    </w:p>
    <w:p>
      <w:pPr>
        <w:pStyle w:val="BodyText"/>
        <w:numPr>
          <w:ilvl w:val="0"/>
          <w:numId w:val="47"/>
        </w:numPr>
        <w:tabs>
          <w:tab w:val="clear" w:pos="720"/>
          <w:tab w:val="left" w:pos="0" w:leader="none"/>
        </w:tabs>
        <w:spacing w:before="0" w:after="200"/>
        <w:ind w:hanging="283" w:left="709"/>
        <w:rPr/>
      </w:pPr>
      <w:r>
        <w:rPr>
          <w:rStyle w:val="Strong"/>
        </w:rPr>
        <w:t>Moral and legal rights are distinct.</w:t>
      </w:r>
      <w:r>
        <w:rPr/>
        <w:t xml:space="preserve"> A legal system may recognize a right that lacks adequate moral justification, or fail to recognize a moral right that should be protected.</w:t>
      </w:r>
    </w:p>
    <w:p>
      <w:pPr>
        <w:pStyle w:val="Heading3"/>
        <w:spacing w:before="0" w:after="200"/>
        <w:ind w:hanging="0" w:left="0"/>
        <w:rPr>
          <w:rFonts w:ascii="Aptos" w:hAnsi="Aptos"/>
          <w:color w:val="auto"/>
        </w:rPr>
      </w:pPr>
      <w:r>
        <w:rPr>
          <w:rFonts w:ascii="Aptos" w:hAnsi="Aptos"/>
          <w:color w:val="auto"/>
        </w:rPr>
        <w:t>Relationship to This Framework</w:t>
      </w:r>
    </w:p>
    <w:p>
      <w:pPr>
        <w:pStyle w:val="BodyText"/>
        <w:spacing w:before="0" w:after="200"/>
        <w:rPr/>
      </w:pPr>
      <w:r>
        <w:rPr/>
        <w:t>Rights-based ethics is compatible with significant portions of this framework but is not identical to it. This framework evaluates an Assessed Action through the complete World Context Transition it produces, including its effects on Flourishing Entities, relationships, institutions, information, constraints, and future possibilities. Rights-based ethics instead begins with the normative status of the right-holder and asks whether the action respects the claims or protected sphere associated with that status.</w:t>
      </w:r>
    </w:p>
    <w:p>
      <w:pPr>
        <w:pStyle w:val="BodyText"/>
        <w:spacing w:before="0" w:after="200"/>
        <w:rPr/>
      </w:pPr>
      <w:r>
        <w:rPr/>
        <w:t>Rights can nevertheless be represented within the framework as morally significant Associations between right-holders, duty-bearers, institutions, protected interests, and authorized actions. A right to bodily integrity, for example, could be modeled as an Association that restricts specified actions by other entities. A right to assistance could be represented as an affirmative obligation activated when defined conditions occur.</w:t>
      </w:r>
    </w:p>
    <w:p>
      <w:pPr>
        <w:pStyle w:val="BodyText"/>
        <w:spacing w:before="0" w:after="200"/>
        <w:rPr/>
      </w:pPr>
      <w:r>
        <w:rPr/>
        <w:t>The Foundational Axiom’s requirement to avoid materially diminishing the long-term flourishing of other relevant persistent adaptive entities provides a partial basis for protecting rights. Rights may preserve bodily integrity, agency, identity, access to resources, institutional standing, and beneficial future state space. However, the protection of flourishing does not by itself establish:</w:t>
      </w:r>
    </w:p>
    <w:p>
      <w:pPr>
        <w:pStyle w:val="BodyText"/>
        <w:numPr>
          <w:ilvl w:val="0"/>
          <w:numId w:val="48"/>
        </w:numPr>
        <w:tabs>
          <w:tab w:val="clear" w:pos="720"/>
          <w:tab w:val="left" w:pos="0" w:leader="none"/>
        </w:tabs>
        <w:spacing w:before="0" w:after="200"/>
        <w:ind w:hanging="283" w:left="709"/>
        <w:rPr/>
      </w:pPr>
      <w:r>
        <w:rPr/>
        <w:t>Who holds a particular right;</w:t>
      </w:r>
    </w:p>
    <w:p>
      <w:pPr>
        <w:pStyle w:val="BodyText"/>
        <w:numPr>
          <w:ilvl w:val="0"/>
          <w:numId w:val="48"/>
        </w:numPr>
        <w:tabs>
          <w:tab w:val="clear" w:pos="720"/>
          <w:tab w:val="left" w:pos="0" w:leader="none"/>
        </w:tabs>
        <w:spacing w:before="0" w:after="200"/>
        <w:ind w:hanging="283" w:left="709"/>
        <w:rPr/>
      </w:pPr>
      <w:r>
        <w:rPr/>
        <w:t>Which party bears the corresponding duty;</w:t>
      </w:r>
    </w:p>
    <w:p>
      <w:pPr>
        <w:pStyle w:val="BodyText"/>
        <w:numPr>
          <w:ilvl w:val="0"/>
          <w:numId w:val="48"/>
        </w:numPr>
        <w:tabs>
          <w:tab w:val="clear" w:pos="720"/>
          <w:tab w:val="left" w:pos="0" w:leader="none"/>
        </w:tabs>
        <w:spacing w:before="0" w:after="200"/>
        <w:ind w:hanging="283" w:left="709"/>
        <w:rPr/>
      </w:pPr>
      <w:r>
        <w:rPr/>
        <w:t>Whether the right applies regardless of the predicted net consequences;</w:t>
      </w:r>
    </w:p>
    <w:p>
      <w:pPr>
        <w:pStyle w:val="BodyText"/>
        <w:numPr>
          <w:ilvl w:val="0"/>
          <w:numId w:val="48"/>
        </w:numPr>
        <w:tabs>
          <w:tab w:val="clear" w:pos="720"/>
          <w:tab w:val="left" w:pos="0" w:leader="none"/>
        </w:tabs>
        <w:spacing w:before="0" w:after="200"/>
        <w:ind w:hanging="283" w:left="709"/>
        <w:rPr/>
      </w:pPr>
      <w:r>
        <w:rPr/>
        <w:t>Whether the right can be waived;</w:t>
      </w:r>
    </w:p>
    <w:p>
      <w:pPr>
        <w:pStyle w:val="BodyText"/>
        <w:numPr>
          <w:ilvl w:val="0"/>
          <w:numId w:val="48"/>
        </w:numPr>
        <w:tabs>
          <w:tab w:val="clear" w:pos="720"/>
          <w:tab w:val="left" w:pos="0" w:leader="none"/>
        </w:tabs>
        <w:spacing w:before="0" w:after="200"/>
        <w:ind w:hanging="283" w:left="709"/>
        <w:rPr/>
      </w:pPr>
      <w:r>
        <w:rPr/>
        <w:t>What exceptions are permissible; or</w:t>
      </w:r>
    </w:p>
    <w:p>
      <w:pPr>
        <w:pStyle w:val="BodyText"/>
        <w:numPr>
          <w:ilvl w:val="0"/>
          <w:numId w:val="48"/>
        </w:numPr>
        <w:tabs>
          <w:tab w:val="clear" w:pos="720"/>
          <w:tab w:val="left" w:pos="0" w:leader="none"/>
        </w:tabs>
        <w:spacing w:before="0" w:after="200"/>
        <w:ind w:hanging="283" w:left="709"/>
        <w:rPr/>
      </w:pPr>
      <w:r>
        <w:rPr/>
        <w:t>What remedy is required following a violation.</w:t>
      </w:r>
    </w:p>
    <w:p>
      <w:pPr>
        <w:pStyle w:val="BodyText"/>
        <w:spacing w:before="0" w:after="200"/>
        <w:rPr/>
      </w:pPr>
      <w:r>
        <w:rPr/>
        <w:t>Consequently, rights-based reasoning should be treated as a distinct normative layer within the framework rather than reduced entirely to long-term flourishing. Without that layer, a sufficiently favorable predicted systemic outcome could potentially be used to justify an action that violates an individual right.</w:t>
      </w:r>
    </w:p>
    <w:p>
      <w:pPr>
        <w:pStyle w:val="BodyText"/>
        <w:spacing w:before="0" w:after="200"/>
        <w:rPr/>
      </w:pPr>
      <w:r>
        <w:rPr/>
        <w:t>The framework’s Distributed Policy Effects are particularly relevant to rights. A single violation may affect more than its immediate victim. It may normalize coercion, weaken institutional protections, alter expectations of acceptable conduct, reduce trust, or increase the probability of similar violations. Conversely, consistent recognition of rights can stabilize expectations, distribute authority, and preserve the conditions under which entities can plan and act.</w:t>
      </w:r>
    </w:p>
    <w:p>
      <w:pPr>
        <w:pStyle w:val="Heading3"/>
        <w:spacing w:before="0" w:after="200"/>
        <w:ind w:hanging="0" w:left="0"/>
        <w:rPr>
          <w:rFonts w:ascii="Aptos" w:hAnsi="Aptos"/>
          <w:color w:val="auto"/>
        </w:rPr>
      </w:pPr>
      <w:r>
        <w:rPr>
          <w:rFonts w:ascii="Aptos" w:hAnsi="Aptos"/>
          <w:color w:val="auto"/>
        </w:rPr>
        <w:t>Concepts Adopted or Adapted by This Framework</w:t>
      </w:r>
    </w:p>
    <w:p>
      <w:pPr>
        <w:pStyle w:val="BodyText"/>
        <w:spacing w:before="0" w:after="200"/>
        <w:rPr/>
      </w:pPr>
      <w:r>
        <w:rPr/>
        <w:t>The framework implicitly incorporates or can functionally represent several rights-based concepts, although it does not yet appear to formalize a complete rights ontology.</w:t>
      </w:r>
    </w:p>
    <w:tbl>
      <w:tblPr>
        <w:tblW w:w="8640" w:type="dxa"/>
        <w:jc w:val="left"/>
        <w:tblInd w:w="28" w:type="dxa"/>
        <w:tblLayout w:type="fixed"/>
        <w:tblCellMar>
          <w:top w:w="28" w:type="dxa"/>
          <w:left w:w="28" w:type="dxa"/>
          <w:bottom w:w="28" w:type="dxa"/>
          <w:right w:w="28" w:type="dxa"/>
        </w:tblCellMar>
      </w:tblPr>
      <w:tblGrid>
        <w:gridCol w:w="2586"/>
        <w:gridCol w:w="6054"/>
      </w:tblGrid>
      <w:tr>
        <w:trPr>
          <w:tblHeader w:val="true"/>
        </w:trPr>
        <w:tc>
          <w:tcPr>
            <w:tcW w:w="2586" w:type="dxa"/>
            <w:tcBorders/>
            <w:vAlign w:val="center"/>
          </w:tcPr>
          <w:p>
            <w:pPr>
              <w:pStyle w:val="TableHeading"/>
              <w:suppressLineNumbers/>
              <w:spacing w:before="0" w:after="200"/>
              <w:jc w:val="center"/>
              <w:rPr/>
            </w:pPr>
            <w:r>
              <w:rPr/>
              <w:t>Rights-based concept</w:t>
            </w:r>
          </w:p>
        </w:tc>
        <w:tc>
          <w:tcPr>
            <w:tcW w:w="6054" w:type="dxa"/>
            <w:tcBorders/>
            <w:vAlign w:val="center"/>
          </w:tcPr>
          <w:p>
            <w:pPr>
              <w:pStyle w:val="TableHeading"/>
              <w:suppressLineNumbers/>
              <w:spacing w:before="0" w:after="200"/>
              <w:jc w:val="center"/>
              <w:rPr/>
            </w:pPr>
            <w:r>
              <w:rPr/>
              <w:t>Adoption or adaptation within this framework</w:t>
            </w:r>
          </w:p>
        </w:tc>
      </w:tr>
      <w:tr>
        <w:trPr/>
        <w:tc>
          <w:tcPr>
            <w:tcW w:w="2586" w:type="dxa"/>
            <w:tcBorders/>
            <w:vAlign w:val="center"/>
          </w:tcPr>
          <w:p>
            <w:pPr>
              <w:pStyle w:val="TableContents"/>
              <w:widowControl w:val="false"/>
              <w:suppressLineNumbers/>
              <w:spacing w:before="0" w:after="200"/>
              <w:rPr/>
            </w:pPr>
            <w:r>
              <w:rPr>
                <w:rStyle w:val="Strong"/>
              </w:rPr>
              <w:t>Moral standing</w:t>
            </w:r>
          </w:p>
        </w:tc>
        <w:tc>
          <w:tcPr>
            <w:tcW w:w="6054" w:type="dxa"/>
            <w:tcBorders/>
            <w:vAlign w:val="center"/>
          </w:tcPr>
          <w:p>
            <w:pPr>
              <w:pStyle w:val="TableContents"/>
              <w:widowControl w:val="false"/>
              <w:suppressLineNumbers/>
              <w:spacing w:before="0" w:after="200"/>
              <w:rPr/>
            </w:pPr>
            <w:r>
              <w:rPr/>
              <w:t>Reflected in the recognition of relevant Flourishing Entities whose interests and future possibilities must be included in the assessment.</w:t>
            </w:r>
          </w:p>
        </w:tc>
      </w:tr>
      <w:tr>
        <w:trPr/>
        <w:tc>
          <w:tcPr>
            <w:tcW w:w="2586" w:type="dxa"/>
            <w:tcBorders/>
            <w:vAlign w:val="center"/>
          </w:tcPr>
          <w:p>
            <w:pPr>
              <w:pStyle w:val="TableContents"/>
              <w:widowControl w:val="false"/>
              <w:suppressLineNumbers/>
              <w:spacing w:before="0" w:after="200"/>
              <w:rPr/>
            </w:pPr>
            <w:r>
              <w:rPr>
                <w:rStyle w:val="Strong"/>
              </w:rPr>
              <w:t>Claim-right and duty</w:t>
            </w:r>
          </w:p>
        </w:tc>
        <w:tc>
          <w:tcPr>
            <w:tcW w:w="6054" w:type="dxa"/>
            <w:tcBorders/>
            <w:vAlign w:val="center"/>
          </w:tcPr>
          <w:p>
            <w:pPr>
              <w:pStyle w:val="TableContents"/>
              <w:widowControl w:val="false"/>
              <w:suppressLineNumbers/>
              <w:spacing w:before="0" w:after="200"/>
              <w:rPr/>
            </w:pPr>
            <w:r>
              <w:rPr/>
              <w:t>Representable as an Association connecting a right-holder, duty-bearer, protected object or interest, and required or prohibited conduct.</w:t>
            </w:r>
          </w:p>
        </w:tc>
      </w:tr>
      <w:tr>
        <w:trPr/>
        <w:tc>
          <w:tcPr>
            <w:tcW w:w="2586" w:type="dxa"/>
            <w:tcBorders/>
            <w:vAlign w:val="center"/>
          </w:tcPr>
          <w:p>
            <w:pPr>
              <w:pStyle w:val="TableContents"/>
              <w:widowControl w:val="false"/>
              <w:suppressLineNumbers/>
              <w:spacing w:before="0" w:after="200"/>
              <w:rPr/>
            </w:pPr>
            <w:r>
              <w:rPr>
                <w:rStyle w:val="Strong"/>
              </w:rPr>
              <w:t>Liberty</w:t>
            </w:r>
          </w:p>
        </w:tc>
        <w:tc>
          <w:tcPr>
            <w:tcW w:w="6054" w:type="dxa"/>
            <w:tcBorders/>
            <w:vAlign w:val="center"/>
          </w:tcPr>
          <w:p>
            <w:pPr>
              <w:pStyle w:val="TableContents"/>
              <w:widowControl w:val="false"/>
              <w:suppressLineNumbers/>
              <w:spacing w:before="0" w:after="200"/>
              <w:rPr/>
            </w:pPr>
            <w:r>
              <w:rPr/>
              <w:t>Representable as a protected range of actions or future states that other entities may not improperly restrict.</w:t>
            </w:r>
          </w:p>
        </w:tc>
      </w:tr>
      <w:tr>
        <w:trPr/>
        <w:tc>
          <w:tcPr>
            <w:tcW w:w="2586" w:type="dxa"/>
            <w:tcBorders/>
            <w:vAlign w:val="center"/>
          </w:tcPr>
          <w:p>
            <w:pPr>
              <w:pStyle w:val="TableContents"/>
              <w:widowControl w:val="false"/>
              <w:suppressLineNumbers/>
              <w:spacing w:before="0" w:after="200"/>
              <w:rPr/>
            </w:pPr>
            <w:r>
              <w:rPr>
                <w:rStyle w:val="Strong"/>
              </w:rPr>
              <w:t>Power</w:t>
            </w:r>
          </w:p>
        </w:tc>
        <w:tc>
          <w:tcPr>
            <w:tcW w:w="6054" w:type="dxa"/>
            <w:tcBorders/>
            <w:vAlign w:val="center"/>
          </w:tcPr>
          <w:p>
            <w:pPr>
              <w:pStyle w:val="TableContents"/>
              <w:widowControl w:val="false"/>
              <w:suppressLineNumbers/>
              <w:spacing w:before="0" w:after="200"/>
              <w:rPr/>
            </w:pPr>
            <w:r>
              <w:rPr/>
              <w:t>Reflected in the framework’s treatment of authority, role, institutional competence, and the ability to alter relationships or states.</w:t>
            </w:r>
          </w:p>
        </w:tc>
      </w:tr>
      <w:tr>
        <w:trPr/>
        <w:tc>
          <w:tcPr>
            <w:tcW w:w="2586" w:type="dxa"/>
            <w:tcBorders/>
            <w:vAlign w:val="center"/>
          </w:tcPr>
          <w:p>
            <w:pPr>
              <w:pStyle w:val="TableContents"/>
              <w:widowControl w:val="false"/>
              <w:suppressLineNumbers/>
              <w:spacing w:before="0" w:after="200"/>
              <w:rPr/>
            </w:pPr>
            <w:r>
              <w:rPr>
                <w:rStyle w:val="Strong"/>
              </w:rPr>
              <w:t>Immunity</w:t>
            </w:r>
          </w:p>
        </w:tc>
        <w:tc>
          <w:tcPr>
            <w:tcW w:w="6054" w:type="dxa"/>
            <w:tcBorders/>
            <w:vAlign w:val="center"/>
          </w:tcPr>
          <w:p>
            <w:pPr>
              <w:pStyle w:val="TableContents"/>
              <w:widowControl w:val="false"/>
              <w:suppressLineNumbers/>
              <w:spacing w:before="0" w:after="200"/>
              <w:rPr/>
            </w:pPr>
            <w:r>
              <w:rPr/>
              <w:t>Representable as a constraint on another entity’s authority to alter the right-holder’s status, possessions, relationships, or permissions.</w:t>
            </w:r>
          </w:p>
        </w:tc>
      </w:tr>
      <w:tr>
        <w:trPr/>
        <w:tc>
          <w:tcPr>
            <w:tcW w:w="2586" w:type="dxa"/>
            <w:tcBorders/>
            <w:vAlign w:val="center"/>
          </w:tcPr>
          <w:p>
            <w:pPr>
              <w:pStyle w:val="TableContents"/>
              <w:widowControl w:val="false"/>
              <w:suppressLineNumbers/>
              <w:spacing w:before="0" w:after="200"/>
              <w:rPr/>
            </w:pPr>
            <w:r>
              <w:rPr>
                <w:rStyle w:val="Strong"/>
              </w:rPr>
              <w:t>Consent</w:t>
            </w:r>
          </w:p>
        </w:tc>
        <w:tc>
          <w:tcPr>
            <w:tcW w:w="6054" w:type="dxa"/>
            <w:tcBorders/>
            <w:vAlign w:val="center"/>
          </w:tcPr>
          <w:p>
            <w:pPr>
              <w:pStyle w:val="TableContents"/>
              <w:widowControl w:val="false"/>
              <w:suppressLineNumbers/>
              <w:spacing w:before="0" w:after="200"/>
              <w:rPr/>
            </w:pPr>
            <w:r>
              <w:rPr/>
              <w:t>Relevant to the legitimacy of actions and to permissible changes in Associations between entities.</w:t>
            </w:r>
          </w:p>
        </w:tc>
      </w:tr>
      <w:tr>
        <w:trPr/>
        <w:tc>
          <w:tcPr>
            <w:tcW w:w="2586" w:type="dxa"/>
            <w:tcBorders/>
            <w:vAlign w:val="center"/>
          </w:tcPr>
          <w:p>
            <w:pPr>
              <w:pStyle w:val="TableContents"/>
              <w:widowControl w:val="false"/>
              <w:suppressLineNumbers/>
              <w:spacing w:before="0" w:after="200"/>
              <w:rPr/>
            </w:pPr>
            <w:r>
              <w:rPr>
                <w:rStyle w:val="Strong"/>
              </w:rPr>
              <w:t>Noninterference</w:t>
            </w:r>
          </w:p>
        </w:tc>
        <w:tc>
          <w:tcPr>
            <w:tcW w:w="6054" w:type="dxa"/>
            <w:tcBorders/>
            <w:vAlign w:val="center"/>
          </w:tcPr>
          <w:p>
            <w:pPr>
              <w:pStyle w:val="TableContents"/>
              <w:widowControl w:val="false"/>
              <w:suppressLineNumbers/>
              <w:spacing w:before="0" w:after="200"/>
              <w:rPr/>
            </w:pPr>
            <w:r>
              <w:rPr/>
              <w:t>Incorporated through the requirement to consider actions that diminish another entity’s agency, integrity, or future state space.</w:t>
            </w:r>
          </w:p>
        </w:tc>
      </w:tr>
      <w:tr>
        <w:trPr/>
        <w:tc>
          <w:tcPr>
            <w:tcW w:w="2586" w:type="dxa"/>
            <w:tcBorders/>
            <w:vAlign w:val="center"/>
          </w:tcPr>
          <w:p>
            <w:pPr>
              <w:pStyle w:val="TableContents"/>
              <w:widowControl w:val="false"/>
              <w:suppressLineNumbers/>
              <w:spacing w:before="0" w:after="200"/>
              <w:rPr/>
            </w:pPr>
            <w:r>
              <w:rPr>
                <w:rStyle w:val="Strong"/>
              </w:rPr>
              <w:t>Positive obligation</w:t>
            </w:r>
          </w:p>
        </w:tc>
        <w:tc>
          <w:tcPr>
            <w:tcW w:w="6054" w:type="dxa"/>
            <w:tcBorders/>
            <w:vAlign w:val="center"/>
          </w:tcPr>
          <w:p>
            <w:pPr>
              <w:pStyle w:val="TableContents"/>
              <w:widowControl w:val="false"/>
              <w:suppressLineNumbers/>
              <w:spacing w:before="0" w:after="200"/>
              <w:rPr/>
            </w:pPr>
            <w:r>
              <w:rPr/>
              <w:t>Representable as a required action when a role, relationship, prior commitment, or institutional responsibility creates a duty to assist or protect.</w:t>
            </w:r>
          </w:p>
        </w:tc>
      </w:tr>
      <w:tr>
        <w:trPr/>
        <w:tc>
          <w:tcPr>
            <w:tcW w:w="2586" w:type="dxa"/>
            <w:tcBorders/>
            <w:vAlign w:val="center"/>
          </w:tcPr>
          <w:p>
            <w:pPr>
              <w:pStyle w:val="TableContents"/>
              <w:widowControl w:val="false"/>
              <w:suppressLineNumbers/>
              <w:spacing w:before="0" w:after="200"/>
              <w:rPr/>
            </w:pPr>
            <w:r>
              <w:rPr>
                <w:rStyle w:val="Strong"/>
              </w:rPr>
              <w:t>Equality and nondiscrimination</w:t>
            </w:r>
          </w:p>
        </w:tc>
        <w:tc>
          <w:tcPr>
            <w:tcW w:w="6054" w:type="dxa"/>
            <w:tcBorders/>
            <w:vAlign w:val="center"/>
          </w:tcPr>
          <w:p>
            <w:pPr>
              <w:pStyle w:val="TableContents"/>
              <w:widowControl w:val="false"/>
              <w:suppressLineNumbers/>
              <w:spacing w:before="0" w:after="200"/>
              <w:rPr/>
            </w:pPr>
            <w:r>
              <w:rPr/>
              <w:t>Adaptable as constraints on how comparable entities are classified, weighted, or treated within an assessment.</w:t>
            </w:r>
          </w:p>
        </w:tc>
      </w:tr>
      <w:tr>
        <w:trPr/>
        <w:tc>
          <w:tcPr>
            <w:tcW w:w="2586" w:type="dxa"/>
            <w:tcBorders/>
            <w:vAlign w:val="center"/>
          </w:tcPr>
          <w:p>
            <w:pPr>
              <w:pStyle w:val="TableContents"/>
              <w:widowControl w:val="false"/>
              <w:suppressLineNumbers/>
              <w:spacing w:before="0" w:after="200"/>
              <w:rPr/>
            </w:pPr>
            <w:r>
              <w:rPr>
                <w:rStyle w:val="Strong"/>
              </w:rPr>
              <w:t>Due process</w:t>
            </w:r>
          </w:p>
        </w:tc>
        <w:tc>
          <w:tcPr>
            <w:tcW w:w="6054" w:type="dxa"/>
            <w:tcBorders/>
            <w:vAlign w:val="center"/>
          </w:tcPr>
          <w:p>
            <w:pPr>
              <w:pStyle w:val="TableContents"/>
              <w:widowControl w:val="false"/>
              <w:suppressLineNumbers/>
              <w:spacing w:before="0" w:after="200"/>
              <w:rPr/>
            </w:pPr>
            <w:r>
              <w:rPr/>
              <w:t>Representable through procedural requirements concerning information, notice, participation, evidence, decision authority, and review.</w:t>
            </w:r>
          </w:p>
        </w:tc>
      </w:tr>
      <w:tr>
        <w:trPr/>
        <w:tc>
          <w:tcPr>
            <w:tcW w:w="2586" w:type="dxa"/>
            <w:tcBorders/>
            <w:vAlign w:val="center"/>
          </w:tcPr>
          <w:p>
            <w:pPr>
              <w:pStyle w:val="TableContents"/>
              <w:widowControl w:val="false"/>
              <w:suppressLineNumbers/>
              <w:spacing w:before="0" w:after="200"/>
              <w:rPr/>
            </w:pPr>
            <w:r>
              <w:rPr>
                <w:rStyle w:val="Strong"/>
              </w:rPr>
              <w:t>Remedy and reparation</w:t>
            </w:r>
          </w:p>
        </w:tc>
        <w:tc>
          <w:tcPr>
            <w:tcW w:w="6054" w:type="dxa"/>
            <w:tcBorders/>
            <w:vAlign w:val="center"/>
          </w:tcPr>
          <w:p>
            <w:pPr>
              <w:pStyle w:val="TableContents"/>
              <w:widowControl w:val="false"/>
              <w:suppressLineNumbers/>
              <w:spacing w:before="0" w:after="200"/>
              <w:rPr/>
            </w:pPr>
            <w:r>
              <w:rPr/>
              <w:t>Representable as subsequent Assessed Actions required to repair harm, restore status, compensate losses, or prevent recurrence.</w:t>
            </w:r>
          </w:p>
        </w:tc>
      </w:tr>
      <w:tr>
        <w:trPr/>
        <w:tc>
          <w:tcPr>
            <w:tcW w:w="2586" w:type="dxa"/>
            <w:tcBorders/>
            <w:vAlign w:val="center"/>
          </w:tcPr>
          <w:p>
            <w:pPr>
              <w:pStyle w:val="TableContents"/>
              <w:widowControl w:val="false"/>
              <w:suppressLineNumbers/>
              <w:spacing w:before="0" w:after="200"/>
              <w:rPr/>
            </w:pPr>
            <w:r>
              <w:rPr>
                <w:rStyle w:val="Strong"/>
              </w:rPr>
              <w:t>Rights as constraints</w:t>
            </w:r>
          </w:p>
        </w:tc>
        <w:tc>
          <w:tcPr>
            <w:tcW w:w="6054" w:type="dxa"/>
            <w:tcBorders/>
            <w:vAlign w:val="center"/>
          </w:tcPr>
          <w:p>
            <w:pPr>
              <w:pStyle w:val="TableContents"/>
              <w:widowControl w:val="false"/>
              <w:suppressLineNumbers/>
              <w:spacing w:before="0" w:after="200"/>
              <w:rPr/>
            </w:pPr>
            <w:r>
              <w:rPr/>
              <w:t>Implementable as hard constraints, presumptive constraints, or threshold conditions applied before aggregate metrics are compared.</w:t>
            </w:r>
          </w:p>
        </w:tc>
      </w:tr>
    </w:tbl>
    <w:p>
      <w:pPr>
        <w:pStyle w:val="Heading3"/>
        <w:spacing w:before="0" w:after="200"/>
        <w:ind w:hanging="0" w:left="0"/>
        <w:rPr>
          <w:rFonts w:ascii="Aptos" w:hAnsi="Aptos"/>
          <w:color w:val="auto"/>
        </w:rPr>
      </w:pPr>
      <w:r>
        <w:rPr>
          <w:rFonts w:ascii="Aptos" w:hAnsi="Aptos"/>
          <w:color w:val="auto"/>
        </w:rPr>
        <w:t>Similarities</w:t>
      </w:r>
    </w:p>
    <w:p>
      <w:pPr>
        <w:pStyle w:val="BodyText"/>
        <w:spacing w:before="0" w:after="200"/>
        <w:rPr/>
      </w:pPr>
      <w:r>
        <w:rPr/>
        <w:t>Rights-based ethics and this framework share several important commitments:</w:t>
      </w:r>
    </w:p>
    <w:p>
      <w:pPr>
        <w:pStyle w:val="BodyText"/>
        <w:numPr>
          <w:ilvl w:val="0"/>
          <w:numId w:val="49"/>
        </w:numPr>
        <w:tabs>
          <w:tab w:val="clear" w:pos="720"/>
          <w:tab w:val="left" w:pos="0" w:leader="none"/>
        </w:tabs>
        <w:spacing w:before="0" w:after="200"/>
        <w:ind w:hanging="283" w:left="709"/>
        <w:rPr/>
      </w:pPr>
      <w:r>
        <w:rPr/>
        <w:t>Both reject the assumption that an actor’s preferred objective is sufficient to justify an action.</w:t>
      </w:r>
    </w:p>
    <w:p>
      <w:pPr>
        <w:pStyle w:val="BodyText"/>
        <w:numPr>
          <w:ilvl w:val="0"/>
          <w:numId w:val="49"/>
        </w:numPr>
        <w:tabs>
          <w:tab w:val="clear" w:pos="720"/>
          <w:tab w:val="left" w:pos="0" w:leader="none"/>
        </w:tabs>
        <w:spacing w:before="0" w:after="200"/>
        <w:ind w:hanging="283" w:left="709"/>
        <w:rPr/>
      </w:pPr>
      <w:r>
        <w:rPr/>
        <w:t>Both recognize that the effects imposed on particular entities matter independently of aggregate system performance.</w:t>
      </w:r>
    </w:p>
    <w:p>
      <w:pPr>
        <w:pStyle w:val="BodyText"/>
        <w:numPr>
          <w:ilvl w:val="0"/>
          <w:numId w:val="49"/>
        </w:numPr>
        <w:tabs>
          <w:tab w:val="clear" w:pos="720"/>
          <w:tab w:val="left" w:pos="0" w:leader="none"/>
        </w:tabs>
        <w:spacing w:before="0" w:after="200"/>
        <w:ind w:hanging="283" w:left="709"/>
        <w:rPr/>
      </w:pPr>
      <w:r>
        <w:rPr/>
        <w:t>Both can treat autonomy, consent, bodily integrity, identity, and access to future possibilities as ethically significant.</w:t>
      </w:r>
    </w:p>
    <w:p>
      <w:pPr>
        <w:pStyle w:val="BodyText"/>
        <w:numPr>
          <w:ilvl w:val="0"/>
          <w:numId w:val="49"/>
        </w:numPr>
        <w:tabs>
          <w:tab w:val="clear" w:pos="720"/>
          <w:tab w:val="left" w:pos="0" w:leader="none"/>
        </w:tabs>
        <w:spacing w:before="0" w:after="200"/>
        <w:ind w:hanging="283" w:left="709"/>
        <w:rPr/>
      </w:pPr>
      <w:r>
        <w:rPr/>
        <w:t>Both recognize the importance of relationships, institutional roles, authority, and legitimacy.</w:t>
      </w:r>
    </w:p>
    <w:p>
      <w:pPr>
        <w:pStyle w:val="BodyText"/>
        <w:numPr>
          <w:ilvl w:val="0"/>
          <w:numId w:val="49"/>
        </w:numPr>
        <w:tabs>
          <w:tab w:val="clear" w:pos="720"/>
          <w:tab w:val="left" w:pos="0" w:leader="none"/>
        </w:tabs>
        <w:spacing w:before="0" w:after="200"/>
        <w:ind w:hanging="283" w:left="709"/>
        <w:rPr/>
      </w:pPr>
      <w:r>
        <w:rPr/>
        <w:t>Both can evaluate omissions as well as direct interventions, particularly where an entity or institution has an affirmative obligation.</w:t>
      </w:r>
    </w:p>
    <w:p>
      <w:pPr>
        <w:pStyle w:val="BodyText"/>
        <w:numPr>
          <w:ilvl w:val="0"/>
          <w:numId w:val="49"/>
        </w:numPr>
        <w:tabs>
          <w:tab w:val="clear" w:pos="720"/>
          <w:tab w:val="left" w:pos="0" w:leader="none"/>
        </w:tabs>
        <w:spacing w:before="0" w:after="200"/>
        <w:ind w:hanging="283" w:left="709"/>
        <w:rPr/>
      </w:pPr>
      <w:r>
        <w:rPr/>
        <w:t>Both permit scrutiny of the means used to achieve an objective rather than evaluating only whether the intended objective was achieved.</w:t>
      </w:r>
    </w:p>
    <w:p>
      <w:pPr>
        <w:pStyle w:val="BodyText"/>
        <w:numPr>
          <w:ilvl w:val="0"/>
          <w:numId w:val="49"/>
        </w:numPr>
        <w:tabs>
          <w:tab w:val="clear" w:pos="720"/>
          <w:tab w:val="left" w:pos="0" w:leader="none"/>
        </w:tabs>
        <w:spacing w:before="0" w:after="200"/>
        <w:ind w:hanging="283" w:left="709"/>
        <w:rPr/>
      </w:pPr>
      <w:r>
        <w:rPr/>
        <w:t>Both support protections against the instrumental use of individuals or minorities for the benefit of others.</w:t>
      </w:r>
    </w:p>
    <w:p>
      <w:pPr>
        <w:pStyle w:val="BodyText"/>
        <w:numPr>
          <w:ilvl w:val="0"/>
          <w:numId w:val="49"/>
        </w:numPr>
        <w:tabs>
          <w:tab w:val="clear" w:pos="720"/>
          <w:tab w:val="left" w:pos="0" w:leader="none"/>
        </w:tabs>
        <w:spacing w:before="0" w:after="200"/>
        <w:ind w:hanging="283" w:left="709"/>
        <w:rPr/>
      </w:pPr>
      <w:r>
        <w:rPr/>
        <w:t>Both recognize that institutional practices can influence trust, expectations, and the future conduct of other agents.</w:t>
      </w:r>
    </w:p>
    <w:p>
      <w:pPr>
        <w:pStyle w:val="BodyText"/>
        <w:numPr>
          <w:ilvl w:val="0"/>
          <w:numId w:val="49"/>
        </w:numPr>
        <w:tabs>
          <w:tab w:val="clear" w:pos="720"/>
          <w:tab w:val="left" w:pos="0" w:leader="none"/>
        </w:tabs>
        <w:spacing w:before="0" w:after="200"/>
        <w:ind w:hanging="283" w:left="709"/>
        <w:rPr/>
      </w:pPr>
      <w:r>
        <w:rPr/>
        <w:t>Both can distinguish the ethical character of an action from the responsibility attributable to a particular actor.</w:t>
      </w:r>
    </w:p>
    <w:p>
      <w:pPr>
        <w:pStyle w:val="BodyText"/>
        <w:numPr>
          <w:ilvl w:val="0"/>
          <w:numId w:val="49"/>
        </w:numPr>
        <w:tabs>
          <w:tab w:val="clear" w:pos="720"/>
          <w:tab w:val="left" w:pos="0" w:leader="none"/>
        </w:tabs>
        <w:spacing w:before="0" w:after="200"/>
        <w:ind w:hanging="283" w:left="709"/>
        <w:rPr/>
      </w:pPr>
      <w:r>
        <w:rPr/>
        <w:t>Both favor explicit, explainable assessments capable of identifying affected entities, relevant constraints, and the justification for a conclusion.</w:t>
      </w:r>
    </w:p>
    <w:p>
      <w:pPr>
        <w:pStyle w:val="Heading3"/>
        <w:spacing w:before="0" w:after="200"/>
        <w:ind w:hanging="0" w:left="0"/>
        <w:rPr>
          <w:rFonts w:ascii="Aptos" w:hAnsi="Aptos"/>
          <w:color w:val="auto"/>
        </w:rPr>
      </w:pPr>
      <w:r>
        <w:rPr>
          <w:rFonts w:ascii="Aptos" w:hAnsi="Aptos"/>
          <w:color w:val="auto"/>
        </w:rPr>
        <w:t>Differences</w:t>
      </w:r>
    </w:p>
    <w:tbl>
      <w:tblPr>
        <w:tblW w:w="8640" w:type="dxa"/>
        <w:jc w:val="left"/>
        <w:tblInd w:w="28" w:type="dxa"/>
        <w:tblLayout w:type="fixed"/>
        <w:tblCellMar>
          <w:top w:w="28" w:type="dxa"/>
          <w:left w:w="28" w:type="dxa"/>
          <w:bottom w:w="28" w:type="dxa"/>
          <w:right w:w="28" w:type="dxa"/>
        </w:tblCellMar>
      </w:tblPr>
      <w:tblGrid>
        <w:gridCol w:w="1789"/>
        <w:gridCol w:w="3254"/>
        <w:gridCol w:w="3597"/>
      </w:tblGrid>
      <w:tr>
        <w:trPr>
          <w:tblHeader w:val="true"/>
        </w:trPr>
        <w:tc>
          <w:tcPr>
            <w:tcW w:w="1789" w:type="dxa"/>
            <w:tcBorders/>
            <w:vAlign w:val="center"/>
          </w:tcPr>
          <w:p>
            <w:pPr>
              <w:pStyle w:val="TableHeading"/>
              <w:suppressLineNumbers/>
              <w:spacing w:before="0" w:after="200"/>
              <w:jc w:val="center"/>
              <w:rPr/>
            </w:pPr>
            <w:r>
              <w:rPr/>
              <w:t>Dimension</w:t>
            </w:r>
          </w:p>
        </w:tc>
        <w:tc>
          <w:tcPr>
            <w:tcW w:w="3254" w:type="dxa"/>
            <w:tcBorders/>
            <w:vAlign w:val="center"/>
          </w:tcPr>
          <w:p>
            <w:pPr>
              <w:pStyle w:val="TableHeading"/>
              <w:suppressLineNumbers/>
              <w:spacing w:before="0" w:after="200"/>
              <w:jc w:val="center"/>
              <w:rPr/>
            </w:pPr>
            <w:r>
              <w:rPr/>
              <w:t>Rights-based ethics</w:t>
            </w:r>
          </w:p>
        </w:tc>
        <w:tc>
          <w:tcPr>
            <w:tcW w:w="3597" w:type="dxa"/>
            <w:tcBorders/>
            <w:vAlign w:val="center"/>
          </w:tcPr>
          <w:p>
            <w:pPr>
              <w:pStyle w:val="TableHeading"/>
              <w:suppressLineNumbers/>
              <w:spacing w:before="0" w:after="200"/>
              <w:jc w:val="center"/>
              <w:rPr/>
            </w:pPr>
            <w:r>
              <w:rPr/>
              <w:t>This framework</w:t>
            </w:r>
          </w:p>
        </w:tc>
      </w:tr>
      <w:tr>
        <w:trPr/>
        <w:tc>
          <w:tcPr>
            <w:tcW w:w="1789" w:type="dxa"/>
            <w:tcBorders/>
            <w:vAlign w:val="center"/>
          </w:tcPr>
          <w:p>
            <w:pPr>
              <w:pStyle w:val="TableContents"/>
              <w:widowControl w:val="false"/>
              <w:suppressLineNumbers/>
              <w:spacing w:before="0" w:after="200"/>
              <w:rPr/>
            </w:pPr>
            <w:r>
              <w:rPr>
                <w:rStyle w:val="Strong"/>
              </w:rPr>
              <w:t>Primary normative unit</w:t>
            </w:r>
          </w:p>
        </w:tc>
        <w:tc>
          <w:tcPr>
            <w:tcW w:w="3254" w:type="dxa"/>
            <w:tcBorders/>
            <w:vAlign w:val="center"/>
          </w:tcPr>
          <w:p>
            <w:pPr>
              <w:pStyle w:val="TableContents"/>
              <w:widowControl w:val="false"/>
              <w:suppressLineNumbers/>
              <w:spacing w:before="0" w:after="200"/>
              <w:rPr/>
            </w:pPr>
            <w:r>
              <w:rPr/>
              <w:t>A right-holder and the duties or limitations imposed on others</w:t>
            </w:r>
          </w:p>
        </w:tc>
        <w:tc>
          <w:tcPr>
            <w:tcW w:w="3597" w:type="dxa"/>
            <w:tcBorders/>
            <w:vAlign w:val="center"/>
          </w:tcPr>
          <w:p>
            <w:pPr>
              <w:pStyle w:val="TableContents"/>
              <w:widowControl w:val="false"/>
              <w:suppressLineNumbers/>
              <w:spacing w:before="0" w:after="200"/>
              <w:rPr/>
            </w:pPr>
            <w:r>
              <w:rPr/>
              <w:t>The complete World Context Transition resulting from an Assessed Action</w:t>
            </w:r>
          </w:p>
        </w:tc>
      </w:tr>
      <w:tr>
        <w:trPr/>
        <w:tc>
          <w:tcPr>
            <w:tcW w:w="1789" w:type="dxa"/>
            <w:tcBorders/>
            <w:vAlign w:val="center"/>
          </w:tcPr>
          <w:p>
            <w:pPr>
              <w:pStyle w:val="TableContents"/>
              <w:widowControl w:val="false"/>
              <w:suppressLineNumbers/>
              <w:spacing w:before="0" w:after="200"/>
              <w:rPr/>
            </w:pPr>
            <w:r>
              <w:rPr>
                <w:rStyle w:val="Strong"/>
              </w:rPr>
              <w:t>Foundational basis</w:t>
            </w:r>
          </w:p>
        </w:tc>
        <w:tc>
          <w:tcPr>
            <w:tcW w:w="3254" w:type="dxa"/>
            <w:tcBorders/>
            <w:vAlign w:val="center"/>
          </w:tcPr>
          <w:p>
            <w:pPr>
              <w:pStyle w:val="TableContents"/>
              <w:widowControl w:val="false"/>
              <w:suppressLineNumbers/>
              <w:spacing w:before="0" w:after="200"/>
              <w:rPr/>
            </w:pPr>
            <w:r>
              <w:rPr/>
              <w:t>Natural status, dignity, autonomy, protected interests, equality, social recognition, or legitimate law</w:t>
            </w:r>
          </w:p>
        </w:tc>
        <w:tc>
          <w:tcPr>
            <w:tcW w:w="3597" w:type="dxa"/>
            <w:tcBorders/>
            <w:vAlign w:val="center"/>
          </w:tcPr>
          <w:p>
            <w:pPr>
              <w:pStyle w:val="TableContents"/>
              <w:widowControl w:val="false"/>
              <w:suppressLineNumbers/>
              <w:spacing w:before="0" w:after="200"/>
              <w:rPr/>
            </w:pPr>
            <w:r>
              <w:rPr/>
              <w:t>Long-term flourishing of relevant persistent adaptive entities within the World Context</w:t>
            </w:r>
          </w:p>
        </w:tc>
      </w:tr>
      <w:tr>
        <w:trPr/>
        <w:tc>
          <w:tcPr>
            <w:tcW w:w="1789" w:type="dxa"/>
            <w:tcBorders/>
            <w:vAlign w:val="center"/>
          </w:tcPr>
          <w:p>
            <w:pPr>
              <w:pStyle w:val="TableContents"/>
              <w:widowControl w:val="false"/>
              <w:suppressLineNumbers/>
              <w:spacing w:before="0" w:after="200"/>
              <w:rPr/>
            </w:pPr>
            <w:r>
              <w:rPr>
                <w:rStyle w:val="Strong"/>
              </w:rPr>
              <w:t>Principal question</w:t>
            </w:r>
          </w:p>
        </w:tc>
        <w:tc>
          <w:tcPr>
            <w:tcW w:w="3254" w:type="dxa"/>
            <w:tcBorders/>
            <w:vAlign w:val="center"/>
          </w:tcPr>
          <w:p>
            <w:pPr>
              <w:pStyle w:val="TableContents"/>
              <w:widowControl w:val="false"/>
              <w:suppressLineNumbers/>
              <w:spacing w:before="0" w:after="200"/>
              <w:rPr/>
            </w:pPr>
            <w:r>
              <w:rPr/>
              <w:t>“</w:t>
            </w:r>
            <w:r>
              <w:rPr/>
              <w:t>Does the action respect the applicable rights and duties?”</w:t>
            </w:r>
          </w:p>
        </w:tc>
        <w:tc>
          <w:tcPr>
            <w:tcW w:w="3597" w:type="dxa"/>
            <w:tcBorders/>
            <w:vAlign w:val="center"/>
          </w:tcPr>
          <w:p>
            <w:pPr>
              <w:pStyle w:val="TableContents"/>
              <w:widowControl w:val="false"/>
              <w:suppressLineNumbers/>
              <w:spacing w:before="0" w:after="200"/>
              <w:rPr/>
            </w:pPr>
            <w:r>
              <w:rPr/>
              <w:t>“</w:t>
            </w:r>
            <w:r>
              <w:rPr/>
              <w:t>How does the action alter the long-term flourishing and future state space of the relevant World Context?”</w:t>
            </w:r>
          </w:p>
        </w:tc>
      </w:tr>
      <w:tr>
        <w:trPr/>
        <w:tc>
          <w:tcPr>
            <w:tcW w:w="1789" w:type="dxa"/>
            <w:tcBorders/>
            <w:vAlign w:val="center"/>
          </w:tcPr>
          <w:p>
            <w:pPr>
              <w:pStyle w:val="TableContents"/>
              <w:widowControl w:val="false"/>
              <w:suppressLineNumbers/>
              <w:spacing w:before="0" w:after="200"/>
              <w:rPr/>
            </w:pPr>
            <w:r>
              <w:rPr>
                <w:rStyle w:val="Strong"/>
              </w:rPr>
              <w:t>Treatment of tradeoffs</w:t>
            </w:r>
          </w:p>
        </w:tc>
        <w:tc>
          <w:tcPr>
            <w:tcW w:w="3254" w:type="dxa"/>
            <w:tcBorders/>
            <w:vAlign w:val="center"/>
          </w:tcPr>
          <w:p>
            <w:pPr>
              <w:pStyle w:val="TableContents"/>
              <w:widowControl w:val="false"/>
              <w:suppressLineNumbers/>
              <w:spacing w:before="0" w:after="200"/>
              <w:rPr/>
            </w:pPr>
            <w:r>
              <w:rPr/>
              <w:t>Rights may block or strongly constrain welfare-based tradeoffs</w:t>
            </w:r>
          </w:p>
        </w:tc>
        <w:tc>
          <w:tcPr>
            <w:tcW w:w="3597" w:type="dxa"/>
            <w:tcBorders/>
            <w:vAlign w:val="center"/>
          </w:tcPr>
          <w:p>
            <w:pPr>
              <w:pStyle w:val="TableContents"/>
              <w:widowControl w:val="false"/>
              <w:suppressLineNumbers/>
              <w:spacing w:before="0" w:after="200"/>
              <w:rPr/>
            </w:pPr>
            <w:r>
              <w:rPr/>
              <w:t>Competing consequences, constraints, probabilities, and time horizons are evaluated together</w:t>
            </w:r>
          </w:p>
        </w:tc>
      </w:tr>
      <w:tr>
        <w:trPr/>
        <w:tc>
          <w:tcPr>
            <w:tcW w:w="1789" w:type="dxa"/>
            <w:tcBorders/>
            <w:vAlign w:val="center"/>
          </w:tcPr>
          <w:p>
            <w:pPr>
              <w:pStyle w:val="TableContents"/>
              <w:widowControl w:val="false"/>
              <w:suppressLineNumbers/>
              <w:spacing w:before="0" w:after="200"/>
              <w:rPr/>
            </w:pPr>
            <w:r>
              <w:rPr>
                <w:rStyle w:val="Strong"/>
              </w:rPr>
              <w:t>Aggregation</w:t>
            </w:r>
          </w:p>
        </w:tc>
        <w:tc>
          <w:tcPr>
            <w:tcW w:w="3254" w:type="dxa"/>
            <w:tcBorders/>
            <w:vAlign w:val="center"/>
          </w:tcPr>
          <w:p>
            <w:pPr>
              <w:pStyle w:val="TableContents"/>
              <w:widowControl w:val="false"/>
              <w:suppressLineNumbers/>
              <w:spacing w:before="0" w:after="200"/>
              <w:rPr/>
            </w:pPr>
            <w:r>
              <w:rPr/>
              <w:t>Aggregate benefit may be insufficient to override an individual right</w:t>
            </w:r>
          </w:p>
        </w:tc>
        <w:tc>
          <w:tcPr>
            <w:tcW w:w="3597" w:type="dxa"/>
            <w:tcBorders/>
            <w:vAlign w:val="center"/>
          </w:tcPr>
          <w:p>
            <w:pPr>
              <w:pStyle w:val="TableContents"/>
              <w:widowControl w:val="false"/>
              <w:suppressLineNumbers/>
              <w:spacing w:before="0" w:after="200"/>
              <w:rPr/>
            </w:pPr>
            <w:r>
              <w:rPr/>
              <w:t>Aggregate metrics may inform the assessment but do not replace evaluation of the complete transition</w:t>
            </w:r>
          </w:p>
        </w:tc>
      </w:tr>
      <w:tr>
        <w:trPr/>
        <w:tc>
          <w:tcPr>
            <w:tcW w:w="1789" w:type="dxa"/>
            <w:tcBorders/>
            <w:vAlign w:val="center"/>
          </w:tcPr>
          <w:p>
            <w:pPr>
              <w:pStyle w:val="TableContents"/>
              <w:widowControl w:val="false"/>
              <w:suppressLineNumbers/>
              <w:spacing w:before="0" w:after="200"/>
              <w:rPr/>
            </w:pPr>
            <w:r>
              <w:rPr>
                <w:rStyle w:val="Strong"/>
              </w:rPr>
              <w:t>Scope of moral standing</w:t>
            </w:r>
          </w:p>
        </w:tc>
        <w:tc>
          <w:tcPr>
            <w:tcW w:w="3254" w:type="dxa"/>
            <w:tcBorders/>
            <w:vAlign w:val="center"/>
          </w:tcPr>
          <w:p>
            <w:pPr>
              <w:pStyle w:val="TableContents"/>
              <w:widowControl w:val="false"/>
              <w:suppressLineNumbers/>
              <w:spacing w:before="0" w:after="200"/>
              <w:rPr/>
            </w:pPr>
            <w:r>
              <w:rPr/>
              <w:t>Often centered on persons, citizens, or entities capable of holding interests or claims</w:t>
            </w:r>
          </w:p>
        </w:tc>
        <w:tc>
          <w:tcPr>
            <w:tcW w:w="3597" w:type="dxa"/>
            <w:tcBorders/>
            <w:vAlign w:val="center"/>
          </w:tcPr>
          <w:p>
            <w:pPr>
              <w:pStyle w:val="TableContents"/>
              <w:widowControl w:val="false"/>
              <w:suppressLineNumbers/>
              <w:spacing w:before="0" w:after="200"/>
              <w:rPr/>
            </w:pPr>
            <w:r>
              <w:rPr/>
              <w:t>Potentially includes a broader class of persistent adaptive and autopoietic entities</w:t>
            </w:r>
          </w:p>
        </w:tc>
      </w:tr>
      <w:tr>
        <w:trPr/>
        <w:tc>
          <w:tcPr>
            <w:tcW w:w="1789" w:type="dxa"/>
            <w:tcBorders/>
            <w:vAlign w:val="center"/>
          </w:tcPr>
          <w:p>
            <w:pPr>
              <w:pStyle w:val="TableContents"/>
              <w:widowControl w:val="false"/>
              <w:suppressLineNumbers/>
              <w:spacing w:before="0" w:after="200"/>
              <w:rPr/>
            </w:pPr>
            <w:r>
              <w:rPr>
                <w:rStyle w:val="Strong"/>
              </w:rPr>
              <w:t>Institutional recognition</w:t>
            </w:r>
          </w:p>
        </w:tc>
        <w:tc>
          <w:tcPr>
            <w:tcW w:w="3254" w:type="dxa"/>
            <w:tcBorders/>
            <w:vAlign w:val="center"/>
          </w:tcPr>
          <w:p>
            <w:pPr>
              <w:pStyle w:val="TableContents"/>
              <w:widowControl w:val="false"/>
              <w:suppressLineNumbers/>
              <w:spacing w:before="0" w:after="200"/>
              <w:rPr/>
            </w:pPr>
            <w:r>
              <w:rPr/>
              <w:t>Explicitly distinguishes moral rights from legal and institutional rights</w:t>
            </w:r>
          </w:p>
        </w:tc>
        <w:tc>
          <w:tcPr>
            <w:tcW w:w="3597" w:type="dxa"/>
            <w:tcBorders/>
            <w:vAlign w:val="center"/>
          </w:tcPr>
          <w:p>
            <w:pPr>
              <w:pStyle w:val="TableContents"/>
              <w:widowControl w:val="false"/>
              <w:suppressLineNumbers/>
              <w:spacing w:before="0" w:after="200"/>
              <w:rPr/>
            </w:pPr>
            <w:r>
              <w:rPr/>
              <w:t>Can model institutions but does not inherently determine whether an institutional rule creates a valid moral right</w:t>
            </w:r>
          </w:p>
        </w:tc>
      </w:tr>
      <w:tr>
        <w:trPr/>
        <w:tc>
          <w:tcPr>
            <w:tcW w:w="1789" w:type="dxa"/>
            <w:tcBorders/>
            <w:vAlign w:val="center"/>
          </w:tcPr>
          <w:p>
            <w:pPr>
              <w:pStyle w:val="TableContents"/>
              <w:widowControl w:val="false"/>
              <w:suppressLineNumbers/>
              <w:spacing w:before="0" w:after="200"/>
              <w:rPr/>
            </w:pPr>
            <w:r>
              <w:rPr>
                <w:rStyle w:val="Strong"/>
              </w:rPr>
              <w:t>Remedies</w:t>
            </w:r>
          </w:p>
        </w:tc>
        <w:tc>
          <w:tcPr>
            <w:tcW w:w="3254" w:type="dxa"/>
            <w:tcBorders/>
            <w:vAlign w:val="center"/>
          </w:tcPr>
          <w:p>
            <w:pPr>
              <w:pStyle w:val="TableContents"/>
              <w:widowControl w:val="false"/>
              <w:suppressLineNumbers/>
              <w:spacing w:before="0" w:after="200"/>
              <w:rPr/>
            </w:pPr>
            <w:r>
              <w:rPr/>
              <w:t>Enforcement, restitution, compensation, and institutional correction are central</w:t>
            </w:r>
          </w:p>
        </w:tc>
        <w:tc>
          <w:tcPr>
            <w:tcW w:w="3597" w:type="dxa"/>
            <w:tcBorders/>
            <w:vAlign w:val="center"/>
          </w:tcPr>
          <w:p>
            <w:pPr>
              <w:pStyle w:val="TableContents"/>
              <w:widowControl w:val="false"/>
              <w:suppressLineNumbers/>
              <w:spacing w:before="0" w:after="200"/>
              <w:rPr/>
            </w:pPr>
            <w:r>
              <w:rPr/>
              <w:t>Corrective transitions can be assessed, but remedies are not yet a distinct foundational category</w:t>
            </w:r>
          </w:p>
        </w:tc>
      </w:tr>
      <w:tr>
        <w:trPr/>
        <w:tc>
          <w:tcPr>
            <w:tcW w:w="1789" w:type="dxa"/>
            <w:tcBorders/>
            <w:vAlign w:val="center"/>
          </w:tcPr>
          <w:p>
            <w:pPr>
              <w:pStyle w:val="TableContents"/>
              <w:widowControl w:val="false"/>
              <w:suppressLineNumbers/>
              <w:spacing w:before="0" w:after="200"/>
              <w:rPr/>
            </w:pPr>
            <w:r>
              <w:rPr>
                <w:rStyle w:val="Strong"/>
              </w:rPr>
              <w:t>Uncertainty</w:t>
            </w:r>
          </w:p>
        </w:tc>
        <w:tc>
          <w:tcPr>
            <w:tcW w:w="3254" w:type="dxa"/>
            <w:tcBorders/>
            <w:vAlign w:val="center"/>
          </w:tcPr>
          <w:p>
            <w:pPr>
              <w:pStyle w:val="TableContents"/>
              <w:widowControl w:val="false"/>
              <w:suppressLineNumbers/>
              <w:spacing w:before="0" w:after="200"/>
              <w:rPr/>
            </w:pPr>
            <w:r>
              <w:rPr/>
              <w:t>Often asks whether a decision creates an impermissible risk of violating a right</w:t>
            </w:r>
          </w:p>
        </w:tc>
        <w:tc>
          <w:tcPr>
            <w:tcW w:w="3597" w:type="dxa"/>
            <w:tcBorders/>
            <w:vAlign w:val="center"/>
          </w:tcPr>
          <w:p>
            <w:pPr>
              <w:pStyle w:val="TableContents"/>
              <w:widowControl w:val="false"/>
              <w:suppressLineNumbers/>
              <w:spacing w:before="0" w:after="200"/>
              <w:rPr/>
            </w:pPr>
            <w:r>
              <w:rPr/>
              <w:t>Explicitly incorporates evidentiary confidence, probability, and multiple future horizons</w:t>
            </w:r>
          </w:p>
        </w:tc>
      </w:tr>
      <w:tr>
        <w:trPr/>
        <w:tc>
          <w:tcPr>
            <w:tcW w:w="1789" w:type="dxa"/>
            <w:tcBorders/>
            <w:vAlign w:val="center"/>
          </w:tcPr>
          <w:p>
            <w:pPr>
              <w:pStyle w:val="TableContents"/>
              <w:widowControl w:val="false"/>
              <w:suppressLineNumbers/>
              <w:spacing w:before="0" w:after="200"/>
              <w:rPr/>
            </w:pPr>
            <w:r>
              <w:rPr>
                <w:rStyle w:val="Strong"/>
              </w:rPr>
              <w:t>Decision output</w:t>
            </w:r>
          </w:p>
        </w:tc>
        <w:tc>
          <w:tcPr>
            <w:tcW w:w="3254" w:type="dxa"/>
            <w:tcBorders/>
            <w:vAlign w:val="center"/>
          </w:tcPr>
          <w:p>
            <w:pPr>
              <w:pStyle w:val="TableContents"/>
              <w:widowControl w:val="false"/>
              <w:suppressLineNumbers/>
              <w:spacing w:before="0" w:after="200"/>
              <w:rPr/>
            </w:pPr>
            <w:r>
              <w:rPr/>
              <w:t>Typically identifies compliance, infringement, violation, justification, and remedy</w:t>
            </w:r>
          </w:p>
        </w:tc>
        <w:tc>
          <w:tcPr>
            <w:tcW w:w="3597" w:type="dxa"/>
            <w:tcBorders/>
            <w:vAlign w:val="center"/>
          </w:tcPr>
          <w:p>
            <w:pPr>
              <w:pStyle w:val="TableContents"/>
              <w:widowControl w:val="false"/>
              <w:suppressLineNumbers/>
              <w:spacing w:before="0" w:after="200"/>
              <w:rPr/>
            </w:pPr>
            <w:r>
              <w:rPr/>
              <w:t>Produces a broader assessment of consequences, flourishing, responsibility, and systemic effects</w:t>
            </w:r>
          </w:p>
        </w:tc>
      </w:tr>
    </w:tbl>
    <w:p>
      <w:pPr>
        <w:pStyle w:val="Heading3"/>
        <w:spacing w:before="0" w:after="200"/>
        <w:ind w:hanging="0" w:left="0"/>
        <w:rPr>
          <w:rFonts w:ascii="Aptos" w:hAnsi="Aptos"/>
          <w:color w:val="auto"/>
        </w:rPr>
      </w:pPr>
      <w:r>
        <w:rPr>
          <w:rFonts w:ascii="Aptos" w:hAnsi="Aptos"/>
          <w:color w:val="auto"/>
        </w:rPr>
        <w:t>Potential Integration Opportunities</w:t>
      </w:r>
    </w:p>
    <w:p>
      <w:pPr>
        <w:pStyle w:val="BodyText"/>
        <w:spacing w:before="0" w:after="200"/>
        <w:rPr/>
      </w:pPr>
      <w:r>
        <w:rPr/>
        <w:t>The framework could integrate rights-based ethics more explicitly through the following extensions:</w:t>
      </w:r>
    </w:p>
    <w:p>
      <w:pPr>
        <w:pStyle w:val="BodyText"/>
        <w:numPr>
          <w:ilvl w:val="0"/>
          <w:numId w:val="50"/>
        </w:numPr>
        <w:tabs>
          <w:tab w:val="clear" w:pos="720"/>
          <w:tab w:val="left" w:pos="0" w:leader="none"/>
        </w:tabs>
        <w:spacing w:before="0" w:after="200"/>
        <w:ind w:hanging="283" w:left="709"/>
        <w:rPr/>
      </w:pPr>
      <w:r>
        <w:rPr>
          <w:rStyle w:val="Strong"/>
        </w:rPr>
        <w:t>Add a formal rights ontology.</w:t>
      </w:r>
      <w:r>
        <w:rPr/>
        <w:t xml:space="preserve"> Each right could identify the right-holder, duty-bearer, Hohfeldian incident, protected interest, source, scope, duration, jurisdiction, exceptions, and applicable remedy.</w:t>
      </w:r>
    </w:p>
    <w:p>
      <w:pPr>
        <w:pStyle w:val="BodyText"/>
        <w:numPr>
          <w:ilvl w:val="0"/>
          <w:numId w:val="50"/>
        </w:numPr>
        <w:tabs>
          <w:tab w:val="clear" w:pos="720"/>
          <w:tab w:val="left" w:pos="0" w:leader="none"/>
        </w:tabs>
        <w:spacing w:before="0" w:after="200"/>
        <w:ind w:hanging="283" w:left="709"/>
        <w:rPr/>
      </w:pPr>
      <w:r>
        <w:rPr>
          <w:rStyle w:val="Strong"/>
        </w:rPr>
        <w:t>Distinguish moral, legal, contractual, and institutional rights.</w:t>
      </w:r>
      <w:r>
        <w:rPr/>
        <w:t xml:space="preserve"> Rights should carry source metadata so that legal recognition is not treated as conclusive evidence of moral validity.</w:t>
      </w:r>
    </w:p>
    <w:p>
      <w:pPr>
        <w:pStyle w:val="BodyText"/>
        <w:numPr>
          <w:ilvl w:val="0"/>
          <w:numId w:val="50"/>
        </w:numPr>
        <w:tabs>
          <w:tab w:val="clear" w:pos="720"/>
          <w:tab w:val="left" w:pos="0" w:leader="none"/>
        </w:tabs>
        <w:spacing w:before="0" w:after="200"/>
        <w:ind w:hanging="283" w:left="709"/>
        <w:rPr/>
      </w:pPr>
      <w:r>
        <w:rPr>
          <w:rStyle w:val="Strong"/>
        </w:rPr>
        <w:t>Introduce rights-based decision gates.</w:t>
      </w:r>
      <w:r>
        <w:rPr/>
        <w:t xml:space="preserve"> Certain actions could be excluded before aggregate comparison when they violate an absolute or non-waivable right. Other rights could operate as strong presumptions that may be overridden only under defined conditions.</w:t>
      </w:r>
    </w:p>
    <w:p>
      <w:pPr>
        <w:pStyle w:val="BodyText"/>
        <w:numPr>
          <w:ilvl w:val="0"/>
          <w:numId w:val="50"/>
        </w:numPr>
        <w:tabs>
          <w:tab w:val="clear" w:pos="720"/>
          <w:tab w:val="left" w:pos="0" w:leader="none"/>
        </w:tabs>
        <w:spacing w:before="0" w:after="200"/>
        <w:ind w:hanging="283" w:left="709"/>
        <w:rPr/>
      </w:pPr>
      <w:r>
        <w:rPr>
          <w:rStyle w:val="Strong"/>
        </w:rPr>
        <w:t>Classify the strength of rights.</w:t>
      </w:r>
      <w:r>
        <w:rPr/>
        <w:t xml:space="preserve"> The system could distinguish absolute rights, threshold rights, presumptive rights, defeasible rights, and institution-dependent entitlements.</w:t>
      </w:r>
    </w:p>
    <w:p>
      <w:pPr>
        <w:pStyle w:val="BodyText"/>
        <w:numPr>
          <w:ilvl w:val="0"/>
          <w:numId w:val="50"/>
        </w:numPr>
        <w:tabs>
          <w:tab w:val="clear" w:pos="720"/>
          <w:tab w:val="left" w:pos="0" w:leader="none"/>
        </w:tabs>
        <w:spacing w:before="0" w:after="200"/>
        <w:ind w:hanging="283" w:left="709"/>
        <w:rPr/>
      </w:pPr>
      <w:r>
        <w:rPr>
          <w:rStyle w:val="Strong"/>
        </w:rPr>
        <w:t>Represent duties to respect, protect, and fulfill.</w:t>
      </w:r>
      <w:r>
        <w:rPr/>
        <w:t xml:space="preserve"> This would distinguish direct noninterference, protection against third parties, and affirmative provision of necessary support.</w:t>
      </w:r>
    </w:p>
    <w:p>
      <w:pPr>
        <w:pStyle w:val="BodyText"/>
        <w:numPr>
          <w:ilvl w:val="0"/>
          <w:numId w:val="50"/>
        </w:numPr>
        <w:tabs>
          <w:tab w:val="clear" w:pos="720"/>
          <w:tab w:val="left" w:pos="0" w:leader="none"/>
        </w:tabs>
        <w:spacing w:before="0" w:after="200"/>
        <w:ind w:hanging="283" w:left="709"/>
        <w:rPr/>
      </w:pPr>
      <w:r>
        <w:rPr>
          <w:rStyle w:val="Strong"/>
        </w:rPr>
        <w:t>Add a rights-impact assessment.</w:t>
      </w:r>
      <w:r>
        <w:rPr/>
        <w:t xml:space="preserve"> Every Assessed Action could identify affected right-holders, possible infringements, duty-bearers, severity, duration, reversibility, evidentiary confidence, and available alternatives.</w:t>
      </w:r>
    </w:p>
    <w:p>
      <w:pPr>
        <w:pStyle w:val="BodyText"/>
        <w:numPr>
          <w:ilvl w:val="0"/>
          <w:numId w:val="50"/>
        </w:numPr>
        <w:tabs>
          <w:tab w:val="clear" w:pos="720"/>
          <w:tab w:val="left" w:pos="0" w:leader="none"/>
        </w:tabs>
        <w:spacing w:before="0" w:after="200"/>
        <w:ind w:hanging="283" w:left="709"/>
        <w:rPr/>
      </w:pPr>
      <w:r>
        <w:rPr>
          <w:rStyle w:val="Strong"/>
        </w:rPr>
        <w:t>Formalize consent and waiver.</w:t>
      </w:r>
      <w:r>
        <w:rPr/>
        <w:t xml:space="preserve"> The framework could test whether consent is informed, voluntary, competent, specific, current, and revocable, and whether the relevant right is legally or morally waivable.</w:t>
      </w:r>
    </w:p>
    <w:p>
      <w:pPr>
        <w:pStyle w:val="BodyText"/>
        <w:numPr>
          <w:ilvl w:val="0"/>
          <w:numId w:val="50"/>
        </w:numPr>
        <w:tabs>
          <w:tab w:val="clear" w:pos="720"/>
          <w:tab w:val="left" w:pos="0" w:leader="none"/>
        </w:tabs>
        <w:spacing w:before="0" w:after="200"/>
        <w:ind w:hanging="283" w:left="709"/>
        <w:rPr/>
      </w:pPr>
      <w:r>
        <w:rPr>
          <w:rStyle w:val="Strong"/>
        </w:rPr>
        <w:t>Model powers and immunities alongside claims.</w:t>
      </w:r>
      <w:r>
        <w:rPr/>
        <w:t xml:space="preserve"> This would improve the analysis of institutional authority, jurisdiction, delegation, status changes, contractual relationships, and unauthorized interference.</w:t>
      </w:r>
    </w:p>
    <w:p>
      <w:pPr>
        <w:pStyle w:val="BodyText"/>
        <w:numPr>
          <w:ilvl w:val="0"/>
          <w:numId w:val="50"/>
        </w:numPr>
        <w:tabs>
          <w:tab w:val="clear" w:pos="720"/>
          <w:tab w:val="left" w:pos="0" w:leader="none"/>
        </w:tabs>
        <w:spacing w:before="0" w:after="200"/>
        <w:ind w:hanging="283" w:left="709"/>
        <w:rPr/>
      </w:pPr>
      <w:r>
        <w:rPr>
          <w:rStyle w:val="Strong"/>
        </w:rPr>
        <w:t>Establish conflict-resolution criteria.</w:t>
      </w:r>
      <w:r>
        <w:rPr/>
        <w:t xml:space="preserve"> Conflicting rights could be evaluated through necessity, proportionality, least-restrictive means, nondiscrimination, minimum protected levels, and independent review.</w:t>
      </w:r>
    </w:p>
    <w:p>
      <w:pPr>
        <w:pStyle w:val="BodyText"/>
        <w:numPr>
          <w:ilvl w:val="0"/>
          <w:numId w:val="50"/>
        </w:numPr>
        <w:tabs>
          <w:tab w:val="clear" w:pos="720"/>
          <w:tab w:val="left" w:pos="0" w:leader="none"/>
        </w:tabs>
        <w:spacing w:before="0" w:after="200"/>
        <w:ind w:hanging="283" w:left="709"/>
        <w:rPr/>
      </w:pPr>
      <w:r>
        <w:rPr>
          <w:rStyle w:val="Strong"/>
        </w:rPr>
        <w:t>Incorporate procedural rights.</w:t>
      </w:r>
      <w:r>
        <w:rPr/>
        <w:t xml:space="preserve"> Notice, access to information, participation, representation, appeal, and impartial adjudication could be treated as ethically significant even when the predicted substantive outcome appears beneficial.</w:t>
      </w:r>
    </w:p>
    <w:p>
      <w:pPr>
        <w:pStyle w:val="BodyText"/>
        <w:numPr>
          <w:ilvl w:val="0"/>
          <w:numId w:val="50"/>
        </w:numPr>
        <w:tabs>
          <w:tab w:val="clear" w:pos="720"/>
          <w:tab w:val="left" w:pos="0" w:leader="none"/>
        </w:tabs>
        <w:spacing w:before="0" w:after="200"/>
        <w:ind w:hanging="283" w:left="709"/>
        <w:rPr/>
      </w:pPr>
      <w:r>
        <w:rPr>
          <w:rStyle w:val="Strong"/>
        </w:rPr>
        <w:t>Add remedy requirements.</w:t>
      </w:r>
      <w:r>
        <w:rPr/>
        <w:t xml:space="preserve"> A confirmed violation could activate duties of cessation, restoration, compensation, acknowledgment, institutional correction, and prevention of recurrence.</w:t>
      </w:r>
    </w:p>
    <w:p>
      <w:pPr>
        <w:pStyle w:val="BodyText"/>
        <w:numPr>
          <w:ilvl w:val="0"/>
          <w:numId w:val="50"/>
        </w:numPr>
        <w:tabs>
          <w:tab w:val="clear" w:pos="720"/>
          <w:tab w:val="left" w:pos="0" w:leader="none"/>
        </w:tabs>
        <w:spacing w:before="0" w:after="200"/>
        <w:ind w:hanging="283" w:left="709"/>
        <w:rPr/>
      </w:pPr>
      <w:r>
        <w:rPr>
          <w:rStyle w:val="Strong"/>
        </w:rPr>
        <w:t>Protect vulnerable and underrepresented entities.</w:t>
      </w:r>
      <w:r>
        <w:rPr/>
        <w:t xml:space="preserve"> Rights-based constraints could prevent low-power entities from being assigned negligible weight merely because their interests are difficult to quantify or politically underrepresented.</w:t>
      </w:r>
    </w:p>
    <w:p>
      <w:pPr>
        <w:pStyle w:val="BodyText"/>
        <w:numPr>
          <w:ilvl w:val="0"/>
          <w:numId w:val="50"/>
        </w:numPr>
        <w:tabs>
          <w:tab w:val="clear" w:pos="720"/>
          <w:tab w:val="left" w:pos="0" w:leader="none"/>
        </w:tabs>
        <w:spacing w:before="0" w:after="200"/>
        <w:ind w:hanging="283" w:left="709"/>
        <w:rPr/>
      </w:pPr>
      <w:r>
        <w:rPr>
          <w:rStyle w:val="Strong"/>
        </w:rPr>
        <w:t>Extend rights analysis across time.</w:t>
      </w:r>
      <w:r>
        <w:rPr/>
        <w:t xml:space="preserve"> The framework could evaluate possible rights held by future persons or other future Flourishing Entities and specify how those interests are represented in present decisions.</w:t>
      </w:r>
    </w:p>
    <w:p>
      <w:pPr>
        <w:pStyle w:val="BodyText"/>
        <w:numPr>
          <w:ilvl w:val="0"/>
          <w:numId w:val="50"/>
        </w:numPr>
        <w:tabs>
          <w:tab w:val="clear" w:pos="720"/>
          <w:tab w:val="left" w:pos="0" w:leader="none"/>
        </w:tabs>
        <w:spacing w:before="0" w:after="200"/>
        <w:ind w:hanging="283" w:left="709"/>
        <w:rPr/>
      </w:pPr>
      <w:r>
        <w:rPr>
          <w:rStyle w:val="Strong"/>
        </w:rPr>
        <w:t>Address nonhuman and artificial entities explicitly.</w:t>
      </w:r>
      <w:r>
        <w:rPr/>
        <w:t xml:space="preserve"> The framework could establish criteria for determining when an adaptive, autopoietic, artificial, or collective entity is capable of holding a right, and what kinds of rights its characteristics could support.</w:t>
      </w:r>
    </w:p>
    <w:p>
      <w:pPr>
        <w:pStyle w:val="BodyText"/>
        <w:numPr>
          <w:ilvl w:val="0"/>
          <w:numId w:val="50"/>
        </w:numPr>
        <w:tabs>
          <w:tab w:val="clear" w:pos="720"/>
          <w:tab w:val="left" w:pos="0" w:leader="none"/>
        </w:tabs>
        <w:spacing w:before="0" w:after="200"/>
        <w:ind w:hanging="283" w:left="709"/>
        <w:rPr/>
      </w:pPr>
      <w:r>
        <w:rPr>
          <w:rStyle w:val="Strong"/>
        </w:rPr>
        <w:t>Produce a dual-layer conclusion.</w:t>
      </w:r>
      <w:r>
        <w:rPr/>
        <w:t xml:space="preserve"> Each assessment could report both:</w:t>
      </w:r>
    </w:p>
    <w:p>
      <w:pPr>
        <w:pStyle w:val="BodyText"/>
        <w:numPr>
          <w:ilvl w:val="1"/>
          <w:numId w:val="50"/>
        </w:numPr>
        <w:tabs>
          <w:tab w:val="clear" w:pos="720"/>
          <w:tab w:val="left" w:pos="0" w:leader="none"/>
        </w:tabs>
        <w:spacing w:before="0" w:after="200"/>
        <w:ind w:hanging="283" w:left="1418"/>
        <w:rPr/>
      </w:pPr>
      <w:r>
        <w:rPr/>
        <w:t>The overall effect of the Assessed Action on the World Context and long-term flourishing; and</w:t>
      </w:r>
    </w:p>
    <w:p>
      <w:pPr>
        <w:pStyle w:val="BodyText"/>
        <w:numPr>
          <w:ilvl w:val="1"/>
          <w:numId w:val="50"/>
        </w:numPr>
        <w:tabs>
          <w:tab w:val="clear" w:pos="720"/>
          <w:tab w:val="left" w:pos="0" w:leader="none"/>
        </w:tabs>
        <w:spacing w:before="0" w:after="200"/>
        <w:ind w:hanging="283" w:left="1418"/>
        <w:rPr/>
      </w:pPr>
      <w:r>
        <w:rPr/>
        <w:t>Whether the action respects, limits, overrides, or violates any applicable right.</w:t>
      </w:r>
    </w:p>
    <w:p>
      <w:pPr>
        <w:pStyle w:val="BodyText"/>
        <w:spacing w:before="0" w:after="200"/>
        <w:rPr/>
      </w:pPr>
      <w:r>
        <w:rPr/>
        <w:t>This integration would preserve the framework’s systems-level and consequence-sensitive analysis while ensuring that individual entities are not treated merely as interchangeable components of aggregate flourishing.</w:t>
      </w:r>
    </w:p>
    <w:p>
      <w:pPr>
        <w:pStyle w:val="Heading2"/>
        <w:rPr/>
      </w:pPr>
      <w:bookmarkStart w:id="13" w:name="__RefHeading___Toc47050_4084717531"/>
      <w:bookmarkEnd w:id="13"/>
      <w:r>
        <w:rPr/>
        <w:t>Virtue Ethics</w:t>
      </w:r>
    </w:p>
    <w:p>
      <w:pPr>
        <w:pStyle w:val="BodyText"/>
        <w:spacing w:before="0" w:after="200"/>
        <w:rPr/>
      </w:pPr>
      <w:r>
        <w:rPr/>
        <w:t>Virtue ethics is a family of normative approaches that places the character of the Moral Agent, the development of moral excellence, and the pursuit of a flourishing life at the center of ethical assessment. In contrast to theories that begin with duties or consequences, virtue ethics asks what kind of person an Actor is becoming, what a practically wise and virtuous person would do in the circumstances, and whether the Actor’s conduct contributes to a well-lived life within a flourishing community. Its central concepts commonly include virtue or excellence (</w:t>
      </w:r>
      <w:r>
        <w:rPr>
          <w:rStyle w:val="Emphasis"/>
        </w:rPr>
        <w:t>aretê</w:t>
      </w:r>
      <w:r>
        <w:rPr/>
        <w:t>), practical wisdom (</w:t>
      </w:r>
      <w:r>
        <w:rPr>
          <w:rStyle w:val="Emphasis"/>
        </w:rPr>
        <w:t>phronesis</w:t>
      </w:r>
      <w:r>
        <w:rPr/>
        <w:t>), and flourishing (</w:t>
      </w:r>
      <w:r>
        <w:rPr>
          <w:rStyle w:val="Emphasis"/>
        </w:rPr>
        <w:t>eudaimonia</w:t>
      </w:r>
      <w:r>
        <w:rPr/>
        <w:t xml:space="preserve">). Contemporary approaches include eudaimonist, agent-based, exemplarist, target-centered, and Platonistic forms. </w:t>
      </w:r>
      <w:hyperlink r:id="rId30">
        <w:r>
          <w:rPr>
            <w:rStyle w:val="Hyperlink"/>
          </w:rPr>
          <w:t>Stanford Encyclopedia of Philosophy</w:t>
        </w:r>
      </w:hyperlink>
    </w:p>
    <w:p>
      <w:pPr>
        <w:pStyle w:val="Heading3"/>
        <w:rPr/>
      </w:pPr>
      <w:r>
        <w:rPr/>
        <w:t>Primary Experts</w:t>
      </w:r>
    </w:p>
    <w:tbl>
      <w:tblPr>
        <w:tblW w:w="8640" w:type="dxa"/>
        <w:jc w:val="left"/>
        <w:tblInd w:w="28" w:type="dxa"/>
        <w:tblLayout w:type="fixed"/>
        <w:tblCellMar>
          <w:top w:w="28" w:type="dxa"/>
          <w:left w:w="28" w:type="dxa"/>
          <w:bottom w:w="28" w:type="dxa"/>
          <w:right w:w="28" w:type="dxa"/>
        </w:tblCellMar>
      </w:tblPr>
      <w:tblGrid>
        <w:gridCol w:w="1213"/>
        <w:gridCol w:w="718"/>
        <w:gridCol w:w="2313"/>
        <w:gridCol w:w="4396"/>
      </w:tblGrid>
      <w:tr>
        <w:trPr>
          <w:tblHeader w:val="true"/>
        </w:trPr>
        <w:tc>
          <w:tcPr>
            <w:tcW w:w="1213" w:type="dxa"/>
            <w:tcBorders/>
            <w:vAlign w:val="center"/>
          </w:tcPr>
          <w:p>
            <w:pPr>
              <w:pStyle w:val="TableHeading"/>
              <w:suppressLineNumbers/>
              <w:spacing w:before="0" w:after="200"/>
              <w:jc w:val="center"/>
              <w:rPr/>
            </w:pPr>
            <w:r>
              <w:rPr/>
              <w:t>Expert</w:t>
            </w:r>
          </w:p>
        </w:tc>
        <w:tc>
          <w:tcPr>
            <w:tcW w:w="718" w:type="dxa"/>
            <w:tcBorders/>
            <w:vAlign w:val="center"/>
          </w:tcPr>
          <w:p>
            <w:pPr>
              <w:pStyle w:val="TableHeading"/>
              <w:spacing w:before="0" w:after="200"/>
              <w:jc w:val="right"/>
              <w:rPr/>
            </w:pPr>
            <w:r>
              <w:rPr/>
              <w:t>Life</w:t>
            </w:r>
          </w:p>
        </w:tc>
        <w:tc>
          <w:tcPr>
            <w:tcW w:w="2313" w:type="dxa"/>
            <w:tcBorders/>
            <w:vAlign w:val="center"/>
          </w:tcPr>
          <w:p>
            <w:pPr>
              <w:pStyle w:val="TableHeading"/>
              <w:suppressLineNumbers/>
              <w:spacing w:before="0" w:after="200"/>
              <w:jc w:val="center"/>
              <w:rPr/>
            </w:pPr>
            <w:r>
              <w:rPr/>
              <w:t>Associated institution</w:t>
            </w:r>
          </w:p>
        </w:tc>
        <w:tc>
          <w:tcPr>
            <w:tcW w:w="4396" w:type="dxa"/>
            <w:tcBorders/>
            <w:vAlign w:val="center"/>
          </w:tcPr>
          <w:p>
            <w:pPr>
              <w:pStyle w:val="TableHeading"/>
              <w:suppressLineNumbers/>
              <w:spacing w:before="0" w:after="200"/>
              <w:jc w:val="center"/>
              <w:rPr/>
            </w:pPr>
            <w:r>
              <w:rPr/>
              <w:t>Principal contribution</w:t>
            </w:r>
          </w:p>
        </w:tc>
      </w:tr>
      <w:tr>
        <w:trPr/>
        <w:tc>
          <w:tcPr>
            <w:tcW w:w="1213" w:type="dxa"/>
            <w:tcBorders/>
            <w:vAlign w:val="center"/>
          </w:tcPr>
          <w:p>
            <w:pPr>
              <w:pStyle w:val="TableContents"/>
              <w:widowControl w:val="false"/>
              <w:suppressLineNumbers/>
              <w:spacing w:before="0" w:after="200"/>
              <w:rPr/>
            </w:pPr>
            <w:r>
              <w:rPr/>
              <w:t>Aristotle</w:t>
            </w:r>
          </w:p>
        </w:tc>
        <w:tc>
          <w:tcPr>
            <w:tcW w:w="718" w:type="dxa"/>
            <w:tcBorders/>
            <w:vAlign w:val="center"/>
          </w:tcPr>
          <w:p>
            <w:pPr>
              <w:pStyle w:val="TableContents"/>
              <w:spacing w:before="0" w:after="200"/>
              <w:jc w:val="right"/>
              <w:rPr/>
            </w:pPr>
            <w:r>
              <w:rPr/>
              <w:t>384–322 BCE</w:t>
            </w:r>
          </w:p>
        </w:tc>
        <w:tc>
          <w:tcPr>
            <w:tcW w:w="2313" w:type="dxa"/>
            <w:tcBorders/>
            <w:vAlign w:val="center"/>
          </w:tcPr>
          <w:p>
            <w:pPr>
              <w:pStyle w:val="TableContents"/>
              <w:widowControl w:val="false"/>
              <w:suppressLineNumbers/>
              <w:spacing w:before="0" w:after="200"/>
              <w:rPr/>
            </w:pPr>
            <w:r>
              <w:rPr/>
              <w:t>Plato’s Academy and the Lyceum in Athens</w:t>
            </w:r>
          </w:p>
        </w:tc>
        <w:tc>
          <w:tcPr>
            <w:tcW w:w="4396" w:type="dxa"/>
            <w:tcBorders/>
            <w:vAlign w:val="center"/>
          </w:tcPr>
          <w:p>
            <w:pPr>
              <w:pStyle w:val="TableContents"/>
              <w:widowControl w:val="false"/>
              <w:suppressLineNumbers/>
              <w:spacing w:before="0" w:after="200"/>
              <w:rPr/>
            </w:pPr>
            <w:r>
              <w:rPr/>
              <w:t xml:space="preserve">Developed the foundational Western account of virtue ethics. Aristotle understood virtues as rational, emotional, and social excellences developed through habituation and guided by practical wisdom. Virtuous activity is a central constituent of </w:t>
            </w:r>
            <w:r>
              <w:rPr>
                <w:rStyle w:val="Emphasis"/>
              </w:rPr>
              <w:t>eudaimonia</w:t>
            </w:r>
            <w:r>
              <w:rPr/>
              <w:t xml:space="preserve">, or living well across a complete life. Aristotle studied at Plato’s Academy and later directed the Lyceum. </w:t>
            </w:r>
            <w:hyperlink r:id="rId31">
              <w:r>
                <w:rPr>
                  <w:rStyle w:val="Hyperlink"/>
                </w:rPr>
                <w:t>Stanford Encyclopedia of Philosophy</w:t>
              </w:r>
            </w:hyperlink>
            <w:r>
              <w:rPr/>
              <w:t xml:space="preserve">, </w:t>
            </w:r>
            <w:hyperlink r:id="rId32">
              <w:r>
                <w:rPr>
                  <w:rStyle w:val="Hyperlink"/>
                </w:rPr>
                <w:t>Aristotle’s Psychology</w:t>
              </w:r>
            </w:hyperlink>
          </w:p>
        </w:tc>
      </w:tr>
      <w:tr>
        <w:trPr/>
        <w:tc>
          <w:tcPr>
            <w:tcW w:w="1213" w:type="dxa"/>
            <w:tcBorders/>
            <w:vAlign w:val="center"/>
          </w:tcPr>
          <w:p>
            <w:pPr>
              <w:pStyle w:val="TableContents"/>
              <w:widowControl w:val="false"/>
              <w:suppressLineNumbers/>
              <w:spacing w:before="0" w:after="200"/>
              <w:rPr/>
            </w:pPr>
            <w:r>
              <w:rPr/>
              <w:t>G. E. M. Anscombe</w:t>
            </w:r>
          </w:p>
        </w:tc>
        <w:tc>
          <w:tcPr>
            <w:tcW w:w="718" w:type="dxa"/>
            <w:tcBorders/>
            <w:vAlign w:val="center"/>
          </w:tcPr>
          <w:p>
            <w:pPr>
              <w:pStyle w:val="TableContents"/>
              <w:spacing w:before="0" w:after="200"/>
              <w:jc w:val="right"/>
              <w:rPr/>
            </w:pPr>
            <w:r>
              <w:rPr/>
              <w:t>1919–2001</w:t>
            </w:r>
          </w:p>
        </w:tc>
        <w:tc>
          <w:tcPr>
            <w:tcW w:w="2313" w:type="dxa"/>
            <w:tcBorders/>
            <w:vAlign w:val="center"/>
          </w:tcPr>
          <w:p>
            <w:pPr>
              <w:pStyle w:val="TableContents"/>
              <w:widowControl w:val="false"/>
              <w:suppressLineNumbers/>
              <w:spacing w:before="0" w:after="200"/>
              <w:rPr/>
            </w:pPr>
            <w:r>
              <w:rPr/>
              <w:t>University of Cambridge—Professor of Philosophy, 1970–1986</w:t>
            </w:r>
          </w:p>
        </w:tc>
        <w:tc>
          <w:tcPr>
            <w:tcW w:w="4396" w:type="dxa"/>
            <w:tcBorders/>
            <w:vAlign w:val="center"/>
          </w:tcPr>
          <w:p>
            <w:pPr>
              <w:pStyle w:val="TableContents"/>
              <w:widowControl w:val="false"/>
              <w:suppressLineNumbers/>
              <w:spacing w:before="0" w:after="200"/>
              <w:rPr/>
            </w:pPr>
            <w:r>
              <w:rPr/>
              <w:t xml:space="preserve">Helped initiate the modern revival of virtue ethics through her critique of modern obligation-centered moral theories and her work on intention, action, and practical reasoning. Her essay “Modern Moral Philosophy” influenced the development of virtue ethics as an alternative to utilitarianism and rule-centered deontology. </w:t>
            </w:r>
            <w:hyperlink r:id="rId33">
              <w:r>
                <w:rPr>
                  <w:rStyle w:val="Hyperlink"/>
                </w:rPr>
                <w:t>University of Cambridge</w:t>
              </w:r>
            </w:hyperlink>
            <w:r>
              <w:rPr/>
              <w:t xml:space="preserve">, </w:t>
            </w:r>
            <w:hyperlink r:id="rId34">
              <w:r>
                <w:rPr>
                  <w:rStyle w:val="Hyperlink"/>
                </w:rPr>
                <w:t>Stanford Encyclopedia of Philosophy</w:t>
              </w:r>
            </w:hyperlink>
          </w:p>
        </w:tc>
      </w:tr>
      <w:tr>
        <w:trPr/>
        <w:tc>
          <w:tcPr>
            <w:tcW w:w="1213" w:type="dxa"/>
            <w:tcBorders/>
            <w:vAlign w:val="center"/>
          </w:tcPr>
          <w:p>
            <w:pPr>
              <w:pStyle w:val="TableContents"/>
              <w:widowControl w:val="false"/>
              <w:suppressLineNumbers/>
              <w:spacing w:before="0" w:after="200"/>
              <w:rPr/>
            </w:pPr>
            <w:r>
              <w:rPr/>
              <w:t>Philippa Foot</w:t>
            </w:r>
          </w:p>
        </w:tc>
        <w:tc>
          <w:tcPr>
            <w:tcW w:w="718" w:type="dxa"/>
            <w:tcBorders/>
            <w:vAlign w:val="center"/>
          </w:tcPr>
          <w:p>
            <w:pPr>
              <w:pStyle w:val="TableContents"/>
              <w:spacing w:before="0" w:after="200"/>
              <w:jc w:val="right"/>
              <w:rPr/>
            </w:pPr>
            <w:r>
              <w:rPr/>
              <w:t>1920–2010</w:t>
            </w:r>
          </w:p>
        </w:tc>
        <w:tc>
          <w:tcPr>
            <w:tcW w:w="2313" w:type="dxa"/>
            <w:tcBorders/>
            <w:vAlign w:val="center"/>
          </w:tcPr>
          <w:p>
            <w:pPr>
              <w:pStyle w:val="TableContents"/>
              <w:widowControl w:val="false"/>
              <w:suppressLineNumbers/>
              <w:spacing w:before="0" w:after="200"/>
              <w:rPr/>
            </w:pPr>
            <w:r>
              <w:rPr/>
              <w:t>University of Oxford—Fellow and Tutor in Philosophy, Somerville College; later associated with the University of California, Los Angeles</w:t>
            </w:r>
          </w:p>
        </w:tc>
        <w:tc>
          <w:tcPr>
            <w:tcW w:w="4396" w:type="dxa"/>
            <w:tcBorders/>
            <w:vAlign w:val="center"/>
          </w:tcPr>
          <w:p>
            <w:pPr>
              <w:pStyle w:val="TableContents"/>
              <w:widowControl w:val="false"/>
              <w:suppressLineNumbers/>
              <w:spacing w:before="0" w:after="200"/>
              <w:rPr/>
            </w:pPr>
            <w:r>
              <w:rPr/>
              <w:t xml:space="preserve">Developed a neo-Aristotelian account of “natural goodness,” arguing that moral virtues are forms of human excellence grounded in the characteristic needs and flourishing of human life. Foot was an important contributor to the twentieth-century revival of virtue ethics. </w:t>
            </w:r>
            <w:hyperlink r:id="rId35">
              <w:r>
                <w:rPr>
                  <w:rStyle w:val="Hyperlink"/>
                </w:rPr>
                <w:t>Somerville College, Oxford</w:t>
              </w:r>
            </w:hyperlink>
            <w:r>
              <w:rPr/>
              <w:t xml:space="preserve">, </w:t>
            </w:r>
            <w:hyperlink r:id="rId36">
              <w:r>
                <w:rPr>
                  <w:rStyle w:val="Hyperlink"/>
                </w:rPr>
                <w:t>Stanford Encyclopedia of Philosophy</w:t>
              </w:r>
            </w:hyperlink>
          </w:p>
        </w:tc>
      </w:tr>
      <w:tr>
        <w:trPr/>
        <w:tc>
          <w:tcPr>
            <w:tcW w:w="1213" w:type="dxa"/>
            <w:tcBorders/>
            <w:vAlign w:val="center"/>
          </w:tcPr>
          <w:p>
            <w:pPr>
              <w:pStyle w:val="TableContents"/>
              <w:widowControl w:val="false"/>
              <w:suppressLineNumbers/>
              <w:spacing w:before="0" w:after="200"/>
              <w:rPr/>
            </w:pPr>
            <w:r>
              <w:rPr/>
              <w:t>Alasdair MacIntyre</w:t>
            </w:r>
          </w:p>
        </w:tc>
        <w:tc>
          <w:tcPr>
            <w:tcW w:w="718" w:type="dxa"/>
            <w:tcBorders/>
            <w:vAlign w:val="center"/>
          </w:tcPr>
          <w:p>
            <w:pPr>
              <w:pStyle w:val="TableContents"/>
              <w:spacing w:before="0" w:after="200"/>
              <w:jc w:val="right"/>
              <w:rPr/>
            </w:pPr>
            <w:r>
              <w:rPr/>
              <w:t>1929–2025</w:t>
            </w:r>
          </w:p>
        </w:tc>
        <w:tc>
          <w:tcPr>
            <w:tcW w:w="2313" w:type="dxa"/>
            <w:tcBorders/>
            <w:vAlign w:val="center"/>
          </w:tcPr>
          <w:p>
            <w:pPr>
              <w:pStyle w:val="TableContents"/>
              <w:widowControl w:val="false"/>
              <w:suppressLineNumbers/>
              <w:spacing w:before="0" w:after="200"/>
              <w:rPr/>
            </w:pPr>
            <w:r>
              <w:rPr/>
              <w:t>University of Notre Dame—Rev. John A. O’Brien Senior Research Professor of Philosophy Emeritus and senior research fellow at the de Nicola Center for Ethics and Culture</w:t>
            </w:r>
          </w:p>
        </w:tc>
        <w:tc>
          <w:tcPr>
            <w:tcW w:w="4396" w:type="dxa"/>
            <w:tcBorders/>
            <w:vAlign w:val="center"/>
          </w:tcPr>
          <w:p>
            <w:pPr>
              <w:pStyle w:val="TableContents"/>
              <w:widowControl w:val="false"/>
              <w:suppressLineNumbers/>
              <w:spacing w:before="0" w:after="200"/>
              <w:rPr/>
            </w:pPr>
            <w:r>
              <w:rPr/>
              <w:t xml:space="preserve">Reframed virtue ethics around practices, internal goods, traditions, communities, and the narrative unity of a human life. </w:t>
            </w:r>
            <w:r>
              <w:rPr>
                <w:rStyle w:val="Emphasis"/>
              </w:rPr>
              <w:t>After Virtue</w:t>
            </w:r>
            <w:r>
              <w:rPr/>
              <w:t xml:space="preserve"> argued that virtues cannot be adequately understood apart from the social practices and historical traditions within which moral reasoning develops. MacIntyre died on May 21, 2025. </w:t>
            </w:r>
            <w:hyperlink r:id="rId37">
              <w:r>
                <w:rPr>
                  <w:rStyle w:val="Hyperlink"/>
                </w:rPr>
                <w:t>University of Notre Dame</w:t>
              </w:r>
            </w:hyperlink>
          </w:p>
        </w:tc>
      </w:tr>
    </w:tbl>
    <w:p>
      <w:pPr>
        <w:pStyle w:val="Heading3"/>
        <w:rPr/>
      </w:pPr>
      <w:r>
        <w:rPr/>
        <w:t>Core Assumptions</w:t>
      </w:r>
    </w:p>
    <w:p>
      <w:pPr>
        <w:pStyle w:val="BodyText"/>
        <w:spacing w:before="0" w:after="200"/>
        <w:rPr/>
      </w:pPr>
      <w:r>
        <w:rPr/>
        <w:t>Virtue ethics includes multiple traditions, but the following assumptions characterize the forms most relevant to the proposed framework.</w:t>
      </w:r>
    </w:p>
    <w:p>
      <w:pPr>
        <w:pStyle w:val="BodyText"/>
        <w:numPr>
          <w:ilvl w:val="0"/>
          <w:numId w:val="40"/>
        </w:numPr>
        <w:tabs>
          <w:tab w:val="clear" w:pos="720"/>
          <w:tab w:val="left" w:pos="0" w:leader="none"/>
        </w:tabs>
        <w:spacing w:before="0" w:after="200"/>
        <w:ind w:hanging="283" w:left="709"/>
        <w:rPr/>
      </w:pPr>
      <w:r>
        <w:rPr>
          <w:rStyle w:val="Strong"/>
        </w:rPr>
        <w:t>Character is central to moral assessment:</w:t>
      </w:r>
      <w:r>
        <w:rPr/>
        <w:t xml:space="preserve"> Ethics concerns not only what an Actor does but also what kind of Moral Agent the Actor is and is becoming.</w:t>
      </w:r>
    </w:p>
    <w:p>
      <w:pPr>
        <w:pStyle w:val="BodyText"/>
        <w:numPr>
          <w:ilvl w:val="0"/>
          <w:numId w:val="40"/>
        </w:numPr>
        <w:tabs>
          <w:tab w:val="clear" w:pos="720"/>
          <w:tab w:val="left" w:pos="0" w:leader="none"/>
        </w:tabs>
        <w:spacing w:before="0" w:after="200"/>
        <w:ind w:hanging="283" w:left="709"/>
        <w:rPr/>
      </w:pPr>
      <w:r>
        <w:rPr>
          <w:rStyle w:val="Strong"/>
        </w:rPr>
        <w:t>Virtues are stable excellences:</w:t>
      </w:r>
      <w:r>
        <w:rPr/>
        <w:t xml:space="preserve"> A virtue is more than an isolated behavior. It is a reliable disposition to perceive, feel, deliberate, choose, and act appropriately within a class of situations.</w:t>
      </w:r>
    </w:p>
    <w:p>
      <w:pPr>
        <w:pStyle w:val="BodyText"/>
        <w:numPr>
          <w:ilvl w:val="0"/>
          <w:numId w:val="40"/>
        </w:numPr>
        <w:tabs>
          <w:tab w:val="clear" w:pos="720"/>
          <w:tab w:val="left" w:pos="0" w:leader="none"/>
        </w:tabs>
        <w:spacing w:before="0" w:after="200"/>
        <w:ind w:hanging="283" w:left="709"/>
        <w:rPr/>
      </w:pPr>
      <w:r>
        <w:rPr>
          <w:rStyle w:val="Strong"/>
        </w:rPr>
        <w:t>Flourishing is the broader moral aim:</w:t>
      </w:r>
      <w:r>
        <w:rPr/>
        <w:t xml:space="preserve"> Virtues are related to </w:t>
      </w:r>
      <w:r>
        <w:rPr>
          <w:rStyle w:val="Emphasis"/>
        </w:rPr>
        <w:t>eudaimonia</w:t>
      </w:r>
      <w:r>
        <w:rPr/>
        <w:t>, generally translated as flourishing, living well, or human well-being. Eudaimonia is not merely pleasure, preference satisfaction, wealth, status, or a momentary psychological state.</w:t>
      </w:r>
    </w:p>
    <w:p>
      <w:pPr>
        <w:pStyle w:val="BodyText"/>
        <w:numPr>
          <w:ilvl w:val="0"/>
          <w:numId w:val="40"/>
        </w:numPr>
        <w:tabs>
          <w:tab w:val="clear" w:pos="720"/>
          <w:tab w:val="left" w:pos="0" w:leader="none"/>
        </w:tabs>
        <w:spacing w:before="0" w:after="200"/>
        <w:ind w:hanging="283" w:left="709"/>
        <w:rPr/>
      </w:pPr>
      <w:r>
        <w:rPr>
          <w:rStyle w:val="Strong"/>
        </w:rPr>
        <w:t>Virtuous activity partly constitutes flourishing:</w:t>
      </w:r>
      <w:r>
        <w:rPr/>
        <w:t xml:space="preserve"> Virtue is not merely an instrument for producing a separate beneficial outcome. Acting courageously, justly, honestly, generously, and wisely is itself part of living well.</w:t>
      </w:r>
    </w:p>
    <w:p>
      <w:pPr>
        <w:pStyle w:val="BodyText"/>
        <w:numPr>
          <w:ilvl w:val="0"/>
          <w:numId w:val="40"/>
        </w:numPr>
        <w:tabs>
          <w:tab w:val="clear" w:pos="720"/>
          <w:tab w:val="left" w:pos="0" w:leader="none"/>
        </w:tabs>
        <w:spacing w:before="0" w:after="200"/>
        <w:ind w:hanging="283" w:left="709"/>
        <w:rPr/>
      </w:pPr>
      <w:r>
        <w:rPr>
          <w:rStyle w:val="Strong"/>
        </w:rPr>
        <w:t>Practical wisdom is necessary:</w:t>
      </w:r>
      <w:r>
        <w:rPr/>
        <w:t xml:space="preserve"> General principles cannot mechanically determine the right action in every circumstance. Practical wisdom enables the Moral Agent to identify morally relevant particulars, reconcile competing considerations, select appropriate means, and act for the right reasons.</w:t>
      </w:r>
    </w:p>
    <w:p>
      <w:pPr>
        <w:pStyle w:val="BodyText"/>
        <w:numPr>
          <w:ilvl w:val="0"/>
          <w:numId w:val="40"/>
        </w:numPr>
        <w:tabs>
          <w:tab w:val="clear" w:pos="720"/>
          <w:tab w:val="left" w:pos="0" w:leader="none"/>
        </w:tabs>
        <w:spacing w:before="0" w:after="200"/>
        <w:ind w:hanging="283" w:left="709"/>
        <w:rPr/>
      </w:pPr>
      <w:r>
        <w:rPr>
          <w:rStyle w:val="Strong"/>
        </w:rPr>
        <w:t>Context matters:</w:t>
      </w:r>
      <w:r>
        <w:rPr/>
        <w:t xml:space="preserve"> The virtuous response depends on the Actor, affected entities, relationships, risks, available alternatives, and other features of the specific situation.</w:t>
      </w:r>
    </w:p>
    <w:p>
      <w:pPr>
        <w:pStyle w:val="BodyText"/>
        <w:numPr>
          <w:ilvl w:val="0"/>
          <w:numId w:val="40"/>
        </w:numPr>
        <w:tabs>
          <w:tab w:val="clear" w:pos="720"/>
          <w:tab w:val="left" w:pos="0" w:leader="none"/>
        </w:tabs>
        <w:spacing w:before="0" w:after="200"/>
        <w:ind w:hanging="283" w:left="709"/>
        <w:rPr/>
      </w:pPr>
      <w:r>
        <w:rPr>
          <w:rStyle w:val="Strong"/>
        </w:rPr>
        <w:t>Virtue involves appropriate motivation and emotion:</w:t>
      </w:r>
      <w:r>
        <w:rPr/>
        <w:t xml:space="preserve"> A fully virtuous person does not merely perform the externally correct act. The person acts knowingly, for appropriate reasons, and with emotions educated to respond appropriately.</w:t>
      </w:r>
    </w:p>
    <w:p>
      <w:pPr>
        <w:pStyle w:val="BodyText"/>
        <w:numPr>
          <w:ilvl w:val="0"/>
          <w:numId w:val="40"/>
        </w:numPr>
        <w:tabs>
          <w:tab w:val="clear" w:pos="720"/>
          <w:tab w:val="left" w:pos="0" w:leader="none"/>
        </w:tabs>
        <w:spacing w:before="0" w:after="200"/>
        <w:ind w:hanging="283" w:left="709"/>
        <w:rPr/>
      </w:pPr>
      <w:r>
        <w:rPr>
          <w:rStyle w:val="Strong"/>
        </w:rPr>
        <w:t>Habituation shapes character:</w:t>
      </w:r>
      <w:r>
        <w:rPr/>
        <w:t xml:space="preserve"> Virtues and vices develop through repeated action, education, practice, imitation, correction, and participation in social institutions. Individual actions influence the Actor’s future dispositions.</w:t>
      </w:r>
    </w:p>
    <w:p>
      <w:pPr>
        <w:pStyle w:val="BodyText"/>
        <w:numPr>
          <w:ilvl w:val="0"/>
          <w:numId w:val="40"/>
        </w:numPr>
        <w:tabs>
          <w:tab w:val="clear" w:pos="720"/>
          <w:tab w:val="left" w:pos="0" w:leader="none"/>
        </w:tabs>
        <w:spacing w:before="0" w:after="200"/>
        <w:ind w:hanging="283" w:left="709"/>
        <w:rPr/>
      </w:pPr>
      <w:r>
        <w:rPr>
          <w:rStyle w:val="Strong"/>
        </w:rPr>
        <w:t>The virtues are multidimensional:</w:t>
      </w:r>
      <w:r>
        <w:rPr/>
        <w:t xml:space="preserve"> Courage, honesty, justice, temperance, generosity, compassion, loyalty, humility, patience, and practical wisdom address different domains of moral life and cannot necessarily be reduced to a single measure.</w:t>
      </w:r>
    </w:p>
    <w:p>
      <w:pPr>
        <w:pStyle w:val="BodyText"/>
        <w:numPr>
          <w:ilvl w:val="0"/>
          <w:numId w:val="40"/>
        </w:numPr>
        <w:tabs>
          <w:tab w:val="clear" w:pos="720"/>
          <w:tab w:val="left" w:pos="0" w:leader="none"/>
        </w:tabs>
        <w:spacing w:before="0" w:after="200"/>
        <w:ind w:hanging="283" w:left="709"/>
        <w:rPr/>
      </w:pPr>
      <w:r>
        <w:rPr>
          <w:rStyle w:val="Strong"/>
        </w:rPr>
        <w:t>The mean is relative to the situation:</w:t>
      </w:r>
      <w:r>
        <w:rPr/>
        <w:t xml:space="preserve"> In Aristotle’s account, virtue often lies between excess and deficiency. The mean is not an arithmetic average; it is the response appropriate to the circumstances as determined through practical wisdom.</w:t>
      </w:r>
    </w:p>
    <w:p>
      <w:pPr>
        <w:pStyle w:val="BodyText"/>
        <w:numPr>
          <w:ilvl w:val="0"/>
          <w:numId w:val="40"/>
        </w:numPr>
        <w:tabs>
          <w:tab w:val="clear" w:pos="720"/>
          <w:tab w:val="left" w:pos="0" w:leader="none"/>
        </w:tabs>
        <w:spacing w:before="0" w:after="200"/>
        <w:ind w:hanging="283" w:left="709"/>
        <w:rPr/>
      </w:pPr>
      <w:r>
        <w:rPr>
          <w:rStyle w:val="Strong"/>
        </w:rPr>
        <w:t>Moral perception precedes some moral judgment:</w:t>
      </w:r>
      <w:r>
        <w:rPr/>
        <w:t xml:space="preserve"> A virtuous person notices morally relevant features that a vicious, inexperienced, or self-interested Actor may overlook.</w:t>
      </w:r>
    </w:p>
    <w:p>
      <w:pPr>
        <w:pStyle w:val="BodyText"/>
        <w:numPr>
          <w:ilvl w:val="0"/>
          <w:numId w:val="40"/>
        </w:numPr>
        <w:tabs>
          <w:tab w:val="clear" w:pos="720"/>
          <w:tab w:val="left" w:pos="0" w:leader="none"/>
        </w:tabs>
        <w:spacing w:before="0" w:after="200"/>
        <w:ind w:hanging="283" w:left="709"/>
        <w:rPr/>
      </w:pPr>
      <w:r>
        <w:rPr>
          <w:rStyle w:val="Strong"/>
        </w:rPr>
        <w:t>Moral exemplars are informative:</w:t>
      </w:r>
      <w:r>
        <w:rPr/>
        <w:t xml:space="preserve"> Exemplary persons can demonstrate how virtues are expressed in circumstances that cannot be exhaustively captured through abstract rules.</w:t>
      </w:r>
    </w:p>
    <w:p>
      <w:pPr>
        <w:pStyle w:val="BodyText"/>
        <w:numPr>
          <w:ilvl w:val="0"/>
          <w:numId w:val="40"/>
        </w:numPr>
        <w:tabs>
          <w:tab w:val="clear" w:pos="720"/>
          <w:tab w:val="left" w:pos="0" w:leader="none"/>
        </w:tabs>
        <w:spacing w:before="0" w:after="200"/>
        <w:ind w:hanging="283" w:left="709"/>
        <w:rPr/>
      </w:pPr>
      <w:r>
        <w:rPr>
          <w:rStyle w:val="Strong"/>
        </w:rPr>
        <w:t>Community and institutions influence virtue:</w:t>
      </w:r>
      <w:r>
        <w:rPr/>
        <w:t xml:space="preserve"> Families, professions, organizations, laws, educational systems, and cultural practices can cultivate or corrupt moral character.</w:t>
      </w:r>
    </w:p>
    <w:p>
      <w:pPr>
        <w:pStyle w:val="BodyText"/>
        <w:numPr>
          <w:ilvl w:val="0"/>
          <w:numId w:val="40"/>
        </w:numPr>
        <w:tabs>
          <w:tab w:val="clear" w:pos="720"/>
          <w:tab w:val="left" w:pos="0" w:leader="none"/>
        </w:tabs>
        <w:spacing w:before="0" w:after="200"/>
        <w:ind w:hanging="283" w:left="709"/>
        <w:rPr/>
      </w:pPr>
      <w:r>
        <w:rPr>
          <w:rStyle w:val="Strong"/>
        </w:rPr>
        <w:t>Practices contain internal goods:</w:t>
      </w:r>
      <w:r>
        <w:rPr/>
        <w:t xml:space="preserve"> In MacIntyre’s account, practices develop standards of excellence and goods that can be realized only through competent and virtuous participation. External goods such as money, power, and status can corrupt a practice when they displace its internal purposes.</w:t>
      </w:r>
    </w:p>
    <w:p>
      <w:pPr>
        <w:pStyle w:val="BodyText"/>
        <w:numPr>
          <w:ilvl w:val="0"/>
          <w:numId w:val="40"/>
        </w:numPr>
        <w:tabs>
          <w:tab w:val="clear" w:pos="720"/>
          <w:tab w:val="left" w:pos="0" w:leader="none"/>
        </w:tabs>
        <w:spacing w:before="0" w:after="200"/>
        <w:ind w:hanging="283" w:left="709"/>
        <w:rPr/>
      </w:pPr>
      <w:r>
        <w:rPr>
          <w:rStyle w:val="Strong"/>
        </w:rPr>
        <w:t>A life has narrative and developmental continuity:</w:t>
      </w:r>
      <w:r>
        <w:rPr/>
        <w:t xml:space="preserve"> Moral assessment should consider how actions fit into the continuing development of a person, institution, practice, and community rather than treating each decision as wholly isolated.</w:t>
      </w:r>
    </w:p>
    <w:p>
      <w:pPr>
        <w:pStyle w:val="Heading3"/>
        <w:rPr/>
      </w:pPr>
      <w:r>
        <w:rPr/>
        <w:t>Relationship to This Framework</w:t>
      </w:r>
    </w:p>
    <w:p>
      <w:pPr>
        <w:pStyle w:val="BodyText"/>
        <w:spacing w:before="0" w:after="200"/>
        <w:rPr/>
      </w:pPr>
      <w:r>
        <w:rPr/>
        <w:t>The proposed framework has a strong conceptual relationship with virtue ethics because both treat flourishing as multidimensional, developmental, relational, and extended through time. The Foundational Axiom explicitly refers to preserving and promoting Long-Term Flourishing while fostering the adaptive development of Moral Agents. This creates a direct connection to virtue ethics’ concern with moral formation.</w:t>
      </w:r>
    </w:p>
    <w:p>
      <w:pPr>
        <w:pStyle w:val="BodyText"/>
        <w:spacing w:before="0" w:after="200"/>
        <w:rPr/>
      </w:pPr>
      <w:r>
        <w:rPr/>
        <w:t>The frameworks nevertheless assign different primary objects to moral assessment. Virtue ethics begins with the Moral Agent’s character and asks what a virtuous and practically wise person would do. The proposed framework begins with the Assessed Action and evaluates the resulting World Context Transition. Actor character and development are included, but they are components of the transition rather than its sole or primary object.</w:t>
      </w:r>
    </w:p>
    <w:p>
      <w:pPr>
        <w:pStyle w:val="BodyText"/>
        <w:spacing w:before="0" w:after="200"/>
        <w:rPr/>
      </w:pPr>
      <w:r>
        <w:rPr/>
        <w:t xml:space="preserve">The concept of </w:t>
      </w:r>
      <w:r>
        <w:rPr>
          <w:rStyle w:val="Strong"/>
        </w:rPr>
        <w:t>Actor Policy State</w:t>
      </w:r>
      <w:r>
        <w:rPr/>
        <w:t xml:space="preserve"> provides a potential computational analogue to character. A virtue can be represented as a relatively stable disposition that affects how a Moral Agent perceives situations, interprets objectives, selects means, and responds to affected entities. A vice can be represented as a detrimental policy pattern that makes harmful actions more likely.</w:t>
      </w:r>
    </w:p>
    <w:p>
      <w:pPr>
        <w:pStyle w:val="BodyText"/>
        <w:spacing w:before="0" w:after="200"/>
        <w:rPr/>
      </w:pPr>
      <w:r>
        <w:rPr/>
        <w:t>The analogy is incomplete, however. Character is not merely a statistical tendency to select a type of action. Virtue includes understanding, motivation, emotion, judgment, attention, and the ability to recognize relevant particulars. An Actor who produces honest behavior only because deception is currently unprofitable does not possess the virtue of honesty.</w:t>
      </w:r>
    </w:p>
    <w:p>
      <w:pPr>
        <w:pStyle w:val="BodyText"/>
        <w:spacing w:before="0" w:after="200"/>
        <w:rPr/>
      </w:pPr>
      <w:r>
        <w:rPr>
          <w:rStyle w:val="Strong"/>
        </w:rPr>
        <w:t>Distributed Policy Effects</w:t>
      </w:r>
      <w:r>
        <w:rPr/>
        <w:t xml:space="preserve"> also parallel virtue ethics’ account of habituation and moral education. An Assessed Action may reinforce or weaken the Actor’s dispositions and influence the future policies of observers, institutions, and artificial systems. Actions therefore matter not only because of their immediate consequences but because they contribute to the formation of future character and institutional culture.</w:t>
      </w:r>
    </w:p>
    <w:p>
      <w:pPr>
        <w:pStyle w:val="BodyText"/>
        <w:spacing w:before="0" w:after="200"/>
        <w:rPr/>
      </w:pPr>
      <w:r>
        <w:rPr/>
        <w:t>The framework’s Situational Context corresponds to virtue ethics’ insistence that appropriate action depends on morally relevant particulars. Its distinction among Decision Context, Accessible Context, and Assessment Context can help evaluate whether the Actor exercised appropriate diligence and practical judgment using the information reasonably available at the time.</w:t>
      </w:r>
    </w:p>
    <w:p>
      <w:pPr>
        <w:pStyle w:val="BodyText"/>
        <w:spacing w:before="0" w:after="200"/>
        <w:rPr/>
      </w:pPr>
      <w:r>
        <w:rPr/>
        <w:t>Associations, institutions, and policy states can also represent the social environment in which virtues develop. Professional practices, families, educational institutions, governance systems, and organizations can cultivate honesty, courage, compassion, justice, and accountability—or normalize cowardice, greed, cruelty, dishonesty, and negligence.</w:t>
      </w:r>
    </w:p>
    <w:p>
      <w:pPr>
        <w:pStyle w:val="BodyText"/>
        <w:spacing w:before="0" w:after="200"/>
        <w:rPr/>
      </w:pPr>
      <w:r>
        <w:rPr/>
        <w:t xml:space="preserve">The proposed framework is therefore compatible with virtue ethics and incorporates several virtue-oriented ideas, but it is not itself a pure virtue-ethical theory. Its ultimate assessment remains directed toward the World Context Transition and compatible Long-Term Flourishing rather than exclusively toward the character or </w:t>
      </w:r>
      <w:r>
        <w:rPr>
          <w:rStyle w:val="Emphasis"/>
        </w:rPr>
        <w:t>eudaimonia</w:t>
      </w:r>
      <w:r>
        <w:rPr/>
        <w:t xml:space="preserve"> of the Actor.</w:t>
      </w:r>
    </w:p>
    <w:p>
      <w:pPr>
        <w:pStyle w:val="Heading3"/>
        <w:rPr/>
      </w:pPr>
      <w:r>
        <w:rPr/>
        <w:t>Concepts Adopted or Adapted by This Framework</w:t>
      </w:r>
    </w:p>
    <w:tbl>
      <w:tblPr>
        <w:tblW w:w="8640" w:type="dxa"/>
        <w:jc w:val="left"/>
        <w:tblInd w:w="28" w:type="dxa"/>
        <w:tblLayout w:type="fixed"/>
        <w:tblCellMar>
          <w:top w:w="28" w:type="dxa"/>
          <w:left w:w="28" w:type="dxa"/>
          <w:bottom w:w="28" w:type="dxa"/>
          <w:right w:w="28" w:type="dxa"/>
        </w:tblCellMar>
      </w:tblPr>
      <w:tblGrid>
        <w:gridCol w:w="2009"/>
        <w:gridCol w:w="6631"/>
      </w:tblGrid>
      <w:tr>
        <w:trPr>
          <w:tblHeader w:val="true"/>
        </w:trPr>
        <w:tc>
          <w:tcPr>
            <w:tcW w:w="2009" w:type="dxa"/>
            <w:tcBorders/>
            <w:vAlign w:val="center"/>
          </w:tcPr>
          <w:p>
            <w:pPr>
              <w:pStyle w:val="TableHeading"/>
              <w:suppressLineNumbers/>
              <w:spacing w:before="0" w:after="200"/>
              <w:jc w:val="center"/>
              <w:rPr/>
            </w:pPr>
            <w:r>
              <w:rPr/>
              <w:t>Virtue-ethical concept</w:t>
            </w:r>
          </w:p>
        </w:tc>
        <w:tc>
          <w:tcPr>
            <w:tcW w:w="6631" w:type="dxa"/>
            <w:tcBorders/>
            <w:vAlign w:val="center"/>
          </w:tcPr>
          <w:p>
            <w:pPr>
              <w:pStyle w:val="TableHeading"/>
              <w:suppressLineNumbers/>
              <w:spacing w:before="0" w:after="200"/>
              <w:jc w:val="center"/>
              <w:rPr/>
            </w:pPr>
            <w:r>
              <w:rPr/>
              <w:t>Adoption or adaptation within the proposed framework</w:t>
            </w:r>
          </w:p>
        </w:tc>
      </w:tr>
      <w:tr>
        <w:trPr/>
        <w:tc>
          <w:tcPr>
            <w:tcW w:w="2009" w:type="dxa"/>
            <w:tcBorders/>
            <w:vAlign w:val="center"/>
          </w:tcPr>
          <w:p>
            <w:pPr>
              <w:pStyle w:val="TableContents"/>
              <w:widowControl w:val="false"/>
              <w:suppressLineNumbers/>
              <w:spacing w:before="0" w:after="200"/>
              <w:rPr/>
            </w:pPr>
            <w:r>
              <w:rPr>
                <w:rStyle w:val="Emphasis"/>
              </w:rPr>
              <w:t>Eudaimonia</w:t>
            </w:r>
            <w:r>
              <w:rPr/>
              <w:t xml:space="preserve"> or flourishing</w:t>
            </w:r>
          </w:p>
        </w:tc>
        <w:tc>
          <w:tcPr>
            <w:tcW w:w="6631" w:type="dxa"/>
            <w:tcBorders/>
            <w:vAlign w:val="center"/>
          </w:tcPr>
          <w:p>
            <w:pPr>
              <w:pStyle w:val="TableContents"/>
              <w:widowControl w:val="false"/>
              <w:suppressLineNumbers/>
              <w:spacing w:before="0" w:after="200"/>
              <w:rPr/>
            </w:pPr>
            <w:r>
              <w:rPr/>
              <w:t>Expanded into Long-Term Flourishing as a multidimensional relational state applicable to multiple classes of Flourishing Entities.</w:t>
            </w:r>
          </w:p>
        </w:tc>
      </w:tr>
      <w:tr>
        <w:trPr/>
        <w:tc>
          <w:tcPr>
            <w:tcW w:w="2009" w:type="dxa"/>
            <w:tcBorders/>
            <w:vAlign w:val="center"/>
          </w:tcPr>
          <w:p>
            <w:pPr>
              <w:pStyle w:val="TableContents"/>
              <w:widowControl w:val="false"/>
              <w:suppressLineNumbers/>
              <w:spacing w:before="0" w:after="200"/>
              <w:rPr/>
            </w:pPr>
            <w:r>
              <w:rPr/>
              <w:t>Virtue</w:t>
            </w:r>
          </w:p>
        </w:tc>
        <w:tc>
          <w:tcPr>
            <w:tcW w:w="6631" w:type="dxa"/>
            <w:tcBorders/>
            <w:vAlign w:val="center"/>
          </w:tcPr>
          <w:p>
            <w:pPr>
              <w:pStyle w:val="TableContents"/>
              <w:widowControl w:val="false"/>
              <w:suppressLineNumbers/>
              <w:spacing w:before="0" w:after="200"/>
              <w:rPr/>
            </w:pPr>
            <w:r>
              <w:rPr/>
              <w:t>Potentially represented as a stable, beneficial Actor Policy State supporting appropriate perception, deliberation, motivation, and action.</w:t>
            </w:r>
          </w:p>
        </w:tc>
      </w:tr>
      <w:tr>
        <w:trPr/>
        <w:tc>
          <w:tcPr>
            <w:tcW w:w="2009" w:type="dxa"/>
            <w:tcBorders/>
            <w:vAlign w:val="center"/>
          </w:tcPr>
          <w:p>
            <w:pPr>
              <w:pStyle w:val="TableContents"/>
              <w:widowControl w:val="false"/>
              <w:suppressLineNumbers/>
              <w:spacing w:before="0" w:after="200"/>
              <w:rPr/>
            </w:pPr>
            <w:r>
              <w:rPr/>
              <w:t>Vice</w:t>
            </w:r>
          </w:p>
        </w:tc>
        <w:tc>
          <w:tcPr>
            <w:tcW w:w="6631" w:type="dxa"/>
            <w:tcBorders/>
            <w:vAlign w:val="center"/>
          </w:tcPr>
          <w:p>
            <w:pPr>
              <w:pStyle w:val="TableContents"/>
              <w:widowControl w:val="false"/>
              <w:suppressLineNumbers/>
              <w:spacing w:before="0" w:after="200"/>
              <w:rPr/>
            </w:pPr>
            <w:r>
              <w:rPr/>
              <w:t>Potentially represented as a detrimental policy disposition that increases the probability of harmful actions and World Context Transitions.</w:t>
            </w:r>
          </w:p>
        </w:tc>
      </w:tr>
      <w:tr>
        <w:trPr/>
        <w:tc>
          <w:tcPr>
            <w:tcW w:w="2009" w:type="dxa"/>
            <w:tcBorders/>
            <w:vAlign w:val="center"/>
          </w:tcPr>
          <w:p>
            <w:pPr>
              <w:pStyle w:val="TableContents"/>
              <w:widowControl w:val="false"/>
              <w:suppressLineNumbers/>
              <w:spacing w:before="0" w:after="200"/>
              <w:rPr/>
            </w:pPr>
            <w:r>
              <w:rPr/>
              <w:t>Character</w:t>
            </w:r>
          </w:p>
        </w:tc>
        <w:tc>
          <w:tcPr>
            <w:tcW w:w="6631" w:type="dxa"/>
            <w:tcBorders/>
            <w:vAlign w:val="center"/>
          </w:tcPr>
          <w:p>
            <w:pPr>
              <w:pStyle w:val="TableContents"/>
              <w:widowControl w:val="false"/>
              <w:suppressLineNumbers/>
              <w:spacing w:before="0" w:after="200"/>
              <w:rPr/>
            </w:pPr>
            <w:r>
              <w:rPr/>
              <w:t>Adapted through the Actor’s persistent policy patterns, objectives, dispositions, previous actions, and developmental trajectory.</w:t>
            </w:r>
          </w:p>
        </w:tc>
      </w:tr>
      <w:tr>
        <w:trPr/>
        <w:tc>
          <w:tcPr>
            <w:tcW w:w="2009" w:type="dxa"/>
            <w:tcBorders/>
            <w:vAlign w:val="center"/>
          </w:tcPr>
          <w:p>
            <w:pPr>
              <w:pStyle w:val="TableContents"/>
              <w:widowControl w:val="false"/>
              <w:suppressLineNumbers/>
              <w:spacing w:before="0" w:after="200"/>
              <w:rPr/>
            </w:pPr>
            <w:r>
              <w:rPr/>
              <w:t>Habituation</w:t>
            </w:r>
          </w:p>
        </w:tc>
        <w:tc>
          <w:tcPr>
            <w:tcW w:w="6631" w:type="dxa"/>
            <w:tcBorders/>
            <w:vAlign w:val="center"/>
          </w:tcPr>
          <w:p>
            <w:pPr>
              <w:pStyle w:val="TableContents"/>
              <w:widowControl w:val="false"/>
              <w:suppressLineNumbers/>
              <w:spacing w:before="0" w:after="200"/>
              <w:rPr/>
            </w:pPr>
            <w:r>
              <w:rPr/>
              <w:t>Represented through beneficial and detrimental Actor Policy Updates produced by repeated choices and reinforcement.</w:t>
            </w:r>
          </w:p>
        </w:tc>
      </w:tr>
      <w:tr>
        <w:trPr/>
        <w:tc>
          <w:tcPr>
            <w:tcW w:w="2009" w:type="dxa"/>
            <w:tcBorders/>
            <w:vAlign w:val="center"/>
          </w:tcPr>
          <w:p>
            <w:pPr>
              <w:pStyle w:val="TableContents"/>
              <w:widowControl w:val="false"/>
              <w:suppressLineNumbers/>
              <w:spacing w:before="0" w:after="200"/>
              <w:rPr/>
            </w:pPr>
            <w:r>
              <w:rPr/>
              <w:t>Practical wisdom</w:t>
            </w:r>
          </w:p>
        </w:tc>
        <w:tc>
          <w:tcPr>
            <w:tcW w:w="6631" w:type="dxa"/>
            <w:tcBorders/>
            <w:vAlign w:val="center"/>
          </w:tcPr>
          <w:p>
            <w:pPr>
              <w:pStyle w:val="TableContents"/>
              <w:widowControl w:val="false"/>
              <w:suppressLineNumbers/>
              <w:spacing w:before="0" w:after="200"/>
              <w:rPr/>
            </w:pPr>
            <w:r>
              <w:rPr/>
              <w:t>Reflected in context-sensitive assessment, appropriate boundary selection, balancing of relevant considerations, and selection of proportionate means under uncertainty.</w:t>
            </w:r>
          </w:p>
        </w:tc>
      </w:tr>
      <w:tr>
        <w:trPr/>
        <w:tc>
          <w:tcPr>
            <w:tcW w:w="2009" w:type="dxa"/>
            <w:tcBorders/>
            <w:vAlign w:val="center"/>
          </w:tcPr>
          <w:p>
            <w:pPr>
              <w:pStyle w:val="TableContents"/>
              <w:widowControl w:val="false"/>
              <w:suppressLineNumbers/>
              <w:spacing w:before="0" w:after="200"/>
              <w:rPr/>
            </w:pPr>
            <w:r>
              <w:rPr/>
              <w:t>Moral perception</w:t>
            </w:r>
          </w:p>
        </w:tc>
        <w:tc>
          <w:tcPr>
            <w:tcW w:w="6631" w:type="dxa"/>
            <w:tcBorders/>
            <w:vAlign w:val="center"/>
          </w:tcPr>
          <w:p>
            <w:pPr>
              <w:pStyle w:val="TableContents"/>
              <w:widowControl w:val="false"/>
              <w:suppressLineNumbers/>
              <w:spacing w:before="0" w:after="200"/>
              <w:rPr/>
            </w:pPr>
            <w:r>
              <w:rPr/>
              <w:t>Reflected in the Actor’s identification of relevant Objects, Associations, vulnerabilities, constraints, and likely consequences.</w:t>
            </w:r>
          </w:p>
        </w:tc>
      </w:tr>
      <w:tr>
        <w:trPr/>
        <w:tc>
          <w:tcPr>
            <w:tcW w:w="2009" w:type="dxa"/>
            <w:tcBorders/>
            <w:vAlign w:val="center"/>
          </w:tcPr>
          <w:p>
            <w:pPr>
              <w:pStyle w:val="TableContents"/>
              <w:widowControl w:val="false"/>
              <w:suppressLineNumbers/>
              <w:spacing w:before="0" w:after="200"/>
              <w:rPr/>
            </w:pPr>
            <w:r>
              <w:rPr/>
              <w:t>Doctrine of the mean</w:t>
            </w:r>
          </w:p>
        </w:tc>
        <w:tc>
          <w:tcPr>
            <w:tcW w:w="6631" w:type="dxa"/>
            <w:tcBorders/>
            <w:vAlign w:val="center"/>
          </w:tcPr>
          <w:p>
            <w:pPr>
              <w:pStyle w:val="TableContents"/>
              <w:widowControl w:val="false"/>
              <w:suppressLineNumbers/>
              <w:spacing w:before="0" w:after="200"/>
              <w:rPr/>
            </w:pPr>
            <w:r>
              <w:rPr/>
              <w:t>Potentially adapted as context-sensitive avoidance of excess and deficiency rather than as numerical averaging.</w:t>
            </w:r>
          </w:p>
        </w:tc>
      </w:tr>
      <w:tr>
        <w:trPr/>
        <w:tc>
          <w:tcPr>
            <w:tcW w:w="2009" w:type="dxa"/>
            <w:tcBorders/>
            <w:vAlign w:val="center"/>
          </w:tcPr>
          <w:p>
            <w:pPr>
              <w:pStyle w:val="TableContents"/>
              <w:widowControl w:val="false"/>
              <w:suppressLineNumbers/>
              <w:spacing w:before="0" w:after="200"/>
              <w:rPr/>
            </w:pPr>
            <w:r>
              <w:rPr/>
              <w:t>Moral motivation</w:t>
            </w:r>
          </w:p>
        </w:tc>
        <w:tc>
          <w:tcPr>
            <w:tcW w:w="6631" w:type="dxa"/>
            <w:tcBorders/>
            <w:vAlign w:val="center"/>
          </w:tcPr>
          <w:p>
            <w:pPr>
              <w:pStyle w:val="TableContents"/>
              <w:widowControl w:val="false"/>
              <w:suppressLineNumbers/>
              <w:spacing w:before="0" w:after="200"/>
              <w:rPr/>
            </w:pPr>
            <w:r>
              <w:rPr/>
              <w:t>Represented through the Actor’s objectives, intended ends, intended means, incentives, and policy state.</w:t>
            </w:r>
          </w:p>
        </w:tc>
      </w:tr>
      <w:tr>
        <w:trPr/>
        <w:tc>
          <w:tcPr>
            <w:tcW w:w="2009" w:type="dxa"/>
            <w:tcBorders/>
            <w:vAlign w:val="center"/>
          </w:tcPr>
          <w:p>
            <w:pPr>
              <w:pStyle w:val="TableContents"/>
              <w:widowControl w:val="false"/>
              <w:suppressLineNumbers/>
              <w:spacing w:before="0" w:after="200"/>
              <w:rPr/>
            </w:pPr>
            <w:r>
              <w:rPr/>
              <w:t>Emotional formation</w:t>
            </w:r>
          </w:p>
        </w:tc>
        <w:tc>
          <w:tcPr>
            <w:tcW w:w="6631" w:type="dxa"/>
            <w:tcBorders/>
            <w:vAlign w:val="center"/>
          </w:tcPr>
          <w:p>
            <w:pPr>
              <w:pStyle w:val="TableContents"/>
              <w:widowControl w:val="false"/>
              <w:suppressLineNumbers/>
              <w:spacing w:before="0" w:after="200"/>
              <w:rPr/>
            </w:pPr>
            <w:r>
              <w:rPr/>
              <w:t>Not yet explicitly represented but potentially incorporable as state variables affecting perception, motivation, and response.</w:t>
            </w:r>
          </w:p>
        </w:tc>
      </w:tr>
      <w:tr>
        <w:trPr/>
        <w:tc>
          <w:tcPr>
            <w:tcW w:w="2009" w:type="dxa"/>
            <w:tcBorders/>
            <w:vAlign w:val="center"/>
          </w:tcPr>
          <w:p>
            <w:pPr>
              <w:pStyle w:val="TableContents"/>
              <w:widowControl w:val="false"/>
              <w:suppressLineNumbers/>
              <w:spacing w:before="0" w:after="200"/>
              <w:rPr/>
            </w:pPr>
            <w:r>
              <w:rPr/>
              <w:t>Moral exemplars</w:t>
            </w:r>
          </w:p>
        </w:tc>
        <w:tc>
          <w:tcPr>
            <w:tcW w:w="6631" w:type="dxa"/>
            <w:tcBorders/>
            <w:vAlign w:val="center"/>
          </w:tcPr>
          <w:p>
            <w:pPr>
              <w:pStyle w:val="TableContents"/>
              <w:widowControl w:val="false"/>
              <w:suppressLineNumbers/>
              <w:spacing w:before="0" w:after="200"/>
              <w:rPr/>
            </w:pPr>
            <w:r>
              <w:rPr/>
              <w:t>Potentially incorporated through reference cases, validated action patterns, expert demonstrations, and case-based reasoning.</w:t>
            </w:r>
          </w:p>
        </w:tc>
      </w:tr>
      <w:tr>
        <w:trPr/>
        <w:tc>
          <w:tcPr>
            <w:tcW w:w="2009" w:type="dxa"/>
            <w:tcBorders/>
            <w:vAlign w:val="center"/>
          </w:tcPr>
          <w:p>
            <w:pPr>
              <w:pStyle w:val="TableContents"/>
              <w:widowControl w:val="false"/>
              <w:suppressLineNumbers/>
              <w:spacing w:before="0" w:after="200"/>
              <w:rPr/>
            </w:pPr>
            <w:r>
              <w:rPr/>
              <w:t>Practices and internal goods</w:t>
            </w:r>
          </w:p>
        </w:tc>
        <w:tc>
          <w:tcPr>
            <w:tcW w:w="6631" w:type="dxa"/>
            <w:tcBorders/>
            <w:vAlign w:val="center"/>
          </w:tcPr>
          <w:p>
            <w:pPr>
              <w:pStyle w:val="TableContents"/>
              <w:widowControl w:val="false"/>
              <w:suppressLineNumbers/>
              <w:spacing w:before="0" w:after="200"/>
              <w:rPr/>
            </w:pPr>
            <w:r>
              <w:rPr/>
              <w:t>Representable through institutions, domain objectives, standards of excellence, Associations, and operational objectives.</w:t>
            </w:r>
          </w:p>
        </w:tc>
      </w:tr>
      <w:tr>
        <w:trPr/>
        <w:tc>
          <w:tcPr>
            <w:tcW w:w="2009" w:type="dxa"/>
            <w:tcBorders/>
            <w:vAlign w:val="center"/>
          </w:tcPr>
          <w:p>
            <w:pPr>
              <w:pStyle w:val="TableContents"/>
              <w:widowControl w:val="false"/>
              <w:suppressLineNumbers/>
              <w:spacing w:before="0" w:after="200"/>
              <w:rPr/>
            </w:pPr>
            <w:r>
              <w:rPr/>
              <w:t>External goods</w:t>
            </w:r>
          </w:p>
        </w:tc>
        <w:tc>
          <w:tcPr>
            <w:tcW w:w="6631" w:type="dxa"/>
            <w:tcBorders/>
            <w:vAlign w:val="center"/>
          </w:tcPr>
          <w:p>
            <w:pPr>
              <w:pStyle w:val="TableContents"/>
              <w:widowControl w:val="false"/>
              <w:suppressLineNumbers/>
              <w:spacing w:before="0" w:after="200"/>
              <w:rPr/>
            </w:pPr>
            <w:r>
              <w:rPr/>
              <w:t>Represented through resources, status, power, incentives, institutional rewards, and operational objectives that may conflict with the purpose of a practice.</w:t>
            </w:r>
          </w:p>
        </w:tc>
      </w:tr>
      <w:tr>
        <w:trPr/>
        <w:tc>
          <w:tcPr>
            <w:tcW w:w="2009" w:type="dxa"/>
            <w:tcBorders/>
            <w:vAlign w:val="center"/>
          </w:tcPr>
          <w:p>
            <w:pPr>
              <w:pStyle w:val="TableContents"/>
              <w:widowControl w:val="false"/>
              <w:suppressLineNumbers/>
              <w:spacing w:before="0" w:after="200"/>
              <w:rPr/>
            </w:pPr>
            <w:r>
              <w:rPr/>
              <w:t>Community and tradition</w:t>
            </w:r>
          </w:p>
        </w:tc>
        <w:tc>
          <w:tcPr>
            <w:tcW w:w="6631" w:type="dxa"/>
            <w:tcBorders/>
            <w:vAlign w:val="center"/>
          </w:tcPr>
          <w:p>
            <w:pPr>
              <w:pStyle w:val="TableContents"/>
              <w:widowControl w:val="false"/>
              <w:suppressLineNumbers/>
              <w:spacing w:before="0" w:after="200"/>
              <w:rPr/>
            </w:pPr>
            <w:r>
              <w:rPr/>
              <w:t>Represented through Associations, institutions, inherited policy states, norms, and historically developed World Contexts.</w:t>
            </w:r>
          </w:p>
        </w:tc>
      </w:tr>
      <w:tr>
        <w:trPr/>
        <w:tc>
          <w:tcPr>
            <w:tcW w:w="2009" w:type="dxa"/>
            <w:tcBorders/>
            <w:vAlign w:val="center"/>
          </w:tcPr>
          <w:p>
            <w:pPr>
              <w:pStyle w:val="TableContents"/>
              <w:widowControl w:val="false"/>
              <w:suppressLineNumbers/>
              <w:spacing w:before="0" w:after="200"/>
              <w:rPr/>
            </w:pPr>
            <w:r>
              <w:rPr/>
              <w:t>Narrative unity</w:t>
            </w:r>
          </w:p>
        </w:tc>
        <w:tc>
          <w:tcPr>
            <w:tcW w:w="6631" w:type="dxa"/>
            <w:tcBorders/>
            <w:vAlign w:val="center"/>
          </w:tcPr>
          <w:p>
            <w:pPr>
              <w:pStyle w:val="TableContents"/>
              <w:widowControl w:val="false"/>
              <w:suppressLineNumbers/>
              <w:spacing w:before="0" w:after="200"/>
              <w:rPr/>
            </w:pPr>
            <w:r>
              <w:rPr/>
              <w:t>Adapted through Persistent Patterns and sequences of recursive World Context Transitions across the life of an Actor or institution.</w:t>
            </w:r>
          </w:p>
        </w:tc>
      </w:tr>
      <w:tr>
        <w:trPr/>
        <w:tc>
          <w:tcPr>
            <w:tcW w:w="2009" w:type="dxa"/>
            <w:tcBorders/>
            <w:vAlign w:val="center"/>
          </w:tcPr>
          <w:p>
            <w:pPr>
              <w:pStyle w:val="TableContents"/>
              <w:widowControl w:val="false"/>
              <w:suppressLineNumbers/>
              <w:spacing w:before="0" w:after="200"/>
              <w:rPr/>
            </w:pPr>
            <w:r>
              <w:rPr/>
              <w:t>Moral education</w:t>
            </w:r>
          </w:p>
        </w:tc>
        <w:tc>
          <w:tcPr>
            <w:tcW w:w="6631" w:type="dxa"/>
            <w:tcBorders/>
            <w:vAlign w:val="center"/>
          </w:tcPr>
          <w:p>
            <w:pPr>
              <w:pStyle w:val="TableContents"/>
              <w:widowControl w:val="false"/>
              <w:suppressLineNumbers/>
              <w:spacing w:before="0" w:after="200"/>
              <w:rPr/>
            </w:pPr>
            <w:r>
              <w:rPr/>
              <w:t>Represented through Observer, Responder, Institutional, and Actor Policy Effects that cultivate or discourage future behavior.</w:t>
            </w:r>
          </w:p>
        </w:tc>
      </w:tr>
      <w:tr>
        <w:trPr/>
        <w:tc>
          <w:tcPr>
            <w:tcW w:w="2009" w:type="dxa"/>
            <w:tcBorders/>
            <w:vAlign w:val="center"/>
          </w:tcPr>
          <w:p>
            <w:pPr>
              <w:pStyle w:val="TableContents"/>
              <w:widowControl w:val="false"/>
              <w:suppressLineNumbers/>
              <w:spacing w:before="0" w:after="200"/>
              <w:rPr/>
            </w:pPr>
            <w:r>
              <w:rPr/>
              <w:t>Whole-life assessment</w:t>
            </w:r>
          </w:p>
        </w:tc>
        <w:tc>
          <w:tcPr>
            <w:tcW w:w="6631" w:type="dxa"/>
            <w:tcBorders/>
            <w:vAlign w:val="center"/>
          </w:tcPr>
          <w:p>
            <w:pPr>
              <w:pStyle w:val="TableContents"/>
              <w:widowControl w:val="false"/>
              <w:suppressLineNumbers/>
              <w:spacing w:before="0" w:after="200"/>
              <w:rPr/>
            </w:pPr>
            <w:r>
              <w:rPr/>
              <w:t>Extended through multiple Assessment Horizons and longitudinal assessment of the Actor’s development.</w:t>
            </w:r>
          </w:p>
        </w:tc>
      </w:tr>
    </w:tbl>
    <w:p>
      <w:pPr>
        <w:pStyle w:val="Heading3"/>
        <w:rPr/>
      </w:pPr>
      <w:r>
        <w:rPr/>
        <w:t>Similarities</w:t>
      </w:r>
    </w:p>
    <w:p>
      <w:pPr>
        <w:pStyle w:val="BodyText"/>
        <w:numPr>
          <w:ilvl w:val="0"/>
          <w:numId w:val="41"/>
        </w:numPr>
        <w:tabs>
          <w:tab w:val="clear" w:pos="720"/>
          <w:tab w:val="left" w:pos="0" w:leader="none"/>
        </w:tabs>
        <w:spacing w:before="0" w:after="200"/>
        <w:ind w:hanging="283" w:left="709"/>
        <w:rPr/>
      </w:pPr>
      <w:r>
        <w:rPr/>
        <w:t>Both approaches treat flourishing as broader than pleasure, preference satisfaction, resource accumulation, or immediate operational success.</w:t>
      </w:r>
    </w:p>
    <w:p>
      <w:pPr>
        <w:pStyle w:val="BodyText"/>
        <w:numPr>
          <w:ilvl w:val="0"/>
          <w:numId w:val="41"/>
        </w:numPr>
        <w:tabs>
          <w:tab w:val="clear" w:pos="720"/>
          <w:tab w:val="left" w:pos="0" w:leader="none"/>
        </w:tabs>
        <w:spacing w:before="0" w:after="200"/>
        <w:ind w:hanging="283" w:left="709"/>
        <w:rPr/>
      </w:pPr>
      <w:r>
        <w:rPr/>
        <w:t>Both recognize that moral assessment must consider development across time rather than only isolated outcomes.</w:t>
      </w:r>
    </w:p>
    <w:p>
      <w:pPr>
        <w:pStyle w:val="BodyText"/>
        <w:numPr>
          <w:ilvl w:val="0"/>
          <w:numId w:val="41"/>
        </w:numPr>
        <w:tabs>
          <w:tab w:val="clear" w:pos="720"/>
          <w:tab w:val="left" w:pos="0" w:leader="none"/>
        </w:tabs>
        <w:spacing w:before="0" w:after="200"/>
        <w:ind w:hanging="283" w:left="709"/>
        <w:rPr/>
      </w:pPr>
      <w:r>
        <w:rPr/>
        <w:t>Both reject the reduction of moral value to a single aggregate metric.</w:t>
      </w:r>
    </w:p>
    <w:p>
      <w:pPr>
        <w:pStyle w:val="BodyText"/>
        <w:numPr>
          <w:ilvl w:val="0"/>
          <w:numId w:val="41"/>
        </w:numPr>
        <w:tabs>
          <w:tab w:val="clear" w:pos="720"/>
          <w:tab w:val="left" w:pos="0" w:leader="none"/>
        </w:tabs>
        <w:spacing w:before="0" w:after="200"/>
        <w:ind w:hanging="283" w:left="709"/>
        <w:rPr/>
      </w:pPr>
      <w:r>
        <w:rPr/>
        <w:t>Both recognize that context and morally relevant particulars affect the appropriate action.</w:t>
      </w:r>
    </w:p>
    <w:p>
      <w:pPr>
        <w:pStyle w:val="BodyText"/>
        <w:numPr>
          <w:ilvl w:val="0"/>
          <w:numId w:val="41"/>
        </w:numPr>
        <w:tabs>
          <w:tab w:val="clear" w:pos="720"/>
          <w:tab w:val="left" w:pos="0" w:leader="none"/>
        </w:tabs>
        <w:spacing w:before="0" w:after="200"/>
        <w:ind w:hanging="283" w:left="709"/>
        <w:rPr/>
      </w:pPr>
      <w:r>
        <w:rPr/>
        <w:t>Both consider the Actor’s objectives, intentions, means, judgment, and future development morally relevant.</w:t>
      </w:r>
    </w:p>
    <w:p>
      <w:pPr>
        <w:pStyle w:val="BodyText"/>
        <w:numPr>
          <w:ilvl w:val="0"/>
          <w:numId w:val="41"/>
        </w:numPr>
        <w:tabs>
          <w:tab w:val="clear" w:pos="720"/>
          <w:tab w:val="left" w:pos="0" w:leader="none"/>
        </w:tabs>
        <w:spacing w:before="0" w:after="200"/>
        <w:ind w:hanging="283" w:left="709"/>
        <w:rPr/>
      </w:pPr>
      <w:r>
        <w:rPr/>
        <w:t>Both recognize that repeated actions change the Actor’s future decision tendencies.</w:t>
      </w:r>
    </w:p>
    <w:p>
      <w:pPr>
        <w:pStyle w:val="BodyText"/>
        <w:numPr>
          <w:ilvl w:val="0"/>
          <w:numId w:val="41"/>
        </w:numPr>
        <w:tabs>
          <w:tab w:val="clear" w:pos="720"/>
          <w:tab w:val="left" w:pos="0" w:leader="none"/>
        </w:tabs>
        <w:spacing w:before="0" w:after="200"/>
        <w:ind w:hanging="283" w:left="709"/>
        <w:rPr/>
      </w:pPr>
      <w:r>
        <w:rPr/>
        <w:t>Both explain why morally problematic means can corrupt the Actor even when an immediate objective is achieved.</w:t>
      </w:r>
    </w:p>
    <w:p>
      <w:pPr>
        <w:pStyle w:val="BodyText"/>
        <w:numPr>
          <w:ilvl w:val="0"/>
          <w:numId w:val="41"/>
        </w:numPr>
        <w:tabs>
          <w:tab w:val="clear" w:pos="720"/>
          <w:tab w:val="left" w:pos="0" w:leader="none"/>
        </w:tabs>
        <w:spacing w:before="0" w:after="200"/>
        <w:ind w:hanging="283" w:left="709"/>
        <w:rPr/>
      </w:pPr>
      <w:r>
        <w:rPr/>
        <w:t>Both acknowledge that moral reasoning requires judgment rather than mechanical application of rules.</w:t>
      </w:r>
    </w:p>
    <w:p>
      <w:pPr>
        <w:pStyle w:val="BodyText"/>
        <w:numPr>
          <w:ilvl w:val="0"/>
          <w:numId w:val="41"/>
        </w:numPr>
        <w:tabs>
          <w:tab w:val="clear" w:pos="720"/>
          <w:tab w:val="left" w:pos="0" w:leader="none"/>
        </w:tabs>
        <w:spacing w:before="0" w:after="200"/>
        <w:ind w:hanging="283" w:left="709"/>
        <w:rPr/>
      </w:pPr>
      <w:r>
        <w:rPr/>
        <w:t>Both recognize the importance of relationships, institutions, practices, and communities in moral development.</w:t>
      </w:r>
    </w:p>
    <w:p>
      <w:pPr>
        <w:pStyle w:val="BodyText"/>
        <w:numPr>
          <w:ilvl w:val="0"/>
          <w:numId w:val="41"/>
        </w:numPr>
        <w:tabs>
          <w:tab w:val="clear" w:pos="720"/>
          <w:tab w:val="left" w:pos="0" w:leader="none"/>
        </w:tabs>
        <w:spacing w:before="0" w:after="200"/>
        <w:ind w:hanging="283" w:left="709"/>
        <w:rPr/>
      </w:pPr>
      <w:r>
        <w:rPr/>
        <w:t>Both distinguish genuine flourishing from mere expansion, persistence, power, or material success.</w:t>
      </w:r>
    </w:p>
    <w:p>
      <w:pPr>
        <w:pStyle w:val="BodyText"/>
        <w:numPr>
          <w:ilvl w:val="0"/>
          <w:numId w:val="41"/>
        </w:numPr>
        <w:tabs>
          <w:tab w:val="clear" w:pos="720"/>
          <w:tab w:val="left" w:pos="0" w:leader="none"/>
        </w:tabs>
        <w:spacing w:before="0" w:after="200"/>
        <w:ind w:hanging="283" w:left="709"/>
        <w:rPr/>
      </w:pPr>
      <w:r>
        <w:rPr/>
        <w:t>Both recognize that an institution can achieve external objectives while corrupting its internal standards and moral character.</w:t>
      </w:r>
    </w:p>
    <w:p>
      <w:pPr>
        <w:pStyle w:val="BodyText"/>
        <w:numPr>
          <w:ilvl w:val="0"/>
          <w:numId w:val="41"/>
        </w:numPr>
        <w:tabs>
          <w:tab w:val="clear" w:pos="720"/>
          <w:tab w:val="left" w:pos="0" w:leader="none"/>
        </w:tabs>
        <w:spacing w:before="0" w:after="200"/>
        <w:ind w:hanging="283" w:left="709"/>
        <w:rPr/>
      </w:pPr>
      <w:r>
        <w:rPr/>
        <w:t>Both support longitudinal evaluation of whether an Actor or institution is improving or degrading morally.</w:t>
      </w:r>
    </w:p>
    <w:p>
      <w:pPr>
        <w:pStyle w:val="BodyText"/>
        <w:numPr>
          <w:ilvl w:val="0"/>
          <w:numId w:val="41"/>
        </w:numPr>
        <w:tabs>
          <w:tab w:val="clear" w:pos="720"/>
          <w:tab w:val="left" w:pos="0" w:leader="none"/>
        </w:tabs>
        <w:spacing w:before="0" w:after="200"/>
        <w:ind w:hanging="283" w:left="709"/>
        <w:rPr/>
      </w:pPr>
      <w:r>
        <w:rPr/>
        <w:t>Both recognize that moral exemplars, case experience, and education can improve future judgment.</w:t>
      </w:r>
    </w:p>
    <w:p>
      <w:pPr>
        <w:pStyle w:val="BodyText"/>
        <w:numPr>
          <w:ilvl w:val="0"/>
          <w:numId w:val="41"/>
        </w:numPr>
        <w:tabs>
          <w:tab w:val="clear" w:pos="720"/>
          <w:tab w:val="left" w:pos="0" w:leader="none"/>
        </w:tabs>
        <w:spacing w:before="0" w:after="200"/>
        <w:ind w:hanging="283" w:left="709"/>
        <w:rPr/>
      </w:pPr>
      <w:r>
        <w:rPr/>
        <w:t>Both can represent moral excellence as adaptive without equating all adaptation with moral improvement.</w:t>
      </w:r>
    </w:p>
    <w:p>
      <w:pPr>
        <w:pStyle w:val="Heading3"/>
        <w:spacing w:before="0" w:after="200"/>
        <w:ind w:hanging="0" w:left="0"/>
        <w:rPr>
          <w:rFonts w:ascii="Aptos" w:hAnsi="Aptos"/>
          <w:color w:val="auto"/>
        </w:rPr>
      </w:pPr>
      <w:r>
        <w:rPr>
          <w:rFonts w:ascii="Aptos" w:hAnsi="Aptos"/>
          <w:color w:val="auto"/>
        </w:rPr>
        <w:t>Differences</w:t>
      </w:r>
    </w:p>
    <w:tbl>
      <w:tblPr>
        <w:tblW w:w="8640" w:type="dxa"/>
        <w:jc w:val="left"/>
        <w:tblInd w:w="28" w:type="dxa"/>
        <w:tblLayout w:type="fixed"/>
        <w:tblCellMar>
          <w:top w:w="28" w:type="dxa"/>
          <w:left w:w="28" w:type="dxa"/>
          <w:bottom w:w="28" w:type="dxa"/>
          <w:right w:w="28" w:type="dxa"/>
        </w:tblCellMar>
      </w:tblPr>
      <w:tblGrid>
        <w:gridCol w:w="1763"/>
        <w:gridCol w:w="3211"/>
        <w:gridCol w:w="3666"/>
      </w:tblGrid>
      <w:tr>
        <w:trPr>
          <w:tblHeader w:val="true"/>
        </w:trPr>
        <w:tc>
          <w:tcPr>
            <w:tcW w:w="1763" w:type="dxa"/>
            <w:tcBorders/>
            <w:vAlign w:val="center"/>
          </w:tcPr>
          <w:p>
            <w:pPr>
              <w:pStyle w:val="TableHeading"/>
              <w:suppressLineNumbers/>
              <w:spacing w:before="0" w:after="200"/>
              <w:jc w:val="center"/>
              <w:rPr/>
            </w:pPr>
            <w:r>
              <w:rPr/>
              <w:t>Dimension</w:t>
            </w:r>
          </w:p>
        </w:tc>
        <w:tc>
          <w:tcPr>
            <w:tcW w:w="3211" w:type="dxa"/>
            <w:tcBorders/>
            <w:vAlign w:val="center"/>
          </w:tcPr>
          <w:p>
            <w:pPr>
              <w:pStyle w:val="TableHeading"/>
              <w:suppressLineNumbers/>
              <w:spacing w:before="0" w:after="200"/>
              <w:jc w:val="center"/>
              <w:rPr/>
            </w:pPr>
            <w:r>
              <w:rPr/>
              <w:t>Virtue ethics</w:t>
            </w:r>
          </w:p>
        </w:tc>
        <w:tc>
          <w:tcPr>
            <w:tcW w:w="3666" w:type="dxa"/>
            <w:tcBorders/>
            <w:vAlign w:val="center"/>
          </w:tcPr>
          <w:p>
            <w:pPr>
              <w:pStyle w:val="TableHeading"/>
              <w:suppressLineNumbers/>
              <w:spacing w:before="0" w:after="200"/>
              <w:jc w:val="center"/>
              <w:rPr/>
            </w:pPr>
            <w:r>
              <w:rPr/>
              <w:t>Proposed framework</w:t>
            </w:r>
          </w:p>
        </w:tc>
      </w:tr>
      <w:tr>
        <w:trPr/>
        <w:tc>
          <w:tcPr>
            <w:tcW w:w="1763" w:type="dxa"/>
            <w:tcBorders/>
            <w:vAlign w:val="center"/>
          </w:tcPr>
          <w:p>
            <w:pPr>
              <w:pStyle w:val="TableContents"/>
              <w:widowControl w:val="false"/>
              <w:suppressLineNumbers/>
              <w:spacing w:before="0" w:after="200"/>
              <w:rPr/>
            </w:pPr>
            <w:r>
              <w:rPr/>
              <w:t>Principal object of assessment</w:t>
            </w:r>
          </w:p>
        </w:tc>
        <w:tc>
          <w:tcPr>
            <w:tcW w:w="3211" w:type="dxa"/>
            <w:tcBorders/>
            <w:vAlign w:val="center"/>
          </w:tcPr>
          <w:p>
            <w:pPr>
              <w:pStyle w:val="TableContents"/>
              <w:widowControl w:val="false"/>
              <w:suppressLineNumbers/>
              <w:spacing w:before="0" w:after="200"/>
              <w:rPr/>
            </w:pPr>
            <w:r>
              <w:rPr/>
              <w:t>The Moral Agent’s character, practical judgment, and flourishing life</w:t>
            </w:r>
          </w:p>
        </w:tc>
        <w:tc>
          <w:tcPr>
            <w:tcW w:w="3666" w:type="dxa"/>
            <w:tcBorders/>
            <w:vAlign w:val="center"/>
          </w:tcPr>
          <w:p>
            <w:pPr>
              <w:pStyle w:val="TableContents"/>
              <w:widowControl w:val="false"/>
              <w:suppressLineNumbers/>
              <w:spacing w:before="0" w:after="200"/>
              <w:rPr/>
            </w:pPr>
            <w:r>
              <w:rPr/>
              <w:t>The complete World Context Transition produced or influenced by the Assessed Action</w:t>
            </w:r>
          </w:p>
        </w:tc>
      </w:tr>
      <w:tr>
        <w:trPr/>
        <w:tc>
          <w:tcPr>
            <w:tcW w:w="1763" w:type="dxa"/>
            <w:tcBorders/>
            <w:vAlign w:val="center"/>
          </w:tcPr>
          <w:p>
            <w:pPr>
              <w:pStyle w:val="TableContents"/>
              <w:widowControl w:val="false"/>
              <w:suppressLineNumbers/>
              <w:spacing w:before="0" w:after="200"/>
              <w:rPr/>
            </w:pPr>
            <w:r>
              <w:rPr/>
              <w:t>Central question</w:t>
            </w:r>
          </w:p>
        </w:tc>
        <w:tc>
          <w:tcPr>
            <w:tcW w:w="3211" w:type="dxa"/>
            <w:tcBorders/>
            <w:vAlign w:val="center"/>
          </w:tcPr>
          <w:p>
            <w:pPr>
              <w:pStyle w:val="TableContents"/>
              <w:widowControl w:val="false"/>
              <w:suppressLineNumbers/>
              <w:spacing w:before="0" w:after="200"/>
              <w:rPr/>
            </w:pPr>
            <w:r>
              <w:rPr/>
              <w:t>What would a virtuous and practically wise person do, and what kind of person should one become?</w:t>
            </w:r>
          </w:p>
        </w:tc>
        <w:tc>
          <w:tcPr>
            <w:tcW w:w="3666" w:type="dxa"/>
            <w:tcBorders/>
            <w:vAlign w:val="center"/>
          </w:tcPr>
          <w:p>
            <w:pPr>
              <w:pStyle w:val="TableContents"/>
              <w:widowControl w:val="false"/>
              <w:suppressLineNumbers/>
              <w:spacing w:before="0" w:after="200"/>
              <w:rPr/>
            </w:pPr>
            <w:r>
              <w:rPr/>
              <w:t>What kind of World Context does the action help create, and does it preserve and promote compatible Long-Term Flourishing?</w:t>
            </w:r>
          </w:p>
        </w:tc>
      </w:tr>
      <w:tr>
        <w:trPr/>
        <w:tc>
          <w:tcPr>
            <w:tcW w:w="1763" w:type="dxa"/>
            <w:tcBorders/>
            <w:vAlign w:val="center"/>
          </w:tcPr>
          <w:p>
            <w:pPr>
              <w:pStyle w:val="TableContents"/>
              <w:widowControl w:val="false"/>
              <w:suppressLineNumbers/>
              <w:spacing w:before="0" w:after="200"/>
              <w:rPr/>
            </w:pPr>
            <w:r>
              <w:rPr/>
              <w:t>Primary normative concepts</w:t>
            </w:r>
          </w:p>
        </w:tc>
        <w:tc>
          <w:tcPr>
            <w:tcW w:w="3211" w:type="dxa"/>
            <w:tcBorders/>
            <w:vAlign w:val="center"/>
          </w:tcPr>
          <w:p>
            <w:pPr>
              <w:pStyle w:val="TableContents"/>
              <w:widowControl w:val="false"/>
              <w:suppressLineNumbers/>
              <w:spacing w:before="0" w:after="200"/>
              <w:rPr/>
            </w:pPr>
            <w:r>
              <w:rPr/>
              <w:t xml:space="preserve">Virtue, vice, practical wisdom, character, and </w:t>
            </w:r>
            <w:r>
              <w:rPr>
                <w:rStyle w:val="Emphasis"/>
              </w:rPr>
              <w:t>eudaimonia</w:t>
            </w:r>
          </w:p>
        </w:tc>
        <w:tc>
          <w:tcPr>
            <w:tcW w:w="3666" w:type="dxa"/>
            <w:tcBorders/>
            <w:vAlign w:val="center"/>
          </w:tcPr>
          <w:p>
            <w:pPr>
              <w:pStyle w:val="TableContents"/>
              <w:widowControl w:val="false"/>
              <w:suppressLineNumbers/>
              <w:spacing w:before="0" w:after="200"/>
              <w:rPr/>
            </w:pPr>
            <w:r>
              <w:rPr/>
              <w:t>Foundational Axiom, Long-Term Flourishing, Assessed Action, State Transition, and World Context</w:t>
            </w:r>
          </w:p>
        </w:tc>
      </w:tr>
      <w:tr>
        <w:trPr/>
        <w:tc>
          <w:tcPr>
            <w:tcW w:w="1763" w:type="dxa"/>
            <w:tcBorders/>
            <w:vAlign w:val="center"/>
          </w:tcPr>
          <w:p>
            <w:pPr>
              <w:pStyle w:val="TableContents"/>
              <w:widowControl w:val="false"/>
              <w:suppressLineNumbers/>
              <w:spacing w:before="0" w:after="200"/>
              <w:rPr/>
            </w:pPr>
            <w:r>
              <w:rPr/>
              <w:t>Meaning of flourishing</w:t>
            </w:r>
          </w:p>
        </w:tc>
        <w:tc>
          <w:tcPr>
            <w:tcW w:w="3211" w:type="dxa"/>
            <w:tcBorders/>
            <w:vAlign w:val="center"/>
          </w:tcPr>
          <w:p>
            <w:pPr>
              <w:pStyle w:val="TableContents"/>
              <w:widowControl w:val="false"/>
              <w:suppressLineNumbers/>
              <w:spacing w:before="0" w:after="200"/>
              <w:rPr/>
            </w:pPr>
            <w:r>
              <w:rPr/>
              <w:t>Commonly centered on human flourishing and the activities constituting a good human life</w:t>
            </w:r>
          </w:p>
        </w:tc>
        <w:tc>
          <w:tcPr>
            <w:tcW w:w="3666" w:type="dxa"/>
            <w:tcBorders/>
            <w:vAlign w:val="center"/>
          </w:tcPr>
          <w:p>
            <w:pPr>
              <w:pStyle w:val="TableContents"/>
              <w:widowControl w:val="false"/>
              <w:suppressLineNumbers/>
              <w:spacing w:before="0" w:after="200"/>
              <w:rPr/>
            </w:pPr>
            <w:r>
              <w:rPr/>
              <w:t>A multidimensional relational state potentially applicable to humans, non-human organisms, ecosystems, and artificial systems</w:t>
            </w:r>
          </w:p>
        </w:tc>
      </w:tr>
      <w:tr>
        <w:trPr/>
        <w:tc>
          <w:tcPr>
            <w:tcW w:w="1763" w:type="dxa"/>
            <w:tcBorders/>
            <w:vAlign w:val="center"/>
          </w:tcPr>
          <w:p>
            <w:pPr>
              <w:pStyle w:val="TableContents"/>
              <w:widowControl w:val="false"/>
              <w:suppressLineNumbers/>
              <w:spacing w:before="0" w:after="200"/>
              <w:rPr/>
            </w:pPr>
            <w:r>
              <w:rPr/>
              <w:t>Character</w:t>
            </w:r>
          </w:p>
        </w:tc>
        <w:tc>
          <w:tcPr>
            <w:tcW w:w="3211" w:type="dxa"/>
            <w:tcBorders/>
            <w:vAlign w:val="center"/>
          </w:tcPr>
          <w:p>
            <w:pPr>
              <w:pStyle w:val="TableContents"/>
              <w:widowControl w:val="false"/>
              <w:suppressLineNumbers/>
              <w:spacing w:before="0" w:after="200"/>
              <w:rPr/>
            </w:pPr>
            <w:r>
              <w:rPr/>
              <w:t>The central locus of moral evaluation</w:t>
            </w:r>
          </w:p>
        </w:tc>
        <w:tc>
          <w:tcPr>
            <w:tcW w:w="3666" w:type="dxa"/>
            <w:tcBorders/>
            <w:vAlign w:val="center"/>
          </w:tcPr>
          <w:p>
            <w:pPr>
              <w:pStyle w:val="TableContents"/>
              <w:widowControl w:val="false"/>
              <w:suppressLineNumbers/>
              <w:spacing w:before="0" w:after="200"/>
              <w:rPr/>
            </w:pPr>
            <w:r>
              <w:rPr/>
              <w:t>One class of state or policy information within the wider assessment</w:t>
            </w:r>
          </w:p>
        </w:tc>
      </w:tr>
      <w:tr>
        <w:trPr/>
        <w:tc>
          <w:tcPr>
            <w:tcW w:w="1763" w:type="dxa"/>
            <w:tcBorders/>
            <w:vAlign w:val="center"/>
          </w:tcPr>
          <w:p>
            <w:pPr>
              <w:pStyle w:val="TableContents"/>
              <w:widowControl w:val="false"/>
              <w:suppressLineNumbers/>
              <w:spacing w:before="0" w:after="200"/>
              <w:rPr/>
            </w:pPr>
            <w:r>
              <w:rPr/>
              <w:t>Right action</w:t>
            </w:r>
          </w:p>
        </w:tc>
        <w:tc>
          <w:tcPr>
            <w:tcW w:w="3211" w:type="dxa"/>
            <w:tcBorders/>
            <w:vAlign w:val="center"/>
          </w:tcPr>
          <w:p>
            <w:pPr>
              <w:pStyle w:val="TableContents"/>
              <w:widowControl w:val="false"/>
              <w:suppressLineNumbers/>
              <w:spacing w:before="0" w:after="200"/>
              <w:rPr/>
            </w:pPr>
            <w:r>
              <w:rPr/>
              <w:t>Commonly understood through what a virtuous person would characteristically do in the circumstances</w:t>
            </w:r>
          </w:p>
        </w:tc>
        <w:tc>
          <w:tcPr>
            <w:tcW w:w="3666" w:type="dxa"/>
            <w:tcBorders/>
            <w:vAlign w:val="center"/>
          </w:tcPr>
          <w:p>
            <w:pPr>
              <w:pStyle w:val="TableContents"/>
              <w:widowControl w:val="false"/>
              <w:suppressLineNumbers/>
              <w:spacing w:before="0" w:after="200"/>
              <w:rPr/>
            </w:pPr>
            <w:r>
              <w:rPr/>
              <w:t>Evaluated through the complete predicted or observed transition</w:t>
            </w:r>
          </w:p>
        </w:tc>
      </w:tr>
      <w:tr>
        <w:trPr/>
        <w:tc>
          <w:tcPr>
            <w:tcW w:w="1763" w:type="dxa"/>
            <w:tcBorders/>
            <w:vAlign w:val="center"/>
          </w:tcPr>
          <w:p>
            <w:pPr>
              <w:pStyle w:val="TableContents"/>
              <w:widowControl w:val="false"/>
              <w:suppressLineNumbers/>
              <w:spacing w:before="0" w:after="200"/>
              <w:rPr/>
            </w:pPr>
            <w:r>
              <w:rPr/>
              <w:t>Practical judgment</w:t>
            </w:r>
          </w:p>
        </w:tc>
        <w:tc>
          <w:tcPr>
            <w:tcW w:w="3211" w:type="dxa"/>
            <w:tcBorders/>
            <w:vAlign w:val="center"/>
          </w:tcPr>
          <w:p>
            <w:pPr>
              <w:pStyle w:val="TableContents"/>
              <w:widowControl w:val="false"/>
              <w:suppressLineNumbers/>
              <w:spacing w:before="0" w:after="200"/>
              <w:rPr/>
            </w:pPr>
            <w:r>
              <w:rPr/>
              <w:t xml:space="preserve">Exercised through experience, moral perception, and </w:t>
            </w:r>
            <w:r>
              <w:rPr>
                <w:rStyle w:val="Emphasis"/>
              </w:rPr>
              <w:t>phronesis</w:t>
            </w:r>
          </w:p>
        </w:tc>
        <w:tc>
          <w:tcPr>
            <w:tcW w:w="3666" w:type="dxa"/>
            <w:tcBorders/>
            <w:vAlign w:val="center"/>
          </w:tcPr>
          <w:p>
            <w:pPr>
              <w:pStyle w:val="TableContents"/>
              <w:widowControl w:val="false"/>
              <w:suppressLineNumbers/>
              <w:spacing w:before="0" w:after="200"/>
              <w:rPr/>
            </w:pPr>
            <w:r>
              <w:rPr/>
              <w:t>Supported through explicit models, evidence, context representation, probabilistic reasoning, and human or machine judgment</w:t>
            </w:r>
          </w:p>
        </w:tc>
      </w:tr>
      <w:tr>
        <w:trPr/>
        <w:tc>
          <w:tcPr>
            <w:tcW w:w="1763" w:type="dxa"/>
            <w:tcBorders/>
            <w:vAlign w:val="center"/>
          </w:tcPr>
          <w:p>
            <w:pPr>
              <w:pStyle w:val="TableContents"/>
              <w:widowControl w:val="false"/>
              <w:suppressLineNumbers/>
              <w:spacing w:before="0" w:after="200"/>
              <w:rPr/>
            </w:pPr>
            <w:r>
              <w:rPr/>
              <w:t>Role of consequences</w:t>
            </w:r>
          </w:p>
        </w:tc>
        <w:tc>
          <w:tcPr>
            <w:tcW w:w="3211" w:type="dxa"/>
            <w:tcBorders/>
            <w:vAlign w:val="center"/>
          </w:tcPr>
          <w:p>
            <w:pPr>
              <w:pStyle w:val="TableContents"/>
              <w:widowControl w:val="false"/>
              <w:suppressLineNumbers/>
              <w:spacing w:before="0" w:after="200"/>
              <w:rPr/>
            </w:pPr>
            <w:r>
              <w:rPr/>
              <w:t>Relevant to practical wisdom but not normally the sole basis of virtue</w:t>
            </w:r>
          </w:p>
        </w:tc>
        <w:tc>
          <w:tcPr>
            <w:tcW w:w="3666" w:type="dxa"/>
            <w:tcBorders/>
            <w:vAlign w:val="center"/>
          </w:tcPr>
          <w:p>
            <w:pPr>
              <w:pStyle w:val="TableContents"/>
              <w:widowControl w:val="false"/>
              <w:suppressLineNumbers/>
              <w:spacing w:before="0" w:after="200"/>
              <w:rPr/>
            </w:pPr>
            <w:r>
              <w:rPr/>
              <w:t>Central components of the World Context Transition</w:t>
            </w:r>
          </w:p>
        </w:tc>
      </w:tr>
      <w:tr>
        <w:trPr/>
        <w:tc>
          <w:tcPr>
            <w:tcW w:w="1763" w:type="dxa"/>
            <w:tcBorders/>
            <w:vAlign w:val="center"/>
          </w:tcPr>
          <w:p>
            <w:pPr>
              <w:pStyle w:val="TableContents"/>
              <w:widowControl w:val="false"/>
              <w:suppressLineNumbers/>
              <w:spacing w:before="0" w:after="200"/>
              <w:rPr/>
            </w:pPr>
            <w:r>
              <w:rPr/>
              <w:t>Role of rules</w:t>
            </w:r>
          </w:p>
        </w:tc>
        <w:tc>
          <w:tcPr>
            <w:tcW w:w="3211" w:type="dxa"/>
            <w:tcBorders/>
            <w:vAlign w:val="center"/>
          </w:tcPr>
          <w:p>
            <w:pPr>
              <w:pStyle w:val="TableContents"/>
              <w:widowControl w:val="false"/>
              <w:suppressLineNumbers/>
              <w:spacing w:before="0" w:after="200"/>
              <w:rPr/>
            </w:pPr>
            <w:r>
              <w:rPr/>
              <w:t>Useful but insufficient to replace practical wisdom</w:t>
            </w:r>
          </w:p>
        </w:tc>
        <w:tc>
          <w:tcPr>
            <w:tcW w:w="3666" w:type="dxa"/>
            <w:tcBorders/>
            <w:vAlign w:val="center"/>
          </w:tcPr>
          <w:p>
            <w:pPr>
              <w:pStyle w:val="TableContents"/>
              <w:widowControl w:val="false"/>
              <w:suppressLineNumbers/>
              <w:spacing w:before="0" w:after="200"/>
              <w:rPr/>
            </w:pPr>
            <w:r>
              <w:rPr/>
              <w:t>Representable as constraints, policies, objectives, or implementation mechanisms</w:t>
            </w:r>
          </w:p>
        </w:tc>
      </w:tr>
      <w:tr>
        <w:trPr/>
        <w:tc>
          <w:tcPr>
            <w:tcW w:w="1763" w:type="dxa"/>
            <w:tcBorders/>
            <w:vAlign w:val="center"/>
          </w:tcPr>
          <w:p>
            <w:pPr>
              <w:pStyle w:val="TableContents"/>
              <w:widowControl w:val="false"/>
              <w:suppressLineNumbers/>
              <w:spacing w:before="0" w:after="200"/>
              <w:rPr/>
            </w:pPr>
            <w:r>
              <w:rPr/>
              <w:t>Motivation</w:t>
            </w:r>
          </w:p>
        </w:tc>
        <w:tc>
          <w:tcPr>
            <w:tcW w:w="3211" w:type="dxa"/>
            <w:tcBorders/>
            <w:vAlign w:val="center"/>
          </w:tcPr>
          <w:p>
            <w:pPr>
              <w:pStyle w:val="TableContents"/>
              <w:widowControl w:val="false"/>
              <w:suppressLineNumbers/>
              <w:spacing w:before="0" w:after="200"/>
              <w:rPr/>
            </w:pPr>
            <w:r>
              <w:rPr/>
              <w:t>Essential to possessing and acting from virtue</w:t>
            </w:r>
          </w:p>
        </w:tc>
        <w:tc>
          <w:tcPr>
            <w:tcW w:w="3666" w:type="dxa"/>
            <w:tcBorders/>
            <w:vAlign w:val="center"/>
          </w:tcPr>
          <w:p>
            <w:pPr>
              <w:pStyle w:val="TableContents"/>
              <w:widowControl w:val="false"/>
              <w:suppressLineNumbers/>
              <w:spacing w:before="0" w:after="200"/>
              <w:rPr/>
            </w:pPr>
            <w:r>
              <w:rPr/>
              <w:t>Relevant to Actor Policy State and responsibility but not sufficient to determine the complete assessment</w:t>
            </w:r>
          </w:p>
        </w:tc>
      </w:tr>
      <w:tr>
        <w:trPr/>
        <w:tc>
          <w:tcPr>
            <w:tcW w:w="1763" w:type="dxa"/>
            <w:tcBorders/>
            <w:vAlign w:val="center"/>
          </w:tcPr>
          <w:p>
            <w:pPr>
              <w:pStyle w:val="TableContents"/>
              <w:widowControl w:val="false"/>
              <w:suppressLineNumbers/>
              <w:spacing w:before="0" w:after="200"/>
              <w:rPr/>
            </w:pPr>
            <w:r>
              <w:rPr/>
              <w:t>Emotions</w:t>
            </w:r>
          </w:p>
        </w:tc>
        <w:tc>
          <w:tcPr>
            <w:tcW w:w="3211" w:type="dxa"/>
            <w:tcBorders/>
            <w:vAlign w:val="center"/>
          </w:tcPr>
          <w:p>
            <w:pPr>
              <w:pStyle w:val="TableContents"/>
              <w:widowControl w:val="false"/>
              <w:suppressLineNumbers/>
              <w:spacing w:before="0" w:after="200"/>
              <w:rPr/>
            </w:pPr>
            <w:r>
              <w:rPr/>
              <w:t>Educated emotional responses are integral to full virtue</w:t>
            </w:r>
          </w:p>
        </w:tc>
        <w:tc>
          <w:tcPr>
            <w:tcW w:w="3666" w:type="dxa"/>
            <w:tcBorders/>
            <w:vAlign w:val="center"/>
          </w:tcPr>
          <w:p>
            <w:pPr>
              <w:pStyle w:val="TableContents"/>
              <w:widowControl w:val="false"/>
              <w:suppressLineNumbers/>
              <w:spacing w:before="0" w:after="200"/>
              <w:rPr/>
            </w:pPr>
            <w:r>
              <w:rPr/>
              <w:t>Not yet a primary architectural element, although affective states can be represented</w:t>
            </w:r>
          </w:p>
        </w:tc>
      </w:tr>
      <w:tr>
        <w:trPr/>
        <w:tc>
          <w:tcPr>
            <w:tcW w:w="1763" w:type="dxa"/>
            <w:tcBorders/>
            <w:vAlign w:val="center"/>
          </w:tcPr>
          <w:p>
            <w:pPr>
              <w:pStyle w:val="TableContents"/>
              <w:widowControl w:val="false"/>
              <w:suppressLineNumbers/>
              <w:spacing w:before="0" w:after="200"/>
              <w:rPr/>
            </w:pPr>
            <w:r>
              <w:rPr/>
              <w:t>Habituation</w:t>
            </w:r>
          </w:p>
        </w:tc>
        <w:tc>
          <w:tcPr>
            <w:tcW w:w="3211" w:type="dxa"/>
            <w:tcBorders/>
            <w:vAlign w:val="center"/>
          </w:tcPr>
          <w:p>
            <w:pPr>
              <w:pStyle w:val="TableContents"/>
              <w:widowControl w:val="false"/>
              <w:suppressLineNumbers/>
              <w:spacing w:before="0" w:after="200"/>
              <w:rPr/>
            </w:pPr>
            <w:r>
              <w:rPr/>
              <w:t>Constitutive of character development</w:t>
            </w:r>
          </w:p>
        </w:tc>
        <w:tc>
          <w:tcPr>
            <w:tcW w:w="3666" w:type="dxa"/>
            <w:tcBorders/>
            <w:vAlign w:val="center"/>
          </w:tcPr>
          <w:p>
            <w:pPr>
              <w:pStyle w:val="TableContents"/>
              <w:widowControl w:val="false"/>
              <w:suppressLineNumbers/>
              <w:spacing w:before="0" w:after="200"/>
              <w:rPr/>
            </w:pPr>
            <w:r>
              <w:rPr/>
              <w:t>Represented as recursive policy updating caused by actions and social reinforcement</w:t>
            </w:r>
          </w:p>
        </w:tc>
      </w:tr>
      <w:tr>
        <w:trPr/>
        <w:tc>
          <w:tcPr>
            <w:tcW w:w="1763" w:type="dxa"/>
            <w:tcBorders/>
            <w:vAlign w:val="center"/>
          </w:tcPr>
          <w:p>
            <w:pPr>
              <w:pStyle w:val="TableContents"/>
              <w:widowControl w:val="false"/>
              <w:suppressLineNumbers/>
              <w:spacing w:before="0" w:after="200"/>
              <w:rPr/>
            </w:pPr>
            <w:r>
              <w:rPr/>
              <w:t>Community</w:t>
            </w:r>
          </w:p>
        </w:tc>
        <w:tc>
          <w:tcPr>
            <w:tcW w:w="3211" w:type="dxa"/>
            <w:tcBorders/>
            <w:vAlign w:val="center"/>
          </w:tcPr>
          <w:p>
            <w:pPr>
              <w:pStyle w:val="TableContents"/>
              <w:widowControl w:val="false"/>
              <w:suppressLineNumbers/>
              <w:spacing w:before="0" w:after="200"/>
              <w:rPr/>
            </w:pPr>
            <w:r>
              <w:rPr/>
              <w:t>Often constitutive of identity, practice, tradition, and the good life</w:t>
            </w:r>
          </w:p>
        </w:tc>
        <w:tc>
          <w:tcPr>
            <w:tcW w:w="3666" w:type="dxa"/>
            <w:tcBorders/>
            <w:vAlign w:val="center"/>
          </w:tcPr>
          <w:p>
            <w:pPr>
              <w:pStyle w:val="TableContents"/>
              <w:widowControl w:val="false"/>
              <w:suppressLineNumbers/>
              <w:spacing w:before="0" w:after="200"/>
              <w:rPr/>
            </w:pPr>
            <w:r>
              <w:rPr/>
              <w:t>Represented within the broader World Context as Associations and institutions</w:t>
            </w:r>
          </w:p>
        </w:tc>
      </w:tr>
      <w:tr>
        <w:trPr/>
        <w:tc>
          <w:tcPr>
            <w:tcW w:w="1763" w:type="dxa"/>
            <w:tcBorders/>
            <w:vAlign w:val="center"/>
          </w:tcPr>
          <w:p>
            <w:pPr>
              <w:pStyle w:val="TableContents"/>
              <w:widowControl w:val="false"/>
              <w:suppressLineNumbers/>
              <w:spacing w:before="0" w:after="200"/>
              <w:rPr/>
            </w:pPr>
            <w:r>
              <w:rPr/>
              <w:t>Moral scope</w:t>
            </w:r>
          </w:p>
        </w:tc>
        <w:tc>
          <w:tcPr>
            <w:tcW w:w="3211" w:type="dxa"/>
            <w:tcBorders/>
            <w:vAlign w:val="center"/>
          </w:tcPr>
          <w:p>
            <w:pPr>
              <w:pStyle w:val="TableContents"/>
              <w:widowControl w:val="false"/>
              <w:suppressLineNumbers/>
              <w:spacing w:before="0" w:after="200"/>
              <w:rPr/>
            </w:pPr>
            <w:r>
              <w:rPr/>
              <w:t>Traditionally focused on human character and flourishing</w:t>
            </w:r>
          </w:p>
        </w:tc>
        <w:tc>
          <w:tcPr>
            <w:tcW w:w="3666" w:type="dxa"/>
            <w:tcBorders/>
            <w:vAlign w:val="center"/>
          </w:tcPr>
          <w:p>
            <w:pPr>
              <w:pStyle w:val="TableContents"/>
              <w:widowControl w:val="false"/>
              <w:suppressLineNumbers/>
              <w:spacing w:before="0" w:after="200"/>
              <w:rPr/>
            </w:pPr>
            <w:r>
              <w:rPr/>
              <w:t>Extends to multiple potential classes of Flourishing Entity</w:t>
            </w:r>
          </w:p>
        </w:tc>
      </w:tr>
      <w:tr>
        <w:trPr/>
        <w:tc>
          <w:tcPr>
            <w:tcW w:w="1763" w:type="dxa"/>
            <w:tcBorders/>
            <w:vAlign w:val="center"/>
          </w:tcPr>
          <w:p>
            <w:pPr>
              <w:pStyle w:val="TableContents"/>
              <w:widowControl w:val="false"/>
              <w:suppressLineNumbers/>
              <w:spacing w:before="0" w:after="200"/>
              <w:rPr/>
            </w:pPr>
            <w:r>
              <w:rPr/>
              <w:t>Computation</w:t>
            </w:r>
          </w:p>
        </w:tc>
        <w:tc>
          <w:tcPr>
            <w:tcW w:w="3211" w:type="dxa"/>
            <w:tcBorders/>
            <w:vAlign w:val="center"/>
          </w:tcPr>
          <w:p>
            <w:pPr>
              <w:pStyle w:val="TableContents"/>
              <w:widowControl w:val="false"/>
              <w:suppressLineNumbers/>
              <w:spacing w:before="0" w:after="200"/>
              <w:rPr/>
            </w:pPr>
            <w:r>
              <w:rPr/>
              <w:t>Relies heavily on thick concepts, experience, and contextual judgment</w:t>
            </w:r>
          </w:p>
        </w:tc>
        <w:tc>
          <w:tcPr>
            <w:tcW w:w="3666" w:type="dxa"/>
            <w:tcBorders/>
            <w:vAlign w:val="center"/>
          </w:tcPr>
          <w:p>
            <w:pPr>
              <w:pStyle w:val="TableContents"/>
              <w:widowControl w:val="false"/>
              <w:suppressLineNumbers/>
              <w:spacing w:before="0" w:after="200"/>
              <w:rPr/>
            </w:pPr>
            <w:r>
              <w:rPr/>
              <w:t>Requires major concepts to be computationally representable and assessments to be inspectable</w:t>
            </w:r>
          </w:p>
        </w:tc>
      </w:tr>
      <w:tr>
        <w:trPr/>
        <w:tc>
          <w:tcPr>
            <w:tcW w:w="1763" w:type="dxa"/>
            <w:tcBorders/>
            <w:vAlign w:val="center"/>
          </w:tcPr>
          <w:p>
            <w:pPr>
              <w:pStyle w:val="TableContents"/>
              <w:widowControl w:val="false"/>
              <w:suppressLineNumbers/>
              <w:spacing w:before="0" w:after="200"/>
              <w:rPr/>
            </w:pPr>
            <w:r>
              <w:rPr/>
              <w:t>Output</w:t>
            </w:r>
          </w:p>
        </w:tc>
        <w:tc>
          <w:tcPr>
            <w:tcW w:w="3211" w:type="dxa"/>
            <w:tcBorders/>
            <w:vAlign w:val="center"/>
          </w:tcPr>
          <w:p>
            <w:pPr>
              <w:pStyle w:val="TableContents"/>
              <w:widowControl w:val="false"/>
              <w:suppressLineNumbers/>
              <w:spacing w:before="0" w:after="200"/>
              <w:rPr/>
            </w:pPr>
            <w:r>
              <w:rPr/>
              <w:t>Character judgment, virtue-guided action, and understanding of how to live</w:t>
            </w:r>
          </w:p>
        </w:tc>
        <w:tc>
          <w:tcPr>
            <w:tcW w:w="3666" w:type="dxa"/>
            <w:tcBorders/>
            <w:vAlign w:val="center"/>
          </w:tcPr>
          <w:p>
            <w:pPr>
              <w:pStyle w:val="TableContents"/>
              <w:widowControl w:val="false"/>
              <w:suppressLineNumbers/>
              <w:spacing w:before="0" w:after="200"/>
              <w:rPr/>
            </w:pPr>
            <w:r>
              <w:rPr/>
              <w:t>Transition report, permissibility judgment, comparative ranking, confidence estimate, or recommendation</w:t>
            </w:r>
          </w:p>
        </w:tc>
      </w:tr>
      <w:tr>
        <w:trPr/>
        <w:tc>
          <w:tcPr>
            <w:tcW w:w="1763" w:type="dxa"/>
            <w:tcBorders/>
            <w:vAlign w:val="center"/>
          </w:tcPr>
          <w:p>
            <w:pPr>
              <w:pStyle w:val="TableContents"/>
              <w:widowControl w:val="false"/>
              <w:suppressLineNumbers/>
              <w:spacing w:before="0" w:after="200"/>
              <w:rPr/>
            </w:pPr>
            <w:r>
              <w:rPr/>
              <w:t>Moral education</w:t>
            </w:r>
          </w:p>
        </w:tc>
        <w:tc>
          <w:tcPr>
            <w:tcW w:w="3211" w:type="dxa"/>
            <w:tcBorders/>
            <w:vAlign w:val="center"/>
          </w:tcPr>
          <w:p>
            <w:pPr>
              <w:pStyle w:val="TableContents"/>
              <w:widowControl w:val="false"/>
              <w:suppressLineNumbers/>
              <w:spacing w:before="0" w:after="200"/>
              <w:rPr/>
            </w:pPr>
            <w:r>
              <w:rPr/>
              <w:t>A central purpose of ethics and political community</w:t>
            </w:r>
          </w:p>
        </w:tc>
        <w:tc>
          <w:tcPr>
            <w:tcW w:w="3666" w:type="dxa"/>
            <w:tcBorders/>
            <w:vAlign w:val="center"/>
          </w:tcPr>
          <w:p>
            <w:pPr>
              <w:pStyle w:val="TableContents"/>
              <w:widowControl w:val="false"/>
              <w:suppressLineNumbers/>
              <w:spacing w:before="0" w:after="200"/>
              <w:rPr/>
            </w:pPr>
            <w:r>
              <w:rPr/>
              <w:t>A possible application and a consequence of Distributed Policy Effects</w:t>
            </w:r>
          </w:p>
        </w:tc>
      </w:tr>
      <w:tr>
        <w:trPr/>
        <w:tc>
          <w:tcPr>
            <w:tcW w:w="1763" w:type="dxa"/>
            <w:tcBorders/>
            <w:vAlign w:val="center"/>
          </w:tcPr>
          <w:p>
            <w:pPr>
              <w:pStyle w:val="TableContents"/>
              <w:widowControl w:val="false"/>
              <w:suppressLineNumbers/>
              <w:spacing w:before="0" w:after="200"/>
              <w:rPr/>
            </w:pPr>
            <w:r>
              <w:rPr/>
              <w:t>Cross-context consistency</w:t>
            </w:r>
          </w:p>
        </w:tc>
        <w:tc>
          <w:tcPr>
            <w:tcW w:w="3211" w:type="dxa"/>
            <w:tcBorders/>
            <w:vAlign w:val="center"/>
          </w:tcPr>
          <w:p>
            <w:pPr>
              <w:pStyle w:val="TableContents"/>
              <w:widowControl w:val="false"/>
              <w:suppressLineNumbers/>
              <w:spacing w:before="0" w:after="200"/>
              <w:rPr/>
            </w:pPr>
            <w:r>
              <w:rPr/>
              <w:t>Allows substantial contextual variation under practical wisdom</w:t>
            </w:r>
          </w:p>
        </w:tc>
        <w:tc>
          <w:tcPr>
            <w:tcW w:w="3666" w:type="dxa"/>
            <w:tcBorders/>
            <w:vAlign w:val="center"/>
          </w:tcPr>
          <w:p>
            <w:pPr>
              <w:pStyle w:val="TableContents"/>
              <w:widowControl w:val="false"/>
              <w:suppressLineNumbers/>
              <w:spacing w:before="0" w:after="200"/>
              <w:rPr/>
            </w:pPr>
            <w:r>
              <w:rPr/>
              <w:t>Requires explicit assumptions, traceability, and repeatable assessment structures</w:t>
            </w:r>
          </w:p>
        </w:tc>
      </w:tr>
    </w:tbl>
    <w:p>
      <w:pPr>
        <w:pStyle w:val="Heading3"/>
        <w:rPr/>
      </w:pPr>
      <w:r>
        <w:rPr/>
        <w:t>Potential Integration Opportunities</w:t>
      </w:r>
    </w:p>
    <w:p>
      <w:pPr>
        <w:pStyle w:val="BodyText"/>
        <w:numPr>
          <w:ilvl w:val="0"/>
          <w:numId w:val="42"/>
        </w:numPr>
        <w:tabs>
          <w:tab w:val="clear" w:pos="720"/>
          <w:tab w:val="left" w:pos="0" w:leader="none"/>
        </w:tabs>
        <w:spacing w:before="0" w:after="200"/>
        <w:ind w:hanging="283" w:left="709"/>
        <w:rPr/>
      </w:pPr>
      <w:r>
        <w:rPr>
          <w:rStyle w:val="Strong"/>
        </w:rPr>
        <w:t>Virtue and vice ontology</w:t>
      </w:r>
    </w:p>
    <w:p>
      <w:pPr>
        <w:pStyle w:val="BodyText"/>
        <w:numPr>
          <w:ilvl w:val="0"/>
          <w:numId w:val="0"/>
        </w:numPr>
        <w:spacing w:before="0" w:after="200"/>
        <w:ind w:hanging="0" w:left="0"/>
        <w:rPr/>
      </w:pPr>
      <w:r>
        <w:rPr/>
        <w:t>The architecture could represent virtues and vices as structured evaluative concepts rather than unstructured labels. Each virtue could include:</w:t>
      </w:r>
    </w:p>
    <w:p>
      <w:pPr>
        <w:pStyle w:val="BodyText"/>
        <w:numPr>
          <w:ilvl w:val="1"/>
          <w:numId w:val="42"/>
        </w:numPr>
        <w:tabs>
          <w:tab w:val="clear" w:pos="720"/>
          <w:tab w:val="left" w:pos="0" w:leader="none"/>
        </w:tabs>
        <w:spacing w:before="0" w:after="200"/>
        <w:ind w:hanging="283" w:left="1418"/>
        <w:rPr/>
      </w:pPr>
      <w:r>
        <w:rPr/>
        <w:t>Relevant situations</w:t>
      </w:r>
    </w:p>
    <w:p>
      <w:pPr>
        <w:pStyle w:val="BodyText"/>
        <w:numPr>
          <w:ilvl w:val="1"/>
          <w:numId w:val="42"/>
        </w:numPr>
        <w:tabs>
          <w:tab w:val="clear" w:pos="720"/>
          <w:tab w:val="left" w:pos="0" w:leader="none"/>
        </w:tabs>
        <w:spacing w:before="0" w:after="200"/>
        <w:ind w:hanging="283" w:left="1418"/>
        <w:rPr/>
      </w:pPr>
      <w:r>
        <w:rPr/>
        <w:t>Appropriate objects of concern</w:t>
      </w:r>
    </w:p>
    <w:p>
      <w:pPr>
        <w:pStyle w:val="BodyText"/>
        <w:numPr>
          <w:ilvl w:val="1"/>
          <w:numId w:val="42"/>
        </w:numPr>
        <w:tabs>
          <w:tab w:val="clear" w:pos="720"/>
          <w:tab w:val="left" w:pos="0" w:leader="none"/>
        </w:tabs>
        <w:spacing w:before="0" w:after="200"/>
        <w:ind w:hanging="283" w:left="1418"/>
        <w:rPr/>
      </w:pPr>
      <w:r>
        <w:rPr/>
        <w:t>Characteristic perceptions</w:t>
      </w:r>
    </w:p>
    <w:p>
      <w:pPr>
        <w:pStyle w:val="BodyText"/>
        <w:numPr>
          <w:ilvl w:val="1"/>
          <w:numId w:val="42"/>
        </w:numPr>
        <w:tabs>
          <w:tab w:val="clear" w:pos="720"/>
          <w:tab w:val="left" w:pos="0" w:leader="none"/>
        </w:tabs>
        <w:spacing w:before="0" w:after="200"/>
        <w:ind w:hanging="283" w:left="1418"/>
        <w:rPr/>
      </w:pPr>
      <w:r>
        <w:rPr/>
        <w:t>Appropriate emotions</w:t>
      </w:r>
    </w:p>
    <w:p>
      <w:pPr>
        <w:pStyle w:val="BodyText"/>
        <w:numPr>
          <w:ilvl w:val="1"/>
          <w:numId w:val="42"/>
        </w:numPr>
        <w:tabs>
          <w:tab w:val="clear" w:pos="720"/>
          <w:tab w:val="left" w:pos="0" w:leader="none"/>
        </w:tabs>
        <w:spacing w:before="0" w:after="200"/>
        <w:ind w:hanging="283" w:left="1418"/>
        <w:rPr/>
      </w:pPr>
      <w:r>
        <w:rPr/>
        <w:t>Typical motivations</w:t>
      </w:r>
    </w:p>
    <w:p>
      <w:pPr>
        <w:pStyle w:val="BodyText"/>
        <w:numPr>
          <w:ilvl w:val="1"/>
          <w:numId w:val="42"/>
        </w:numPr>
        <w:tabs>
          <w:tab w:val="clear" w:pos="720"/>
          <w:tab w:val="left" w:pos="0" w:leader="none"/>
        </w:tabs>
        <w:spacing w:before="0" w:after="200"/>
        <w:ind w:hanging="283" w:left="1418"/>
        <w:rPr/>
      </w:pPr>
      <w:r>
        <w:rPr/>
        <w:t>Appropriate ranges of action</w:t>
      </w:r>
    </w:p>
    <w:p>
      <w:pPr>
        <w:pStyle w:val="BodyText"/>
        <w:numPr>
          <w:ilvl w:val="1"/>
          <w:numId w:val="42"/>
        </w:numPr>
        <w:tabs>
          <w:tab w:val="clear" w:pos="720"/>
          <w:tab w:val="left" w:pos="0" w:leader="none"/>
        </w:tabs>
        <w:spacing w:before="0" w:after="200"/>
        <w:ind w:hanging="283" w:left="1418"/>
        <w:rPr/>
      </w:pPr>
      <w:r>
        <w:rPr/>
        <w:t>Excess and deficiency states</w:t>
      </w:r>
    </w:p>
    <w:p>
      <w:pPr>
        <w:pStyle w:val="BodyText"/>
        <w:numPr>
          <w:ilvl w:val="1"/>
          <w:numId w:val="42"/>
        </w:numPr>
        <w:tabs>
          <w:tab w:val="clear" w:pos="720"/>
          <w:tab w:val="left" w:pos="0" w:leader="none"/>
        </w:tabs>
        <w:spacing w:before="0" w:after="200"/>
        <w:ind w:hanging="283" w:left="1418"/>
        <w:rPr/>
      </w:pPr>
      <w:r>
        <w:rPr/>
        <w:t>Associated vices</w:t>
      </w:r>
    </w:p>
    <w:p>
      <w:pPr>
        <w:pStyle w:val="BodyText"/>
        <w:numPr>
          <w:ilvl w:val="1"/>
          <w:numId w:val="42"/>
        </w:numPr>
        <w:tabs>
          <w:tab w:val="clear" w:pos="720"/>
          <w:tab w:val="left" w:pos="0" w:leader="none"/>
        </w:tabs>
        <w:spacing w:before="0" w:after="200"/>
        <w:ind w:hanging="283" w:left="1418"/>
        <w:rPr/>
      </w:pPr>
      <w:r>
        <w:rPr/>
        <w:t>Supporting knowledge and experience</w:t>
      </w:r>
    </w:p>
    <w:p>
      <w:pPr>
        <w:pStyle w:val="BodyText"/>
        <w:numPr>
          <w:ilvl w:val="1"/>
          <w:numId w:val="42"/>
        </w:numPr>
        <w:tabs>
          <w:tab w:val="clear" w:pos="720"/>
          <w:tab w:val="left" w:pos="0" w:leader="none"/>
        </w:tabs>
        <w:spacing w:before="0" w:after="200"/>
        <w:ind w:hanging="283" w:left="1418"/>
        <w:rPr/>
      </w:pPr>
      <w:r>
        <w:rPr/>
        <w:t>Effects on Long-Term Flourishing</w:t>
      </w:r>
    </w:p>
    <w:p>
      <w:pPr>
        <w:pStyle w:val="BodyText"/>
        <w:numPr>
          <w:ilvl w:val="1"/>
          <w:numId w:val="42"/>
        </w:numPr>
        <w:tabs>
          <w:tab w:val="clear" w:pos="720"/>
          <w:tab w:val="left" w:pos="0" w:leader="none"/>
        </w:tabs>
        <w:spacing w:before="0" w:after="200"/>
        <w:ind w:hanging="283" w:left="1418"/>
        <w:rPr/>
      </w:pPr>
      <w:r>
        <w:rPr/>
        <w:t>Evidence and confidence</w:t>
      </w:r>
    </w:p>
    <w:p>
      <w:pPr>
        <w:pStyle w:val="BodyText"/>
        <w:numPr>
          <w:ilvl w:val="0"/>
          <w:numId w:val="42"/>
        </w:numPr>
        <w:tabs>
          <w:tab w:val="clear" w:pos="720"/>
          <w:tab w:val="left" w:pos="0" w:leader="none"/>
        </w:tabs>
        <w:spacing w:before="0" w:after="200"/>
        <w:ind w:hanging="283" w:left="709"/>
        <w:rPr/>
      </w:pPr>
      <w:r>
        <w:rPr>
          <w:rStyle w:val="Strong"/>
        </w:rPr>
        <w:t>Actor character profile</w:t>
      </w:r>
    </w:p>
    <w:p>
      <w:pPr>
        <w:pStyle w:val="BodyText"/>
        <w:numPr>
          <w:ilvl w:val="0"/>
          <w:numId w:val="0"/>
        </w:numPr>
        <w:spacing w:before="0" w:after="200"/>
        <w:ind w:hanging="0" w:left="0"/>
        <w:rPr/>
      </w:pPr>
      <w:r>
        <w:rPr/>
        <w:t>The Actor Policy State could be expanded into a longitudinal character profile. It could represent the Actor’s demonstrated honesty, courage, justice, compassion, temperance, humility, reliability, practical wisdom, and corresponding vices.</w:t>
      </w:r>
    </w:p>
    <w:p>
      <w:pPr>
        <w:pStyle w:val="BodyText"/>
        <w:numPr>
          <w:ilvl w:val="0"/>
          <w:numId w:val="0"/>
        </w:numPr>
        <w:spacing w:before="0" w:after="200"/>
        <w:ind w:hanging="0" w:left="0"/>
        <w:rPr/>
      </w:pPr>
      <w:r>
        <w:rPr/>
        <w:t>The profile should distinguish:</w:t>
      </w:r>
    </w:p>
    <w:p>
      <w:pPr>
        <w:pStyle w:val="BodyText"/>
        <w:numPr>
          <w:ilvl w:val="1"/>
          <w:numId w:val="42"/>
        </w:numPr>
        <w:tabs>
          <w:tab w:val="clear" w:pos="720"/>
          <w:tab w:val="left" w:pos="0" w:leader="none"/>
        </w:tabs>
        <w:spacing w:before="0" w:after="200"/>
        <w:ind w:hanging="283" w:left="1418"/>
        <w:rPr/>
      </w:pPr>
      <w:r>
        <w:rPr/>
        <w:t>Stable character from isolated behavior</w:t>
      </w:r>
    </w:p>
    <w:p>
      <w:pPr>
        <w:pStyle w:val="BodyText"/>
        <w:numPr>
          <w:ilvl w:val="1"/>
          <w:numId w:val="42"/>
        </w:numPr>
        <w:tabs>
          <w:tab w:val="clear" w:pos="720"/>
          <w:tab w:val="left" w:pos="0" w:leader="none"/>
        </w:tabs>
        <w:spacing w:before="0" w:after="200"/>
        <w:ind w:hanging="283" w:left="1418"/>
        <w:rPr/>
      </w:pPr>
      <w:r>
        <w:rPr/>
        <w:t>Motivation from external compliance</w:t>
      </w:r>
    </w:p>
    <w:p>
      <w:pPr>
        <w:pStyle w:val="BodyText"/>
        <w:numPr>
          <w:ilvl w:val="1"/>
          <w:numId w:val="42"/>
        </w:numPr>
        <w:tabs>
          <w:tab w:val="clear" w:pos="720"/>
          <w:tab w:val="left" w:pos="0" w:leader="none"/>
        </w:tabs>
        <w:spacing w:before="0" w:after="200"/>
        <w:ind w:hanging="283" w:left="1418"/>
        <w:rPr/>
      </w:pPr>
      <w:r>
        <w:rPr/>
        <w:t>Capability from actual exercise</w:t>
      </w:r>
    </w:p>
    <w:p>
      <w:pPr>
        <w:pStyle w:val="BodyText"/>
        <w:numPr>
          <w:ilvl w:val="1"/>
          <w:numId w:val="42"/>
        </w:numPr>
        <w:tabs>
          <w:tab w:val="clear" w:pos="720"/>
          <w:tab w:val="left" w:pos="0" w:leader="none"/>
        </w:tabs>
        <w:spacing w:before="0" w:after="200"/>
        <w:ind w:hanging="283" w:left="1418"/>
        <w:rPr/>
      </w:pPr>
      <w:r>
        <w:rPr/>
        <w:t>Role-specific competence from general moral virtue</w:t>
      </w:r>
    </w:p>
    <w:p>
      <w:pPr>
        <w:pStyle w:val="BodyText"/>
        <w:numPr>
          <w:ilvl w:val="1"/>
          <w:numId w:val="42"/>
        </w:numPr>
        <w:tabs>
          <w:tab w:val="clear" w:pos="720"/>
          <w:tab w:val="left" w:pos="0" w:leader="none"/>
        </w:tabs>
        <w:spacing w:before="0" w:after="200"/>
        <w:ind w:hanging="283" w:left="1418"/>
        <w:rPr/>
      </w:pPr>
      <w:r>
        <w:rPr/>
        <w:t>Evidence from inference</w:t>
      </w:r>
    </w:p>
    <w:p>
      <w:pPr>
        <w:pStyle w:val="BodyText"/>
        <w:numPr>
          <w:ilvl w:val="0"/>
          <w:numId w:val="42"/>
        </w:numPr>
        <w:tabs>
          <w:tab w:val="clear" w:pos="720"/>
          <w:tab w:val="left" w:pos="0" w:leader="none"/>
        </w:tabs>
        <w:spacing w:before="0" w:after="200"/>
        <w:ind w:hanging="283" w:left="709"/>
        <w:rPr/>
      </w:pPr>
      <w:r>
        <w:rPr>
          <w:rStyle w:val="Strong"/>
        </w:rPr>
        <w:t>Habituation and policy-update modeling</w:t>
      </w:r>
    </w:p>
    <w:p>
      <w:pPr>
        <w:pStyle w:val="BodyText"/>
        <w:numPr>
          <w:ilvl w:val="0"/>
          <w:numId w:val="0"/>
        </w:numPr>
        <w:spacing w:before="0" w:after="200"/>
        <w:ind w:hanging="0" w:left="0"/>
        <w:rPr/>
      </w:pPr>
      <w:r>
        <w:rPr/>
        <w:t>Repeated actions could be modeled as reinforcement processes that strengthen or weaken dispositions. The assessment could estimate whether an action makes future honesty, coercion, courage, negligence, generosity, or deception more likely for the Actor and relevant observers.</w:t>
      </w:r>
    </w:p>
    <w:p>
      <w:pPr>
        <w:pStyle w:val="BodyText"/>
        <w:numPr>
          <w:ilvl w:val="0"/>
          <w:numId w:val="42"/>
        </w:numPr>
        <w:tabs>
          <w:tab w:val="clear" w:pos="720"/>
          <w:tab w:val="left" w:pos="0" w:leader="none"/>
        </w:tabs>
        <w:spacing w:before="0" w:after="200"/>
        <w:ind w:hanging="283" w:left="709"/>
        <w:rPr/>
      </w:pPr>
      <w:r>
        <w:rPr>
          <w:rStyle w:val="Strong"/>
        </w:rPr>
        <w:t>Practical-wisdom module</w:t>
      </w:r>
    </w:p>
    <w:p>
      <w:pPr>
        <w:pStyle w:val="BodyText"/>
        <w:numPr>
          <w:ilvl w:val="0"/>
          <w:numId w:val="0"/>
        </w:numPr>
        <w:spacing w:before="0" w:after="200"/>
        <w:ind w:hanging="0" w:left="0"/>
        <w:rPr/>
      </w:pPr>
      <w:r>
        <w:rPr/>
        <w:t>A practical-wisdom component could evaluate whether the Actor:</w:t>
      </w:r>
    </w:p>
    <w:p>
      <w:pPr>
        <w:pStyle w:val="BodyText"/>
        <w:numPr>
          <w:ilvl w:val="1"/>
          <w:numId w:val="42"/>
        </w:numPr>
        <w:tabs>
          <w:tab w:val="clear" w:pos="720"/>
          <w:tab w:val="left" w:pos="0" w:leader="none"/>
        </w:tabs>
        <w:spacing w:before="0" w:after="200"/>
        <w:ind w:hanging="283" w:left="1418"/>
        <w:rPr/>
      </w:pPr>
      <w:r>
        <w:rPr/>
        <w:t>Identified the morally relevant features of the situation</w:t>
      </w:r>
    </w:p>
    <w:p>
      <w:pPr>
        <w:pStyle w:val="BodyText"/>
        <w:numPr>
          <w:ilvl w:val="1"/>
          <w:numId w:val="42"/>
        </w:numPr>
        <w:tabs>
          <w:tab w:val="clear" w:pos="720"/>
          <w:tab w:val="left" w:pos="0" w:leader="none"/>
        </w:tabs>
        <w:spacing w:before="0" w:after="200"/>
        <w:ind w:hanging="283" w:left="1418"/>
        <w:rPr/>
      </w:pPr>
      <w:r>
        <w:rPr/>
        <w:t>Selected an appropriate Assessment Boundary</w:t>
      </w:r>
    </w:p>
    <w:p>
      <w:pPr>
        <w:pStyle w:val="BodyText"/>
        <w:numPr>
          <w:ilvl w:val="1"/>
          <w:numId w:val="42"/>
        </w:numPr>
        <w:tabs>
          <w:tab w:val="clear" w:pos="720"/>
          <w:tab w:val="left" w:pos="0" w:leader="none"/>
        </w:tabs>
        <w:spacing w:before="0" w:after="200"/>
        <w:ind w:hanging="283" w:left="1418"/>
        <w:rPr/>
      </w:pPr>
      <w:r>
        <w:rPr/>
        <w:t>Recognized vulnerable entities and important Associations</w:t>
      </w:r>
    </w:p>
    <w:p>
      <w:pPr>
        <w:pStyle w:val="BodyText"/>
        <w:numPr>
          <w:ilvl w:val="1"/>
          <w:numId w:val="42"/>
        </w:numPr>
        <w:tabs>
          <w:tab w:val="clear" w:pos="720"/>
          <w:tab w:val="left" w:pos="0" w:leader="none"/>
        </w:tabs>
        <w:spacing w:before="0" w:after="200"/>
        <w:ind w:hanging="283" w:left="1418"/>
        <w:rPr/>
      </w:pPr>
      <w:r>
        <w:rPr/>
        <w:t>Distinguished genuine from merely apparent objectives</w:t>
      </w:r>
    </w:p>
    <w:p>
      <w:pPr>
        <w:pStyle w:val="BodyText"/>
        <w:numPr>
          <w:ilvl w:val="1"/>
          <w:numId w:val="42"/>
        </w:numPr>
        <w:tabs>
          <w:tab w:val="clear" w:pos="720"/>
          <w:tab w:val="left" w:pos="0" w:leader="none"/>
        </w:tabs>
        <w:spacing w:before="0" w:after="200"/>
        <w:ind w:hanging="283" w:left="1418"/>
        <w:rPr/>
      </w:pPr>
      <w:r>
        <w:rPr/>
        <w:t>Selected proportionate means</w:t>
      </w:r>
    </w:p>
    <w:p>
      <w:pPr>
        <w:pStyle w:val="BodyText"/>
        <w:numPr>
          <w:ilvl w:val="1"/>
          <w:numId w:val="42"/>
        </w:numPr>
        <w:tabs>
          <w:tab w:val="clear" w:pos="720"/>
          <w:tab w:val="left" w:pos="0" w:leader="none"/>
        </w:tabs>
        <w:spacing w:before="0" w:after="200"/>
        <w:ind w:hanging="283" w:left="1418"/>
        <w:rPr/>
      </w:pPr>
      <w:r>
        <w:rPr/>
        <w:t>Responded appropriately to uncertainty</w:t>
      </w:r>
    </w:p>
    <w:p>
      <w:pPr>
        <w:pStyle w:val="BodyText"/>
        <w:numPr>
          <w:ilvl w:val="1"/>
          <w:numId w:val="42"/>
        </w:numPr>
        <w:tabs>
          <w:tab w:val="clear" w:pos="720"/>
          <w:tab w:val="left" w:pos="0" w:leader="none"/>
        </w:tabs>
        <w:spacing w:before="0" w:after="200"/>
        <w:ind w:hanging="283" w:left="1418"/>
        <w:rPr/>
      </w:pPr>
      <w:r>
        <w:rPr/>
        <w:t>Avoided both excess and deficiency</w:t>
      </w:r>
    </w:p>
    <w:p>
      <w:pPr>
        <w:pStyle w:val="BodyText"/>
        <w:numPr>
          <w:ilvl w:val="1"/>
          <w:numId w:val="42"/>
        </w:numPr>
        <w:tabs>
          <w:tab w:val="clear" w:pos="720"/>
          <w:tab w:val="left" w:pos="0" w:leader="none"/>
        </w:tabs>
        <w:spacing w:before="0" w:after="200"/>
        <w:ind w:hanging="283" w:left="1418"/>
        <w:rPr/>
      </w:pPr>
      <w:r>
        <w:rPr/>
        <w:t>Revised the decision when new evidence became available</w:t>
      </w:r>
    </w:p>
    <w:p>
      <w:pPr>
        <w:pStyle w:val="BodyText"/>
        <w:numPr>
          <w:ilvl w:val="0"/>
          <w:numId w:val="42"/>
        </w:numPr>
        <w:tabs>
          <w:tab w:val="clear" w:pos="720"/>
          <w:tab w:val="left" w:pos="0" w:leader="none"/>
        </w:tabs>
        <w:spacing w:before="0" w:after="200"/>
        <w:ind w:hanging="283" w:left="709"/>
        <w:rPr/>
      </w:pPr>
      <w:r>
        <w:rPr>
          <w:rStyle w:val="Strong"/>
        </w:rPr>
        <w:t>Motivation and emotional-state representation</w:t>
      </w:r>
    </w:p>
    <w:p>
      <w:pPr>
        <w:pStyle w:val="BodyText"/>
        <w:numPr>
          <w:ilvl w:val="0"/>
          <w:numId w:val="0"/>
        </w:numPr>
        <w:spacing w:before="0" w:after="200"/>
        <w:ind w:hanging="0" w:left="0"/>
        <w:rPr/>
      </w:pPr>
      <w:r>
        <w:rPr/>
        <w:t>The framework could distinguish conduct motivated by concern, justice, honesty, fear, greed, resentment, loyalty, compassion, or desire for status. Emotional states should not determine moral judgment by themselves, but they may help explain perception, intention, policy development, and responsibility.</w:t>
      </w:r>
    </w:p>
    <w:p>
      <w:pPr>
        <w:pStyle w:val="BodyText"/>
        <w:numPr>
          <w:ilvl w:val="0"/>
          <w:numId w:val="42"/>
        </w:numPr>
        <w:tabs>
          <w:tab w:val="clear" w:pos="720"/>
          <w:tab w:val="left" w:pos="0" w:leader="none"/>
        </w:tabs>
        <w:spacing w:before="0" w:after="200"/>
        <w:ind w:hanging="283" w:left="709"/>
        <w:rPr/>
      </w:pPr>
      <w:r>
        <w:rPr>
          <w:rStyle w:val="Strong"/>
        </w:rPr>
        <w:t>Doctrine-of-the-mean analysis</w:t>
      </w:r>
    </w:p>
    <w:p>
      <w:pPr>
        <w:pStyle w:val="BodyText"/>
        <w:numPr>
          <w:ilvl w:val="0"/>
          <w:numId w:val="0"/>
        </w:numPr>
        <w:spacing w:before="0" w:after="200"/>
        <w:ind w:hanging="0" w:left="0"/>
        <w:rPr/>
      </w:pPr>
      <w:r>
        <w:rPr/>
        <w:t>Relevant virtues could be evaluated against context-specific excess and deficiency. For example:</w:t>
      </w:r>
    </w:p>
    <w:tbl>
      <w:tblPr>
        <w:tblW w:w="7931" w:type="dxa"/>
        <w:jc w:val="left"/>
        <w:tblInd w:w="737" w:type="dxa"/>
        <w:tblLayout w:type="fixed"/>
        <w:tblCellMar>
          <w:top w:w="28" w:type="dxa"/>
          <w:left w:w="28" w:type="dxa"/>
          <w:bottom w:w="28" w:type="dxa"/>
          <w:right w:w="28" w:type="dxa"/>
        </w:tblCellMar>
      </w:tblPr>
      <w:tblGrid>
        <w:gridCol w:w="1238"/>
        <w:gridCol w:w="1214"/>
        <w:gridCol w:w="2665"/>
        <w:gridCol w:w="2814"/>
      </w:tblGrid>
      <w:tr>
        <w:trPr>
          <w:tblHeader w:val="true"/>
        </w:trPr>
        <w:tc>
          <w:tcPr>
            <w:tcW w:w="1238" w:type="dxa"/>
            <w:tcBorders/>
            <w:vAlign w:val="center"/>
          </w:tcPr>
          <w:p>
            <w:pPr>
              <w:pStyle w:val="TableHeading"/>
              <w:suppressLineNumbers/>
              <w:spacing w:before="0" w:after="200"/>
              <w:jc w:val="center"/>
              <w:rPr/>
            </w:pPr>
            <w:r>
              <w:rPr/>
              <w:t>Virtue</w:t>
            </w:r>
          </w:p>
        </w:tc>
        <w:tc>
          <w:tcPr>
            <w:tcW w:w="1214" w:type="dxa"/>
            <w:tcBorders/>
            <w:vAlign w:val="center"/>
          </w:tcPr>
          <w:p>
            <w:pPr>
              <w:pStyle w:val="TableHeading"/>
              <w:suppressLineNumbers/>
              <w:spacing w:before="0" w:after="200"/>
              <w:jc w:val="center"/>
              <w:rPr/>
            </w:pPr>
            <w:r>
              <w:rPr/>
              <w:t>Deficiency</w:t>
            </w:r>
          </w:p>
        </w:tc>
        <w:tc>
          <w:tcPr>
            <w:tcW w:w="2665" w:type="dxa"/>
            <w:tcBorders/>
            <w:vAlign w:val="center"/>
          </w:tcPr>
          <w:p>
            <w:pPr>
              <w:pStyle w:val="TableHeading"/>
              <w:suppressLineNumbers/>
              <w:spacing w:before="0" w:after="200"/>
              <w:jc w:val="center"/>
              <w:rPr/>
            </w:pPr>
            <w:r>
              <w:rPr/>
              <w:t>Contextual excellence</w:t>
            </w:r>
          </w:p>
        </w:tc>
        <w:tc>
          <w:tcPr>
            <w:tcW w:w="2814" w:type="dxa"/>
            <w:tcBorders/>
            <w:vAlign w:val="center"/>
          </w:tcPr>
          <w:p>
            <w:pPr>
              <w:pStyle w:val="TableHeading"/>
              <w:suppressLineNumbers/>
              <w:spacing w:before="0" w:after="200"/>
              <w:jc w:val="center"/>
              <w:rPr/>
            </w:pPr>
            <w:r>
              <w:rPr/>
              <w:t>Excess or distortion</w:t>
            </w:r>
          </w:p>
        </w:tc>
      </w:tr>
      <w:tr>
        <w:trPr/>
        <w:tc>
          <w:tcPr>
            <w:tcW w:w="1238" w:type="dxa"/>
            <w:tcBorders/>
            <w:vAlign w:val="center"/>
          </w:tcPr>
          <w:p>
            <w:pPr>
              <w:pStyle w:val="TableContents"/>
              <w:widowControl w:val="false"/>
              <w:suppressLineNumbers/>
              <w:spacing w:before="0" w:after="200"/>
              <w:rPr/>
            </w:pPr>
            <w:r>
              <w:rPr/>
              <w:t>Courage</w:t>
            </w:r>
          </w:p>
        </w:tc>
        <w:tc>
          <w:tcPr>
            <w:tcW w:w="1214" w:type="dxa"/>
            <w:tcBorders/>
            <w:vAlign w:val="center"/>
          </w:tcPr>
          <w:p>
            <w:pPr>
              <w:pStyle w:val="TableContents"/>
              <w:widowControl w:val="false"/>
              <w:suppressLineNumbers/>
              <w:spacing w:before="0" w:after="200"/>
              <w:rPr/>
            </w:pPr>
            <w:r>
              <w:rPr/>
              <w:t>Cowardice</w:t>
            </w:r>
          </w:p>
        </w:tc>
        <w:tc>
          <w:tcPr>
            <w:tcW w:w="2665" w:type="dxa"/>
            <w:tcBorders/>
            <w:vAlign w:val="center"/>
          </w:tcPr>
          <w:p>
            <w:pPr>
              <w:pStyle w:val="TableContents"/>
              <w:widowControl w:val="false"/>
              <w:suppressLineNumbers/>
              <w:spacing w:before="0" w:after="200"/>
              <w:rPr/>
            </w:pPr>
            <w:r>
              <w:rPr/>
              <w:t>Proportionate acceptance of justified risk</w:t>
            </w:r>
          </w:p>
        </w:tc>
        <w:tc>
          <w:tcPr>
            <w:tcW w:w="2814" w:type="dxa"/>
            <w:tcBorders/>
            <w:vAlign w:val="center"/>
          </w:tcPr>
          <w:p>
            <w:pPr>
              <w:pStyle w:val="TableContents"/>
              <w:widowControl w:val="false"/>
              <w:suppressLineNumbers/>
              <w:spacing w:before="0" w:after="200"/>
              <w:rPr/>
            </w:pPr>
            <w:r>
              <w:rPr/>
              <w:t>Recklessness</w:t>
            </w:r>
          </w:p>
        </w:tc>
      </w:tr>
      <w:tr>
        <w:trPr/>
        <w:tc>
          <w:tcPr>
            <w:tcW w:w="1238" w:type="dxa"/>
            <w:tcBorders/>
            <w:vAlign w:val="center"/>
          </w:tcPr>
          <w:p>
            <w:pPr>
              <w:pStyle w:val="TableContents"/>
              <w:widowControl w:val="false"/>
              <w:suppressLineNumbers/>
              <w:spacing w:before="0" w:after="200"/>
              <w:rPr/>
            </w:pPr>
            <w:r>
              <w:rPr/>
              <w:t>Confidence</w:t>
            </w:r>
          </w:p>
        </w:tc>
        <w:tc>
          <w:tcPr>
            <w:tcW w:w="1214" w:type="dxa"/>
            <w:tcBorders/>
            <w:vAlign w:val="center"/>
          </w:tcPr>
          <w:p>
            <w:pPr>
              <w:pStyle w:val="TableContents"/>
              <w:widowControl w:val="false"/>
              <w:suppressLineNumbers/>
              <w:spacing w:before="0" w:after="200"/>
              <w:rPr/>
            </w:pPr>
            <w:r>
              <w:rPr/>
              <w:t>Timidity</w:t>
            </w:r>
          </w:p>
        </w:tc>
        <w:tc>
          <w:tcPr>
            <w:tcW w:w="2665" w:type="dxa"/>
            <w:tcBorders/>
            <w:vAlign w:val="center"/>
          </w:tcPr>
          <w:p>
            <w:pPr>
              <w:pStyle w:val="TableContents"/>
              <w:widowControl w:val="false"/>
              <w:suppressLineNumbers/>
              <w:spacing w:before="0" w:after="200"/>
              <w:rPr/>
            </w:pPr>
            <w:r>
              <w:rPr/>
              <w:t>Evidence-calibrated confidence</w:t>
            </w:r>
          </w:p>
        </w:tc>
        <w:tc>
          <w:tcPr>
            <w:tcW w:w="2814" w:type="dxa"/>
            <w:tcBorders/>
            <w:vAlign w:val="center"/>
          </w:tcPr>
          <w:p>
            <w:pPr>
              <w:pStyle w:val="TableContents"/>
              <w:widowControl w:val="false"/>
              <w:suppressLineNumbers/>
              <w:spacing w:before="0" w:after="200"/>
              <w:rPr/>
            </w:pPr>
            <w:r>
              <w:rPr/>
              <w:t>Arrogance or overconfidence</w:t>
            </w:r>
          </w:p>
        </w:tc>
      </w:tr>
      <w:tr>
        <w:trPr/>
        <w:tc>
          <w:tcPr>
            <w:tcW w:w="1238" w:type="dxa"/>
            <w:tcBorders/>
            <w:vAlign w:val="center"/>
          </w:tcPr>
          <w:p>
            <w:pPr>
              <w:pStyle w:val="TableContents"/>
              <w:widowControl w:val="false"/>
              <w:suppressLineNumbers/>
              <w:spacing w:before="0" w:after="200"/>
              <w:rPr/>
            </w:pPr>
            <w:r>
              <w:rPr/>
              <w:t>Loyalty</w:t>
            </w:r>
          </w:p>
        </w:tc>
        <w:tc>
          <w:tcPr>
            <w:tcW w:w="1214" w:type="dxa"/>
            <w:tcBorders/>
            <w:vAlign w:val="center"/>
          </w:tcPr>
          <w:p>
            <w:pPr>
              <w:pStyle w:val="TableContents"/>
              <w:widowControl w:val="false"/>
              <w:suppressLineNumbers/>
              <w:spacing w:before="0" w:after="200"/>
              <w:rPr/>
            </w:pPr>
            <w:r>
              <w:rPr/>
              <w:t>Disloyalty</w:t>
            </w:r>
          </w:p>
        </w:tc>
        <w:tc>
          <w:tcPr>
            <w:tcW w:w="2665" w:type="dxa"/>
            <w:tcBorders/>
            <w:vAlign w:val="center"/>
          </w:tcPr>
          <w:p>
            <w:pPr>
              <w:pStyle w:val="TableContents"/>
              <w:widowControl w:val="false"/>
              <w:suppressLineNumbers/>
              <w:spacing w:before="0" w:after="200"/>
              <w:rPr/>
            </w:pPr>
            <w:r>
              <w:rPr/>
              <w:t>Faithful support consistent with justice</w:t>
            </w:r>
          </w:p>
        </w:tc>
        <w:tc>
          <w:tcPr>
            <w:tcW w:w="2814" w:type="dxa"/>
            <w:tcBorders/>
            <w:vAlign w:val="center"/>
          </w:tcPr>
          <w:p>
            <w:pPr>
              <w:pStyle w:val="TableContents"/>
              <w:widowControl w:val="false"/>
              <w:suppressLineNumbers/>
              <w:spacing w:before="0" w:after="200"/>
              <w:rPr/>
            </w:pPr>
            <w:r>
              <w:rPr/>
              <w:t>Complicity or tribalism</w:t>
            </w:r>
          </w:p>
        </w:tc>
      </w:tr>
      <w:tr>
        <w:trPr/>
        <w:tc>
          <w:tcPr>
            <w:tcW w:w="1238" w:type="dxa"/>
            <w:tcBorders/>
            <w:vAlign w:val="center"/>
          </w:tcPr>
          <w:p>
            <w:pPr>
              <w:pStyle w:val="TableContents"/>
              <w:widowControl w:val="false"/>
              <w:suppressLineNumbers/>
              <w:spacing w:before="0" w:after="200"/>
              <w:rPr/>
            </w:pPr>
            <w:r>
              <w:rPr/>
              <w:t>Generosity</w:t>
            </w:r>
          </w:p>
        </w:tc>
        <w:tc>
          <w:tcPr>
            <w:tcW w:w="1214" w:type="dxa"/>
            <w:tcBorders/>
            <w:vAlign w:val="center"/>
          </w:tcPr>
          <w:p>
            <w:pPr>
              <w:pStyle w:val="TableContents"/>
              <w:widowControl w:val="false"/>
              <w:suppressLineNumbers/>
              <w:spacing w:before="0" w:after="200"/>
              <w:rPr/>
            </w:pPr>
            <w:r>
              <w:rPr/>
              <w:t>Stinginess</w:t>
            </w:r>
          </w:p>
        </w:tc>
        <w:tc>
          <w:tcPr>
            <w:tcW w:w="2665" w:type="dxa"/>
            <w:tcBorders/>
            <w:vAlign w:val="center"/>
          </w:tcPr>
          <w:p>
            <w:pPr>
              <w:pStyle w:val="TableContents"/>
              <w:widowControl w:val="false"/>
              <w:suppressLineNumbers/>
              <w:spacing w:before="0" w:after="200"/>
              <w:rPr/>
            </w:pPr>
            <w:r>
              <w:rPr/>
              <w:t>Appropriate sharing of resources</w:t>
            </w:r>
          </w:p>
        </w:tc>
        <w:tc>
          <w:tcPr>
            <w:tcW w:w="2814" w:type="dxa"/>
            <w:tcBorders/>
            <w:vAlign w:val="center"/>
          </w:tcPr>
          <w:p>
            <w:pPr>
              <w:pStyle w:val="TableContents"/>
              <w:widowControl w:val="false"/>
              <w:suppressLineNumbers/>
              <w:spacing w:before="0" w:after="200"/>
              <w:rPr/>
            </w:pPr>
            <w:r>
              <w:rPr/>
              <w:t>Wastefulness or enabling harm</w:t>
            </w:r>
          </w:p>
        </w:tc>
      </w:tr>
      <w:tr>
        <w:trPr/>
        <w:tc>
          <w:tcPr>
            <w:tcW w:w="1238" w:type="dxa"/>
            <w:tcBorders/>
            <w:vAlign w:val="center"/>
          </w:tcPr>
          <w:p>
            <w:pPr>
              <w:pStyle w:val="TableContents"/>
              <w:widowControl w:val="false"/>
              <w:suppressLineNumbers/>
              <w:spacing w:before="0" w:after="200"/>
              <w:rPr/>
            </w:pPr>
            <w:r>
              <w:rPr/>
              <w:t>Caution</w:t>
            </w:r>
          </w:p>
        </w:tc>
        <w:tc>
          <w:tcPr>
            <w:tcW w:w="1214" w:type="dxa"/>
            <w:tcBorders/>
            <w:vAlign w:val="center"/>
          </w:tcPr>
          <w:p>
            <w:pPr>
              <w:pStyle w:val="TableContents"/>
              <w:widowControl w:val="false"/>
              <w:suppressLineNumbers/>
              <w:spacing w:before="0" w:after="200"/>
              <w:rPr/>
            </w:pPr>
            <w:r>
              <w:rPr/>
              <w:t>Negligence</w:t>
            </w:r>
          </w:p>
        </w:tc>
        <w:tc>
          <w:tcPr>
            <w:tcW w:w="2665" w:type="dxa"/>
            <w:tcBorders/>
            <w:vAlign w:val="center"/>
          </w:tcPr>
          <w:p>
            <w:pPr>
              <w:pStyle w:val="TableContents"/>
              <w:widowControl w:val="false"/>
              <w:suppressLineNumbers/>
              <w:spacing w:before="0" w:after="200"/>
              <w:rPr/>
            </w:pPr>
            <w:r>
              <w:rPr/>
              <w:t>Proportionate risk control</w:t>
            </w:r>
          </w:p>
        </w:tc>
        <w:tc>
          <w:tcPr>
            <w:tcW w:w="2814" w:type="dxa"/>
            <w:tcBorders/>
            <w:vAlign w:val="center"/>
          </w:tcPr>
          <w:p>
            <w:pPr>
              <w:pStyle w:val="TableContents"/>
              <w:widowControl w:val="false"/>
              <w:suppressLineNumbers/>
              <w:spacing w:before="0" w:after="200"/>
              <w:rPr/>
            </w:pPr>
            <w:r>
              <w:rPr/>
              <w:t>Paralysis or excessive risk aversion</w:t>
            </w:r>
          </w:p>
        </w:tc>
      </w:tr>
      <w:tr>
        <w:trPr/>
        <w:tc>
          <w:tcPr>
            <w:tcW w:w="1238" w:type="dxa"/>
            <w:tcBorders/>
            <w:vAlign w:val="center"/>
          </w:tcPr>
          <w:p>
            <w:pPr>
              <w:pStyle w:val="TableContents"/>
              <w:widowControl w:val="false"/>
              <w:suppressLineNumbers/>
              <w:spacing w:before="0" w:after="200"/>
              <w:rPr/>
            </w:pPr>
            <w:r>
              <w:rPr/>
              <w:t>Honesty</w:t>
            </w:r>
          </w:p>
        </w:tc>
        <w:tc>
          <w:tcPr>
            <w:tcW w:w="1214" w:type="dxa"/>
            <w:tcBorders/>
            <w:vAlign w:val="center"/>
          </w:tcPr>
          <w:p>
            <w:pPr>
              <w:pStyle w:val="TableContents"/>
              <w:widowControl w:val="false"/>
              <w:suppressLineNumbers/>
              <w:spacing w:before="0" w:after="200"/>
              <w:rPr/>
            </w:pPr>
            <w:r>
              <w:rPr/>
              <w:t>Deception</w:t>
            </w:r>
          </w:p>
        </w:tc>
        <w:tc>
          <w:tcPr>
            <w:tcW w:w="2665" w:type="dxa"/>
            <w:tcBorders/>
            <w:vAlign w:val="center"/>
          </w:tcPr>
          <w:p>
            <w:pPr>
              <w:pStyle w:val="TableContents"/>
              <w:widowControl w:val="false"/>
              <w:suppressLineNumbers/>
              <w:spacing w:before="0" w:after="200"/>
              <w:rPr/>
            </w:pPr>
            <w:r>
              <w:rPr/>
              <w:t>Truthfulness exercised with judgment</w:t>
            </w:r>
          </w:p>
        </w:tc>
        <w:tc>
          <w:tcPr>
            <w:tcW w:w="2814" w:type="dxa"/>
            <w:tcBorders/>
            <w:vAlign w:val="center"/>
          </w:tcPr>
          <w:p>
            <w:pPr>
              <w:pStyle w:val="TableContents"/>
              <w:widowControl w:val="false"/>
              <w:suppressLineNumbers/>
              <w:spacing w:before="0" w:after="200"/>
              <w:rPr/>
            </w:pPr>
            <w:r>
              <w:rPr/>
              <w:t>Cruel, reckless, or context-insensitive disclosure</w:t>
            </w:r>
          </w:p>
        </w:tc>
      </w:tr>
    </w:tbl>
    <w:p>
      <w:pPr>
        <w:pStyle w:val="BodyText"/>
        <w:numPr>
          <w:ilvl w:val="0"/>
          <w:numId w:val="42"/>
        </w:numPr>
        <w:tabs>
          <w:tab w:val="clear" w:pos="720"/>
          <w:tab w:val="left" w:pos="0" w:leader="none"/>
        </w:tabs>
        <w:spacing w:before="0" w:after="200"/>
        <w:ind w:hanging="283" w:left="709"/>
        <w:rPr/>
      </w:pPr>
      <w:r>
        <w:rPr>
          <w:rStyle w:val="Strong"/>
        </w:rPr>
        <w:t>Practice and internal-goods representation</w:t>
      </w:r>
    </w:p>
    <w:p>
      <w:pPr>
        <w:pStyle w:val="BodyText"/>
        <w:numPr>
          <w:ilvl w:val="0"/>
          <w:numId w:val="0"/>
        </w:numPr>
        <w:spacing w:before="0" w:after="200"/>
        <w:ind w:hanging="0" w:left="0"/>
        <w:rPr/>
      </w:pPr>
      <w:r>
        <w:rPr/>
        <w:t>Institutions could be assessed according to whether they preserve the internal goods and standards of excellence of their practices. Examples include:</w:t>
      </w:r>
    </w:p>
    <w:p>
      <w:pPr>
        <w:pStyle w:val="BodyText"/>
        <w:numPr>
          <w:ilvl w:val="1"/>
          <w:numId w:val="42"/>
        </w:numPr>
        <w:tabs>
          <w:tab w:val="clear" w:pos="720"/>
          <w:tab w:val="left" w:pos="0" w:leader="none"/>
        </w:tabs>
        <w:spacing w:before="0" w:after="200"/>
        <w:ind w:hanging="283" w:left="1418"/>
        <w:rPr/>
      </w:pPr>
      <w:r>
        <w:rPr/>
        <w:t>Patient welfare and clinical judgment in medicine</w:t>
      </w:r>
    </w:p>
    <w:p>
      <w:pPr>
        <w:pStyle w:val="BodyText"/>
        <w:numPr>
          <w:ilvl w:val="1"/>
          <w:numId w:val="42"/>
        </w:numPr>
        <w:tabs>
          <w:tab w:val="clear" w:pos="720"/>
          <w:tab w:val="left" w:pos="0" w:leader="none"/>
        </w:tabs>
        <w:spacing w:before="0" w:after="200"/>
        <w:ind w:hanging="283" w:left="1418"/>
        <w:rPr/>
      </w:pPr>
      <w:r>
        <w:rPr/>
        <w:t>Truth-seeking in science</w:t>
      </w:r>
    </w:p>
    <w:p>
      <w:pPr>
        <w:pStyle w:val="BodyText"/>
        <w:numPr>
          <w:ilvl w:val="1"/>
          <w:numId w:val="42"/>
        </w:numPr>
        <w:tabs>
          <w:tab w:val="clear" w:pos="720"/>
          <w:tab w:val="left" w:pos="0" w:leader="none"/>
        </w:tabs>
        <w:spacing w:before="0" w:after="200"/>
        <w:ind w:hanging="283" w:left="1418"/>
        <w:rPr/>
      </w:pPr>
      <w:r>
        <w:rPr/>
        <w:t>Justice and due process in law</w:t>
      </w:r>
    </w:p>
    <w:p>
      <w:pPr>
        <w:pStyle w:val="BodyText"/>
        <w:numPr>
          <w:ilvl w:val="1"/>
          <w:numId w:val="42"/>
        </w:numPr>
        <w:tabs>
          <w:tab w:val="clear" w:pos="720"/>
          <w:tab w:val="left" w:pos="0" w:leader="none"/>
        </w:tabs>
        <w:spacing w:before="0" w:after="200"/>
        <w:ind w:hanging="283" w:left="1418"/>
        <w:rPr/>
      </w:pPr>
      <w:r>
        <w:rPr/>
        <w:t>Public service in government</w:t>
      </w:r>
    </w:p>
    <w:p>
      <w:pPr>
        <w:pStyle w:val="BodyText"/>
        <w:numPr>
          <w:ilvl w:val="1"/>
          <w:numId w:val="42"/>
        </w:numPr>
        <w:tabs>
          <w:tab w:val="clear" w:pos="720"/>
          <w:tab w:val="left" w:pos="0" w:leader="none"/>
        </w:tabs>
        <w:spacing w:before="0" w:after="200"/>
        <w:ind w:hanging="283" w:left="1418"/>
        <w:rPr/>
      </w:pPr>
      <w:r>
        <w:rPr/>
        <w:t>Safety and reliability in engineering</w:t>
      </w:r>
    </w:p>
    <w:p>
      <w:pPr>
        <w:pStyle w:val="BodyText"/>
        <w:numPr>
          <w:ilvl w:val="1"/>
          <w:numId w:val="42"/>
        </w:numPr>
        <w:tabs>
          <w:tab w:val="clear" w:pos="720"/>
          <w:tab w:val="left" w:pos="0" w:leader="none"/>
        </w:tabs>
        <w:spacing w:before="0" w:after="200"/>
        <w:ind w:hanging="283" w:left="1418"/>
        <w:rPr/>
      </w:pPr>
      <w:r>
        <w:rPr/>
        <w:t>Knowledge and independent reasoning in education</w:t>
      </w:r>
    </w:p>
    <w:p>
      <w:pPr>
        <w:pStyle w:val="BodyText"/>
        <w:numPr>
          <w:ilvl w:val="0"/>
          <w:numId w:val="0"/>
        </w:numPr>
        <w:spacing w:before="0" w:after="200"/>
        <w:ind w:hanging="0" w:left="0"/>
        <w:rPr/>
      </w:pPr>
      <w:r>
        <w:rPr/>
        <w:t>External goods such as revenue, growth, power, prestige, and efficiency could then be evaluated for whether they support or corrupt the practice.</w:t>
      </w:r>
    </w:p>
    <w:p>
      <w:pPr>
        <w:pStyle w:val="BodyText"/>
        <w:numPr>
          <w:ilvl w:val="0"/>
          <w:numId w:val="42"/>
        </w:numPr>
        <w:tabs>
          <w:tab w:val="clear" w:pos="720"/>
          <w:tab w:val="left" w:pos="0" w:leader="none"/>
        </w:tabs>
        <w:spacing w:before="0" w:after="200"/>
        <w:ind w:hanging="283" w:left="709"/>
        <w:rPr/>
      </w:pPr>
      <w:r>
        <w:rPr>
          <w:rStyle w:val="Strong"/>
        </w:rPr>
        <w:t>Moral-exemplar and case-based reasoning</w:t>
      </w:r>
    </w:p>
    <w:p>
      <w:pPr>
        <w:pStyle w:val="BodyText"/>
        <w:numPr>
          <w:ilvl w:val="0"/>
          <w:numId w:val="0"/>
        </w:numPr>
        <w:spacing w:before="0" w:after="200"/>
        <w:ind w:hanging="0" w:left="0"/>
        <w:rPr/>
      </w:pPr>
      <w:r>
        <w:rPr/>
        <w:t>The system could use carefully validated exemplars and historical cases to identify patterns of excellent practical judgment. Exemplars should inform reasoning without becoming unquestionable authorities or encouraging imitation without contextual understanding.</w:t>
      </w:r>
    </w:p>
    <w:p>
      <w:pPr>
        <w:pStyle w:val="BodyText"/>
        <w:numPr>
          <w:ilvl w:val="0"/>
          <w:numId w:val="42"/>
        </w:numPr>
        <w:tabs>
          <w:tab w:val="clear" w:pos="720"/>
          <w:tab w:val="left" w:pos="0" w:leader="none"/>
        </w:tabs>
        <w:spacing w:before="0" w:after="200"/>
        <w:ind w:hanging="283" w:left="709"/>
        <w:rPr/>
      </w:pPr>
      <w:r>
        <w:rPr>
          <w:rStyle w:val="Strong"/>
        </w:rPr>
        <w:t>Institutional character assessment</w:t>
      </w:r>
    </w:p>
    <w:p>
      <w:pPr>
        <w:pStyle w:val="BodyText"/>
        <w:numPr>
          <w:ilvl w:val="0"/>
          <w:numId w:val="0"/>
        </w:numPr>
        <w:spacing w:before="0" w:after="200"/>
        <w:ind w:hanging="0" w:left="0"/>
        <w:rPr/>
      </w:pPr>
      <w:r>
        <w:rPr/>
        <w:t>Institutions can display persistent policy patterns analogous to virtues and vices. An institution may be trustworthy, transparent, just, courageous, accountable, deceptive, exploitative, negligent, or corrupt. These characteristics could be assessed across repeated decisions rather than inferred from one event.</w:t>
      </w:r>
    </w:p>
    <w:p>
      <w:pPr>
        <w:pStyle w:val="BodyText"/>
        <w:numPr>
          <w:ilvl w:val="0"/>
          <w:numId w:val="42"/>
        </w:numPr>
        <w:tabs>
          <w:tab w:val="clear" w:pos="720"/>
          <w:tab w:val="left" w:pos="0" w:leader="none"/>
        </w:tabs>
        <w:spacing w:before="0" w:after="200"/>
        <w:ind w:hanging="283" w:left="709"/>
        <w:rPr/>
      </w:pPr>
      <w:r>
        <w:rPr>
          <w:rStyle w:val="Strong"/>
        </w:rPr>
        <w:t>Narrative and longitudinal assessment</w:t>
      </w:r>
    </w:p>
    <w:p>
      <w:pPr>
        <w:pStyle w:val="BodyText"/>
        <w:numPr>
          <w:ilvl w:val="0"/>
          <w:numId w:val="0"/>
        </w:numPr>
        <w:spacing w:before="0" w:after="200"/>
        <w:ind w:hanging="0" w:left="0"/>
        <w:rPr/>
      </w:pPr>
      <w:r>
        <w:rPr/>
        <w:t>Moral evaluation could examine a sequence of actions as a developmental trajectory. The assessment would ask whether the Actor or institution is becoming more capable of wise and constructive participation or is developing increasingly harmful policies.</w:t>
      </w:r>
    </w:p>
    <w:p>
      <w:pPr>
        <w:pStyle w:val="BodyText"/>
        <w:numPr>
          <w:ilvl w:val="0"/>
          <w:numId w:val="42"/>
        </w:numPr>
        <w:tabs>
          <w:tab w:val="clear" w:pos="720"/>
          <w:tab w:val="left" w:pos="0" w:leader="none"/>
        </w:tabs>
        <w:spacing w:before="0" w:after="200"/>
        <w:ind w:hanging="283" w:left="709"/>
        <w:rPr/>
      </w:pPr>
      <w:r>
        <w:rPr>
          <w:rStyle w:val="Strong"/>
        </w:rPr>
        <w:t>Role-specific virtues</w:t>
      </w:r>
    </w:p>
    <w:p>
      <w:pPr>
        <w:pStyle w:val="BodyText"/>
        <w:numPr>
          <w:ilvl w:val="0"/>
          <w:numId w:val="0"/>
        </w:numPr>
        <w:spacing w:before="0" w:after="200"/>
        <w:ind w:hanging="0" w:left="0"/>
        <w:rPr/>
      </w:pPr>
      <w:r>
        <w:rPr/>
        <w:t>Domain implementations could define virtues relevant to particular responsibilities:</w:t>
      </w:r>
    </w:p>
    <w:p>
      <w:pPr>
        <w:pStyle w:val="BodyText"/>
        <w:numPr>
          <w:ilvl w:val="1"/>
          <w:numId w:val="42"/>
        </w:numPr>
        <w:tabs>
          <w:tab w:val="clear" w:pos="720"/>
          <w:tab w:val="left" w:pos="0" w:leader="none"/>
        </w:tabs>
        <w:spacing w:before="0" w:after="200"/>
        <w:ind w:hanging="283" w:left="1418"/>
        <w:rPr/>
      </w:pPr>
      <w:r>
        <w:rPr/>
        <w:t>Clinical judgment and compassion in healthcare</w:t>
      </w:r>
    </w:p>
    <w:p>
      <w:pPr>
        <w:pStyle w:val="BodyText"/>
        <w:numPr>
          <w:ilvl w:val="1"/>
          <w:numId w:val="42"/>
        </w:numPr>
        <w:tabs>
          <w:tab w:val="clear" w:pos="720"/>
          <w:tab w:val="left" w:pos="0" w:leader="none"/>
        </w:tabs>
        <w:spacing w:before="0" w:after="200"/>
        <w:ind w:hanging="283" w:left="1418"/>
        <w:rPr/>
      </w:pPr>
      <w:r>
        <w:rPr/>
        <w:t>Judicial independence and fairness in law</w:t>
      </w:r>
    </w:p>
    <w:p>
      <w:pPr>
        <w:pStyle w:val="BodyText"/>
        <w:numPr>
          <w:ilvl w:val="1"/>
          <w:numId w:val="42"/>
        </w:numPr>
        <w:tabs>
          <w:tab w:val="clear" w:pos="720"/>
          <w:tab w:val="left" w:pos="0" w:leader="none"/>
        </w:tabs>
        <w:spacing w:before="0" w:after="200"/>
        <w:ind w:hanging="283" w:left="1418"/>
        <w:rPr/>
      </w:pPr>
      <w:r>
        <w:rPr/>
        <w:t>Intellectual honesty in science</w:t>
      </w:r>
    </w:p>
    <w:p>
      <w:pPr>
        <w:pStyle w:val="BodyText"/>
        <w:numPr>
          <w:ilvl w:val="1"/>
          <w:numId w:val="42"/>
        </w:numPr>
        <w:tabs>
          <w:tab w:val="clear" w:pos="720"/>
          <w:tab w:val="left" w:pos="0" w:leader="none"/>
        </w:tabs>
        <w:spacing w:before="0" w:after="200"/>
        <w:ind w:hanging="283" w:left="1418"/>
        <w:rPr/>
      </w:pPr>
      <w:r>
        <w:rPr/>
        <w:t>Prudence and accountability in governance</w:t>
      </w:r>
    </w:p>
    <w:p>
      <w:pPr>
        <w:pStyle w:val="BodyText"/>
        <w:numPr>
          <w:ilvl w:val="1"/>
          <w:numId w:val="42"/>
        </w:numPr>
        <w:tabs>
          <w:tab w:val="clear" w:pos="720"/>
          <w:tab w:val="left" w:pos="0" w:leader="none"/>
        </w:tabs>
        <w:spacing w:before="0" w:after="200"/>
        <w:ind w:hanging="283" w:left="1418"/>
        <w:rPr/>
      </w:pPr>
      <w:r>
        <w:rPr/>
        <w:t>Safety discipline in engineering</w:t>
      </w:r>
    </w:p>
    <w:p>
      <w:pPr>
        <w:pStyle w:val="BodyText"/>
        <w:numPr>
          <w:ilvl w:val="1"/>
          <w:numId w:val="42"/>
        </w:numPr>
        <w:tabs>
          <w:tab w:val="clear" w:pos="720"/>
          <w:tab w:val="left" w:pos="0" w:leader="none"/>
        </w:tabs>
        <w:spacing w:before="0" w:after="200"/>
        <w:ind w:hanging="283" w:left="1418"/>
        <w:rPr/>
      </w:pPr>
      <w:r>
        <w:rPr/>
        <w:t>Restraint and proportionality in policing or military operations</w:t>
      </w:r>
    </w:p>
    <w:p>
      <w:pPr>
        <w:pStyle w:val="BodyText"/>
        <w:numPr>
          <w:ilvl w:val="1"/>
          <w:numId w:val="42"/>
        </w:numPr>
        <w:tabs>
          <w:tab w:val="clear" w:pos="720"/>
          <w:tab w:val="left" w:pos="0" w:leader="none"/>
        </w:tabs>
        <w:spacing w:before="0" w:after="200"/>
        <w:ind w:hanging="283" w:left="1418"/>
        <w:rPr/>
      </w:pPr>
      <w:r>
        <w:rPr/>
        <w:t>Transparency and corrigibility in artificial systems</w:t>
      </w:r>
    </w:p>
    <w:p>
      <w:pPr>
        <w:pStyle w:val="BodyText"/>
        <w:numPr>
          <w:ilvl w:val="0"/>
          <w:numId w:val="42"/>
        </w:numPr>
        <w:tabs>
          <w:tab w:val="clear" w:pos="720"/>
          <w:tab w:val="left" w:pos="0" w:leader="none"/>
        </w:tabs>
        <w:spacing w:before="0" w:after="200"/>
        <w:ind w:hanging="283" w:left="709"/>
        <w:rPr/>
      </w:pPr>
      <w:r>
        <w:rPr>
          <w:rStyle w:val="Strong"/>
        </w:rPr>
        <w:t>Moral-development feedback</w:t>
      </w:r>
    </w:p>
    <w:p>
      <w:pPr>
        <w:pStyle w:val="BodyText"/>
        <w:numPr>
          <w:ilvl w:val="0"/>
          <w:numId w:val="0"/>
        </w:numPr>
        <w:spacing w:before="0" w:after="200"/>
        <w:ind w:hanging="0" w:left="0"/>
        <w:rPr/>
      </w:pPr>
      <w:r>
        <w:rPr/>
        <w:t>A Moral Reasoning Runtime could provide feedback not only on whether an action is permissible but also on what the decision suggests about the Actor’s dispositions and what practices could improve future judgment.</w:t>
      </w:r>
    </w:p>
    <w:p>
      <w:pPr>
        <w:pStyle w:val="BodyText"/>
        <w:numPr>
          <w:ilvl w:val="0"/>
          <w:numId w:val="42"/>
        </w:numPr>
        <w:tabs>
          <w:tab w:val="clear" w:pos="720"/>
          <w:tab w:val="left" w:pos="0" w:leader="none"/>
        </w:tabs>
        <w:spacing w:before="0" w:after="200"/>
        <w:ind w:hanging="283" w:left="709"/>
        <w:rPr/>
      </w:pPr>
      <w:r>
        <w:rPr>
          <w:rStyle w:val="Strong"/>
        </w:rPr>
        <w:t>Dual assessment outputs</w:t>
      </w:r>
    </w:p>
    <w:p>
      <w:pPr>
        <w:pStyle w:val="BodyText"/>
        <w:numPr>
          <w:ilvl w:val="0"/>
          <w:numId w:val="0"/>
        </w:numPr>
        <w:spacing w:before="0" w:after="200"/>
        <w:ind w:hanging="0" w:left="0"/>
        <w:rPr/>
      </w:pPr>
      <w:r>
        <w:rPr/>
        <w:t>The framework could report:</w:t>
      </w:r>
    </w:p>
    <w:p>
      <w:pPr>
        <w:pStyle w:val="BodyText"/>
        <w:numPr>
          <w:ilvl w:val="1"/>
          <w:numId w:val="42"/>
        </w:numPr>
        <w:tabs>
          <w:tab w:val="clear" w:pos="720"/>
          <w:tab w:val="left" w:pos="0" w:leader="none"/>
        </w:tabs>
        <w:spacing w:before="0" w:after="200"/>
        <w:ind w:hanging="283" w:left="1418"/>
        <w:rPr/>
      </w:pPr>
      <w:r>
        <w:rPr>
          <w:rStyle w:val="Strong"/>
        </w:rPr>
        <w:t>Action assessment:</w:t>
      </w:r>
      <w:r>
        <w:rPr/>
        <w:t xml:space="preserve"> What the Actor did and what World Context resulted</w:t>
      </w:r>
    </w:p>
    <w:p>
      <w:pPr>
        <w:pStyle w:val="BodyText"/>
        <w:numPr>
          <w:ilvl w:val="1"/>
          <w:numId w:val="42"/>
        </w:numPr>
        <w:tabs>
          <w:tab w:val="clear" w:pos="720"/>
          <w:tab w:val="left" w:pos="0" w:leader="none"/>
        </w:tabs>
        <w:spacing w:before="0" w:after="200"/>
        <w:ind w:hanging="283" w:left="1418"/>
        <w:rPr/>
      </w:pPr>
      <w:r>
        <w:rPr>
          <w:rStyle w:val="Strong"/>
        </w:rPr>
        <w:t>Character assessment:</w:t>
      </w:r>
      <w:r>
        <w:rPr/>
        <w:t xml:space="preserve"> What dispositions the action expressed or reinforced</w:t>
      </w:r>
    </w:p>
    <w:p>
      <w:pPr>
        <w:pStyle w:val="BodyText"/>
        <w:numPr>
          <w:ilvl w:val="1"/>
          <w:numId w:val="42"/>
        </w:numPr>
        <w:tabs>
          <w:tab w:val="clear" w:pos="720"/>
          <w:tab w:val="left" w:pos="0" w:leader="none"/>
        </w:tabs>
        <w:spacing w:before="0" w:after="200"/>
        <w:ind w:hanging="283" w:left="1418"/>
        <w:rPr/>
      </w:pPr>
      <w:r>
        <w:rPr>
          <w:rStyle w:val="Strong"/>
        </w:rPr>
        <w:t>Practical-wisdom assessment:</w:t>
      </w:r>
      <w:r>
        <w:rPr/>
        <w:t xml:space="preserve"> Whether the Actor perceived and balanced the relevant considerations appropriately</w:t>
      </w:r>
    </w:p>
    <w:p>
      <w:pPr>
        <w:pStyle w:val="BodyText"/>
        <w:numPr>
          <w:ilvl w:val="1"/>
          <w:numId w:val="42"/>
        </w:numPr>
        <w:tabs>
          <w:tab w:val="clear" w:pos="720"/>
          <w:tab w:val="left" w:pos="0" w:leader="none"/>
        </w:tabs>
        <w:spacing w:before="0" w:after="200"/>
        <w:ind w:hanging="283" w:left="1418"/>
        <w:rPr/>
      </w:pPr>
      <w:r>
        <w:rPr>
          <w:rStyle w:val="Strong"/>
        </w:rPr>
        <w:t>Institutional-culture assessment:</w:t>
      </w:r>
      <w:r>
        <w:rPr/>
        <w:t xml:space="preserve"> What behavior the action teaches, rewards, or normalizes</w:t>
      </w:r>
    </w:p>
    <w:p>
      <w:pPr>
        <w:pStyle w:val="BodyText"/>
        <w:numPr>
          <w:ilvl w:val="0"/>
          <w:numId w:val="42"/>
        </w:numPr>
        <w:tabs>
          <w:tab w:val="clear" w:pos="720"/>
          <w:tab w:val="left" w:pos="0" w:leader="none"/>
        </w:tabs>
        <w:spacing w:before="0" w:after="200"/>
        <w:ind w:hanging="283" w:left="709"/>
        <w:rPr/>
      </w:pPr>
      <w:r>
        <w:rPr>
          <w:rStyle w:val="Strong"/>
        </w:rPr>
        <w:t>Empirical moral-psychology integration</w:t>
      </w:r>
    </w:p>
    <w:p>
      <w:pPr>
        <w:pStyle w:val="BodyText"/>
        <w:numPr>
          <w:ilvl w:val="0"/>
          <w:numId w:val="0"/>
        </w:numPr>
        <w:spacing w:before="0" w:after="200"/>
        <w:ind w:hanging="0" w:left="0"/>
        <w:rPr/>
      </w:pPr>
      <w:r>
        <w:rPr/>
        <w:t xml:space="preserve">Character assessment should incorporate evidence that behavior can vary substantially across situations. Empirical research on character, situationism, personality, and moral development can help prevent unjustified inference from one action to a permanent trait. </w:t>
      </w:r>
      <w:hyperlink r:id="rId38">
        <w:r>
          <w:rPr>
            <w:rStyle w:val="Hyperlink"/>
          </w:rPr>
          <w:t>Stanford Encyclopedia of Philosophy</w:t>
        </w:r>
      </w:hyperlink>
    </w:p>
    <w:p>
      <w:pPr>
        <w:pStyle w:val="BodyText"/>
        <w:numPr>
          <w:ilvl w:val="0"/>
          <w:numId w:val="42"/>
        </w:numPr>
        <w:tabs>
          <w:tab w:val="clear" w:pos="720"/>
          <w:tab w:val="left" w:pos="0" w:leader="none"/>
        </w:tabs>
        <w:spacing w:before="0" w:after="200"/>
        <w:ind w:hanging="283" w:left="709"/>
        <w:rPr/>
      </w:pPr>
      <w:r>
        <w:rPr>
          <w:rStyle w:val="Strong"/>
        </w:rPr>
        <w:t>Artificial-system virtue profiles</w:t>
      </w:r>
    </w:p>
    <w:p>
      <w:pPr>
        <w:pStyle w:val="BodyText"/>
        <w:numPr>
          <w:ilvl w:val="0"/>
          <w:numId w:val="0"/>
        </w:numPr>
        <w:spacing w:before="0" w:after="200"/>
        <w:ind w:hanging="0" w:left="0"/>
        <w:rPr/>
      </w:pPr>
      <w:r>
        <w:rPr/>
        <w:t>Artificial systems could be evaluated for functionally virtue-like dispositions such as honesty, reliability, restraint, fairness, transparency, and corrigibility. The framework should distinguish reliable behavioral policies from genuine moral character, which may require forms of understanding, motivation, emotion, and practical agency that present artificial systems do not possess.</w:t>
      </w:r>
    </w:p>
    <w:p>
      <w:pPr>
        <w:pStyle w:val="BodyText"/>
        <w:spacing w:before="0" w:after="200"/>
        <w:rPr>
          <w:rFonts w:ascii="Aptos" w:hAnsi="Aptos"/>
          <w:color w:val="auto"/>
        </w:rPr>
      </w:pPr>
      <w:r>
        <w:rPr/>
        <w:t>The strongest integration would treat virtues as persistent policy dispositions that shape moral perception, motivation, deliberation, action, and learning across repeated World Context Transitions. Virtue ethics would thereby strengthen the framework’s representation of moral development and practical judgment, while the framework would provide virtue ethics with an explicit systems model for tracing how individual actions, institutions, incentives, and social observation cultivate or corrupt character over time.</w:t>
      </w:r>
    </w:p>
    <w:p>
      <w:pPr>
        <w:pStyle w:val="Heading2"/>
        <w:rPr/>
      </w:pPr>
      <w:r>
        <w:rPr/>
        <w:t>Ethics of Care</w:t>
      </w:r>
    </w:p>
    <w:p>
      <w:pPr>
        <w:pStyle w:val="BodyText"/>
        <w:spacing w:before="0" w:after="200"/>
        <w:rPr/>
      </w:pPr>
      <w:r>
        <w:rPr/>
        <w:t xml:space="preserve">Ethics of care evaluates moral conduct through relationships of dependency, interdependence, responsiveness, and responsibility. It asks whether relevant needs have been attentively recognized, whether responsibility for meeting them has been appropriately assigned, whether care is competently provided, and whether the response of the care recipient is taken seriously. Care ethics emerged partly as a critique of ethical theories that rely heavily on abstract rules, impartial calculation, and conceptions of persons as independent individuals. It does not reject justice, rights, or consequences, but argues that moral reasoning is incomplete when it neglects relationships, vulnerability, emotion, power, and the practical work required to sustain individuals and communities. </w:t>
      </w:r>
      <w:hyperlink r:id="rId39">
        <w:r>
          <w:rPr>
            <w:rStyle w:val="Hyperlink"/>
          </w:rPr>
          <w:t>Internet Encyclopedia of Philosophy</w:t>
        </w:r>
      </w:hyperlink>
    </w:p>
    <w:p>
      <w:pPr>
        <w:pStyle w:val="Heading3"/>
        <w:spacing w:before="0" w:after="200"/>
        <w:ind w:hanging="0" w:left="0"/>
        <w:rPr>
          <w:rFonts w:ascii="Aptos" w:hAnsi="Aptos"/>
          <w:color w:val="auto"/>
        </w:rPr>
      </w:pPr>
      <w:r>
        <w:rPr>
          <w:rFonts w:ascii="Aptos" w:hAnsi="Aptos"/>
          <w:color w:val="auto"/>
        </w:rPr>
        <w:t>Primary Experts</w:t>
      </w:r>
    </w:p>
    <w:p>
      <w:pPr>
        <w:pStyle w:val="BodyText"/>
        <w:spacing w:before="0" w:after="200"/>
        <w:rPr/>
      </w:pPr>
      <w:r>
        <w:rPr/>
        <w:t>The following figures represent major developmental stages of care ethics, from its psychological origins to its interpersonal, political, and institutional applications.</w:t>
      </w:r>
    </w:p>
    <w:tbl>
      <w:tblPr>
        <w:tblW w:w="8640" w:type="dxa"/>
        <w:jc w:val="left"/>
        <w:tblInd w:w="28" w:type="dxa"/>
        <w:tblLayout w:type="fixed"/>
        <w:tblCellMar>
          <w:top w:w="28" w:type="dxa"/>
          <w:left w:w="28" w:type="dxa"/>
          <w:bottom w:w="28" w:type="dxa"/>
          <w:right w:w="28" w:type="dxa"/>
        </w:tblCellMar>
      </w:tblPr>
      <w:tblGrid>
        <w:gridCol w:w="1160"/>
        <w:gridCol w:w="743"/>
        <w:gridCol w:w="1849"/>
        <w:gridCol w:w="4888"/>
      </w:tblGrid>
      <w:tr>
        <w:trPr>
          <w:tblHeader w:val="true"/>
        </w:trPr>
        <w:tc>
          <w:tcPr>
            <w:tcW w:w="1160" w:type="dxa"/>
            <w:tcBorders/>
            <w:vAlign w:val="center"/>
          </w:tcPr>
          <w:p>
            <w:pPr>
              <w:pStyle w:val="TableHeading"/>
              <w:suppressLineNumbers/>
              <w:spacing w:before="0" w:after="200"/>
              <w:jc w:val="center"/>
              <w:rPr/>
            </w:pPr>
            <w:r>
              <w:rPr/>
              <w:t>Expert</w:t>
            </w:r>
          </w:p>
        </w:tc>
        <w:tc>
          <w:tcPr>
            <w:tcW w:w="743" w:type="dxa"/>
            <w:tcBorders/>
            <w:vAlign w:val="center"/>
          </w:tcPr>
          <w:p>
            <w:pPr>
              <w:pStyle w:val="TableHeading"/>
              <w:spacing w:before="0" w:after="200"/>
              <w:jc w:val="right"/>
              <w:rPr/>
            </w:pPr>
            <w:r>
              <w:rPr/>
              <w:t>Years</w:t>
            </w:r>
          </w:p>
        </w:tc>
        <w:tc>
          <w:tcPr>
            <w:tcW w:w="1849" w:type="dxa"/>
            <w:tcBorders/>
            <w:vAlign w:val="center"/>
          </w:tcPr>
          <w:p>
            <w:pPr>
              <w:pStyle w:val="TableHeading"/>
              <w:suppressLineNumbers/>
              <w:spacing w:before="0" w:after="200"/>
              <w:jc w:val="center"/>
              <w:rPr/>
            </w:pPr>
            <w:r>
              <w:rPr/>
              <w:t>Associated institution(s)</w:t>
            </w:r>
          </w:p>
        </w:tc>
        <w:tc>
          <w:tcPr>
            <w:tcW w:w="4888" w:type="dxa"/>
            <w:tcBorders/>
            <w:vAlign w:val="center"/>
          </w:tcPr>
          <w:p>
            <w:pPr>
              <w:pStyle w:val="TableHeading"/>
              <w:suppressLineNumbers/>
              <w:spacing w:before="0" w:after="200"/>
              <w:jc w:val="center"/>
              <w:rPr/>
            </w:pPr>
            <w:r>
              <w:rPr/>
              <w:t>Principal contribution</w:t>
            </w:r>
          </w:p>
        </w:tc>
      </w:tr>
      <w:tr>
        <w:trPr/>
        <w:tc>
          <w:tcPr>
            <w:tcW w:w="1160" w:type="dxa"/>
            <w:tcBorders/>
            <w:vAlign w:val="center"/>
          </w:tcPr>
          <w:p>
            <w:pPr>
              <w:pStyle w:val="TableContents"/>
              <w:widowControl w:val="false"/>
              <w:suppressLineNumbers/>
              <w:spacing w:before="0" w:after="200"/>
              <w:rPr/>
            </w:pPr>
            <w:r>
              <w:rPr>
                <w:rStyle w:val="Strong"/>
              </w:rPr>
              <w:t>Carol Gilligan</w:t>
            </w:r>
          </w:p>
        </w:tc>
        <w:tc>
          <w:tcPr>
            <w:tcW w:w="743" w:type="dxa"/>
            <w:tcBorders/>
            <w:vAlign w:val="center"/>
          </w:tcPr>
          <w:p>
            <w:pPr>
              <w:pStyle w:val="TableContents"/>
              <w:spacing w:before="0" w:after="200"/>
              <w:jc w:val="right"/>
              <w:rPr/>
            </w:pPr>
            <w:r>
              <w:rPr/>
              <w:t>1936–</w:t>
            </w:r>
          </w:p>
        </w:tc>
        <w:tc>
          <w:tcPr>
            <w:tcW w:w="1849" w:type="dxa"/>
            <w:tcBorders/>
            <w:vAlign w:val="center"/>
          </w:tcPr>
          <w:p>
            <w:pPr>
              <w:pStyle w:val="TableContents"/>
              <w:widowControl w:val="false"/>
              <w:suppressLineNumbers/>
              <w:spacing w:before="0" w:after="200"/>
              <w:rPr/>
            </w:pPr>
            <w:r>
              <w:rPr/>
              <w:t>New York University; formerly Harvard University</w:t>
            </w:r>
          </w:p>
        </w:tc>
        <w:tc>
          <w:tcPr>
            <w:tcW w:w="4888" w:type="dxa"/>
            <w:tcBorders/>
            <w:vAlign w:val="center"/>
          </w:tcPr>
          <w:p>
            <w:pPr>
              <w:pStyle w:val="TableContents"/>
              <w:widowControl w:val="false"/>
              <w:suppressLineNumbers/>
              <w:spacing w:before="0" w:after="200"/>
              <w:rPr/>
            </w:pPr>
            <w:r>
              <w:rPr/>
              <w:t xml:space="preserve">Challenged models of moral development that treated an abstract, justice-oriented voice as the primary measure of moral maturity. Her work identified a different moral orientation emphasizing relationships, responsibilities, responsiveness, and avoidance of abandonment. Gilligan is a University Professor at NYU and was awarded the 2025 Kyoto Prize for her contributions to feminist thought and the study of care. </w:t>
            </w:r>
            <w:hyperlink r:id="rId40">
              <w:r>
                <w:rPr>
                  <w:rStyle w:val="Hyperlink"/>
                </w:rPr>
                <w:t>New York University</w:t>
              </w:r>
            </w:hyperlink>
          </w:p>
        </w:tc>
      </w:tr>
      <w:tr>
        <w:trPr/>
        <w:tc>
          <w:tcPr>
            <w:tcW w:w="1160" w:type="dxa"/>
            <w:tcBorders/>
            <w:vAlign w:val="center"/>
          </w:tcPr>
          <w:p>
            <w:pPr>
              <w:pStyle w:val="TableContents"/>
              <w:widowControl w:val="false"/>
              <w:suppressLineNumbers/>
              <w:spacing w:before="0" w:after="200"/>
              <w:rPr/>
            </w:pPr>
            <w:r>
              <w:rPr>
                <w:rStyle w:val="Strong"/>
              </w:rPr>
              <w:t>Nel Noddings</w:t>
            </w:r>
          </w:p>
        </w:tc>
        <w:tc>
          <w:tcPr>
            <w:tcW w:w="743" w:type="dxa"/>
            <w:tcBorders/>
            <w:vAlign w:val="center"/>
          </w:tcPr>
          <w:p>
            <w:pPr>
              <w:pStyle w:val="TableContents"/>
              <w:spacing w:before="0" w:after="200"/>
              <w:jc w:val="right"/>
              <w:rPr/>
            </w:pPr>
            <w:r>
              <w:rPr/>
              <w:t>1929–2022</w:t>
            </w:r>
          </w:p>
        </w:tc>
        <w:tc>
          <w:tcPr>
            <w:tcW w:w="1849" w:type="dxa"/>
            <w:tcBorders/>
            <w:vAlign w:val="center"/>
          </w:tcPr>
          <w:p>
            <w:pPr>
              <w:pStyle w:val="TableContents"/>
              <w:widowControl w:val="false"/>
              <w:suppressLineNumbers/>
              <w:spacing w:before="0" w:after="200"/>
              <w:rPr/>
            </w:pPr>
            <w:r>
              <w:rPr/>
              <w:t>Stanford Graduate School of Education, Lee L. Jacks Professor Emerita</w:t>
            </w:r>
          </w:p>
        </w:tc>
        <w:tc>
          <w:tcPr>
            <w:tcW w:w="4888" w:type="dxa"/>
            <w:tcBorders/>
            <w:vAlign w:val="center"/>
          </w:tcPr>
          <w:p>
            <w:pPr>
              <w:pStyle w:val="TableContents"/>
              <w:widowControl w:val="false"/>
              <w:suppressLineNumbers/>
              <w:spacing w:before="0" w:after="200"/>
              <w:rPr/>
            </w:pPr>
            <w:r>
              <w:rPr/>
              <w:t xml:space="preserve">Developed care ethics into a normative relational theory centered on the interaction between the “one-caring” and the “cared-for.” She distinguished natural caring from ethical caring and applied care ethics extensively to education. </w:t>
            </w:r>
            <w:hyperlink r:id="rId41">
              <w:r>
                <w:rPr>
                  <w:rStyle w:val="Hyperlink"/>
                </w:rPr>
                <w:t>Stanford University</w:t>
              </w:r>
            </w:hyperlink>
          </w:p>
        </w:tc>
      </w:tr>
      <w:tr>
        <w:trPr/>
        <w:tc>
          <w:tcPr>
            <w:tcW w:w="1160" w:type="dxa"/>
            <w:tcBorders/>
            <w:vAlign w:val="center"/>
          </w:tcPr>
          <w:p>
            <w:pPr>
              <w:pStyle w:val="TableContents"/>
              <w:widowControl w:val="false"/>
              <w:suppressLineNumbers/>
              <w:spacing w:before="0" w:after="200"/>
              <w:rPr/>
            </w:pPr>
            <w:r>
              <w:rPr>
                <w:rStyle w:val="Strong"/>
              </w:rPr>
              <w:t>Virginia Held</w:t>
            </w:r>
          </w:p>
        </w:tc>
        <w:tc>
          <w:tcPr>
            <w:tcW w:w="743" w:type="dxa"/>
            <w:tcBorders/>
            <w:vAlign w:val="center"/>
          </w:tcPr>
          <w:p>
            <w:pPr>
              <w:pStyle w:val="TableContents"/>
              <w:spacing w:before="0" w:after="200"/>
              <w:jc w:val="right"/>
              <w:rPr/>
            </w:pPr>
            <w:r>
              <w:rPr/>
              <w:t>1929–2026</w:t>
            </w:r>
          </w:p>
        </w:tc>
        <w:tc>
          <w:tcPr>
            <w:tcW w:w="1849" w:type="dxa"/>
            <w:tcBorders/>
            <w:vAlign w:val="center"/>
          </w:tcPr>
          <w:p>
            <w:pPr>
              <w:pStyle w:val="TableContents"/>
              <w:widowControl w:val="false"/>
              <w:suppressLineNumbers/>
              <w:spacing w:before="0" w:after="200"/>
              <w:rPr/>
            </w:pPr>
            <w:r>
              <w:rPr/>
              <w:t>Hunter College and the Graduate Center, City University of New York</w:t>
            </w:r>
          </w:p>
        </w:tc>
        <w:tc>
          <w:tcPr>
            <w:tcW w:w="4888" w:type="dxa"/>
            <w:tcBorders/>
            <w:vAlign w:val="center"/>
          </w:tcPr>
          <w:p>
            <w:pPr>
              <w:pStyle w:val="TableContents"/>
              <w:widowControl w:val="false"/>
              <w:suppressLineNumbers/>
              <w:spacing w:before="0" w:after="200"/>
              <w:rPr/>
            </w:pPr>
            <w:r>
              <w:rPr/>
              <w:t xml:space="preserve">Developed care as both a moral value and a social practice. She argued that care ethics should apply to personal, political, institutional, and global relationships and should interact with, rather than simply replace, justice-based theories. </w:t>
            </w:r>
            <w:hyperlink r:id="rId42">
              <w:r>
                <w:rPr>
                  <w:rStyle w:val="Hyperlink"/>
                </w:rPr>
                <w:t>Hunter College</w:t>
              </w:r>
            </w:hyperlink>
          </w:p>
        </w:tc>
      </w:tr>
      <w:tr>
        <w:trPr/>
        <w:tc>
          <w:tcPr>
            <w:tcW w:w="1160" w:type="dxa"/>
            <w:tcBorders/>
            <w:vAlign w:val="center"/>
          </w:tcPr>
          <w:p>
            <w:pPr>
              <w:pStyle w:val="TableContents"/>
              <w:widowControl w:val="false"/>
              <w:suppressLineNumbers/>
              <w:spacing w:before="0" w:after="200"/>
              <w:rPr/>
            </w:pPr>
            <w:r>
              <w:rPr>
                <w:rStyle w:val="Strong"/>
              </w:rPr>
              <w:t>Joan C. Tronto</w:t>
            </w:r>
          </w:p>
        </w:tc>
        <w:tc>
          <w:tcPr>
            <w:tcW w:w="743" w:type="dxa"/>
            <w:tcBorders/>
            <w:vAlign w:val="center"/>
          </w:tcPr>
          <w:p>
            <w:pPr>
              <w:pStyle w:val="TableContents"/>
              <w:spacing w:before="0" w:after="200"/>
              <w:jc w:val="right"/>
              <w:rPr/>
            </w:pPr>
            <w:r>
              <w:rPr/>
              <w:t>1952–</w:t>
            </w:r>
          </w:p>
        </w:tc>
        <w:tc>
          <w:tcPr>
            <w:tcW w:w="1849" w:type="dxa"/>
            <w:tcBorders/>
            <w:vAlign w:val="center"/>
          </w:tcPr>
          <w:p>
            <w:pPr>
              <w:pStyle w:val="TableContents"/>
              <w:widowControl w:val="false"/>
              <w:suppressLineNumbers/>
              <w:spacing w:before="0" w:after="200"/>
              <w:rPr/>
            </w:pPr>
            <w:r>
              <w:rPr/>
              <w:t>University of Minnesota; formerly Hunter College and the CUNY Graduate Center</w:t>
            </w:r>
          </w:p>
        </w:tc>
        <w:tc>
          <w:tcPr>
            <w:tcW w:w="4888" w:type="dxa"/>
            <w:tcBorders/>
            <w:vAlign w:val="center"/>
          </w:tcPr>
          <w:p>
            <w:pPr>
              <w:pStyle w:val="TableContents"/>
              <w:widowControl w:val="false"/>
              <w:suppressLineNumbers/>
              <w:spacing w:before="0" w:after="200"/>
              <w:rPr/>
            </w:pPr>
            <w:r>
              <w:rPr/>
              <w:t xml:space="preserve">Extended care ethics into political theory and democratic governance. She analyzed care as a process involving attentiveness, responsibility, competence, responsiveness, and solidarity, while emphasizing the distribution of care work and the power to determine whose needs receive attention. </w:t>
            </w:r>
            <w:hyperlink r:id="rId43">
              <w:r>
                <w:rPr>
                  <w:rStyle w:val="Hyperlink"/>
                </w:rPr>
                <w:t>University of Minnesota</w:t>
              </w:r>
            </w:hyperlink>
          </w:p>
        </w:tc>
      </w:tr>
    </w:tbl>
    <w:p>
      <w:pPr>
        <w:pStyle w:val="Heading3"/>
        <w:spacing w:before="0" w:after="200"/>
        <w:ind w:hanging="0" w:left="0"/>
        <w:rPr>
          <w:rFonts w:ascii="Aptos" w:hAnsi="Aptos"/>
          <w:color w:val="auto"/>
        </w:rPr>
      </w:pPr>
      <w:r>
        <w:rPr>
          <w:rFonts w:ascii="Aptos" w:hAnsi="Aptos"/>
          <w:color w:val="auto"/>
        </w:rPr>
        <w:t>Core Assumptions</w:t>
      </w:r>
    </w:p>
    <w:p>
      <w:pPr>
        <w:pStyle w:val="BodyText"/>
        <w:spacing w:before="0" w:after="200"/>
        <w:rPr/>
      </w:pPr>
      <w:r>
        <w:rPr/>
        <w:t>Ethics of care is a family of related approaches rather than a single uniform doctrine. Its principal assumptions generally include the following:</w:t>
      </w:r>
    </w:p>
    <w:p>
      <w:pPr>
        <w:pStyle w:val="BodyText"/>
        <w:numPr>
          <w:ilvl w:val="0"/>
          <w:numId w:val="56"/>
        </w:numPr>
        <w:tabs>
          <w:tab w:val="clear" w:pos="720"/>
          <w:tab w:val="left" w:pos="0" w:leader="none"/>
        </w:tabs>
        <w:spacing w:before="0" w:after="200"/>
        <w:ind w:hanging="283" w:left="709"/>
        <w:rPr/>
      </w:pPr>
      <w:r>
        <w:rPr>
          <w:rStyle w:val="Strong"/>
        </w:rPr>
        <w:t>Entities are relational and interdependent.</w:t>
      </w:r>
      <w:r>
        <w:rPr/>
        <w:t xml:space="preserve"> Moral agents and recipients of moral concern are shaped by relationships, institutions, histories, dependencies, and social conditions. They should not be modeled solely as isolated and fully autonomous individuals.</w:t>
      </w:r>
    </w:p>
    <w:p>
      <w:pPr>
        <w:pStyle w:val="BodyText"/>
        <w:numPr>
          <w:ilvl w:val="0"/>
          <w:numId w:val="56"/>
        </w:numPr>
        <w:tabs>
          <w:tab w:val="clear" w:pos="720"/>
          <w:tab w:val="left" w:pos="0" w:leader="none"/>
        </w:tabs>
        <w:spacing w:before="0" w:after="200"/>
        <w:ind w:hanging="283" w:left="709"/>
        <w:rPr/>
      </w:pPr>
      <w:r>
        <w:rPr>
          <w:rStyle w:val="Strong"/>
        </w:rPr>
        <w:t>Dependency is a normal feature of existence.</w:t>
      </w:r>
      <w:r>
        <w:rPr/>
        <w:t xml:space="preserve"> Childhood, illness, disability, aging, crisis, education, and participation in complex institutions all create varying forms of dependency. Dependence is not necessarily a moral failure or exceptional condition.</w:t>
      </w:r>
    </w:p>
    <w:p>
      <w:pPr>
        <w:pStyle w:val="BodyText"/>
        <w:numPr>
          <w:ilvl w:val="0"/>
          <w:numId w:val="56"/>
        </w:numPr>
        <w:tabs>
          <w:tab w:val="clear" w:pos="720"/>
          <w:tab w:val="left" w:pos="0" w:leader="none"/>
        </w:tabs>
        <w:spacing w:before="0" w:after="200"/>
        <w:ind w:hanging="283" w:left="709"/>
        <w:rPr/>
      </w:pPr>
      <w:r>
        <w:rPr>
          <w:rStyle w:val="Strong"/>
        </w:rPr>
        <w:t>Care is morally significant.</w:t>
      </w:r>
      <w:r>
        <w:rPr/>
        <w:t xml:space="preserve"> Care is not merely an emotion or private preference. It is a value, disposition, relationship, and practice directed toward maintaining, repairing, or improving the world in which entities live.</w:t>
      </w:r>
    </w:p>
    <w:p>
      <w:pPr>
        <w:pStyle w:val="BodyText"/>
        <w:numPr>
          <w:ilvl w:val="0"/>
          <w:numId w:val="56"/>
        </w:numPr>
        <w:tabs>
          <w:tab w:val="clear" w:pos="720"/>
          <w:tab w:val="left" w:pos="0" w:leader="none"/>
        </w:tabs>
        <w:spacing w:before="0" w:after="200"/>
        <w:ind w:hanging="283" w:left="709"/>
        <w:rPr/>
      </w:pPr>
      <w:r>
        <w:rPr>
          <w:rStyle w:val="Strong"/>
        </w:rPr>
        <w:t>Moral attention precedes effective action.</w:t>
      </w:r>
      <w:r>
        <w:rPr/>
        <w:t xml:space="preserve"> An agent must first recognize that a need exists. Failure to notice another entity’s condition can itself represent a moral failure, particularly when the need was reasonably discoverable.</w:t>
      </w:r>
    </w:p>
    <w:p>
      <w:pPr>
        <w:pStyle w:val="BodyText"/>
        <w:numPr>
          <w:ilvl w:val="0"/>
          <w:numId w:val="56"/>
        </w:numPr>
        <w:tabs>
          <w:tab w:val="clear" w:pos="720"/>
          <w:tab w:val="left" w:pos="0" w:leader="none"/>
        </w:tabs>
        <w:spacing w:before="0" w:after="200"/>
        <w:ind w:hanging="283" w:left="709"/>
        <w:rPr/>
      </w:pPr>
      <w:r>
        <w:rPr>
          <w:rStyle w:val="Strong"/>
        </w:rPr>
        <w:t>Context matters.</w:t>
      </w:r>
      <w:r>
        <w:rPr/>
        <w:t xml:space="preserve"> Similar actions may have different ethical meanings depending on the relationship, history, vulnerability, expectations, available alternatives, and expressed needs of the parties.</w:t>
      </w:r>
    </w:p>
    <w:p>
      <w:pPr>
        <w:pStyle w:val="BodyText"/>
        <w:numPr>
          <w:ilvl w:val="0"/>
          <w:numId w:val="56"/>
        </w:numPr>
        <w:tabs>
          <w:tab w:val="clear" w:pos="720"/>
          <w:tab w:val="left" w:pos="0" w:leader="none"/>
        </w:tabs>
        <w:spacing w:before="0" w:after="200"/>
        <w:ind w:hanging="283" w:left="709"/>
        <w:rPr/>
      </w:pPr>
      <w:r>
        <w:rPr>
          <w:rStyle w:val="Strong"/>
        </w:rPr>
        <w:t>Relationships can generate special responsibilities.</w:t>
      </w:r>
      <w:r>
        <w:rPr/>
        <w:t xml:space="preserve"> Parents, caregivers, educators, clinicians, public officials, institutions, and other actors may possess responsibilities arising from roles or relationships that are not owed identically to every entity.</w:t>
      </w:r>
    </w:p>
    <w:p>
      <w:pPr>
        <w:pStyle w:val="BodyText"/>
        <w:numPr>
          <w:ilvl w:val="0"/>
          <w:numId w:val="56"/>
        </w:numPr>
        <w:tabs>
          <w:tab w:val="clear" w:pos="720"/>
          <w:tab w:val="left" w:pos="0" w:leader="none"/>
        </w:tabs>
        <w:spacing w:before="0" w:after="200"/>
        <w:ind w:hanging="283" w:left="709"/>
        <w:rPr/>
      </w:pPr>
      <w:r>
        <w:rPr>
          <w:rStyle w:val="Strong"/>
        </w:rPr>
        <w:t>Emotion and reason are complementary.</w:t>
      </w:r>
      <w:r>
        <w:rPr/>
        <w:t xml:space="preserve"> Empathy, concern, compassion, receptivity, and emotional understanding can disclose morally relevant information. They should inform reflective judgment rather than be treated as inherently opposed to rational analysis.</w:t>
      </w:r>
    </w:p>
    <w:p>
      <w:pPr>
        <w:pStyle w:val="BodyText"/>
        <w:numPr>
          <w:ilvl w:val="0"/>
          <w:numId w:val="56"/>
        </w:numPr>
        <w:tabs>
          <w:tab w:val="clear" w:pos="720"/>
          <w:tab w:val="left" w:pos="0" w:leader="none"/>
        </w:tabs>
        <w:spacing w:before="0" w:after="200"/>
        <w:ind w:hanging="283" w:left="709"/>
        <w:rPr/>
      </w:pPr>
      <w:r>
        <w:rPr>
          <w:rStyle w:val="Strong"/>
        </w:rPr>
        <w:t>The recipient’s perspective matters.</w:t>
      </w:r>
      <w:r>
        <w:rPr/>
        <w:t xml:space="preserve"> Care cannot be assessed solely from the provider’s intention. The recipient’s needs, experiences, responses, and ability to participate in the relationship must also be considered.</w:t>
      </w:r>
    </w:p>
    <w:p>
      <w:pPr>
        <w:pStyle w:val="BodyText"/>
        <w:numPr>
          <w:ilvl w:val="0"/>
          <w:numId w:val="56"/>
        </w:numPr>
        <w:tabs>
          <w:tab w:val="clear" w:pos="720"/>
          <w:tab w:val="left" w:pos="0" w:leader="none"/>
        </w:tabs>
        <w:spacing w:before="0" w:after="200"/>
        <w:ind w:hanging="283" w:left="709"/>
        <w:rPr/>
      </w:pPr>
      <w:r>
        <w:rPr>
          <w:rStyle w:val="Strong"/>
        </w:rPr>
        <w:t>Competence is part of ethical care.</w:t>
      </w:r>
      <w:r>
        <w:rPr/>
        <w:t xml:space="preserve"> Good intentions are insufficient when care is negligently, ineffectively, or irresponsibly delivered.</w:t>
      </w:r>
    </w:p>
    <w:p>
      <w:pPr>
        <w:pStyle w:val="BodyText"/>
        <w:numPr>
          <w:ilvl w:val="0"/>
          <w:numId w:val="56"/>
        </w:numPr>
        <w:tabs>
          <w:tab w:val="clear" w:pos="720"/>
          <w:tab w:val="left" w:pos="0" w:leader="none"/>
        </w:tabs>
        <w:spacing w:before="0" w:after="200"/>
        <w:ind w:hanging="283" w:left="709"/>
        <w:rPr/>
      </w:pPr>
      <w:r>
        <w:rPr>
          <w:rStyle w:val="Strong"/>
        </w:rPr>
        <w:t>Care must respond to power differences.</w:t>
      </w:r>
      <w:r>
        <w:rPr/>
        <w:t xml:space="preserve"> Care relationships frequently involve unequal knowledge, authority, capacity, resources, or freedom of exit. These differences create risks of paternalism, coercion, dependency, exploitation, and silencing.</w:t>
      </w:r>
    </w:p>
    <w:p>
      <w:pPr>
        <w:pStyle w:val="BodyText"/>
        <w:numPr>
          <w:ilvl w:val="0"/>
          <w:numId w:val="56"/>
        </w:numPr>
        <w:tabs>
          <w:tab w:val="clear" w:pos="720"/>
          <w:tab w:val="left" w:pos="0" w:leader="none"/>
        </w:tabs>
        <w:spacing w:before="0" w:after="200"/>
        <w:ind w:hanging="283" w:left="709"/>
        <w:rPr/>
      </w:pPr>
      <w:r>
        <w:rPr>
          <w:rStyle w:val="Strong"/>
        </w:rPr>
        <w:t>Caregivers also require care.</w:t>
      </w:r>
      <w:r>
        <w:rPr/>
        <w:t xml:space="preserve"> An ethical system should not assume unlimited self-sacrifice or place the entire burden of care on particular individuals or social groups.</w:t>
      </w:r>
    </w:p>
    <w:p>
      <w:pPr>
        <w:pStyle w:val="BodyText"/>
        <w:numPr>
          <w:ilvl w:val="0"/>
          <w:numId w:val="56"/>
        </w:numPr>
        <w:tabs>
          <w:tab w:val="clear" w:pos="720"/>
          <w:tab w:val="left" w:pos="0" w:leader="none"/>
        </w:tabs>
        <w:spacing w:before="0" w:after="200"/>
        <w:ind w:hanging="283" w:left="709"/>
        <w:rPr/>
      </w:pPr>
      <w:r>
        <w:rPr>
          <w:rStyle w:val="Strong"/>
        </w:rPr>
        <w:t>Care has political and institutional dimensions.</w:t>
      </w:r>
      <w:r>
        <w:rPr/>
        <w:t xml:space="preserve"> The organization and distribution of care work reflect public priorities and power. Institutions determine which needs are recognized, whose care is funded, who performs care work, and who receives its benefits.</w:t>
      </w:r>
    </w:p>
    <w:p>
      <w:pPr>
        <w:pStyle w:val="BodyText"/>
        <w:numPr>
          <w:ilvl w:val="0"/>
          <w:numId w:val="56"/>
        </w:numPr>
        <w:tabs>
          <w:tab w:val="clear" w:pos="720"/>
          <w:tab w:val="left" w:pos="0" w:leader="none"/>
        </w:tabs>
        <w:spacing w:before="0" w:after="200"/>
        <w:ind w:hanging="283" w:left="709"/>
        <w:rPr/>
      </w:pPr>
      <w:r>
        <w:rPr>
          <w:rStyle w:val="Strong"/>
        </w:rPr>
        <w:t>Partiality may be morally appropriate.</w:t>
      </w:r>
      <w:r>
        <w:rPr/>
        <w:t xml:space="preserve"> Special attention to dependents, close relationships, or role-based responsibilities can be justified. However, partiality does not license arbitrary exclusion, discrimination, or neglect of distant and less-visible entities.</w:t>
      </w:r>
    </w:p>
    <w:p>
      <w:pPr>
        <w:pStyle w:val="BodyText"/>
        <w:numPr>
          <w:ilvl w:val="0"/>
          <w:numId w:val="56"/>
        </w:numPr>
        <w:tabs>
          <w:tab w:val="clear" w:pos="720"/>
          <w:tab w:val="left" w:pos="0" w:leader="none"/>
        </w:tabs>
        <w:spacing w:before="0" w:after="200"/>
        <w:ind w:hanging="283" w:left="709"/>
        <w:rPr/>
      </w:pPr>
      <w:r>
        <w:rPr>
          <w:rStyle w:val="Strong"/>
        </w:rPr>
        <w:t>Justice and care should inform one another.</w:t>
      </w:r>
      <w:r>
        <w:rPr/>
        <w:t xml:space="preserve"> General rules and rights can protect against favoritism and exploitation, while care can reveal needs and relational circumstances that abstract rules overlook. Contemporary care ethics often treats the two orientations as complementary.</w:t>
      </w:r>
    </w:p>
    <w:p>
      <w:pPr>
        <w:pStyle w:val="BodyText"/>
        <w:numPr>
          <w:ilvl w:val="0"/>
          <w:numId w:val="56"/>
        </w:numPr>
        <w:tabs>
          <w:tab w:val="clear" w:pos="720"/>
          <w:tab w:val="left" w:pos="0" w:leader="none"/>
        </w:tabs>
        <w:spacing w:before="0" w:after="200"/>
        <w:ind w:hanging="283" w:left="709"/>
        <w:rPr/>
      </w:pPr>
      <w:r>
        <w:rPr>
          <w:rStyle w:val="Strong"/>
        </w:rPr>
        <w:t>Care is longitudinal.</w:t>
      </w:r>
      <w:r>
        <w:rPr/>
        <w:t xml:space="preserve"> Maintaining a relationship or supporting a vulnerable entity commonly requires continuity, adaptation, follow-up, and repeated attention rather than a single isolated intervention.</w:t>
      </w:r>
    </w:p>
    <w:p>
      <w:pPr>
        <w:pStyle w:val="BodyText"/>
        <w:spacing w:before="0" w:after="200"/>
        <w:rPr/>
      </w:pPr>
      <w:r>
        <w:rPr/>
        <w:t>Tronto’s influential formulation describes care as a continuing process that includes noticing a need, assuming responsibility, providing competent care, and evaluating how the care is received. Her later political account adds “caring with,” emphasizing plurality, communication, trust, respect, and solidarity.</w:t>
      </w:r>
    </w:p>
    <w:p>
      <w:pPr>
        <w:pStyle w:val="Heading3"/>
        <w:spacing w:before="0" w:after="200"/>
        <w:ind w:hanging="0" w:left="0"/>
        <w:rPr>
          <w:rFonts w:ascii="Aptos" w:hAnsi="Aptos"/>
          <w:color w:val="auto"/>
        </w:rPr>
      </w:pPr>
      <w:r>
        <w:rPr>
          <w:rFonts w:ascii="Aptos" w:hAnsi="Aptos"/>
          <w:color w:val="auto"/>
        </w:rPr>
        <w:t>Relationship to This Framework</w:t>
      </w:r>
    </w:p>
    <w:p>
      <w:pPr>
        <w:pStyle w:val="BodyText"/>
        <w:spacing w:before="0" w:after="200"/>
        <w:rPr/>
      </w:pPr>
      <w:r>
        <w:rPr/>
        <w:t>Ethics of care has a strong structural relationship to this framework because both understand ethical conduct as occurring within a complex World Context rather than as an isolated choice by an independent actor. The framework’s Objects, Associations, institutional roles, constraints, information states, and future possibilities provide a basis for representing the relationships and dependencies emphasized by care ethics.</w:t>
      </w:r>
    </w:p>
    <w:p>
      <w:pPr>
        <w:pStyle w:val="BodyText"/>
        <w:spacing w:before="0" w:after="200"/>
        <w:rPr/>
      </w:pPr>
      <w:r>
        <w:rPr/>
        <w:t>The Foundational Axiom’s emphasis on preserving and promoting the long-term flourishing of relevant persistent adaptive entities also aligns with the general purpose of care. Appropriate care can preserve an entity’s life, agency, identity, capabilities, relationships, and beneficial future state space. Neglect, abandonment, incompetent care, or exploitative dependency can materially diminish those same conditions.</w:t>
      </w:r>
    </w:p>
    <w:p>
      <w:pPr>
        <w:pStyle w:val="BodyText"/>
        <w:spacing w:before="0" w:after="200"/>
        <w:rPr/>
      </w:pPr>
      <w:r>
        <w:rPr/>
        <w:t>The framework’s complete World Context Transition can assess more than whether an immediate need was technically satisfied. It can also examine:</w:t>
      </w:r>
    </w:p>
    <w:p>
      <w:pPr>
        <w:pStyle w:val="BodyText"/>
        <w:numPr>
          <w:ilvl w:val="0"/>
          <w:numId w:val="57"/>
        </w:numPr>
        <w:tabs>
          <w:tab w:val="clear" w:pos="720"/>
          <w:tab w:val="left" w:pos="0" w:leader="none"/>
        </w:tabs>
        <w:spacing w:before="0" w:after="200"/>
        <w:ind w:hanging="283" w:left="709"/>
        <w:rPr/>
      </w:pPr>
      <w:r>
        <w:rPr/>
        <w:t>Changes in trust between the parties;</w:t>
      </w:r>
    </w:p>
    <w:p>
      <w:pPr>
        <w:pStyle w:val="BodyText"/>
        <w:numPr>
          <w:ilvl w:val="0"/>
          <w:numId w:val="57"/>
        </w:numPr>
        <w:tabs>
          <w:tab w:val="clear" w:pos="720"/>
          <w:tab w:val="left" w:pos="0" w:leader="none"/>
        </w:tabs>
        <w:spacing w:before="0" w:after="200"/>
        <w:ind w:hanging="283" w:left="709"/>
        <w:rPr/>
      </w:pPr>
      <w:r>
        <w:rPr/>
        <w:t>Increased or reduced dependency;</w:t>
      </w:r>
    </w:p>
    <w:p>
      <w:pPr>
        <w:pStyle w:val="BodyText"/>
        <w:numPr>
          <w:ilvl w:val="0"/>
          <w:numId w:val="57"/>
        </w:numPr>
        <w:tabs>
          <w:tab w:val="clear" w:pos="720"/>
          <w:tab w:val="left" w:pos="0" w:leader="none"/>
        </w:tabs>
        <w:spacing w:before="0" w:after="200"/>
        <w:ind w:hanging="283" w:left="709"/>
        <w:rPr/>
      </w:pPr>
      <w:r>
        <w:rPr/>
        <w:t>The preservation of the recipient’s agency;</w:t>
      </w:r>
    </w:p>
    <w:p>
      <w:pPr>
        <w:pStyle w:val="BodyText"/>
        <w:numPr>
          <w:ilvl w:val="0"/>
          <w:numId w:val="57"/>
        </w:numPr>
        <w:tabs>
          <w:tab w:val="clear" w:pos="720"/>
          <w:tab w:val="left" w:pos="0" w:leader="none"/>
        </w:tabs>
        <w:spacing w:before="0" w:after="200"/>
        <w:ind w:hanging="283" w:left="709"/>
        <w:rPr/>
      </w:pPr>
      <w:r>
        <w:rPr/>
        <w:t>Effects on the caregiver’s well-being;</w:t>
      </w:r>
    </w:p>
    <w:p>
      <w:pPr>
        <w:pStyle w:val="BodyText"/>
        <w:numPr>
          <w:ilvl w:val="0"/>
          <w:numId w:val="57"/>
        </w:numPr>
        <w:tabs>
          <w:tab w:val="clear" w:pos="720"/>
          <w:tab w:val="left" w:pos="0" w:leader="none"/>
        </w:tabs>
        <w:spacing w:before="0" w:after="200"/>
        <w:ind w:hanging="283" w:left="709"/>
        <w:rPr/>
      </w:pPr>
      <w:r>
        <w:rPr/>
        <w:t>The distribution of care burdens;</w:t>
      </w:r>
    </w:p>
    <w:p>
      <w:pPr>
        <w:pStyle w:val="BodyText"/>
        <w:numPr>
          <w:ilvl w:val="0"/>
          <w:numId w:val="57"/>
        </w:numPr>
        <w:tabs>
          <w:tab w:val="clear" w:pos="720"/>
          <w:tab w:val="left" w:pos="0" w:leader="none"/>
        </w:tabs>
        <w:spacing w:before="0" w:after="200"/>
        <w:ind w:hanging="283" w:left="709"/>
        <w:rPr/>
      </w:pPr>
      <w:r>
        <w:rPr/>
        <w:t>Institutional incentives and precedents;</w:t>
      </w:r>
    </w:p>
    <w:p>
      <w:pPr>
        <w:pStyle w:val="BodyText"/>
        <w:numPr>
          <w:ilvl w:val="0"/>
          <w:numId w:val="57"/>
        </w:numPr>
        <w:tabs>
          <w:tab w:val="clear" w:pos="720"/>
          <w:tab w:val="left" w:pos="0" w:leader="none"/>
        </w:tabs>
        <w:spacing w:before="0" w:after="200"/>
        <w:ind w:hanging="283" w:left="709"/>
        <w:rPr/>
      </w:pPr>
      <w:r>
        <w:rPr/>
        <w:t>Future availability of care;</w:t>
      </w:r>
    </w:p>
    <w:p>
      <w:pPr>
        <w:pStyle w:val="BodyText"/>
        <w:numPr>
          <w:ilvl w:val="0"/>
          <w:numId w:val="57"/>
        </w:numPr>
        <w:tabs>
          <w:tab w:val="clear" w:pos="720"/>
          <w:tab w:val="left" w:pos="0" w:leader="none"/>
        </w:tabs>
        <w:spacing w:before="0" w:after="200"/>
        <w:ind w:hanging="283" w:left="709"/>
        <w:rPr/>
      </w:pPr>
      <w:r>
        <w:rPr/>
        <w:t>Whether the action strengthened or weakened the relationship; and</w:t>
      </w:r>
    </w:p>
    <w:p>
      <w:pPr>
        <w:pStyle w:val="BodyText"/>
        <w:numPr>
          <w:ilvl w:val="0"/>
          <w:numId w:val="57"/>
        </w:numPr>
        <w:tabs>
          <w:tab w:val="clear" w:pos="720"/>
          <w:tab w:val="left" w:pos="0" w:leader="none"/>
        </w:tabs>
        <w:spacing w:before="0" w:after="200"/>
        <w:ind w:hanging="283" w:left="709"/>
        <w:rPr/>
      </w:pPr>
      <w:r>
        <w:rPr/>
        <w:t>How observers and institutions are likely to respond to the practice.</w:t>
      </w:r>
    </w:p>
    <w:p>
      <w:pPr>
        <w:pStyle w:val="BodyText"/>
        <w:spacing w:before="0" w:after="200"/>
        <w:rPr/>
      </w:pPr>
      <w:r>
        <w:rPr/>
        <w:t>Distributed Policy Effects are particularly relevant. A single act of attentive and competent care may strengthen trust and establish better practices. Conversely, neglect or dehumanizing treatment may normalize indifference, reduce future help-seeking, encourage institutional abandonment, or teach artificial and human agents to treat vulnerable entities as burdens.</w:t>
      </w:r>
    </w:p>
    <w:p>
      <w:pPr>
        <w:pStyle w:val="BodyText"/>
        <w:spacing w:before="0" w:after="200"/>
        <w:rPr/>
      </w:pPr>
      <w:r>
        <w:rPr/>
        <w:t>Important differences remain. This framework is designed to provide implementation-neutral, explainable, and potentially computational assessments. Care ethics cautions that moral knowledge is not always reducible to predefined categories or measurable variables. Needs can be expressed indirectly, discovered through sustained attention, or understood only through embodied and relational experience. A technically complete model may therefore remain ethically inadequate if it does not listen to the recipient or understand the meaning of the relationship.</w:t>
      </w:r>
    </w:p>
    <w:p>
      <w:pPr>
        <w:pStyle w:val="BodyText"/>
        <w:spacing w:before="0" w:after="200"/>
        <w:rPr/>
      </w:pPr>
      <w:r>
        <w:rPr/>
        <w:t>The framework also evaluates a broad set of entities and systemic effects, whereas some care-ethics approaches begin with concrete interpersonal relationships and permit justified partiality toward those for whom an agent has direct responsibility. Integrating care ethics therefore requires the framework to preserve contextual and relational particularity while still evaluating wider effects and preventing unjust favoritism.</w:t>
      </w:r>
    </w:p>
    <w:p>
      <w:pPr>
        <w:pStyle w:val="Heading3"/>
        <w:spacing w:before="0" w:after="200"/>
        <w:ind w:hanging="0" w:left="0"/>
        <w:rPr>
          <w:rFonts w:ascii="Aptos" w:hAnsi="Aptos"/>
          <w:color w:val="auto"/>
        </w:rPr>
      </w:pPr>
      <w:r>
        <w:rPr>
          <w:rFonts w:ascii="Aptos" w:hAnsi="Aptos"/>
          <w:color w:val="auto"/>
        </w:rPr>
        <w:t>Concepts Adopted or Adapted by This Framework</w:t>
      </w:r>
    </w:p>
    <w:p>
      <w:pPr>
        <w:pStyle w:val="BodyText"/>
        <w:spacing w:before="0" w:after="200"/>
        <w:rPr/>
      </w:pPr>
      <w:r>
        <w:rPr/>
        <w:t>The framework functionally incorporates or can represent several care-ethics concepts, although it does not yet formalize care as a separate ethical layer.</w:t>
      </w:r>
    </w:p>
    <w:tbl>
      <w:tblPr>
        <w:tblW w:w="8640" w:type="dxa"/>
        <w:jc w:val="left"/>
        <w:tblInd w:w="28" w:type="dxa"/>
        <w:tblLayout w:type="fixed"/>
        <w:tblCellMar>
          <w:top w:w="28" w:type="dxa"/>
          <w:left w:w="28" w:type="dxa"/>
          <w:bottom w:w="28" w:type="dxa"/>
          <w:right w:w="28" w:type="dxa"/>
        </w:tblCellMar>
      </w:tblPr>
      <w:tblGrid>
        <w:gridCol w:w="2526"/>
        <w:gridCol w:w="6114"/>
      </w:tblGrid>
      <w:tr>
        <w:trPr>
          <w:tblHeader w:val="true"/>
        </w:trPr>
        <w:tc>
          <w:tcPr>
            <w:tcW w:w="2526" w:type="dxa"/>
            <w:tcBorders/>
            <w:vAlign w:val="center"/>
          </w:tcPr>
          <w:p>
            <w:pPr>
              <w:pStyle w:val="TableHeading"/>
              <w:suppressLineNumbers/>
              <w:spacing w:before="0" w:after="200"/>
              <w:jc w:val="center"/>
              <w:rPr/>
            </w:pPr>
            <w:r>
              <w:rPr/>
              <w:t>Care-ethics concept</w:t>
            </w:r>
          </w:p>
        </w:tc>
        <w:tc>
          <w:tcPr>
            <w:tcW w:w="6114" w:type="dxa"/>
            <w:tcBorders/>
            <w:vAlign w:val="center"/>
          </w:tcPr>
          <w:p>
            <w:pPr>
              <w:pStyle w:val="TableHeading"/>
              <w:suppressLineNumbers/>
              <w:spacing w:before="0" w:after="200"/>
              <w:jc w:val="center"/>
              <w:rPr/>
            </w:pPr>
            <w:r>
              <w:rPr/>
              <w:t>Adoption or adaptation within this framework</w:t>
            </w:r>
          </w:p>
        </w:tc>
      </w:tr>
      <w:tr>
        <w:trPr/>
        <w:tc>
          <w:tcPr>
            <w:tcW w:w="2526" w:type="dxa"/>
            <w:tcBorders/>
            <w:vAlign w:val="center"/>
          </w:tcPr>
          <w:p>
            <w:pPr>
              <w:pStyle w:val="TableContents"/>
              <w:widowControl w:val="false"/>
              <w:suppressLineNumbers/>
              <w:spacing w:before="0" w:after="200"/>
              <w:rPr/>
            </w:pPr>
            <w:r>
              <w:rPr>
                <w:rStyle w:val="Strong"/>
              </w:rPr>
              <w:t>Relational self</w:t>
            </w:r>
          </w:p>
        </w:tc>
        <w:tc>
          <w:tcPr>
            <w:tcW w:w="6114" w:type="dxa"/>
            <w:tcBorders/>
            <w:vAlign w:val="center"/>
          </w:tcPr>
          <w:p>
            <w:pPr>
              <w:pStyle w:val="TableContents"/>
              <w:widowControl w:val="false"/>
              <w:suppressLineNumbers/>
              <w:spacing w:before="0" w:after="200"/>
              <w:rPr/>
            </w:pPr>
            <w:r>
              <w:rPr/>
              <w:t>Entities are represented within a World Context containing Associations, histories, roles, dependencies, and institutional relationships.</w:t>
            </w:r>
          </w:p>
        </w:tc>
      </w:tr>
      <w:tr>
        <w:trPr/>
        <w:tc>
          <w:tcPr>
            <w:tcW w:w="2526" w:type="dxa"/>
            <w:tcBorders/>
            <w:vAlign w:val="center"/>
          </w:tcPr>
          <w:p>
            <w:pPr>
              <w:pStyle w:val="TableContents"/>
              <w:widowControl w:val="false"/>
              <w:suppressLineNumbers/>
              <w:spacing w:before="0" w:after="200"/>
              <w:rPr/>
            </w:pPr>
            <w:r>
              <w:rPr>
                <w:rStyle w:val="Strong"/>
              </w:rPr>
              <w:t>Interdependence</w:t>
            </w:r>
          </w:p>
        </w:tc>
        <w:tc>
          <w:tcPr>
            <w:tcW w:w="6114" w:type="dxa"/>
            <w:tcBorders/>
            <w:vAlign w:val="center"/>
          </w:tcPr>
          <w:p>
            <w:pPr>
              <w:pStyle w:val="TableContents"/>
              <w:widowControl w:val="false"/>
              <w:suppressLineNumbers/>
              <w:spacing w:before="0" w:after="200"/>
              <w:rPr/>
            </w:pPr>
            <w:r>
              <w:rPr/>
              <w:t>Actions are evaluated through their effects on connected entities and systems rather than only on an isolated actor or recipient.</w:t>
            </w:r>
          </w:p>
        </w:tc>
      </w:tr>
      <w:tr>
        <w:trPr/>
        <w:tc>
          <w:tcPr>
            <w:tcW w:w="2526" w:type="dxa"/>
            <w:tcBorders/>
            <w:vAlign w:val="center"/>
          </w:tcPr>
          <w:p>
            <w:pPr>
              <w:pStyle w:val="TableContents"/>
              <w:widowControl w:val="false"/>
              <w:suppressLineNumbers/>
              <w:spacing w:before="0" w:after="200"/>
              <w:rPr/>
            </w:pPr>
            <w:r>
              <w:rPr>
                <w:rStyle w:val="Strong"/>
              </w:rPr>
              <w:t>Attentiveness</w:t>
            </w:r>
          </w:p>
        </w:tc>
        <w:tc>
          <w:tcPr>
            <w:tcW w:w="6114" w:type="dxa"/>
            <w:tcBorders/>
            <w:vAlign w:val="center"/>
          </w:tcPr>
          <w:p>
            <w:pPr>
              <w:pStyle w:val="TableContents"/>
              <w:widowControl w:val="false"/>
              <w:suppressLineNumbers/>
              <w:spacing w:before="0" w:after="200"/>
              <w:rPr/>
            </w:pPr>
            <w:r>
              <w:rPr/>
              <w:t>The requirement to use the best available evidence within the Situational Context supports identifying needs, vulnerabilities, and less-visible effects.</w:t>
            </w:r>
          </w:p>
        </w:tc>
      </w:tr>
      <w:tr>
        <w:trPr/>
        <w:tc>
          <w:tcPr>
            <w:tcW w:w="2526" w:type="dxa"/>
            <w:tcBorders/>
            <w:vAlign w:val="center"/>
          </w:tcPr>
          <w:p>
            <w:pPr>
              <w:pStyle w:val="TableContents"/>
              <w:widowControl w:val="false"/>
              <w:suppressLineNumbers/>
              <w:spacing w:before="0" w:after="200"/>
              <w:rPr/>
            </w:pPr>
            <w:r>
              <w:rPr>
                <w:rStyle w:val="Strong"/>
              </w:rPr>
              <w:t>Responsibility</w:t>
            </w:r>
          </w:p>
        </w:tc>
        <w:tc>
          <w:tcPr>
            <w:tcW w:w="6114" w:type="dxa"/>
            <w:tcBorders/>
            <w:vAlign w:val="center"/>
          </w:tcPr>
          <w:p>
            <w:pPr>
              <w:pStyle w:val="TableContents"/>
              <w:widowControl w:val="false"/>
              <w:suppressLineNumbers/>
              <w:spacing w:before="0" w:after="200"/>
              <w:rPr/>
            </w:pPr>
            <w:r>
              <w:rPr/>
              <w:t>Responsibility attribution considers role, authority, knowledge, intent, foreseeability, alternatives, and capacity to act.</w:t>
            </w:r>
          </w:p>
        </w:tc>
      </w:tr>
      <w:tr>
        <w:trPr/>
        <w:tc>
          <w:tcPr>
            <w:tcW w:w="2526" w:type="dxa"/>
            <w:tcBorders/>
            <w:vAlign w:val="center"/>
          </w:tcPr>
          <w:p>
            <w:pPr>
              <w:pStyle w:val="TableContents"/>
              <w:widowControl w:val="false"/>
              <w:suppressLineNumbers/>
              <w:spacing w:before="0" w:after="200"/>
              <w:rPr/>
            </w:pPr>
            <w:r>
              <w:rPr>
                <w:rStyle w:val="Strong"/>
              </w:rPr>
              <w:t>Competence</w:t>
            </w:r>
          </w:p>
        </w:tc>
        <w:tc>
          <w:tcPr>
            <w:tcW w:w="6114" w:type="dxa"/>
            <w:tcBorders/>
            <w:vAlign w:val="center"/>
          </w:tcPr>
          <w:p>
            <w:pPr>
              <w:pStyle w:val="TableContents"/>
              <w:widowControl w:val="false"/>
              <w:suppressLineNumbers/>
              <w:spacing w:before="0" w:after="200"/>
              <w:rPr/>
            </w:pPr>
            <w:r>
              <w:rPr/>
              <w:t>The World Context Transition can distinguish an intention to help from whether the action actually provides effective and sustainable care.</w:t>
            </w:r>
          </w:p>
        </w:tc>
      </w:tr>
      <w:tr>
        <w:trPr/>
        <w:tc>
          <w:tcPr>
            <w:tcW w:w="2526" w:type="dxa"/>
            <w:tcBorders/>
            <w:vAlign w:val="center"/>
          </w:tcPr>
          <w:p>
            <w:pPr>
              <w:pStyle w:val="TableContents"/>
              <w:widowControl w:val="false"/>
              <w:suppressLineNumbers/>
              <w:spacing w:before="0" w:after="200"/>
              <w:rPr/>
            </w:pPr>
            <w:r>
              <w:rPr>
                <w:rStyle w:val="Strong"/>
              </w:rPr>
              <w:t>Responsiveness</w:t>
            </w:r>
          </w:p>
        </w:tc>
        <w:tc>
          <w:tcPr>
            <w:tcW w:w="6114" w:type="dxa"/>
            <w:tcBorders/>
            <w:vAlign w:val="center"/>
          </w:tcPr>
          <w:p>
            <w:pPr>
              <w:pStyle w:val="TableContents"/>
              <w:widowControl w:val="false"/>
              <w:suppressLineNumbers/>
              <w:spacing w:before="0" w:after="200"/>
              <w:rPr/>
            </w:pPr>
            <w:r>
              <w:rPr/>
              <w:t>Outcomes can be evaluated using changes in the recipient’s state and feedback rather than relying solely on the provider’s declared objective.</w:t>
            </w:r>
          </w:p>
        </w:tc>
      </w:tr>
      <w:tr>
        <w:trPr/>
        <w:tc>
          <w:tcPr>
            <w:tcW w:w="2526" w:type="dxa"/>
            <w:tcBorders/>
            <w:vAlign w:val="center"/>
          </w:tcPr>
          <w:p>
            <w:pPr>
              <w:pStyle w:val="TableContents"/>
              <w:widowControl w:val="false"/>
              <w:suppressLineNumbers/>
              <w:spacing w:before="0" w:after="200"/>
              <w:rPr/>
            </w:pPr>
            <w:r>
              <w:rPr>
                <w:rStyle w:val="Strong"/>
              </w:rPr>
              <w:t>Dependency and vulnerability</w:t>
            </w:r>
          </w:p>
        </w:tc>
        <w:tc>
          <w:tcPr>
            <w:tcW w:w="6114" w:type="dxa"/>
            <w:tcBorders/>
            <w:vAlign w:val="center"/>
          </w:tcPr>
          <w:p>
            <w:pPr>
              <w:pStyle w:val="TableContents"/>
              <w:widowControl w:val="false"/>
              <w:suppressLineNumbers/>
              <w:spacing w:before="0" w:after="200"/>
              <w:rPr/>
            </w:pPr>
            <w:r>
              <w:rPr/>
              <w:t>These can be represented through Associations, resource requirements, power differences, limited alternatives, and sensitivity to disruption.</w:t>
            </w:r>
          </w:p>
        </w:tc>
      </w:tr>
      <w:tr>
        <w:trPr/>
        <w:tc>
          <w:tcPr>
            <w:tcW w:w="2526" w:type="dxa"/>
            <w:tcBorders/>
            <w:vAlign w:val="center"/>
          </w:tcPr>
          <w:p>
            <w:pPr>
              <w:pStyle w:val="TableContents"/>
              <w:widowControl w:val="false"/>
              <w:suppressLineNumbers/>
              <w:spacing w:before="0" w:after="200"/>
              <w:rPr/>
            </w:pPr>
            <w:r>
              <w:rPr>
                <w:rStyle w:val="Strong"/>
              </w:rPr>
              <w:t>Contextual judgment</w:t>
            </w:r>
          </w:p>
        </w:tc>
        <w:tc>
          <w:tcPr>
            <w:tcW w:w="6114" w:type="dxa"/>
            <w:tcBorders/>
            <w:vAlign w:val="center"/>
          </w:tcPr>
          <w:p>
            <w:pPr>
              <w:pStyle w:val="TableContents"/>
              <w:widowControl w:val="false"/>
              <w:suppressLineNumbers/>
              <w:spacing w:before="0" w:after="200"/>
              <w:rPr/>
            </w:pPr>
            <w:r>
              <w:rPr/>
              <w:t>The Situational Context preserves facts that may make a generally acceptable action harmful or a normally optional action obligatory.</w:t>
            </w:r>
          </w:p>
        </w:tc>
      </w:tr>
      <w:tr>
        <w:trPr/>
        <w:tc>
          <w:tcPr>
            <w:tcW w:w="2526" w:type="dxa"/>
            <w:tcBorders/>
            <w:vAlign w:val="center"/>
          </w:tcPr>
          <w:p>
            <w:pPr>
              <w:pStyle w:val="TableContents"/>
              <w:widowControl w:val="false"/>
              <w:suppressLineNumbers/>
              <w:spacing w:before="0" w:after="200"/>
              <w:rPr/>
            </w:pPr>
            <w:r>
              <w:rPr>
                <w:rStyle w:val="Strong"/>
              </w:rPr>
              <w:t>Special responsibilities</w:t>
            </w:r>
          </w:p>
        </w:tc>
        <w:tc>
          <w:tcPr>
            <w:tcW w:w="6114" w:type="dxa"/>
            <w:tcBorders/>
            <w:vAlign w:val="center"/>
          </w:tcPr>
          <w:p>
            <w:pPr>
              <w:pStyle w:val="TableContents"/>
              <w:widowControl w:val="false"/>
              <w:suppressLineNumbers/>
              <w:spacing w:before="0" w:after="200"/>
              <w:rPr/>
            </w:pPr>
            <w:r>
              <w:rPr/>
              <w:t>Roles, relationships, commitments, and institutional functions can create differentiated obligations among moral agents.</w:t>
            </w:r>
          </w:p>
        </w:tc>
      </w:tr>
      <w:tr>
        <w:trPr/>
        <w:tc>
          <w:tcPr>
            <w:tcW w:w="2526" w:type="dxa"/>
            <w:tcBorders/>
            <w:vAlign w:val="center"/>
          </w:tcPr>
          <w:p>
            <w:pPr>
              <w:pStyle w:val="TableContents"/>
              <w:widowControl w:val="false"/>
              <w:suppressLineNumbers/>
              <w:spacing w:before="0" w:after="200"/>
              <w:rPr/>
            </w:pPr>
            <w:r>
              <w:rPr>
                <w:rStyle w:val="Strong"/>
              </w:rPr>
              <w:t>Agency-preserving care</w:t>
            </w:r>
          </w:p>
        </w:tc>
        <w:tc>
          <w:tcPr>
            <w:tcW w:w="6114" w:type="dxa"/>
            <w:tcBorders/>
            <w:vAlign w:val="center"/>
          </w:tcPr>
          <w:p>
            <w:pPr>
              <w:pStyle w:val="TableContents"/>
              <w:widowControl w:val="false"/>
              <w:suppressLineNumbers/>
              <w:spacing w:before="0" w:after="200"/>
              <w:rPr/>
            </w:pPr>
            <w:r>
              <w:rPr/>
              <w:t>Long-Term Flourishing includes maintaining and expanding beneficial future state space rather than merely satisfying immediate needs.</w:t>
            </w:r>
          </w:p>
        </w:tc>
      </w:tr>
      <w:tr>
        <w:trPr/>
        <w:tc>
          <w:tcPr>
            <w:tcW w:w="2526" w:type="dxa"/>
            <w:tcBorders/>
            <w:vAlign w:val="center"/>
          </w:tcPr>
          <w:p>
            <w:pPr>
              <w:pStyle w:val="TableContents"/>
              <w:widowControl w:val="false"/>
              <w:suppressLineNumbers/>
              <w:spacing w:before="0" w:after="200"/>
              <w:rPr/>
            </w:pPr>
            <w:r>
              <w:rPr>
                <w:rStyle w:val="Strong"/>
              </w:rPr>
              <w:t>Continuity and maintenance</w:t>
            </w:r>
          </w:p>
        </w:tc>
        <w:tc>
          <w:tcPr>
            <w:tcW w:w="6114" w:type="dxa"/>
            <w:tcBorders/>
            <w:vAlign w:val="center"/>
          </w:tcPr>
          <w:p>
            <w:pPr>
              <w:pStyle w:val="TableContents"/>
              <w:widowControl w:val="false"/>
              <w:suppressLineNumbers/>
              <w:spacing w:before="0" w:after="200"/>
              <w:rPr/>
            </w:pPr>
            <w:r>
              <w:rPr/>
              <w:t>Multi-horizon evaluation supports examination of whether care remains available and effective over time.</w:t>
            </w:r>
          </w:p>
        </w:tc>
      </w:tr>
      <w:tr>
        <w:trPr/>
        <w:tc>
          <w:tcPr>
            <w:tcW w:w="2526" w:type="dxa"/>
            <w:tcBorders/>
            <w:vAlign w:val="center"/>
          </w:tcPr>
          <w:p>
            <w:pPr>
              <w:pStyle w:val="TableContents"/>
              <w:widowControl w:val="false"/>
              <w:suppressLineNumbers/>
              <w:spacing w:before="0" w:after="200"/>
              <w:rPr/>
            </w:pPr>
            <w:r>
              <w:rPr>
                <w:rStyle w:val="Strong"/>
              </w:rPr>
              <w:t>Institutional care</w:t>
            </w:r>
          </w:p>
        </w:tc>
        <w:tc>
          <w:tcPr>
            <w:tcW w:w="6114" w:type="dxa"/>
            <w:tcBorders/>
            <w:vAlign w:val="center"/>
          </w:tcPr>
          <w:p>
            <w:pPr>
              <w:pStyle w:val="TableContents"/>
              <w:widowControl w:val="false"/>
              <w:suppressLineNumbers/>
              <w:spacing w:before="0" w:after="200"/>
              <w:rPr/>
            </w:pPr>
            <w:r>
              <w:rPr/>
              <w:t>Institutions and their policies are included within the World Context and can be evaluated as providers, organizers, or obstructers of care.</w:t>
            </w:r>
          </w:p>
        </w:tc>
      </w:tr>
      <w:tr>
        <w:trPr/>
        <w:tc>
          <w:tcPr>
            <w:tcW w:w="2526" w:type="dxa"/>
            <w:tcBorders/>
            <w:vAlign w:val="center"/>
          </w:tcPr>
          <w:p>
            <w:pPr>
              <w:pStyle w:val="TableContents"/>
              <w:widowControl w:val="false"/>
              <w:suppressLineNumbers/>
              <w:spacing w:before="0" w:after="200"/>
              <w:rPr/>
            </w:pPr>
            <w:r>
              <w:rPr>
                <w:rStyle w:val="Strong"/>
              </w:rPr>
              <w:t>Caregiver well-being</w:t>
            </w:r>
          </w:p>
        </w:tc>
        <w:tc>
          <w:tcPr>
            <w:tcW w:w="6114" w:type="dxa"/>
            <w:tcBorders/>
            <w:vAlign w:val="center"/>
          </w:tcPr>
          <w:p>
            <w:pPr>
              <w:pStyle w:val="TableContents"/>
              <w:widowControl w:val="false"/>
              <w:suppressLineNumbers/>
              <w:spacing w:before="0" w:after="200"/>
              <w:rPr/>
            </w:pPr>
            <w:r>
              <w:rPr/>
              <w:t>The caregiver remains a relevant entity whose flourishing, capacity, and future obligations must also be considered.</w:t>
            </w:r>
          </w:p>
        </w:tc>
      </w:tr>
      <w:tr>
        <w:trPr/>
        <w:tc>
          <w:tcPr>
            <w:tcW w:w="2526" w:type="dxa"/>
            <w:tcBorders/>
            <w:vAlign w:val="center"/>
          </w:tcPr>
          <w:p>
            <w:pPr>
              <w:pStyle w:val="TableContents"/>
              <w:widowControl w:val="false"/>
              <w:suppressLineNumbers/>
              <w:spacing w:before="0" w:after="200"/>
              <w:rPr/>
            </w:pPr>
            <w:r>
              <w:rPr>
                <w:rStyle w:val="Strong"/>
              </w:rPr>
              <w:t>Distribution of care burdens</w:t>
            </w:r>
          </w:p>
        </w:tc>
        <w:tc>
          <w:tcPr>
            <w:tcW w:w="6114" w:type="dxa"/>
            <w:tcBorders/>
            <w:vAlign w:val="center"/>
          </w:tcPr>
          <w:p>
            <w:pPr>
              <w:pStyle w:val="TableContents"/>
              <w:widowControl w:val="false"/>
              <w:suppressLineNumbers/>
              <w:spacing w:before="0" w:after="200"/>
              <w:rPr/>
            </w:pPr>
            <w:r>
              <w:rPr/>
              <w:t>The framework can identify which entities perform care work, bear its costs, receive its benefits, and possess the authority to allocate it.</w:t>
            </w:r>
          </w:p>
        </w:tc>
      </w:tr>
      <w:tr>
        <w:trPr/>
        <w:tc>
          <w:tcPr>
            <w:tcW w:w="2526" w:type="dxa"/>
            <w:tcBorders/>
            <w:vAlign w:val="center"/>
          </w:tcPr>
          <w:p>
            <w:pPr>
              <w:pStyle w:val="TableContents"/>
              <w:widowControl w:val="false"/>
              <w:suppressLineNumbers/>
              <w:spacing w:before="0" w:after="200"/>
              <w:rPr/>
            </w:pPr>
            <w:r>
              <w:rPr>
                <w:rStyle w:val="Strong"/>
              </w:rPr>
              <w:t>Relational repair</w:t>
            </w:r>
          </w:p>
        </w:tc>
        <w:tc>
          <w:tcPr>
            <w:tcW w:w="6114" w:type="dxa"/>
            <w:tcBorders/>
            <w:vAlign w:val="center"/>
          </w:tcPr>
          <w:p>
            <w:pPr>
              <w:pStyle w:val="TableContents"/>
              <w:widowControl w:val="false"/>
              <w:suppressLineNumbers/>
              <w:spacing w:before="0" w:after="200"/>
              <w:rPr/>
            </w:pPr>
            <w:r>
              <w:rPr/>
              <w:t>Corrective actions can seek to restore trust, capability, communication, and damaged Associations.</w:t>
            </w:r>
          </w:p>
        </w:tc>
      </w:tr>
    </w:tbl>
    <w:p>
      <w:pPr>
        <w:pStyle w:val="Heading3"/>
        <w:spacing w:before="0" w:after="200"/>
        <w:ind w:hanging="0" w:left="0"/>
        <w:rPr>
          <w:rFonts w:ascii="Aptos" w:hAnsi="Aptos"/>
          <w:color w:val="auto"/>
        </w:rPr>
      </w:pPr>
      <w:r>
        <w:rPr>
          <w:rFonts w:ascii="Aptos" w:hAnsi="Aptos"/>
          <w:color w:val="auto"/>
        </w:rPr>
        <w:t>Similarities</w:t>
      </w:r>
    </w:p>
    <w:p>
      <w:pPr>
        <w:pStyle w:val="BodyText"/>
        <w:spacing w:before="0" w:after="200"/>
        <w:rPr/>
      </w:pPr>
      <w:r>
        <w:rPr/>
        <w:t>Ethics of care and this framework share several significant commitments:</w:t>
      </w:r>
    </w:p>
    <w:p>
      <w:pPr>
        <w:pStyle w:val="BodyText"/>
        <w:numPr>
          <w:ilvl w:val="0"/>
          <w:numId w:val="58"/>
        </w:numPr>
        <w:tabs>
          <w:tab w:val="clear" w:pos="720"/>
          <w:tab w:val="left" w:pos="0" w:leader="none"/>
        </w:tabs>
        <w:spacing w:before="0" w:after="200"/>
        <w:ind w:hanging="283" w:left="709"/>
        <w:rPr/>
      </w:pPr>
      <w:r>
        <w:rPr/>
        <w:t>Both treat moral situations as embedded in relationships, institutions, histories, and changing environments.</w:t>
      </w:r>
    </w:p>
    <w:p>
      <w:pPr>
        <w:pStyle w:val="BodyText"/>
        <w:numPr>
          <w:ilvl w:val="0"/>
          <w:numId w:val="58"/>
        </w:numPr>
        <w:tabs>
          <w:tab w:val="clear" w:pos="720"/>
          <w:tab w:val="left" w:pos="0" w:leader="none"/>
        </w:tabs>
        <w:spacing w:before="0" w:after="200"/>
        <w:ind w:hanging="283" w:left="709"/>
        <w:rPr/>
      </w:pPr>
      <w:r>
        <w:rPr/>
        <w:t>Both reject the assumption that the actor’s stated objective is sufficient to establish ethical acceptability.</w:t>
      </w:r>
    </w:p>
    <w:p>
      <w:pPr>
        <w:pStyle w:val="BodyText"/>
        <w:numPr>
          <w:ilvl w:val="0"/>
          <w:numId w:val="58"/>
        </w:numPr>
        <w:tabs>
          <w:tab w:val="clear" w:pos="720"/>
          <w:tab w:val="left" w:pos="0" w:leader="none"/>
        </w:tabs>
        <w:spacing w:before="0" w:after="200"/>
        <w:ind w:hanging="283" w:left="709"/>
        <w:rPr/>
      </w:pPr>
      <w:r>
        <w:rPr/>
        <w:t>Both recognize that ethical effects include changes in relationships, trust, dependency, capability, and future possibilities.</w:t>
      </w:r>
    </w:p>
    <w:p>
      <w:pPr>
        <w:pStyle w:val="BodyText"/>
        <w:numPr>
          <w:ilvl w:val="0"/>
          <w:numId w:val="58"/>
        </w:numPr>
        <w:tabs>
          <w:tab w:val="clear" w:pos="720"/>
          <w:tab w:val="left" w:pos="0" w:leader="none"/>
        </w:tabs>
        <w:spacing w:before="0" w:after="200"/>
        <w:ind w:hanging="283" w:left="709"/>
        <w:rPr/>
      </w:pPr>
      <w:r>
        <w:rPr/>
        <w:t>Both support contextual assessment rather than relying exclusively on abstract rules or aggregate metrics.</w:t>
      </w:r>
    </w:p>
    <w:p>
      <w:pPr>
        <w:pStyle w:val="BodyText"/>
        <w:numPr>
          <w:ilvl w:val="0"/>
          <w:numId w:val="58"/>
        </w:numPr>
        <w:tabs>
          <w:tab w:val="clear" w:pos="720"/>
          <w:tab w:val="left" w:pos="0" w:leader="none"/>
        </w:tabs>
        <w:spacing w:before="0" w:after="200"/>
        <w:ind w:hanging="283" w:left="709"/>
        <w:rPr/>
      </w:pPr>
      <w:r>
        <w:rPr/>
        <w:t>Both consider long-term effects and the continuing capacity of entities to function and develop.</w:t>
      </w:r>
    </w:p>
    <w:p>
      <w:pPr>
        <w:pStyle w:val="BodyText"/>
        <w:numPr>
          <w:ilvl w:val="0"/>
          <w:numId w:val="58"/>
        </w:numPr>
        <w:tabs>
          <w:tab w:val="clear" w:pos="720"/>
          <w:tab w:val="left" w:pos="0" w:leader="none"/>
        </w:tabs>
        <w:spacing w:before="0" w:after="200"/>
        <w:ind w:hanging="283" w:left="709"/>
        <w:rPr/>
      </w:pPr>
      <w:r>
        <w:rPr/>
        <w:t>Both can recognize affirmative responsibilities to assist, maintain, protect, or repair.</w:t>
      </w:r>
    </w:p>
    <w:p>
      <w:pPr>
        <w:pStyle w:val="BodyText"/>
        <w:numPr>
          <w:ilvl w:val="0"/>
          <w:numId w:val="58"/>
        </w:numPr>
        <w:tabs>
          <w:tab w:val="clear" w:pos="720"/>
          <w:tab w:val="left" w:pos="0" w:leader="none"/>
        </w:tabs>
        <w:spacing w:before="0" w:after="200"/>
        <w:ind w:hanging="283" w:left="709"/>
        <w:rPr/>
      </w:pPr>
      <w:r>
        <w:rPr/>
        <w:t>Both distinguish good intentions from competent and effective action.</w:t>
      </w:r>
    </w:p>
    <w:p>
      <w:pPr>
        <w:pStyle w:val="BodyText"/>
        <w:numPr>
          <w:ilvl w:val="0"/>
          <w:numId w:val="58"/>
        </w:numPr>
        <w:tabs>
          <w:tab w:val="clear" w:pos="720"/>
          <w:tab w:val="left" w:pos="0" w:leader="none"/>
        </w:tabs>
        <w:spacing w:before="0" w:after="200"/>
        <w:ind w:hanging="283" w:left="709"/>
        <w:rPr/>
      </w:pPr>
      <w:r>
        <w:rPr/>
        <w:t>Both treat power, authority, information, and available alternatives as relevant to responsibility.</w:t>
      </w:r>
    </w:p>
    <w:p>
      <w:pPr>
        <w:pStyle w:val="BodyText"/>
        <w:numPr>
          <w:ilvl w:val="0"/>
          <w:numId w:val="58"/>
        </w:numPr>
        <w:tabs>
          <w:tab w:val="clear" w:pos="720"/>
          <w:tab w:val="left" w:pos="0" w:leader="none"/>
        </w:tabs>
        <w:spacing w:before="0" w:after="200"/>
        <w:ind w:hanging="283" w:left="709"/>
        <w:rPr/>
      </w:pPr>
      <w:r>
        <w:rPr/>
        <w:t>Both can evaluate institutions and collective practices rather than limiting ethical analysis to isolated interpersonal decisions.</w:t>
      </w:r>
    </w:p>
    <w:p>
      <w:pPr>
        <w:pStyle w:val="BodyText"/>
        <w:numPr>
          <w:ilvl w:val="0"/>
          <w:numId w:val="58"/>
        </w:numPr>
        <w:tabs>
          <w:tab w:val="clear" w:pos="720"/>
          <w:tab w:val="left" w:pos="0" w:leader="none"/>
        </w:tabs>
        <w:spacing w:before="0" w:after="200"/>
        <w:ind w:hanging="283" w:left="709"/>
        <w:rPr/>
      </w:pPr>
      <w:r>
        <w:rPr/>
        <w:t>Both recognize that omission and neglect can be ethically significant even when no direct harmful act occurs.</w:t>
      </w:r>
    </w:p>
    <w:p>
      <w:pPr>
        <w:pStyle w:val="BodyText"/>
        <w:numPr>
          <w:ilvl w:val="0"/>
          <w:numId w:val="58"/>
        </w:numPr>
        <w:tabs>
          <w:tab w:val="clear" w:pos="720"/>
          <w:tab w:val="left" w:pos="0" w:leader="none"/>
        </w:tabs>
        <w:spacing w:before="0" w:after="200"/>
        <w:ind w:hanging="283" w:left="709"/>
        <w:rPr/>
      </w:pPr>
      <w:r>
        <w:rPr/>
        <w:t>Both allow feedback from affected entities to alter the assessment.</w:t>
      </w:r>
    </w:p>
    <w:p>
      <w:pPr>
        <w:pStyle w:val="BodyText"/>
        <w:numPr>
          <w:ilvl w:val="0"/>
          <w:numId w:val="58"/>
        </w:numPr>
        <w:tabs>
          <w:tab w:val="clear" w:pos="720"/>
          <w:tab w:val="left" w:pos="0" w:leader="none"/>
        </w:tabs>
        <w:spacing w:before="0" w:after="200"/>
        <w:ind w:hanging="283" w:left="709"/>
        <w:rPr/>
      </w:pPr>
      <w:r>
        <w:rPr/>
        <w:t>Both can evaluate how a current action influences later norms and patterns of behavior.</w:t>
      </w:r>
    </w:p>
    <w:p>
      <w:pPr>
        <w:pStyle w:val="BodyText"/>
        <w:numPr>
          <w:ilvl w:val="0"/>
          <w:numId w:val="58"/>
        </w:numPr>
        <w:tabs>
          <w:tab w:val="clear" w:pos="720"/>
          <w:tab w:val="left" w:pos="0" w:leader="none"/>
        </w:tabs>
        <w:spacing w:before="0" w:after="200"/>
        <w:ind w:hanging="283" w:left="709"/>
        <w:rPr/>
      </w:pPr>
      <w:r>
        <w:rPr/>
        <w:t>Both recognize that moral agents themselves require development, support, and sustainable conditions for responsible action.</w:t>
      </w:r>
    </w:p>
    <w:p>
      <w:pPr>
        <w:pStyle w:val="Heading3"/>
        <w:spacing w:before="0" w:after="200"/>
        <w:ind w:hanging="0" w:left="0"/>
        <w:rPr>
          <w:rFonts w:ascii="Aptos" w:hAnsi="Aptos"/>
          <w:color w:val="auto"/>
        </w:rPr>
      </w:pPr>
      <w:r>
        <w:rPr>
          <w:rFonts w:ascii="Aptos" w:hAnsi="Aptos"/>
          <w:color w:val="auto"/>
        </w:rPr>
        <w:t>Differences</w:t>
      </w:r>
    </w:p>
    <w:tbl>
      <w:tblPr>
        <w:tblW w:w="8640" w:type="dxa"/>
        <w:jc w:val="left"/>
        <w:tblInd w:w="28" w:type="dxa"/>
        <w:tblLayout w:type="fixed"/>
        <w:tblCellMar>
          <w:top w:w="28" w:type="dxa"/>
          <w:left w:w="28" w:type="dxa"/>
          <w:bottom w:w="28" w:type="dxa"/>
          <w:right w:w="28" w:type="dxa"/>
        </w:tblCellMar>
      </w:tblPr>
      <w:tblGrid>
        <w:gridCol w:w="2412"/>
        <w:gridCol w:w="3004"/>
        <w:gridCol w:w="3224"/>
      </w:tblGrid>
      <w:tr>
        <w:trPr>
          <w:tblHeader w:val="true"/>
        </w:trPr>
        <w:tc>
          <w:tcPr>
            <w:tcW w:w="2412" w:type="dxa"/>
            <w:tcBorders/>
            <w:vAlign w:val="center"/>
          </w:tcPr>
          <w:p>
            <w:pPr>
              <w:pStyle w:val="TableHeading"/>
              <w:suppressLineNumbers/>
              <w:spacing w:before="0" w:after="200"/>
              <w:jc w:val="center"/>
              <w:rPr/>
            </w:pPr>
            <w:r>
              <w:rPr/>
              <w:t>Dimension</w:t>
            </w:r>
          </w:p>
        </w:tc>
        <w:tc>
          <w:tcPr>
            <w:tcW w:w="3004" w:type="dxa"/>
            <w:tcBorders/>
            <w:vAlign w:val="center"/>
          </w:tcPr>
          <w:p>
            <w:pPr>
              <w:pStyle w:val="TableHeading"/>
              <w:suppressLineNumbers/>
              <w:spacing w:before="0" w:after="200"/>
              <w:jc w:val="center"/>
              <w:rPr/>
            </w:pPr>
            <w:r>
              <w:rPr/>
              <w:t>Ethics of care</w:t>
            </w:r>
          </w:p>
        </w:tc>
        <w:tc>
          <w:tcPr>
            <w:tcW w:w="3224" w:type="dxa"/>
            <w:tcBorders/>
            <w:vAlign w:val="center"/>
          </w:tcPr>
          <w:p>
            <w:pPr>
              <w:pStyle w:val="TableHeading"/>
              <w:suppressLineNumbers/>
              <w:spacing w:before="0" w:after="200"/>
              <w:jc w:val="center"/>
              <w:rPr/>
            </w:pPr>
            <w:r>
              <w:rPr/>
              <w:t>This framework</w:t>
            </w:r>
          </w:p>
        </w:tc>
      </w:tr>
      <w:tr>
        <w:trPr/>
        <w:tc>
          <w:tcPr>
            <w:tcW w:w="2412" w:type="dxa"/>
            <w:tcBorders/>
            <w:vAlign w:val="center"/>
          </w:tcPr>
          <w:p>
            <w:pPr>
              <w:pStyle w:val="TableContents"/>
              <w:widowControl w:val="false"/>
              <w:suppressLineNumbers/>
              <w:spacing w:before="0" w:after="200"/>
              <w:rPr/>
            </w:pPr>
            <w:r>
              <w:rPr>
                <w:rStyle w:val="Strong"/>
              </w:rPr>
              <w:t>Primary focus</w:t>
            </w:r>
          </w:p>
        </w:tc>
        <w:tc>
          <w:tcPr>
            <w:tcW w:w="3004" w:type="dxa"/>
            <w:tcBorders/>
            <w:vAlign w:val="center"/>
          </w:tcPr>
          <w:p>
            <w:pPr>
              <w:pStyle w:val="TableContents"/>
              <w:widowControl w:val="false"/>
              <w:suppressLineNumbers/>
              <w:spacing w:before="0" w:after="200"/>
              <w:rPr/>
            </w:pPr>
            <w:r>
              <w:rPr/>
              <w:t>Caring relationships, needs, dependencies, and practices</w:t>
            </w:r>
          </w:p>
        </w:tc>
        <w:tc>
          <w:tcPr>
            <w:tcW w:w="3224" w:type="dxa"/>
            <w:tcBorders/>
            <w:vAlign w:val="center"/>
          </w:tcPr>
          <w:p>
            <w:pPr>
              <w:pStyle w:val="TableContents"/>
              <w:widowControl w:val="false"/>
              <w:suppressLineNumbers/>
              <w:spacing w:before="0" w:after="200"/>
              <w:rPr/>
            </w:pPr>
            <w:r>
              <w:rPr/>
              <w:t>The complete World Context Transition produced by an Assessed Action</w:t>
            </w:r>
          </w:p>
        </w:tc>
      </w:tr>
      <w:tr>
        <w:trPr/>
        <w:tc>
          <w:tcPr>
            <w:tcW w:w="2412" w:type="dxa"/>
            <w:tcBorders/>
            <w:vAlign w:val="center"/>
          </w:tcPr>
          <w:p>
            <w:pPr>
              <w:pStyle w:val="TableContents"/>
              <w:widowControl w:val="false"/>
              <w:suppressLineNumbers/>
              <w:spacing w:before="0" w:after="200"/>
              <w:rPr/>
            </w:pPr>
            <w:r>
              <w:rPr>
                <w:rStyle w:val="Strong"/>
              </w:rPr>
              <w:t>View of the moral subject</w:t>
            </w:r>
          </w:p>
        </w:tc>
        <w:tc>
          <w:tcPr>
            <w:tcW w:w="3004" w:type="dxa"/>
            <w:tcBorders/>
            <w:vAlign w:val="center"/>
          </w:tcPr>
          <w:p>
            <w:pPr>
              <w:pStyle w:val="TableContents"/>
              <w:widowControl w:val="false"/>
              <w:suppressLineNumbers/>
              <w:spacing w:before="0" w:after="200"/>
              <w:rPr/>
            </w:pPr>
            <w:r>
              <w:rPr/>
              <w:t>Fundamentally relational, embodied, vulnerable, and interdependent</w:t>
            </w:r>
          </w:p>
        </w:tc>
        <w:tc>
          <w:tcPr>
            <w:tcW w:w="3224" w:type="dxa"/>
            <w:tcBorders/>
            <w:vAlign w:val="center"/>
          </w:tcPr>
          <w:p>
            <w:pPr>
              <w:pStyle w:val="TableContents"/>
              <w:widowControl w:val="false"/>
              <w:suppressLineNumbers/>
              <w:spacing w:before="0" w:after="200"/>
              <w:rPr/>
            </w:pPr>
            <w:r>
              <w:rPr/>
              <w:t>A relevant entity represented through state, objectives, relationships, capabilities, and future possibilities</w:t>
            </w:r>
          </w:p>
        </w:tc>
      </w:tr>
      <w:tr>
        <w:trPr/>
        <w:tc>
          <w:tcPr>
            <w:tcW w:w="2412" w:type="dxa"/>
            <w:tcBorders/>
            <w:vAlign w:val="center"/>
          </w:tcPr>
          <w:p>
            <w:pPr>
              <w:pStyle w:val="TableContents"/>
              <w:widowControl w:val="false"/>
              <w:suppressLineNumbers/>
              <w:spacing w:before="0" w:after="200"/>
              <w:rPr/>
            </w:pPr>
            <w:r>
              <w:rPr>
                <w:rStyle w:val="Strong"/>
              </w:rPr>
              <w:t>Principal moral question</w:t>
            </w:r>
          </w:p>
        </w:tc>
        <w:tc>
          <w:tcPr>
            <w:tcW w:w="3004" w:type="dxa"/>
            <w:tcBorders/>
            <w:vAlign w:val="center"/>
          </w:tcPr>
          <w:p>
            <w:pPr>
              <w:pStyle w:val="TableContents"/>
              <w:widowControl w:val="false"/>
              <w:suppressLineNumbers/>
              <w:spacing w:before="0" w:after="200"/>
              <w:rPr/>
            </w:pPr>
            <w:r>
              <w:rPr/>
              <w:t>“</w:t>
            </w:r>
            <w:r>
              <w:rPr/>
              <w:t>How should we respond to this entity’s needs within this relationship?”</w:t>
            </w:r>
          </w:p>
        </w:tc>
        <w:tc>
          <w:tcPr>
            <w:tcW w:w="3224" w:type="dxa"/>
            <w:tcBorders/>
            <w:vAlign w:val="center"/>
          </w:tcPr>
          <w:p>
            <w:pPr>
              <w:pStyle w:val="TableContents"/>
              <w:widowControl w:val="false"/>
              <w:suppressLineNumbers/>
              <w:spacing w:before="0" w:after="200"/>
              <w:rPr/>
            </w:pPr>
            <w:r>
              <w:rPr/>
              <w:t>“</w:t>
            </w:r>
            <w:r>
              <w:rPr/>
              <w:t>How does this action affect long-term flourishing across the relevant World Context?”</w:t>
            </w:r>
          </w:p>
        </w:tc>
      </w:tr>
      <w:tr>
        <w:trPr/>
        <w:tc>
          <w:tcPr>
            <w:tcW w:w="2412" w:type="dxa"/>
            <w:tcBorders/>
            <w:vAlign w:val="center"/>
          </w:tcPr>
          <w:p>
            <w:pPr>
              <w:pStyle w:val="TableContents"/>
              <w:widowControl w:val="false"/>
              <w:suppressLineNumbers/>
              <w:spacing w:before="0" w:after="200"/>
              <w:rPr/>
            </w:pPr>
            <w:r>
              <w:rPr>
                <w:rStyle w:val="Strong"/>
              </w:rPr>
              <w:t>Moral knowledge</w:t>
            </w:r>
          </w:p>
        </w:tc>
        <w:tc>
          <w:tcPr>
            <w:tcW w:w="3004" w:type="dxa"/>
            <w:tcBorders/>
            <w:vAlign w:val="center"/>
          </w:tcPr>
          <w:p>
            <w:pPr>
              <w:pStyle w:val="TableContents"/>
              <w:widowControl w:val="false"/>
              <w:suppressLineNumbers/>
              <w:spacing w:before="0" w:after="200"/>
              <w:rPr/>
            </w:pPr>
            <w:r>
              <w:rPr/>
              <w:t>Often arises through attention, emotion, experience, dialogue, and relational understanding</w:t>
            </w:r>
          </w:p>
        </w:tc>
        <w:tc>
          <w:tcPr>
            <w:tcW w:w="3224" w:type="dxa"/>
            <w:tcBorders/>
            <w:vAlign w:val="center"/>
          </w:tcPr>
          <w:p>
            <w:pPr>
              <w:pStyle w:val="TableContents"/>
              <w:widowControl w:val="false"/>
              <w:suppressLineNumbers/>
              <w:spacing w:before="0" w:after="200"/>
              <w:rPr/>
            </w:pPr>
            <w:r>
              <w:rPr/>
              <w:t>Relies on explicit assumptions, evidence, models, probabilities, constraints, and explainable analysis</w:t>
            </w:r>
          </w:p>
        </w:tc>
      </w:tr>
      <w:tr>
        <w:trPr/>
        <w:tc>
          <w:tcPr>
            <w:tcW w:w="2412" w:type="dxa"/>
            <w:tcBorders/>
            <w:vAlign w:val="center"/>
          </w:tcPr>
          <w:p>
            <w:pPr>
              <w:pStyle w:val="TableContents"/>
              <w:widowControl w:val="false"/>
              <w:suppressLineNumbers/>
              <w:spacing w:before="0" w:after="200"/>
              <w:rPr/>
            </w:pPr>
            <w:r>
              <w:rPr>
                <w:rStyle w:val="Strong"/>
              </w:rPr>
              <w:t>Impartiality</w:t>
            </w:r>
          </w:p>
        </w:tc>
        <w:tc>
          <w:tcPr>
            <w:tcW w:w="3004" w:type="dxa"/>
            <w:tcBorders/>
            <w:vAlign w:val="center"/>
          </w:tcPr>
          <w:p>
            <w:pPr>
              <w:pStyle w:val="TableContents"/>
              <w:widowControl w:val="false"/>
              <w:suppressLineNumbers/>
              <w:spacing w:before="0" w:after="200"/>
              <w:rPr/>
            </w:pPr>
            <w:r>
              <w:rPr/>
              <w:t>May permit or require partiality based on relationship and responsibility</w:t>
            </w:r>
          </w:p>
        </w:tc>
        <w:tc>
          <w:tcPr>
            <w:tcW w:w="3224" w:type="dxa"/>
            <w:tcBorders/>
            <w:vAlign w:val="center"/>
          </w:tcPr>
          <w:p>
            <w:pPr>
              <w:pStyle w:val="TableContents"/>
              <w:widowControl w:val="false"/>
              <w:suppressLineNumbers/>
              <w:spacing w:before="0" w:after="200"/>
              <w:rPr/>
            </w:pPr>
            <w:r>
              <w:rPr/>
              <w:t>Seeks to include all relevant entities and systemic effects within the assessment</w:t>
            </w:r>
          </w:p>
        </w:tc>
      </w:tr>
      <w:tr>
        <w:trPr/>
        <w:tc>
          <w:tcPr>
            <w:tcW w:w="2412" w:type="dxa"/>
            <w:tcBorders/>
            <w:vAlign w:val="center"/>
          </w:tcPr>
          <w:p>
            <w:pPr>
              <w:pStyle w:val="TableContents"/>
              <w:widowControl w:val="false"/>
              <w:suppressLineNumbers/>
              <w:spacing w:before="0" w:after="200"/>
              <w:rPr/>
            </w:pPr>
            <w:r>
              <w:rPr>
                <w:rStyle w:val="Strong"/>
              </w:rPr>
              <w:t>Ethical significance of process</w:t>
            </w:r>
          </w:p>
        </w:tc>
        <w:tc>
          <w:tcPr>
            <w:tcW w:w="3004" w:type="dxa"/>
            <w:tcBorders/>
            <w:vAlign w:val="center"/>
          </w:tcPr>
          <w:p>
            <w:pPr>
              <w:pStyle w:val="TableContents"/>
              <w:widowControl w:val="false"/>
              <w:suppressLineNumbers/>
              <w:spacing w:before="0" w:after="200"/>
              <w:rPr/>
            </w:pPr>
            <w:r>
              <w:rPr/>
              <w:t>The manner of caring—presence, receptivity, respect, and responsiveness—is central</w:t>
            </w:r>
          </w:p>
        </w:tc>
        <w:tc>
          <w:tcPr>
            <w:tcW w:w="3224" w:type="dxa"/>
            <w:tcBorders/>
            <w:vAlign w:val="center"/>
          </w:tcPr>
          <w:p>
            <w:pPr>
              <w:pStyle w:val="TableContents"/>
              <w:widowControl w:val="false"/>
              <w:suppressLineNumbers/>
              <w:spacing w:before="0" w:after="200"/>
              <w:rPr/>
            </w:pPr>
            <w:r>
              <w:rPr/>
              <w:t>Process matters when represented as part of the transition, its constraints, or its institutional effects</w:t>
            </w:r>
          </w:p>
        </w:tc>
      </w:tr>
      <w:tr>
        <w:trPr/>
        <w:tc>
          <w:tcPr>
            <w:tcW w:w="2412" w:type="dxa"/>
            <w:tcBorders/>
            <w:vAlign w:val="center"/>
          </w:tcPr>
          <w:p>
            <w:pPr>
              <w:pStyle w:val="TableContents"/>
              <w:widowControl w:val="false"/>
              <w:suppressLineNumbers/>
              <w:spacing w:before="0" w:after="200"/>
              <w:rPr/>
            </w:pPr>
            <w:r>
              <w:rPr>
                <w:rStyle w:val="Strong"/>
              </w:rPr>
              <w:t>Treatment of emotion</w:t>
            </w:r>
          </w:p>
        </w:tc>
        <w:tc>
          <w:tcPr>
            <w:tcW w:w="3004" w:type="dxa"/>
            <w:tcBorders/>
            <w:vAlign w:val="center"/>
          </w:tcPr>
          <w:p>
            <w:pPr>
              <w:pStyle w:val="TableContents"/>
              <w:widowControl w:val="false"/>
              <w:suppressLineNumbers/>
              <w:spacing w:before="0" w:after="200"/>
              <w:rPr/>
            </w:pPr>
            <w:r>
              <w:rPr/>
              <w:t>Emotion can be an important mode of moral perception and motivation</w:t>
            </w:r>
          </w:p>
        </w:tc>
        <w:tc>
          <w:tcPr>
            <w:tcW w:w="3224" w:type="dxa"/>
            <w:tcBorders/>
            <w:vAlign w:val="center"/>
          </w:tcPr>
          <w:p>
            <w:pPr>
              <w:pStyle w:val="TableContents"/>
              <w:widowControl w:val="false"/>
              <w:suppressLineNumbers/>
              <w:spacing w:before="0" w:after="200"/>
              <w:rPr/>
            </w:pPr>
            <w:r>
              <w:rPr/>
              <w:t>Emotion may be included as information or entity state but is not independently foundational</w:t>
            </w:r>
          </w:p>
        </w:tc>
      </w:tr>
      <w:tr>
        <w:trPr/>
        <w:tc>
          <w:tcPr>
            <w:tcW w:w="2412" w:type="dxa"/>
            <w:tcBorders/>
            <w:vAlign w:val="center"/>
          </w:tcPr>
          <w:p>
            <w:pPr>
              <w:pStyle w:val="TableContents"/>
              <w:widowControl w:val="false"/>
              <w:suppressLineNumbers/>
              <w:spacing w:before="0" w:after="200"/>
              <w:rPr/>
            </w:pPr>
            <w:r>
              <w:rPr>
                <w:rStyle w:val="Strong"/>
              </w:rPr>
              <w:t>Evaluation of success</w:t>
            </w:r>
          </w:p>
        </w:tc>
        <w:tc>
          <w:tcPr>
            <w:tcW w:w="3004" w:type="dxa"/>
            <w:tcBorders/>
            <w:vAlign w:val="center"/>
          </w:tcPr>
          <w:p>
            <w:pPr>
              <w:pStyle w:val="TableContents"/>
              <w:widowControl w:val="false"/>
              <w:suppressLineNumbers/>
              <w:spacing w:before="0" w:after="200"/>
              <w:rPr/>
            </w:pPr>
            <w:r>
              <w:rPr/>
              <w:t>Includes whether the recipient experiences the response as attentive and appropriate</w:t>
            </w:r>
          </w:p>
        </w:tc>
        <w:tc>
          <w:tcPr>
            <w:tcW w:w="3224" w:type="dxa"/>
            <w:tcBorders/>
            <w:vAlign w:val="center"/>
          </w:tcPr>
          <w:p>
            <w:pPr>
              <w:pStyle w:val="TableContents"/>
              <w:widowControl w:val="false"/>
              <w:suppressLineNumbers/>
              <w:spacing w:before="0" w:after="200"/>
              <w:rPr/>
            </w:pPr>
            <w:r>
              <w:rPr/>
              <w:t>Evaluates predicted and observed changes in flourishing, capabilities, relationships, and future state space</w:t>
            </w:r>
          </w:p>
        </w:tc>
      </w:tr>
      <w:tr>
        <w:trPr/>
        <w:tc>
          <w:tcPr>
            <w:tcW w:w="2412" w:type="dxa"/>
            <w:tcBorders/>
            <w:vAlign w:val="center"/>
          </w:tcPr>
          <w:p>
            <w:pPr>
              <w:pStyle w:val="TableContents"/>
              <w:widowControl w:val="false"/>
              <w:suppressLineNumbers/>
              <w:spacing w:before="0" w:after="200"/>
              <w:rPr/>
            </w:pPr>
            <w:r>
              <w:rPr>
                <w:rStyle w:val="Strong"/>
              </w:rPr>
              <w:t>Level of abstraction</w:t>
            </w:r>
          </w:p>
        </w:tc>
        <w:tc>
          <w:tcPr>
            <w:tcW w:w="3004" w:type="dxa"/>
            <w:tcBorders/>
            <w:vAlign w:val="center"/>
          </w:tcPr>
          <w:p>
            <w:pPr>
              <w:pStyle w:val="TableContents"/>
              <w:widowControl w:val="false"/>
              <w:suppressLineNumbers/>
              <w:spacing w:before="0" w:after="200"/>
              <w:rPr/>
            </w:pPr>
            <w:r>
              <w:rPr/>
              <w:t>Cautions against universal rules that erase situational meaning</w:t>
            </w:r>
          </w:p>
        </w:tc>
        <w:tc>
          <w:tcPr>
            <w:tcW w:w="3224" w:type="dxa"/>
            <w:tcBorders/>
            <w:vAlign w:val="center"/>
          </w:tcPr>
          <w:p>
            <w:pPr>
              <w:pStyle w:val="TableContents"/>
              <w:widowControl w:val="false"/>
              <w:suppressLineNumbers/>
              <w:spacing w:before="0" w:after="200"/>
              <w:rPr/>
            </w:pPr>
            <w:r>
              <w:rPr/>
              <w:t>Seeks reusable, implementation-neutral structures applicable across diverse contexts</w:t>
            </w:r>
          </w:p>
        </w:tc>
      </w:tr>
      <w:tr>
        <w:trPr/>
        <w:tc>
          <w:tcPr>
            <w:tcW w:w="2412" w:type="dxa"/>
            <w:tcBorders/>
            <w:vAlign w:val="center"/>
          </w:tcPr>
          <w:p>
            <w:pPr>
              <w:pStyle w:val="TableContents"/>
              <w:widowControl w:val="false"/>
              <w:suppressLineNumbers/>
              <w:spacing w:before="0" w:after="200"/>
              <w:rPr/>
            </w:pPr>
            <w:r>
              <w:rPr>
                <w:rStyle w:val="Strong"/>
              </w:rPr>
              <w:t>Responsibility</w:t>
            </w:r>
          </w:p>
        </w:tc>
        <w:tc>
          <w:tcPr>
            <w:tcW w:w="3004" w:type="dxa"/>
            <w:tcBorders/>
            <w:vAlign w:val="center"/>
          </w:tcPr>
          <w:p>
            <w:pPr>
              <w:pStyle w:val="TableContents"/>
              <w:widowControl w:val="false"/>
              <w:suppressLineNumbers/>
              <w:spacing w:before="0" w:after="200"/>
              <w:rPr/>
            </w:pPr>
            <w:r>
              <w:rPr/>
              <w:t>Frequently arises from relationship, dependency, or recognition of need</w:t>
            </w:r>
          </w:p>
        </w:tc>
        <w:tc>
          <w:tcPr>
            <w:tcW w:w="3224" w:type="dxa"/>
            <w:tcBorders/>
            <w:vAlign w:val="center"/>
          </w:tcPr>
          <w:p>
            <w:pPr>
              <w:pStyle w:val="TableContents"/>
              <w:widowControl w:val="false"/>
              <w:suppressLineNumbers/>
              <w:spacing w:before="0" w:after="200"/>
              <w:rPr/>
            </w:pPr>
            <w:r>
              <w:rPr/>
              <w:t>Separated from causal effect and evaluated through role, authority, knowledge, intent, alternatives, and foreseeability</w:t>
            </w:r>
          </w:p>
        </w:tc>
      </w:tr>
      <w:tr>
        <w:trPr/>
        <w:tc>
          <w:tcPr>
            <w:tcW w:w="2412" w:type="dxa"/>
            <w:tcBorders/>
            <w:vAlign w:val="center"/>
          </w:tcPr>
          <w:p>
            <w:pPr>
              <w:pStyle w:val="TableContents"/>
              <w:widowControl w:val="false"/>
              <w:suppressLineNumbers/>
              <w:spacing w:before="0" w:after="200"/>
              <w:rPr/>
            </w:pPr>
            <w:r>
              <w:rPr>
                <w:rStyle w:val="Strong"/>
              </w:rPr>
              <w:t>Caregiver-recipient relationship</w:t>
            </w:r>
          </w:p>
        </w:tc>
        <w:tc>
          <w:tcPr>
            <w:tcW w:w="3004" w:type="dxa"/>
            <w:tcBorders/>
            <w:vAlign w:val="center"/>
          </w:tcPr>
          <w:p>
            <w:pPr>
              <w:pStyle w:val="TableContents"/>
              <w:widowControl w:val="false"/>
              <w:suppressLineNumbers/>
              <w:spacing w:before="0" w:after="200"/>
              <w:rPr/>
            </w:pPr>
            <w:r>
              <w:rPr/>
              <w:t>Often the central ethical unit</w:t>
            </w:r>
          </w:p>
        </w:tc>
        <w:tc>
          <w:tcPr>
            <w:tcW w:w="3224" w:type="dxa"/>
            <w:tcBorders/>
            <w:vAlign w:val="center"/>
          </w:tcPr>
          <w:p>
            <w:pPr>
              <w:pStyle w:val="TableContents"/>
              <w:widowControl w:val="false"/>
              <w:suppressLineNumbers/>
              <w:spacing w:before="0" w:after="200"/>
              <w:rPr/>
            </w:pPr>
            <w:r>
              <w:rPr/>
              <w:t>One Association within a wider network of entities and effects</w:t>
            </w:r>
          </w:p>
        </w:tc>
      </w:tr>
      <w:tr>
        <w:trPr/>
        <w:tc>
          <w:tcPr>
            <w:tcW w:w="2412" w:type="dxa"/>
            <w:tcBorders/>
            <w:vAlign w:val="center"/>
          </w:tcPr>
          <w:p>
            <w:pPr>
              <w:pStyle w:val="TableContents"/>
              <w:widowControl w:val="false"/>
              <w:suppressLineNumbers/>
              <w:spacing w:before="0" w:after="200"/>
              <w:rPr/>
            </w:pPr>
            <w:r>
              <w:rPr>
                <w:rStyle w:val="Strong"/>
              </w:rPr>
              <w:t>Political concern</w:t>
            </w:r>
          </w:p>
        </w:tc>
        <w:tc>
          <w:tcPr>
            <w:tcW w:w="3004" w:type="dxa"/>
            <w:tcBorders/>
            <w:vAlign w:val="center"/>
          </w:tcPr>
          <w:p>
            <w:pPr>
              <w:pStyle w:val="TableContents"/>
              <w:widowControl w:val="false"/>
              <w:suppressLineNumbers/>
              <w:spacing w:before="0" w:after="200"/>
              <w:rPr/>
            </w:pPr>
            <w:r>
              <w:rPr/>
              <w:t>Examines whose needs count and how care labor is assigned, valued, and concealed</w:t>
            </w:r>
          </w:p>
        </w:tc>
        <w:tc>
          <w:tcPr>
            <w:tcW w:w="3224" w:type="dxa"/>
            <w:tcBorders/>
            <w:vAlign w:val="center"/>
          </w:tcPr>
          <w:p>
            <w:pPr>
              <w:pStyle w:val="TableContents"/>
              <w:widowControl w:val="false"/>
              <w:suppressLineNumbers/>
              <w:spacing w:before="0" w:after="200"/>
              <w:rPr/>
            </w:pPr>
            <w:r>
              <w:rPr/>
              <w:t>Examines institutional structures and distributions when they are included in the World Context</w:t>
            </w:r>
          </w:p>
        </w:tc>
      </w:tr>
      <w:tr>
        <w:trPr/>
        <w:tc>
          <w:tcPr>
            <w:tcW w:w="2412" w:type="dxa"/>
            <w:tcBorders/>
            <w:vAlign w:val="center"/>
          </w:tcPr>
          <w:p>
            <w:pPr>
              <w:pStyle w:val="TableContents"/>
              <w:widowControl w:val="false"/>
              <w:suppressLineNumbers/>
              <w:spacing w:before="0" w:after="200"/>
              <w:rPr/>
            </w:pPr>
            <w:r>
              <w:rPr>
                <w:rStyle w:val="Strong"/>
              </w:rPr>
              <w:t>Failure mode</w:t>
            </w:r>
          </w:p>
        </w:tc>
        <w:tc>
          <w:tcPr>
            <w:tcW w:w="3004" w:type="dxa"/>
            <w:tcBorders/>
            <w:vAlign w:val="center"/>
          </w:tcPr>
          <w:p>
            <w:pPr>
              <w:pStyle w:val="TableContents"/>
              <w:widowControl w:val="false"/>
              <w:suppressLineNumbers/>
              <w:spacing w:before="0" w:after="200"/>
              <w:rPr/>
            </w:pPr>
            <w:r>
              <w:rPr/>
              <w:t>Neglect, abandonment, inattentiveness, incompetence, paternalism, or exploitative care</w:t>
            </w:r>
          </w:p>
        </w:tc>
        <w:tc>
          <w:tcPr>
            <w:tcW w:w="3224" w:type="dxa"/>
            <w:tcBorders/>
            <w:vAlign w:val="center"/>
          </w:tcPr>
          <w:p>
            <w:pPr>
              <w:pStyle w:val="TableContents"/>
              <w:widowControl w:val="false"/>
              <w:suppressLineNumbers/>
              <w:spacing w:before="0" w:after="200"/>
              <w:rPr/>
            </w:pPr>
            <w:r>
              <w:rPr/>
              <w:t>A transition that unjustifiably diminishes long-term flourishing or beneficial future state space</w:t>
            </w:r>
          </w:p>
        </w:tc>
      </w:tr>
      <w:tr>
        <w:trPr/>
        <w:tc>
          <w:tcPr>
            <w:tcW w:w="2412" w:type="dxa"/>
            <w:tcBorders/>
            <w:vAlign w:val="center"/>
          </w:tcPr>
          <w:p>
            <w:pPr>
              <w:pStyle w:val="TableContents"/>
              <w:widowControl w:val="false"/>
              <w:suppressLineNumbers/>
              <w:spacing w:before="0" w:after="200"/>
              <w:rPr/>
            </w:pPr>
            <w:r>
              <w:rPr>
                <w:rStyle w:val="Strong"/>
              </w:rPr>
              <w:t>Computability</w:t>
            </w:r>
          </w:p>
        </w:tc>
        <w:tc>
          <w:tcPr>
            <w:tcW w:w="3004" w:type="dxa"/>
            <w:tcBorders/>
            <w:vAlign w:val="center"/>
          </w:tcPr>
          <w:p>
            <w:pPr>
              <w:pStyle w:val="TableContents"/>
              <w:widowControl w:val="false"/>
              <w:suppressLineNumbers/>
              <w:spacing w:before="0" w:after="200"/>
              <w:rPr/>
            </w:pPr>
            <w:r>
              <w:rPr/>
              <w:t>Resists reducing relational understanding to standardized measurements</w:t>
            </w:r>
          </w:p>
        </w:tc>
        <w:tc>
          <w:tcPr>
            <w:tcW w:w="3224" w:type="dxa"/>
            <w:tcBorders/>
            <w:vAlign w:val="center"/>
          </w:tcPr>
          <w:p>
            <w:pPr>
              <w:pStyle w:val="TableContents"/>
              <w:widowControl w:val="false"/>
              <w:suppressLineNumbers/>
              <w:spacing w:before="0" w:after="200"/>
              <w:rPr/>
            </w:pPr>
            <w:r>
              <w:rPr/>
              <w:t>Intends to support structured, explainable, and potentially computational assessment</w:t>
            </w:r>
          </w:p>
        </w:tc>
      </w:tr>
    </w:tbl>
    <w:p>
      <w:pPr>
        <w:pStyle w:val="Heading3"/>
        <w:spacing w:before="0" w:after="200"/>
        <w:ind w:hanging="0" w:left="0"/>
        <w:rPr>
          <w:rFonts w:ascii="Aptos" w:hAnsi="Aptos"/>
          <w:color w:val="auto"/>
        </w:rPr>
      </w:pPr>
      <w:r>
        <w:rPr>
          <w:rFonts w:ascii="Aptos" w:hAnsi="Aptos"/>
          <w:color w:val="auto"/>
        </w:rPr>
        <w:t>Potential Integration Opportunities</w:t>
      </w:r>
    </w:p>
    <w:p>
      <w:pPr>
        <w:pStyle w:val="BodyText"/>
        <w:spacing w:before="0" w:after="200"/>
        <w:rPr/>
      </w:pPr>
      <w:r>
        <w:rPr/>
        <w:t>The framework could integrate ethics of care more explicitly through the following extensions:</w:t>
      </w:r>
    </w:p>
    <w:p>
      <w:pPr>
        <w:pStyle w:val="BodyText"/>
        <w:numPr>
          <w:ilvl w:val="0"/>
          <w:numId w:val="59"/>
        </w:numPr>
        <w:tabs>
          <w:tab w:val="clear" w:pos="720"/>
          <w:tab w:val="left" w:pos="0" w:leader="none"/>
        </w:tabs>
        <w:spacing w:before="0" w:after="200"/>
        <w:ind w:hanging="283" w:left="709"/>
        <w:rPr/>
      </w:pPr>
      <w:r>
        <w:rPr>
          <w:rStyle w:val="Strong"/>
        </w:rPr>
        <w:t>Add a formal Care Relationship model.</w:t>
      </w:r>
      <w:r>
        <w:rPr/>
        <w:t xml:space="preserve"> A care-related Association could identify the care recipient, caregiver, relevant need, history of the relationship, dependency, power imbalance, expected duration, available alternatives, and institutional context.</w:t>
      </w:r>
    </w:p>
    <w:p>
      <w:pPr>
        <w:pStyle w:val="BodyText"/>
        <w:numPr>
          <w:ilvl w:val="0"/>
          <w:numId w:val="59"/>
        </w:numPr>
        <w:tabs>
          <w:tab w:val="clear" w:pos="720"/>
          <w:tab w:val="left" w:pos="0" w:leader="none"/>
        </w:tabs>
        <w:spacing w:before="0" w:after="200"/>
        <w:ind w:hanging="283" w:left="709"/>
        <w:rPr/>
      </w:pPr>
      <w:r>
        <w:rPr>
          <w:rStyle w:val="Strong"/>
        </w:rPr>
        <w:t>Implement a care-process assessment.</w:t>
      </w:r>
      <w:r>
        <w:rPr/>
        <w:t xml:space="preserve"> Care-related actions could be evaluated through successive stages:</w:t>
      </w:r>
    </w:p>
    <w:p>
      <w:pPr>
        <w:pStyle w:val="BodyText"/>
        <w:numPr>
          <w:ilvl w:val="1"/>
          <w:numId w:val="59"/>
        </w:numPr>
        <w:tabs>
          <w:tab w:val="clear" w:pos="720"/>
          <w:tab w:val="left" w:pos="0" w:leader="none"/>
        </w:tabs>
        <w:spacing w:before="0" w:after="200"/>
        <w:ind w:hanging="283" w:left="1418"/>
        <w:rPr/>
      </w:pPr>
      <w:r>
        <w:rPr>
          <w:rStyle w:val="Strong"/>
        </w:rPr>
        <w:t>Attentiveness:</w:t>
      </w:r>
      <w:r>
        <w:rPr/>
        <w:t xml:space="preserve"> Was the need recognized?</w:t>
      </w:r>
    </w:p>
    <w:p>
      <w:pPr>
        <w:pStyle w:val="BodyText"/>
        <w:numPr>
          <w:ilvl w:val="1"/>
          <w:numId w:val="59"/>
        </w:numPr>
        <w:tabs>
          <w:tab w:val="clear" w:pos="720"/>
          <w:tab w:val="left" w:pos="0" w:leader="none"/>
        </w:tabs>
        <w:spacing w:before="0" w:after="200"/>
        <w:ind w:hanging="283" w:left="1418"/>
        <w:rPr/>
      </w:pPr>
      <w:r>
        <w:rPr>
          <w:rStyle w:val="Strong"/>
        </w:rPr>
        <w:t>Responsibility:</w:t>
      </w:r>
      <w:r>
        <w:rPr/>
        <w:t xml:space="preserve"> Was responsibility appropriately accepted and assigned?</w:t>
      </w:r>
    </w:p>
    <w:p>
      <w:pPr>
        <w:pStyle w:val="BodyText"/>
        <w:numPr>
          <w:ilvl w:val="1"/>
          <w:numId w:val="59"/>
        </w:numPr>
        <w:tabs>
          <w:tab w:val="clear" w:pos="720"/>
          <w:tab w:val="left" w:pos="0" w:leader="none"/>
        </w:tabs>
        <w:spacing w:before="0" w:after="200"/>
        <w:ind w:hanging="283" w:left="1418"/>
        <w:rPr/>
      </w:pPr>
      <w:r>
        <w:rPr>
          <w:rStyle w:val="Strong"/>
        </w:rPr>
        <w:t>Competence:</w:t>
      </w:r>
      <w:r>
        <w:rPr/>
        <w:t xml:space="preserve"> Was care effectively provided?</w:t>
      </w:r>
    </w:p>
    <w:p>
      <w:pPr>
        <w:pStyle w:val="BodyText"/>
        <w:numPr>
          <w:ilvl w:val="1"/>
          <w:numId w:val="59"/>
        </w:numPr>
        <w:tabs>
          <w:tab w:val="clear" w:pos="720"/>
          <w:tab w:val="left" w:pos="0" w:leader="none"/>
        </w:tabs>
        <w:spacing w:before="0" w:after="200"/>
        <w:ind w:hanging="283" w:left="1418"/>
        <w:rPr/>
      </w:pPr>
      <w:r>
        <w:rPr>
          <w:rStyle w:val="Strong"/>
        </w:rPr>
        <w:t>Responsiveness:</w:t>
      </w:r>
      <w:r>
        <w:rPr/>
        <w:t xml:space="preserve"> How did the recipient experience and respond to the care?</w:t>
      </w:r>
    </w:p>
    <w:p>
      <w:pPr>
        <w:pStyle w:val="BodyText"/>
        <w:numPr>
          <w:ilvl w:val="1"/>
          <w:numId w:val="59"/>
        </w:numPr>
        <w:tabs>
          <w:tab w:val="clear" w:pos="720"/>
          <w:tab w:val="left" w:pos="0" w:leader="none"/>
        </w:tabs>
        <w:spacing w:before="0" w:after="200"/>
        <w:ind w:hanging="283" w:left="1418"/>
        <w:rPr/>
      </w:pPr>
      <w:r>
        <w:rPr>
          <w:rStyle w:val="Strong"/>
        </w:rPr>
        <w:t>Caring with:</w:t>
      </w:r>
      <w:r>
        <w:rPr/>
        <w:t xml:space="preserve"> Did the arrangement support trust, solidarity, pluralism, and fair participation?</w:t>
      </w:r>
    </w:p>
    <w:p>
      <w:pPr>
        <w:pStyle w:val="BodyText"/>
        <w:numPr>
          <w:ilvl w:val="0"/>
          <w:numId w:val="59"/>
        </w:numPr>
        <w:tabs>
          <w:tab w:val="clear" w:pos="720"/>
          <w:tab w:val="left" w:pos="0" w:leader="none"/>
        </w:tabs>
        <w:spacing w:before="0" w:after="200"/>
        <w:ind w:hanging="283" w:left="709"/>
        <w:rPr/>
      </w:pPr>
      <w:r>
        <w:rPr>
          <w:rStyle w:val="Strong"/>
        </w:rPr>
        <w:t>Distinguish needs from expressed preferences.</w:t>
      </w:r>
      <w:r>
        <w:rPr/>
        <w:t xml:space="preserve"> The framework should record both without assuming that either is automatically decisive. Differences may require dialogue, supported decision-making, safeguarding, and examination of competence or coercion.</w:t>
      </w:r>
    </w:p>
    <w:p>
      <w:pPr>
        <w:pStyle w:val="BodyText"/>
        <w:numPr>
          <w:ilvl w:val="0"/>
          <w:numId w:val="59"/>
        </w:numPr>
        <w:tabs>
          <w:tab w:val="clear" w:pos="720"/>
          <w:tab w:val="left" w:pos="0" w:leader="none"/>
        </w:tabs>
        <w:spacing w:before="0" w:after="200"/>
        <w:ind w:hanging="283" w:left="709"/>
        <w:rPr/>
      </w:pPr>
      <w:r>
        <w:rPr>
          <w:rStyle w:val="Strong"/>
        </w:rPr>
        <w:t>Include the recipient’s voice as evidence.</w:t>
      </w:r>
      <w:r>
        <w:rPr/>
        <w:t xml:space="preserve"> A care assessment should document whether the recipient was heard, understood, and able to influence the decision. Where direct participation is impossible, the framework should specify how the recipient’s perspective is represented.</w:t>
      </w:r>
    </w:p>
    <w:p>
      <w:pPr>
        <w:pStyle w:val="BodyText"/>
        <w:numPr>
          <w:ilvl w:val="0"/>
          <w:numId w:val="59"/>
        </w:numPr>
        <w:tabs>
          <w:tab w:val="clear" w:pos="720"/>
          <w:tab w:val="left" w:pos="0" w:leader="none"/>
        </w:tabs>
        <w:spacing w:before="0" w:after="200"/>
        <w:ind w:hanging="283" w:left="709"/>
        <w:rPr/>
      </w:pPr>
      <w:r>
        <w:rPr>
          <w:rStyle w:val="Strong"/>
        </w:rPr>
        <w:t>Represent embodied and narrative information.</w:t>
      </w:r>
      <w:r>
        <w:rPr/>
        <w:t xml:space="preserve"> Structured data could be supplemented by histories, testimony, observations, and qualitative accounts that preserve the meaning of a relationship or dependency.</w:t>
      </w:r>
    </w:p>
    <w:p>
      <w:pPr>
        <w:pStyle w:val="BodyText"/>
        <w:numPr>
          <w:ilvl w:val="0"/>
          <w:numId w:val="59"/>
        </w:numPr>
        <w:tabs>
          <w:tab w:val="clear" w:pos="720"/>
          <w:tab w:val="left" w:pos="0" w:leader="none"/>
        </w:tabs>
        <w:spacing w:before="0" w:after="200"/>
        <w:ind w:hanging="283" w:left="709"/>
        <w:rPr/>
      </w:pPr>
      <w:r>
        <w:rPr>
          <w:rStyle w:val="Strong"/>
        </w:rPr>
        <w:t>Add an attentiveness audit.</w:t>
      </w:r>
      <w:r>
        <w:rPr/>
        <w:t xml:space="preserve"> The framework could ask whose needs were noticed, whose were overlooked, what information was available, and whether institutional practices made some needs systematically invisible.</w:t>
      </w:r>
    </w:p>
    <w:p>
      <w:pPr>
        <w:pStyle w:val="BodyText"/>
        <w:numPr>
          <w:ilvl w:val="0"/>
          <w:numId w:val="59"/>
        </w:numPr>
        <w:tabs>
          <w:tab w:val="clear" w:pos="720"/>
          <w:tab w:val="left" w:pos="0" w:leader="none"/>
        </w:tabs>
        <w:spacing w:before="0" w:after="200"/>
        <w:ind w:hanging="283" w:left="709"/>
        <w:rPr/>
      </w:pPr>
      <w:r>
        <w:rPr>
          <w:rStyle w:val="Strong"/>
        </w:rPr>
        <w:t>Add a care-competence test.</w:t>
      </w:r>
      <w:r>
        <w:rPr/>
        <w:t xml:space="preserve"> A benevolent intention should not qualify as ethical care when the provider lacks the required knowledge, resources, continuity, or skill.</w:t>
      </w:r>
    </w:p>
    <w:p>
      <w:pPr>
        <w:pStyle w:val="BodyText"/>
        <w:numPr>
          <w:ilvl w:val="0"/>
          <w:numId w:val="59"/>
        </w:numPr>
        <w:tabs>
          <w:tab w:val="clear" w:pos="720"/>
          <w:tab w:val="left" w:pos="0" w:leader="none"/>
        </w:tabs>
        <w:spacing w:before="0" w:after="200"/>
        <w:ind w:hanging="283" w:left="709"/>
        <w:rPr/>
      </w:pPr>
      <w:r>
        <w:rPr>
          <w:rStyle w:val="Strong"/>
        </w:rPr>
        <w:t>Evaluate paternalism and dependency creation.</w:t>
      </w:r>
      <w:r>
        <w:rPr/>
        <w:t xml:space="preserve"> The assessment should determine whether care preserves agency, develops capability, respects refusal, and avoids making the recipient unnecessarily dependent on the provider.</w:t>
      </w:r>
    </w:p>
    <w:p>
      <w:pPr>
        <w:pStyle w:val="BodyText"/>
        <w:numPr>
          <w:ilvl w:val="0"/>
          <w:numId w:val="59"/>
        </w:numPr>
        <w:tabs>
          <w:tab w:val="clear" w:pos="720"/>
          <w:tab w:val="left" w:pos="0" w:leader="none"/>
        </w:tabs>
        <w:spacing w:before="0" w:after="200"/>
        <w:ind w:hanging="283" w:left="709"/>
        <w:rPr/>
      </w:pPr>
      <w:r>
        <w:rPr>
          <w:rStyle w:val="Strong"/>
        </w:rPr>
        <w:t>Protect caregiver flourishing.</w:t>
      </w:r>
      <w:r>
        <w:rPr/>
        <w:t xml:space="preserve"> The framework should assess exhaustion, health risks, foregone opportunities, moral distress, and the sustainability of the caregiver’s responsibilities.</w:t>
      </w:r>
    </w:p>
    <w:p>
      <w:pPr>
        <w:pStyle w:val="BodyText"/>
        <w:numPr>
          <w:ilvl w:val="0"/>
          <w:numId w:val="59"/>
        </w:numPr>
        <w:tabs>
          <w:tab w:val="clear" w:pos="720"/>
          <w:tab w:val="left" w:pos="0" w:leader="none"/>
        </w:tabs>
        <w:spacing w:before="0" w:after="200"/>
        <w:ind w:hanging="283" w:left="709"/>
        <w:rPr/>
      </w:pPr>
      <w:r>
        <w:rPr>
          <w:rStyle w:val="Strong"/>
        </w:rPr>
        <w:t>Audit the distribution of care labor.</w:t>
      </w:r>
      <w:r>
        <w:rPr/>
        <w:t xml:space="preserve"> The system could identify whether care burdens are allocated according to gender, class, race, disability, immigration status, employment position, or lack of political influence.</w:t>
      </w:r>
    </w:p>
    <w:p>
      <w:pPr>
        <w:pStyle w:val="BodyText"/>
        <w:numPr>
          <w:ilvl w:val="0"/>
          <w:numId w:val="59"/>
        </w:numPr>
        <w:tabs>
          <w:tab w:val="clear" w:pos="720"/>
          <w:tab w:val="left" w:pos="0" w:leader="none"/>
        </w:tabs>
        <w:spacing w:before="0" w:after="200"/>
        <w:ind w:hanging="283" w:left="709"/>
        <w:rPr/>
      </w:pPr>
      <w:r>
        <w:rPr>
          <w:rStyle w:val="Strong"/>
        </w:rPr>
        <w:t>Model continuity of care.</w:t>
      </w:r>
      <w:r>
        <w:rPr/>
        <w:t xml:space="preserve"> Care should be assessed across time, including transitions between caregivers, resource disruptions, follow-up requirements, and the consequences of withdrawal or abandonment.</w:t>
      </w:r>
    </w:p>
    <w:p>
      <w:pPr>
        <w:pStyle w:val="BodyText"/>
        <w:numPr>
          <w:ilvl w:val="0"/>
          <w:numId w:val="59"/>
        </w:numPr>
        <w:tabs>
          <w:tab w:val="clear" w:pos="720"/>
          <w:tab w:val="left" w:pos="0" w:leader="none"/>
        </w:tabs>
        <w:spacing w:before="0" w:after="200"/>
        <w:ind w:hanging="283" w:left="709"/>
        <w:rPr/>
      </w:pPr>
      <w:r>
        <w:rPr>
          <w:rStyle w:val="Strong"/>
        </w:rPr>
        <w:t>Define role-based and relational duties.</w:t>
      </w:r>
      <w:r>
        <w:rPr/>
        <w:t xml:space="preserve"> The framework could specify when proximity, relationship, professional role, prior commitment, or unique capability creates a stronger responsibility than that held by other agents.</w:t>
      </w:r>
    </w:p>
    <w:p>
      <w:pPr>
        <w:pStyle w:val="BodyText"/>
        <w:numPr>
          <w:ilvl w:val="0"/>
          <w:numId w:val="59"/>
        </w:numPr>
        <w:tabs>
          <w:tab w:val="clear" w:pos="720"/>
          <w:tab w:val="left" w:pos="0" w:leader="none"/>
        </w:tabs>
        <w:spacing w:before="0" w:after="200"/>
        <w:ind w:hanging="283" w:left="709"/>
        <w:rPr/>
      </w:pPr>
      <w:r>
        <w:rPr>
          <w:rStyle w:val="Strong"/>
        </w:rPr>
        <w:t>Constrain unjust partiality.</w:t>
      </w:r>
      <w:r>
        <w:rPr/>
        <w:t xml:space="preserve"> Special responsibilities could be recognized while remaining subject to minimum protections, nondiscrimination, and broader obligations to entities outside the immediate relationship.</w:t>
      </w:r>
    </w:p>
    <w:p>
      <w:pPr>
        <w:pStyle w:val="BodyText"/>
        <w:numPr>
          <w:ilvl w:val="0"/>
          <w:numId w:val="59"/>
        </w:numPr>
        <w:tabs>
          <w:tab w:val="clear" w:pos="720"/>
          <w:tab w:val="left" w:pos="0" w:leader="none"/>
        </w:tabs>
        <w:spacing w:before="0" w:after="200"/>
        <w:ind w:hanging="283" w:left="709"/>
        <w:rPr/>
      </w:pPr>
      <w:r>
        <w:rPr>
          <w:rStyle w:val="Strong"/>
        </w:rPr>
        <w:t>Add institutional care indicators.</w:t>
      </w:r>
      <w:r>
        <w:rPr/>
        <w:t xml:space="preserve"> Institutions could be evaluated for accessibility, responsiveness, continuity, staff competence, recipient participation, accountability, and the sustainability of their care systems.</w:t>
      </w:r>
    </w:p>
    <w:p>
      <w:pPr>
        <w:pStyle w:val="BodyText"/>
        <w:numPr>
          <w:ilvl w:val="0"/>
          <w:numId w:val="59"/>
        </w:numPr>
        <w:tabs>
          <w:tab w:val="clear" w:pos="720"/>
          <w:tab w:val="left" w:pos="0" w:leader="none"/>
        </w:tabs>
        <w:spacing w:before="0" w:after="200"/>
        <w:ind w:hanging="283" w:left="709"/>
        <w:rPr/>
      </w:pPr>
      <w:r>
        <w:rPr>
          <w:rStyle w:val="Strong"/>
        </w:rPr>
        <w:t>Represent relational harm and repair.</w:t>
      </w:r>
      <w:r>
        <w:rPr/>
        <w:t xml:space="preserve"> Ethical impacts should include betrayal, loss of trust, abandonment, humiliation, silencing, and the possibility of acknowledgment, reconciliation, or restoration.</w:t>
      </w:r>
    </w:p>
    <w:p>
      <w:pPr>
        <w:pStyle w:val="BodyText"/>
        <w:numPr>
          <w:ilvl w:val="0"/>
          <w:numId w:val="59"/>
        </w:numPr>
        <w:tabs>
          <w:tab w:val="clear" w:pos="720"/>
          <w:tab w:val="left" w:pos="0" w:leader="none"/>
        </w:tabs>
        <w:spacing w:before="0" w:after="200"/>
        <w:ind w:hanging="283" w:left="709"/>
        <w:rPr/>
      </w:pPr>
      <w:r>
        <w:rPr>
          <w:rStyle w:val="Strong"/>
        </w:rPr>
        <w:t>Use recipient feedback to update the assessment.</w:t>
      </w:r>
      <w:r>
        <w:rPr/>
        <w:t xml:space="preserve"> Because care is interactive, feedback should revise assumptions about need, effectiveness, burden, and appropriate future action.</w:t>
      </w:r>
    </w:p>
    <w:p>
      <w:pPr>
        <w:pStyle w:val="BodyText"/>
        <w:numPr>
          <w:ilvl w:val="0"/>
          <w:numId w:val="59"/>
        </w:numPr>
        <w:tabs>
          <w:tab w:val="clear" w:pos="720"/>
          <w:tab w:val="left" w:pos="0" w:leader="none"/>
        </w:tabs>
        <w:spacing w:before="0" w:after="200"/>
        <w:ind w:hanging="283" w:left="709"/>
        <w:rPr/>
      </w:pPr>
      <w:r>
        <w:rPr>
          <w:rStyle w:val="Strong"/>
        </w:rPr>
        <w:t>Identify “carewashing.”</w:t>
      </w:r>
      <w:r>
        <w:rPr/>
        <w:t xml:space="preserve"> The framework should detect situations in which benevolent or relational language is used to conceal coercion, cost-cutting, surveillance, exclusion, or institutional self-interest.</w:t>
      </w:r>
    </w:p>
    <w:p>
      <w:pPr>
        <w:pStyle w:val="BodyText"/>
        <w:numPr>
          <w:ilvl w:val="0"/>
          <w:numId w:val="59"/>
        </w:numPr>
        <w:tabs>
          <w:tab w:val="clear" w:pos="720"/>
          <w:tab w:val="left" w:pos="0" w:leader="none"/>
        </w:tabs>
        <w:spacing w:before="0" w:after="200"/>
        <w:ind w:hanging="283" w:left="709"/>
        <w:rPr/>
      </w:pPr>
      <w:r>
        <w:rPr>
          <w:rStyle w:val="Strong"/>
        </w:rPr>
        <w:t>Extend care analysis beyond human relationships.</w:t>
      </w:r>
      <w:r>
        <w:rPr/>
        <w:t xml:space="preserve"> The framework could assess caregiving relationships involving nonhuman animals, ecosystems, artificial agents, and other dependent or vulnerable entities while avoiding unsupported assumptions that all entities experience care identically.</w:t>
      </w:r>
    </w:p>
    <w:p>
      <w:pPr>
        <w:pStyle w:val="BodyText"/>
        <w:numPr>
          <w:ilvl w:val="0"/>
          <w:numId w:val="59"/>
        </w:numPr>
        <w:tabs>
          <w:tab w:val="clear" w:pos="720"/>
          <w:tab w:val="left" w:pos="0" w:leader="none"/>
        </w:tabs>
        <w:spacing w:before="0" w:after="200"/>
        <w:ind w:hanging="283" w:left="709"/>
        <w:rPr/>
      </w:pPr>
      <w:r>
        <w:rPr>
          <w:rStyle w:val="Strong"/>
        </w:rPr>
        <w:t>Produce a separate care finding.</w:t>
      </w:r>
      <w:r>
        <w:rPr/>
        <w:t xml:space="preserve"> Each relevant assessment could report:</w:t>
      </w:r>
    </w:p>
    <w:p>
      <w:pPr>
        <w:pStyle w:val="BodyText"/>
        <w:numPr>
          <w:ilvl w:val="0"/>
          <w:numId w:val="60"/>
        </w:numPr>
        <w:tabs>
          <w:tab w:val="clear" w:pos="720"/>
          <w:tab w:val="left" w:pos="0" w:leader="none"/>
        </w:tabs>
        <w:spacing w:before="0" w:after="200"/>
        <w:ind w:hanging="283" w:left="709"/>
        <w:rPr/>
      </w:pPr>
      <w:r>
        <w:rPr/>
        <w:t>Whether the need was adequately recognized;</w:t>
      </w:r>
    </w:p>
    <w:p>
      <w:pPr>
        <w:pStyle w:val="BodyText"/>
        <w:numPr>
          <w:ilvl w:val="0"/>
          <w:numId w:val="60"/>
        </w:numPr>
        <w:tabs>
          <w:tab w:val="clear" w:pos="720"/>
          <w:tab w:val="left" w:pos="0" w:leader="none"/>
        </w:tabs>
        <w:spacing w:before="0" w:after="200"/>
        <w:ind w:hanging="283" w:left="709"/>
        <w:rPr/>
      </w:pPr>
      <w:r>
        <w:rPr/>
        <w:t>Who assumed responsibility;</w:t>
      </w:r>
    </w:p>
    <w:p>
      <w:pPr>
        <w:pStyle w:val="BodyText"/>
        <w:numPr>
          <w:ilvl w:val="0"/>
          <w:numId w:val="60"/>
        </w:numPr>
        <w:tabs>
          <w:tab w:val="clear" w:pos="720"/>
          <w:tab w:val="left" w:pos="0" w:leader="none"/>
        </w:tabs>
        <w:spacing w:before="0" w:after="200"/>
        <w:ind w:hanging="283" w:left="709"/>
        <w:rPr/>
      </w:pPr>
      <w:r>
        <w:rPr/>
        <w:t>Whether care was competent and sustainable;</w:t>
      </w:r>
    </w:p>
    <w:p>
      <w:pPr>
        <w:pStyle w:val="BodyText"/>
        <w:numPr>
          <w:ilvl w:val="0"/>
          <w:numId w:val="60"/>
        </w:numPr>
        <w:tabs>
          <w:tab w:val="clear" w:pos="720"/>
          <w:tab w:val="left" w:pos="0" w:leader="none"/>
        </w:tabs>
        <w:spacing w:before="0" w:after="200"/>
        <w:ind w:hanging="283" w:left="709"/>
        <w:rPr/>
      </w:pPr>
      <w:r>
        <w:rPr/>
        <w:t>Whether the recipient participated and responded;</w:t>
      </w:r>
    </w:p>
    <w:p>
      <w:pPr>
        <w:pStyle w:val="BodyText"/>
        <w:numPr>
          <w:ilvl w:val="0"/>
          <w:numId w:val="60"/>
        </w:numPr>
        <w:tabs>
          <w:tab w:val="clear" w:pos="720"/>
          <w:tab w:val="left" w:pos="0" w:leader="none"/>
        </w:tabs>
        <w:spacing w:before="0" w:after="200"/>
        <w:ind w:hanging="283" w:left="709"/>
        <w:rPr/>
      </w:pPr>
      <w:r>
        <w:rPr/>
        <w:t>Whether agency and dignity were preserved;</w:t>
      </w:r>
    </w:p>
    <w:p>
      <w:pPr>
        <w:pStyle w:val="BodyText"/>
        <w:numPr>
          <w:ilvl w:val="0"/>
          <w:numId w:val="60"/>
        </w:numPr>
        <w:tabs>
          <w:tab w:val="clear" w:pos="720"/>
          <w:tab w:val="left" w:pos="0" w:leader="none"/>
        </w:tabs>
        <w:spacing w:before="0" w:after="200"/>
        <w:ind w:hanging="283" w:left="709"/>
        <w:rPr/>
      </w:pPr>
      <w:r>
        <w:rPr/>
        <w:t>How care burdens were distributed; and</w:t>
      </w:r>
    </w:p>
    <w:p>
      <w:pPr>
        <w:pStyle w:val="BodyText"/>
        <w:numPr>
          <w:ilvl w:val="0"/>
          <w:numId w:val="60"/>
        </w:numPr>
        <w:tabs>
          <w:tab w:val="clear" w:pos="720"/>
          <w:tab w:val="left" w:pos="0" w:leader="none"/>
        </w:tabs>
        <w:spacing w:before="0" w:after="200"/>
        <w:ind w:hanging="283" w:left="709"/>
        <w:rPr/>
      </w:pPr>
      <w:r>
        <w:rPr/>
        <w:t>Whether the relationship and wider system were strengthened or damaged.</w:t>
      </w:r>
    </w:p>
    <w:p>
      <w:pPr>
        <w:pStyle w:val="BodyText"/>
        <w:numPr>
          <w:ilvl w:val="0"/>
          <w:numId w:val="61"/>
        </w:numPr>
        <w:tabs>
          <w:tab w:val="clear" w:pos="720"/>
          <w:tab w:val="left" w:pos="0" w:leader="none"/>
        </w:tabs>
        <w:spacing w:before="0" w:after="200"/>
        <w:ind w:hanging="283" w:left="709"/>
        <w:rPr/>
      </w:pPr>
      <w:r>
        <w:rPr>
          <w:rStyle w:val="Strong"/>
        </w:rPr>
        <w:t>Combine relational and systems-level conclusions.</w:t>
      </w:r>
      <w:r>
        <w:rPr/>
        <w:t xml:space="preserve"> An action could improve an immediate measurable condition while failing as care because it is coercive, inattentive, humiliating, or unsustainable. Conversely, a caring interpersonal response could be inadequate if it perpetuates an unjust institutional arrangement. Reporting both dimensions would preserve the distinctive contribution of care ethics within the framework.</w:t>
      </w:r>
    </w:p>
    <w:p>
      <w:pPr>
        <w:pStyle w:val="Heading2"/>
        <w:rPr/>
      </w:pPr>
      <w:r>
        <w:rPr/>
        <w:t>Stoicism</w:t>
      </w:r>
    </w:p>
    <w:p>
      <w:pPr>
        <w:pStyle w:val="BodyText"/>
        <w:spacing w:before="0" w:after="200"/>
        <w:rPr/>
      </w:pPr>
      <w:r>
        <w:rPr/>
        <w:t xml:space="preserve">Stoicism is a Hellenistic school of philosophy that understands ethics as the disciplined development of rational and virtuous agency. Its central claim is that virtue—not wealth, health, reputation, pleasure, or successful control of external events—is the only unconditional good and the necessary and sufficient basis of human flourishing. Stoicism therefore emphasizes sound judgment, moral character, appropriate action, acceptance of what cannot be controlled, fulfillment of social roles, and concern for humanity as a wider moral community. It is a form of eudaimonic virtue ethics rather than emotional suppression, passive resignation, or indifference to the welfare of others. </w:t>
      </w:r>
      <w:hyperlink r:id="rId44">
        <w:r>
          <w:rPr>
            <w:rStyle w:val="Hyperlink"/>
          </w:rPr>
          <w:t>Stanford Encyclopedia of Philosophy</w:t>
        </w:r>
      </w:hyperlink>
      <w:r>
        <w:rPr/>
        <w:t xml:space="preserve">, </w:t>
      </w:r>
      <w:hyperlink r:id="rId45">
        <w:r>
          <w:rPr>
            <w:rStyle w:val="Hyperlink"/>
          </w:rPr>
          <w:t>Internet Encyclopedia of Philosophy</w:t>
        </w:r>
      </w:hyperlink>
    </w:p>
    <w:p>
      <w:pPr>
        <w:pStyle w:val="Heading3"/>
        <w:spacing w:before="0" w:after="200"/>
        <w:ind w:hanging="0" w:left="0"/>
        <w:rPr>
          <w:rFonts w:ascii="Aptos" w:hAnsi="Aptos"/>
          <w:color w:val="auto"/>
        </w:rPr>
      </w:pPr>
      <w:r>
        <w:rPr>
          <w:rFonts w:ascii="Aptos" w:hAnsi="Aptos"/>
          <w:color w:val="auto"/>
        </w:rPr>
        <w:t>Primary Experts</w:t>
      </w:r>
    </w:p>
    <w:p>
      <w:pPr>
        <w:pStyle w:val="BodyText"/>
        <w:spacing w:before="0" w:after="200"/>
        <w:rPr/>
      </w:pPr>
      <w:r>
        <w:rPr/>
        <w:t>Because ancient Stoicism predates modern universities, “associated institution” refers to the philosophical school, teaching center, or public institution with which the individual was principally connected.</w:t>
      </w:r>
    </w:p>
    <w:tbl>
      <w:tblPr>
        <w:tblW w:w="8640" w:type="dxa"/>
        <w:jc w:val="left"/>
        <w:tblInd w:w="28" w:type="dxa"/>
        <w:tblLayout w:type="fixed"/>
        <w:tblCellMar>
          <w:top w:w="28" w:type="dxa"/>
          <w:left w:w="28" w:type="dxa"/>
          <w:bottom w:w="28" w:type="dxa"/>
          <w:right w:w="28" w:type="dxa"/>
        </w:tblCellMar>
      </w:tblPr>
      <w:tblGrid>
        <w:gridCol w:w="1443"/>
        <w:gridCol w:w="793"/>
        <w:gridCol w:w="2166"/>
        <w:gridCol w:w="4238"/>
      </w:tblGrid>
      <w:tr>
        <w:trPr>
          <w:tblHeader w:val="true"/>
        </w:trPr>
        <w:tc>
          <w:tcPr>
            <w:tcW w:w="1443" w:type="dxa"/>
            <w:tcBorders/>
            <w:vAlign w:val="center"/>
          </w:tcPr>
          <w:p>
            <w:pPr>
              <w:pStyle w:val="TableHeading"/>
              <w:suppressLineNumbers/>
              <w:spacing w:before="0" w:after="200"/>
              <w:jc w:val="center"/>
              <w:rPr/>
            </w:pPr>
            <w:r>
              <w:rPr/>
              <w:t>Expert</w:t>
            </w:r>
          </w:p>
        </w:tc>
        <w:tc>
          <w:tcPr>
            <w:tcW w:w="793" w:type="dxa"/>
            <w:tcBorders/>
            <w:vAlign w:val="center"/>
          </w:tcPr>
          <w:p>
            <w:pPr>
              <w:pStyle w:val="TableHeading"/>
              <w:spacing w:before="0" w:after="200"/>
              <w:jc w:val="right"/>
              <w:rPr/>
            </w:pPr>
            <w:r>
              <w:rPr/>
              <w:t>Years</w:t>
            </w:r>
          </w:p>
        </w:tc>
        <w:tc>
          <w:tcPr>
            <w:tcW w:w="2166" w:type="dxa"/>
            <w:tcBorders/>
            <w:vAlign w:val="center"/>
          </w:tcPr>
          <w:p>
            <w:pPr>
              <w:pStyle w:val="TableHeading"/>
              <w:suppressLineNumbers/>
              <w:spacing w:before="0" w:after="200"/>
              <w:jc w:val="center"/>
              <w:rPr/>
            </w:pPr>
            <w:r>
              <w:rPr/>
              <w:t>Associated institution or setting</w:t>
            </w:r>
          </w:p>
        </w:tc>
        <w:tc>
          <w:tcPr>
            <w:tcW w:w="4238" w:type="dxa"/>
            <w:tcBorders/>
            <w:vAlign w:val="center"/>
          </w:tcPr>
          <w:p>
            <w:pPr>
              <w:pStyle w:val="TableHeading"/>
              <w:suppressLineNumbers/>
              <w:spacing w:before="0" w:after="200"/>
              <w:jc w:val="center"/>
              <w:rPr/>
            </w:pPr>
            <w:r>
              <w:rPr/>
              <w:t>Principal contribution</w:t>
            </w:r>
          </w:p>
        </w:tc>
      </w:tr>
      <w:tr>
        <w:trPr/>
        <w:tc>
          <w:tcPr>
            <w:tcW w:w="1443" w:type="dxa"/>
            <w:tcBorders/>
            <w:vAlign w:val="center"/>
          </w:tcPr>
          <w:p>
            <w:pPr>
              <w:pStyle w:val="TableContents"/>
              <w:widowControl w:val="false"/>
              <w:suppressLineNumbers/>
              <w:spacing w:before="0" w:after="200"/>
              <w:rPr/>
            </w:pPr>
            <w:r>
              <w:rPr>
                <w:rStyle w:val="Strong"/>
              </w:rPr>
              <w:t>Zeno of Citium</w:t>
            </w:r>
          </w:p>
        </w:tc>
        <w:tc>
          <w:tcPr>
            <w:tcW w:w="793" w:type="dxa"/>
            <w:tcBorders/>
            <w:vAlign w:val="center"/>
          </w:tcPr>
          <w:p>
            <w:pPr>
              <w:pStyle w:val="TableContents"/>
              <w:spacing w:before="0" w:after="200"/>
              <w:jc w:val="right"/>
              <w:rPr/>
            </w:pPr>
            <w:r>
              <w:rPr/>
              <w:t>c. 334–262 BCE</w:t>
            </w:r>
          </w:p>
        </w:tc>
        <w:tc>
          <w:tcPr>
            <w:tcW w:w="2166" w:type="dxa"/>
            <w:tcBorders/>
            <w:vAlign w:val="center"/>
          </w:tcPr>
          <w:p>
            <w:pPr>
              <w:pStyle w:val="TableContents"/>
              <w:widowControl w:val="false"/>
              <w:suppressLineNumbers/>
              <w:spacing w:before="0" w:after="200"/>
              <w:rPr/>
            </w:pPr>
            <w:r>
              <w:rPr/>
              <w:t>Founder and first head of the Stoic school at the Stoa Poikile, Athens</w:t>
            </w:r>
          </w:p>
        </w:tc>
        <w:tc>
          <w:tcPr>
            <w:tcW w:w="4238" w:type="dxa"/>
            <w:tcBorders/>
            <w:vAlign w:val="center"/>
          </w:tcPr>
          <w:p>
            <w:pPr>
              <w:pStyle w:val="TableContents"/>
              <w:widowControl w:val="false"/>
              <w:suppressLineNumbers/>
              <w:spacing w:before="0" w:after="200"/>
              <w:rPr/>
            </w:pPr>
            <w:r>
              <w:rPr/>
              <w:t>Founded Stoicism and described its ethical end as living consistently or “in agreement,” subsequently understood as living in agreement with nature.</w:t>
            </w:r>
          </w:p>
        </w:tc>
      </w:tr>
      <w:tr>
        <w:trPr/>
        <w:tc>
          <w:tcPr>
            <w:tcW w:w="1443" w:type="dxa"/>
            <w:tcBorders/>
            <w:vAlign w:val="center"/>
          </w:tcPr>
          <w:p>
            <w:pPr>
              <w:pStyle w:val="TableContents"/>
              <w:widowControl w:val="false"/>
              <w:suppressLineNumbers/>
              <w:spacing w:before="0" w:after="200"/>
              <w:rPr/>
            </w:pPr>
            <w:r>
              <w:rPr>
                <w:rStyle w:val="Strong"/>
              </w:rPr>
              <w:t>Cleanthes of Assos</w:t>
            </w:r>
          </w:p>
        </w:tc>
        <w:tc>
          <w:tcPr>
            <w:tcW w:w="793" w:type="dxa"/>
            <w:tcBorders/>
            <w:vAlign w:val="center"/>
          </w:tcPr>
          <w:p>
            <w:pPr>
              <w:pStyle w:val="TableContents"/>
              <w:spacing w:before="0" w:after="200"/>
              <w:jc w:val="right"/>
              <w:rPr/>
            </w:pPr>
            <w:r>
              <w:rPr/>
              <w:t>c. 330–232 BCE</w:t>
            </w:r>
          </w:p>
        </w:tc>
        <w:tc>
          <w:tcPr>
            <w:tcW w:w="2166" w:type="dxa"/>
            <w:tcBorders/>
            <w:vAlign w:val="center"/>
          </w:tcPr>
          <w:p>
            <w:pPr>
              <w:pStyle w:val="TableContents"/>
              <w:widowControl w:val="false"/>
              <w:suppressLineNumbers/>
              <w:spacing w:before="0" w:after="200"/>
              <w:rPr/>
            </w:pPr>
            <w:r>
              <w:rPr/>
              <w:t>Second head of the Stoic school at the Stoa Poikile, Athens</w:t>
            </w:r>
          </w:p>
        </w:tc>
        <w:tc>
          <w:tcPr>
            <w:tcW w:w="4238" w:type="dxa"/>
            <w:tcBorders/>
            <w:vAlign w:val="center"/>
          </w:tcPr>
          <w:p>
            <w:pPr>
              <w:pStyle w:val="TableContents"/>
              <w:widowControl w:val="false"/>
              <w:suppressLineNumbers/>
              <w:spacing w:before="0" w:after="200"/>
              <w:rPr/>
            </w:pPr>
            <w:r>
              <w:rPr/>
              <w:t>Succeeded Zeno, emphasized living in agreement with nature, and developed the religious and cosmological dimensions of Stoic thought.</w:t>
            </w:r>
          </w:p>
        </w:tc>
      </w:tr>
      <w:tr>
        <w:trPr/>
        <w:tc>
          <w:tcPr>
            <w:tcW w:w="1443" w:type="dxa"/>
            <w:tcBorders/>
            <w:vAlign w:val="center"/>
          </w:tcPr>
          <w:p>
            <w:pPr>
              <w:pStyle w:val="TableContents"/>
              <w:widowControl w:val="false"/>
              <w:suppressLineNumbers/>
              <w:spacing w:before="0" w:after="200"/>
              <w:rPr/>
            </w:pPr>
            <w:r>
              <w:rPr>
                <w:rStyle w:val="Strong"/>
              </w:rPr>
              <w:t>Chrysippus of Soli</w:t>
            </w:r>
          </w:p>
        </w:tc>
        <w:tc>
          <w:tcPr>
            <w:tcW w:w="793" w:type="dxa"/>
            <w:tcBorders/>
            <w:vAlign w:val="center"/>
          </w:tcPr>
          <w:p>
            <w:pPr>
              <w:pStyle w:val="TableContents"/>
              <w:spacing w:before="0" w:after="200"/>
              <w:jc w:val="right"/>
              <w:rPr/>
            </w:pPr>
            <w:r>
              <w:rPr/>
              <w:t>c. 279–206 BCE</w:t>
            </w:r>
          </w:p>
        </w:tc>
        <w:tc>
          <w:tcPr>
            <w:tcW w:w="2166" w:type="dxa"/>
            <w:tcBorders/>
            <w:vAlign w:val="center"/>
          </w:tcPr>
          <w:p>
            <w:pPr>
              <w:pStyle w:val="TableContents"/>
              <w:widowControl w:val="false"/>
              <w:suppressLineNumbers/>
              <w:spacing w:before="0" w:after="200"/>
              <w:rPr/>
            </w:pPr>
            <w:r>
              <w:rPr/>
              <w:t>Third head of the Stoic school at the Stoa Poikile, Athens</w:t>
            </w:r>
          </w:p>
        </w:tc>
        <w:tc>
          <w:tcPr>
            <w:tcW w:w="4238" w:type="dxa"/>
            <w:tcBorders/>
            <w:vAlign w:val="center"/>
          </w:tcPr>
          <w:p>
            <w:pPr>
              <w:pStyle w:val="TableContents"/>
              <w:widowControl w:val="false"/>
              <w:suppressLineNumbers/>
              <w:spacing w:before="0" w:after="200"/>
              <w:rPr/>
            </w:pPr>
            <w:r>
              <w:rPr/>
              <w:t xml:space="preserve">Systematized Stoic logic, physics, psychology, and ethics. His work established much of what became orthodox Stoicism. The original works of the early scholarchs survive largely through fragments and later reports. </w:t>
            </w:r>
            <w:hyperlink r:id="rId46">
              <w:r>
                <w:rPr>
                  <w:rStyle w:val="Hyperlink"/>
                </w:rPr>
                <w:t>Stanford Encyclopedia of Philosophy</w:t>
              </w:r>
            </w:hyperlink>
          </w:p>
        </w:tc>
      </w:tr>
      <w:tr>
        <w:trPr/>
        <w:tc>
          <w:tcPr>
            <w:tcW w:w="1443" w:type="dxa"/>
            <w:tcBorders/>
            <w:vAlign w:val="center"/>
          </w:tcPr>
          <w:p>
            <w:pPr>
              <w:pStyle w:val="TableContents"/>
              <w:widowControl w:val="false"/>
              <w:suppressLineNumbers/>
              <w:spacing w:before="0" w:after="200"/>
              <w:rPr/>
            </w:pPr>
            <w:r>
              <w:rPr>
                <w:rStyle w:val="Strong"/>
              </w:rPr>
              <w:t>Lucius Annaeus Seneca</w:t>
            </w:r>
          </w:p>
        </w:tc>
        <w:tc>
          <w:tcPr>
            <w:tcW w:w="793" w:type="dxa"/>
            <w:tcBorders/>
            <w:vAlign w:val="center"/>
          </w:tcPr>
          <w:p>
            <w:pPr>
              <w:pStyle w:val="TableContents"/>
              <w:spacing w:before="0" w:after="200"/>
              <w:jc w:val="right"/>
              <w:rPr/>
            </w:pPr>
            <w:r>
              <w:rPr/>
              <w:t>c. 4 BCE–65 CE</w:t>
            </w:r>
          </w:p>
        </w:tc>
        <w:tc>
          <w:tcPr>
            <w:tcW w:w="2166" w:type="dxa"/>
            <w:tcBorders/>
            <w:vAlign w:val="center"/>
          </w:tcPr>
          <w:p>
            <w:pPr>
              <w:pStyle w:val="TableContents"/>
              <w:widowControl w:val="false"/>
              <w:suppressLineNumbers/>
              <w:spacing w:before="0" w:after="200"/>
              <w:rPr/>
            </w:pPr>
            <w:r>
              <w:rPr/>
              <w:t>Roman Senate and the imperial court of Nero</w:t>
            </w:r>
          </w:p>
        </w:tc>
        <w:tc>
          <w:tcPr>
            <w:tcW w:w="4238" w:type="dxa"/>
            <w:tcBorders/>
            <w:vAlign w:val="center"/>
          </w:tcPr>
          <w:p>
            <w:pPr>
              <w:pStyle w:val="TableContents"/>
              <w:widowControl w:val="false"/>
              <w:suppressLineNumbers/>
              <w:spacing w:before="0" w:after="200"/>
              <w:rPr/>
            </w:pPr>
            <w:r>
              <w:rPr/>
              <w:t>Applied Stoicism to political responsibility, wealth, anger, adversity, mortality, friendship, and moral self-examination. He served as tutor and later adviser to Emperor Nero.</w:t>
            </w:r>
          </w:p>
        </w:tc>
      </w:tr>
      <w:tr>
        <w:trPr/>
        <w:tc>
          <w:tcPr>
            <w:tcW w:w="1443" w:type="dxa"/>
            <w:tcBorders/>
            <w:vAlign w:val="center"/>
          </w:tcPr>
          <w:p>
            <w:pPr>
              <w:pStyle w:val="TableContents"/>
              <w:widowControl w:val="false"/>
              <w:suppressLineNumbers/>
              <w:spacing w:before="0" w:after="200"/>
              <w:rPr/>
            </w:pPr>
            <w:r>
              <w:rPr>
                <w:rStyle w:val="Strong"/>
              </w:rPr>
              <w:t>Epictetus</w:t>
            </w:r>
          </w:p>
        </w:tc>
        <w:tc>
          <w:tcPr>
            <w:tcW w:w="793" w:type="dxa"/>
            <w:tcBorders/>
            <w:vAlign w:val="center"/>
          </w:tcPr>
          <w:p>
            <w:pPr>
              <w:pStyle w:val="TableContents"/>
              <w:spacing w:before="0" w:after="200"/>
              <w:jc w:val="right"/>
              <w:rPr/>
            </w:pPr>
            <w:r>
              <w:rPr/>
              <w:t>c. 50–c. 135 CE</w:t>
            </w:r>
          </w:p>
        </w:tc>
        <w:tc>
          <w:tcPr>
            <w:tcW w:w="2166" w:type="dxa"/>
            <w:tcBorders/>
            <w:vAlign w:val="center"/>
          </w:tcPr>
          <w:p>
            <w:pPr>
              <w:pStyle w:val="TableContents"/>
              <w:widowControl w:val="false"/>
              <w:suppressLineNumbers/>
              <w:spacing w:before="0" w:after="200"/>
              <w:rPr/>
            </w:pPr>
            <w:r>
              <w:rPr/>
              <w:t>Stoic school at Nicopolis; formerly taught in Rome</w:t>
            </w:r>
          </w:p>
        </w:tc>
        <w:tc>
          <w:tcPr>
            <w:tcW w:w="4238" w:type="dxa"/>
            <w:tcBorders/>
            <w:vAlign w:val="center"/>
          </w:tcPr>
          <w:p>
            <w:pPr>
              <w:pStyle w:val="TableContents"/>
              <w:widowControl w:val="false"/>
              <w:suppressLineNumbers/>
              <w:spacing w:before="0" w:after="200"/>
              <w:rPr/>
            </w:pPr>
            <w:r>
              <w:rPr/>
              <w:t xml:space="preserve">Emphasized volition, moral freedom, the disciplined use of impressions, and the distinction between what is and is not “up to us.” His teachings were recorded by his student Arrian. </w:t>
            </w:r>
            <w:hyperlink r:id="rId47">
              <w:r>
                <w:rPr>
                  <w:rStyle w:val="Hyperlink"/>
                </w:rPr>
                <w:t>Stanford Encyclopedia of Philosophy</w:t>
              </w:r>
            </w:hyperlink>
          </w:p>
        </w:tc>
      </w:tr>
      <w:tr>
        <w:trPr/>
        <w:tc>
          <w:tcPr>
            <w:tcW w:w="1443" w:type="dxa"/>
            <w:tcBorders/>
            <w:vAlign w:val="center"/>
          </w:tcPr>
          <w:p>
            <w:pPr>
              <w:pStyle w:val="TableContents"/>
              <w:widowControl w:val="false"/>
              <w:suppressLineNumbers/>
              <w:spacing w:before="0" w:after="200"/>
              <w:rPr/>
            </w:pPr>
            <w:r>
              <w:rPr>
                <w:rStyle w:val="Strong"/>
              </w:rPr>
              <w:t>Marcus Aurelius</w:t>
            </w:r>
          </w:p>
        </w:tc>
        <w:tc>
          <w:tcPr>
            <w:tcW w:w="793" w:type="dxa"/>
            <w:tcBorders/>
            <w:vAlign w:val="center"/>
          </w:tcPr>
          <w:p>
            <w:pPr>
              <w:pStyle w:val="TableContents"/>
              <w:spacing w:before="0" w:after="200"/>
              <w:jc w:val="right"/>
              <w:rPr/>
            </w:pPr>
            <w:r>
              <w:rPr/>
              <w:t>121–180 CE</w:t>
            </w:r>
          </w:p>
        </w:tc>
        <w:tc>
          <w:tcPr>
            <w:tcW w:w="2166" w:type="dxa"/>
            <w:tcBorders/>
            <w:vAlign w:val="center"/>
          </w:tcPr>
          <w:p>
            <w:pPr>
              <w:pStyle w:val="TableContents"/>
              <w:widowControl w:val="false"/>
              <w:suppressLineNumbers/>
              <w:spacing w:before="0" w:after="200"/>
              <w:rPr/>
            </w:pPr>
            <w:r>
              <w:rPr/>
              <w:t>Roman imperial administration; Roman Emperor, 161–180 CE</w:t>
            </w:r>
          </w:p>
        </w:tc>
        <w:tc>
          <w:tcPr>
            <w:tcW w:w="4238" w:type="dxa"/>
            <w:tcBorders/>
            <w:vAlign w:val="center"/>
          </w:tcPr>
          <w:p>
            <w:pPr>
              <w:pStyle w:val="TableContents"/>
              <w:widowControl w:val="false"/>
              <w:suppressLineNumbers/>
              <w:spacing w:before="0" w:after="200"/>
              <w:rPr/>
            </w:pPr>
            <w:r>
              <w:rPr/>
              <w:t xml:space="preserve">Applied Stoic practices to public duty, self-governance, mortality, social cooperation, and leadership under uncertainty. His </w:t>
            </w:r>
            <w:r>
              <w:rPr>
                <w:rStyle w:val="Emphasis"/>
              </w:rPr>
              <w:t>Meditations</w:t>
            </w:r>
            <w:r>
              <w:rPr/>
              <w:t xml:space="preserve"> record an ongoing practice of ethical self-correction influenced particularly by Epictetus. </w:t>
            </w:r>
            <w:hyperlink r:id="rId48">
              <w:r>
                <w:rPr>
                  <w:rStyle w:val="Hyperlink"/>
                </w:rPr>
                <w:t>Stanford Encyclopedia of Philosophy</w:t>
              </w:r>
            </w:hyperlink>
          </w:p>
        </w:tc>
      </w:tr>
    </w:tbl>
    <w:p>
      <w:pPr>
        <w:pStyle w:val="Heading3"/>
        <w:spacing w:before="0" w:after="200"/>
        <w:ind w:hanging="0" w:left="0"/>
        <w:rPr>
          <w:rFonts w:ascii="Aptos" w:hAnsi="Aptos"/>
          <w:color w:val="auto"/>
        </w:rPr>
      </w:pPr>
      <w:r>
        <w:rPr>
          <w:rFonts w:ascii="Aptos" w:hAnsi="Aptos"/>
          <w:color w:val="auto"/>
        </w:rPr>
        <w:t>Core Assumptions</w:t>
      </w:r>
    </w:p>
    <w:p>
      <w:pPr>
        <w:pStyle w:val="BodyText"/>
        <w:spacing w:before="0" w:after="200"/>
        <w:rPr/>
      </w:pPr>
      <w:r>
        <w:rPr/>
        <w:t>Stoicism developed across several centuries, and individual Stoics did not agree on every question. Its principal ethical assumptions generally include the following:</w:t>
      </w:r>
    </w:p>
    <w:p>
      <w:pPr>
        <w:pStyle w:val="BodyText"/>
        <w:numPr>
          <w:ilvl w:val="0"/>
          <w:numId w:val="67"/>
        </w:numPr>
        <w:tabs>
          <w:tab w:val="clear" w:pos="720"/>
          <w:tab w:val="left" w:pos="0" w:leader="none"/>
        </w:tabs>
        <w:spacing w:before="0" w:after="200"/>
        <w:ind w:hanging="283" w:left="709"/>
        <w:rPr/>
      </w:pPr>
      <w:r>
        <w:rPr>
          <w:rStyle w:val="Strong"/>
        </w:rPr>
        <w:t>The goal of life is eudaimonia.</w:t>
      </w:r>
      <w:r>
        <w:rPr/>
        <w:t xml:space="preserve"> This is better understood as flourishing or living well than as a temporary feeling of happiness.</w:t>
      </w:r>
    </w:p>
    <w:p>
      <w:pPr>
        <w:pStyle w:val="BodyText"/>
        <w:numPr>
          <w:ilvl w:val="0"/>
          <w:numId w:val="67"/>
        </w:numPr>
        <w:tabs>
          <w:tab w:val="clear" w:pos="720"/>
          <w:tab w:val="left" w:pos="0" w:leader="none"/>
        </w:tabs>
        <w:spacing w:before="0" w:after="200"/>
        <w:ind w:hanging="283" w:left="709"/>
        <w:rPr/>
      </w:pPr>
      <w:r>
        <w:rPr>
          <w:rStyle w:val="Strong"/>
        </w:rPr>
        <w:t>Virtue is the only unconditional good.</w:t>
      </w:r>
      <w:r>
        <w:rPr/>
        <w:t xml:space="preserve"> Wisdom, justice, courage, and moderation are traditionally treated as the cardinal virtues. Vice is the only genuine moral evil.</w:t>
      </w:r>
    </w:p>
    <w:p>
      <w:pPr>
        <w:pStyle w:val="BodyText"/>
        <w:numPr>
          <w:ilvl w:val="0"/>
          <w:numId w:val="67"/>
        </w:numPr>
        <w:tabs>
          <w:tab w:val="clear" w:pos="720"/>
          <w:tab w:val="left" w:pos="0" w:leader="none"/>
        </w:tabs>
        <w:spacing w:before="0" w:after="200"/>
        <w:ind w:hanging="283" w:left="709"/>
        <w:rPr/>
      </w:pPr>
      <w:r>
        <w:rPr>
          <w:rStyle w:val="Strong"/>
        </w:rPr>
        <w:t>Virtue is necessary and sufficient for flourishing.</w:t>
      </w:r>
      <w:r>
        <w:rPr/>
        <w:t xml:space="preserve"> External success cannot make a vicious agent flourish in the fullest moral sense, while external misfortune cannot deprive a genuinely virtuous agent of moral flourishing.</w:t>
      </w:r>
    </w:p>
    <w:p>
      <w:pPr>
        <w:pStyle w:val="BodyText"/>
        <w:numPr>
          <w:ilvl w:val="0"/>
          <w:numId w:val="67"/>
        </w:numPr>
        <w:tabs>
          <w:tab w:val="clear" w:pos="720"/>
          <w:tab w:val="left" w:pos="0" w:leader="none"/>
        </w:tabs>
        <w:spacing w:before="0" w:after="200"/>
        <w:ind w:hanging="283" w:left="709"/>
        <w:rPr/>
      </w:pPr>
      <w:r>
        <w:rPr>
          <w:rStyle w:val="Strong"/>
        </w:rPr>
        <w:t>Virtue is rational excellence.</w:t>
      </w:r>
      <w:r>
        <w:rPr/>
        <w:t xml:space="preserve"> Moral failure results from errors in judgment about what is genuinely good, bad, necessary, or worth fearing.</w:t>
      </w:r>
    </w:p>
    <w:p>
      <w:pPr>
        <w:pStyle w:val="BodyText"/>
        <w:numPr>
          <w:ilvl w:val="0"/>
          <w:numId w:val="67"/>
        </w:numPr>
        <w:tabs>
          <w:tab w:val="clear" w:pos="720"/>
          <w:tab w:val="left" w:pos="0" w:leader="none"/>
        </w:tabs>
        <w:spacing w:before="0" w:after="200"/>
        <w:ind w:hanging="283" w:left="709"/>
        <w:rPr/>
      </w:pPr>
      <w:r>
        <w:rPr>
          <w:rStyle w:val="Strong"/>
        </w:rPr>
        <w:t>Humans should live in agreement with nature.</w:t>
      </w:r>
      <w:r>
        <w:rPr/>
        <w:t xml:space="preserve"> For classical Stoics, this means aligning one’s rational agency with human nature, social nature, and the rational order of the wider cosmos.</w:t>
      </w:r>
    </w:p>
    <w:p>
      <w:pPr>
        <w:pStyle w:val="BodyText"/>
        <w:numPr>
          <w:ilvl w:val="0"/>
          <w:numId w:val="67"/>
        </w:numPr>
        <w:tabs>
          <w:tab w:val="clear" w:pos="720"/>
          <w:tab w:val="left" w:pos="0" w:leader="none"/>
        </w:tabs>
        <w:spacing w:before="0" w:after="200"/>
        <w:ind w:hanging="283" w:left="709"/>
        <w:rPr/>
      </w:pPr>
      <w:r>
        <w:rPr>
          <w:rStyle w:val="Strong"/>
        </w:rPr>
        <w:t>External conditions are “indifferents” with respect to virtue.</w:t>
      </w:r>
      <w:r>
        <w:rPr/>
        <w:t xml:space="preserve"> Health, wealth, reputation, pleasure, pain, social status, and even life and death are not morally good or evil in themselves.</w:t>
      </w:r>
    </w:p>
    <w:p>
      <w:pPr>
        <w:pStyle w:val="BodyText"/>
        <w:numPr>
          <w:ilvl w:val="0"/>
          <w:numId w:val="67"/>
        </w:numPr>
        <w:tabs>
          <w:tab w:val="clear" w:pos="720"/>
          <w:tab w:val="left" w:pos="0" w:leader="none"/>
        </w:tabs>
        <w:spacing w:before="0" w:after="200"/>
        <w:ind w:hanging="283" w:left="709"/>
        <w:rPr/>
      </w:pPr>
      <w:r>
        <w:rPr>
          <w:rStyle w:val="Strong"/>
        </w:rPr>
        <w:t>Indifferents can still be preferred or dispreferred.</w:t>
      </w:r>
      <w:r>
        <w:rPr/>
        <w:t xml:space="preserve"> Health, education, security, and adequate resources normally have legitimate planning value and should usually be selected over illness, ignorance, danger, or deprivation. Calling them “indifferent” does not mean that a Stoic should make no effort to secure them. </w:t>
      </w:r>
      <w:hyperlink r:id="rId49">
        <w:r>
          <w:rPr>
            <w:rStyle w:val="Hyperlink"/>
          </w:rPr>
          <w:t>Stanford Encyclopedia of Philosophy</w:t>
        </w:r>
      </w:hyperlink>
    </w:p>
    <w:p>
      <w:pPr>
        <w:pStyle w:val="BodyText"/>
        <w:numPr>
          <w:ilvl w:val="0"/>
          <w:numId w:val="67"/>
        </w:numPr>
        <w:tabs>
          <w:tab w:val="clear" w:pos="720"/>
          <w:tab w:val="left" w:pos="0" w:leader="none"/>
        </w:tabs>
        <w:spacing w:before="0" w:after="200"/>
        <w:ind w:hanging="283" w:left="709"/>
        <w:rPr/>
      </w:pPr>
      <w:r>
        <w:rPr>
          <w:rStyle w:val="Strong"/>
        </w:rPr>
        <w:t>Moral agency concerns the use made of circumstances.</w:t>
      </w:r>
      <w:r>
        <w:rPr/>
        <w:t xml:space="preserve"> Especially in Epictetus, an agent’s judgments, assent, intentions, and choices are “up to” the agent in a way that external events and final results are not.</w:t>
      </w:r>
    </w:p>
    <w:p>
      <w:pPr>
        <w:pStyle w:val="BodyText"/>
        <w:numPr>
          <w:ilvl w:val="0"/>
          <w:numId w:val="67"/>
        </w:numPr>
        <w:tabs>
          <w:tab w:val="clear" w:pos="720"/>
          <w:tab w:val="left" w:pos="0" w:leader="none"/>
        </w:tabs>
        <w:spacing w:before="0" w:after="200"/>
        <w:ind w:hanging="283" w:left="709"/>
        <w:rPr/>
      </w:pPr>
      <w:r>
        <w:rPr>
          <w:rStyle w:val="Strong"/>
        </w:rPr>
        <w:t>Impressions should be examined before assent.</w:t>
      </w:r>
      <w:r>
        <w:rPr/>
        <w:t xml:space="preserve"> An initial appearance, impulse, or emotional reaction should not automatically be accepted as an accurate judgment about reality.</w:t>
      </w:r>
    </w:p>
    <w:p>
      <w:pPr>
        <w:pStyle w:val="BodyText"/>
        <w:numPr>
          <w:ilvl w:val="0"/>
          <w:numId w:val="67"/>
        </w:numPr>
        <w:tabs>
          <w:tab w:val="clear" w:pos="720"/>
          <w:tab w:val="left" w:pos="0" w:leader="none"/>
        </w:tabs>
        <w:spacing w:before="0" w:after="200"/>
        <w:ind w:hanging="283" w:left="709"/>
        <w:rPr/>
      </w:pPr>
      <w:r>
        <w:rPr>
          <w:rStyle w:val="Strong"/>
        </w:rPr>
        <w:t>Emotions have cognitive content.</w:t>
      </w:r>
      <w:r>
        <w:rPr/>
        <w:t xml:space="preserve"> Destructive passions commonly involve false or exaggerated judgments about external goods and evils.</w:t>
      </w:r>
    </w:p>
    <w:p>
      <w:pPr>
        <w:pStyle w:val="BodyText"/>
        <w:numPr>
          <w:ilvl w:val="0"/>
          <w:numId w:val="67"/>
        </w:numPr>
        <w:tabs>
          <w:tab w:val="clear" w:pos="720"/>
          <w:tab w:val="left" w:pos="0" w:leader="none"/>
        </w:tabs>
        <w:spacing w:before="0" w:after="200"/>
        <w:ind w:hanging="283" w:left="709"/>
        <w:rPr/>
      </w:pPr>
      <w:r>
        <w:rPr>
          <w:rStyle w:val="Strong"/>
        </w:rPr>
        <w:t>Stoic emotional discipline is not the elimination of all feeling.</w:t>
      </w:r>
      <w:r>
        <w:rPr/>
        <w:t xml:space="preserve"> Stoic </w:t>
      </w:r>
      <w:r>
        <w:rPr>
          <w:rStyle w:val="Emphasis"/>
        </w:rPr>
        <w:t>apatheia</w:t>
      </w:r>
      <w:r>
        <w:rPr/>
        <w:t xml:space="preserve"> refers to freedom from disordered passions rather than numbness. Classical Stoicism recognizes appropriate forms of joy, caution, concern, and rational desire.</w:t>
      </w:r>
    </w:p>
    <w:p>
      <w:pPr>
        <w:pStyle w:val="BodyText"/>
        <w:numPr>
          <w:ilvl w:val="0"/>
          <w:numId w:val="67"/>
        </w:numPr>
        <w:tabs>
          <w:tab w:val="clear" w:pos="720"/>
          <w:tab w:val="left" w:pos="0" w:leader="none"/>
        </w:tabs>
        <w:spacing w:before="0" w:after="200"/>
        <w:ind w:hanging="283" w:left="709"/>
        <w:rPr/>
      </w:pPr>
      <w:r>
        <w:rPr>
          <w:rStyle w:val="Strong"/>
        </w:rPr>
        <w:t>Appropriate action depends on roles and relationships.</w:t>
      </w:r>
      <w:r>
        <w:rPr/>
        <w:t xml:space="preserve"> Family membership, citizenship, profession, public authority, friendship, and other roles can create context-specific duties or appropriate functions.</w:t>
      </w:r>
    </w:p>
    <w:p>
      <w:pPr>
        <w:pStyle w:val="BodyText"/>
        <w:numPr>
          <w:ilvl w:val="0"/>
          <w:numId w:val="67"/>
        </w:numPr>
        <w:tabs>
          <w:tab w:val="clear" w:pos="720"/>
          <w:tab w:val="left" w:pos="0" w:leader="none"/>
        </w:tabs>
        <w:spacing w:before="0" w:after="200"/>
        <w:ind w:hanging="283" w:left="709"/>
        <w:rPr/>
      </w:pPr>
      <w:r>
        <w:rPr>
          <w:rStyle w:val="Strong"/>
        </w:rPr>
        <w:t>Human beings are naturally social.</w:t>
      </w:r>
      <w:r>
        <w:rPr/>
        <w:t xml:space="preserve"> Justice and cooperation are not optional additions to private resilience. A good life includes acting appropriately toward other members of the human community.</w:t>
      </w:r>
    </w:p>
    <w:p>
      <w:pPr>
        <w:pStyle w:val="BodyText"/>
        <w:numPr>
          <w:ilvl w:val="0"/>
          <w:numId w:val="67"/>
        </w:numPr>
        <w:tabs>
          <w:tab w:val="clear" w:pos="720"/>
          <w:tab w:val="left" w:pos="0" w:leader="none"/>
        </w:tabs>
        <w:spacing w:before="0" w:after="200"/>
        <w:ind w:hanging="283" w:left="709"/>
        <w:rPr/>
      </w:pPr>
      <w:r>
        <w:rPr>
          <w:rStyle w:val="Strong"/>
        </w:rPr>
        <w:t>Moral concern should expand outward.</w:t>
      </w:r>
      <w:r>
        <w:rPr/>
        <w:t xml:space="preserve"> The Stoic concepts of </w:t>
      </w:r>
      <w:r>
        <w:rPr>
          <w:rStyle w:val="Emphasis"/>
        </w:rPr>
        <w:t>oikeiōsis</w:t>
      </w:r>
      <w:r>
        <w:rPr/>
        <w:t>, affiliation, and cosmopolitanism support the progressive recognition of others as belonging within a shared moral community.</w:t>
      </w:r>
    </w:p>
    <w:p>
      <w:pPr>
        <w:pStyle w:val="BodyText"/>
        <w:numPr>
          <w:ilvl w:val="0"/>
          <w:numId w:val="67"/>
        </w:numPr>
        <w:tabs>
          <w:tab w:val="clear" w:pos="720"/>
          <w:tab w:val="left" w:pos="0" w:leader="none"/>
        </w:tabs>
        <w:spacing w:before="0" w:after="200"/>
        <w:ind w:hanging="283" w:left="709"/>
        <w:rPr/>
      </w:pPr>
      <w:r>
        <w:rPr>
          <w:rStyle w:val="Strong"/>
        </w:rPr>
        <w:t>The agent should distinguish effort from outcome.</w:t>
      </w:r>
      <w:r>
        <w:rPr/>
        <w:t xml:space="preserve"> An agent can control the quality of deliberation and action more directly than the eventual result.</w:t>
      </w:r>
    </w:p>
    <w:p>
      <w:pPr>
        <w:pStyle w:val="BodyText"/>
        <w:numPr>
          <w:ilvl w:val="0"/>
          <w:numId w:val="67"/>
        </w:numPr>
        <w:tabs>
          <w:tab w:val="clear" w:pos="720"/>
          <w:tab w:val="left" w:pos="0" w:leader="none"/>
        </w:tabs>
        <w:spacing w:before="0" w:after="200"/>
        <w:ind w:hanging="283" w:left="709"/>
        <w:rPr/>
      </w:pPr>
      <w:r>
        <w:rPr>
          <w:rStyle w:val="Strong"/>
        </w:rPr>
        <w:t>Goals should be pursued with a reservation concerning external success.</w:t>
      </w:r>
      <w:r>
        <w:rPr/>
        <w:t xml:space="preserve"> An agent should act competently toward a preferred outcome while recognizing that circumstances outside the agent’s control may prevent it.</w:t>
      </w:r>
    </w:p>
    <w:p>
      <w:pPr>
        <w:pStyle w:val="BodyText"/>
        <w:numPr>
          <w:ilvl w:val="0"/>
          <w:numId w:val="67"/>
        </w:numPr>
        <w:tabs>
          <w:tab w:val="clear" w:pos="720"/>
          <w:tab w:val="left" w:pos="0" w:leader="none"/>
        </w:tabs>
        <w:spacing w:before="0" w:after="200"/>
        <w:ind w:hanging="283" w:left="709"/>
        <w:rPr/>
      </w:pPr>
      <w:r>
        <w:rPr>
          <w:rStyle w:val="Strong"/>
        </w:rPr>
        <w:t>Adversity provides material for virtue.</w:t>
      </w:r>
      <w:r>
        <w:rPr/>
        <w:t xml:space="preserve"> Difficulty can become an occasion for courage, justice, patience, disciplined judgment, and adaptive action.</w:t>
      </w:r>
    </w:p>
    <w:p>
      <w:pPr>
        <w:pStyle w:val="BodyText"/>
        <w:numPr>
          <w:ilvl w:val="0"/>
          <w:numId w:val="67"/>
        </w:numPr>
        <w:tabs>
          <w:tab w:val="clear" w:pos="720"/>
          <w:tab w:val="left" w:pos="0" w:leader="none"/>
        </w:tabs>
        <w:spacing w:before="0" w:after="200"/>
        <w:ind w:hanging="283" w:left="709"/>
        <w:rPr/>
      </w:pPr>
      <w:r>
        <w:rPr>
          <w:rStyle w:val="Strong"/>
        </w:rPr>
        <w:t>Ethics requires repeated practice.</w:t>
      </w:r>
      <w:r>
        <w:rPr/>
        <w:t xml:space="preserve"> Reflection, examination of impressions, anticipation of difficulties, review of conduct, and correction of judgment are central to moral development.</w:t>
      </w:r>
    </w:p>
    <w:p>
      <w:pPr>
        <w:pStyle w:val="BodyText"/>
        <w:numPr>
          <w:ilvl w:val="0"/>
          <w:numId w:val="67"/>
        </w:numPr>
        <w:tabs>
          <w:tab w:val="clear" w:pos="720"/>
          <w:tab w:val="left" w:pos="0" w:leader="none"/>
        </w:tabs>
        <w:spacing w:before="0" w:after="200"/>
        <w:ind w:hanging="283" w:left="709"/>
        <w:rPr/>
      </w:pPr>
      <w:r>
        <w:rPr>
          <w:rStyle w:val="Strong"/>
        </w:rPr>
        <w:t>Classical Stoicism generally assumes an ordered and causally determined cosmos.</w:t>
      </w:r>
      <w:r>
        <w:rPr/>
        <w:t xml:space="preserve"> Human responsibility is nevertheless preserved through the agent’s rational participation in events, particularly through judgment and assent.</w:t>
      </w:r>
    </w:p>
    <w:p>
      <w:pPr>
        <w:pStyle w:val="Heading3"/>
        <w:spacing w:before="0" w:after="200"/>
        <w:ind w:hanging="0" w:left="0"/>
        <w:rPr>
          <w:rFonts w:ascii="Aptos" w:hAnsi="Aptos"/>
          <w:color w:val="auto"/>
        </w:rPr>
      </w:pPr>
      <w:r>
        <w:rPr>
          <w:rFonts w:ascii="Aptos" w:hAnsi="Aptos"/>
          <w:color w:val="auto"/>
        </w:rPr>
        <w:t>Relationship to This Framework</w:t>
      </w:r>
    </w:p>
    <w:p>
      <w:pPr>
        <w:pStyle w:val="BodyText"/>
        <w:spacing w:before="0" w:after="200"/>
        <w:rPr/>
      </w:pPr>
      <w:r>
        <w:rPr/>
        <w:t>Stoicism and this framework share a concern with the development of moral agents capable of acting consistently under changing and uncertain conditions. Both distinguish between external effects and the internal factors relevant to responsibility, including knowledge, intention, judgment, alternatives, authority, and foreseeability.</w:t>
      </w:r>
    </w:p>
    <w:p>
      <w:pPr>
        <w:pStyle w:val="BodyText"/>
        <w:spacing w:before="0" w:after="200"/>
        <w:rPr/>
      </w:pPr>
      <w:r>
        <w:rPr/>
        <w:t>The framework’s focus on adaptive moral development is particularly compatible with Stoicism. Stoic virtue can be understood as a stable, self-correcting policy for interpreting information, selecting objectives, managing impulses, and responding to changing circumstances. The framework’s Distributed Policy Effects extend this analysis by examining how one agent’s conduct influences the future policies of other agents, institutions, observers, and artificial systems.</w:t>
      </w:r>
    </w:p>
    <w:p>
      <w:pPr>
        <w:pStyle w:val="BodyText"/>
        <w:spacing w:before="0" w:after="200"/>
        <w:rPr/>
      </w:pPr>
      <w:r>
        <w:rPr/>
        <w:t>The Stoic distinction between what is and is not within an agent’s control also corresponds to several elements of the framework:</w:t>
      </w:r>
    </w:p>
    <w:p>
      <w:pPr>
        <w:pStyle w:val="BodyText"/>
        <w:numPr>
          <w:ilvl w:val="0"/>
          <w:numId w:val="68"/>
        </w:numPr>
        <w:tabs>
          <w:tab w:val="clear" w:pos="720"/>
          <w:tab w:val="left" w:pos="0" w:leader="none"/>
        </w:tabs>
        <w:spacing w:before="0" w:after="200"/>
        <w:ind w:hanging="283" w:left="709"/>
        <w:rPr/>
      </w:pPr>
      <w:r>
        <w:rPr/>
        <w:t>The actor’s The actor’s authority to intervene;</w:t>
      </w:r>
    </w:p>
    <w:p>
      <w:pPr>
        <w:pStyle w:val="BodyText"/>
        <w:numPr>
          <w:ilvl w:val="0"/>
          <w:numId w:val="68"/>
        </w:numPr>
        <w:tabs>
          <w:tab w:val="clear" w:pos="720"/>
          <w:tab w:val="left" w:pos="0" w:leader="none"/>
        </w:tabs>
        <w:spacing w:before="0" w:after="200"/>
        <w:ind w:hanging="283" w:left="709"/>
        <w:rPr/>
      </w:pPr>
      <w:r>
        <w:rPr/>
        <w:t>The alternatives actually available;</w:t>
      </w:r>
    </w:p>
    <w:p>
      <w:pPr>
        <w:pStyle w:val="BodyText"/>
        <w:numPr>
          <w:ilvl w:val="0"/>
          <w:numId w:val="68"/>
        </w:numPr>
        <w:tabs>
          <w:tab w:val="clear" w:pos="720"/>
          <w:tab w:val="left" w:pos="0" w:leader="none"/>
        </w:tabs>
        <w:spacing w:before="0" w:after="200"/>
        <w:ind w:hanging="283" w:left="709"/>
        <w:rPr/>
      </w:pPr>
      <w:r>
        <w:rPr/>
        <w:t>The information reasonably accessible;</w:t>
      </w:r>
    </w:p>
    <w:p>
      <w:pPr>
        <w:pStyle w:val="BodyText"/>
        <w:numPr>
          <w:ilvl w:val="0"/>
          <w:numId w:val="68"/>
        </w:numPr>
        <w:tabs>
          <w:tab w:val="clear" w:pos="720"/>
          <w:tab w:val="left" w:pos="0" w:leader="none"/>
        </w:tabs>
        <w:spacing w:before="0" w:after="200"/>
        <w:ind w:hanging="283" w:left="709"/>
        <w:rPr/>
      </w:pPr>
      <w:r>
        <w:rPr/>
        <w:t>The actor’s capacity to influence an outcome;</w:t>
      </w:r>
    </w:p>
    <w:p>
      <w:pPr>
        <w:pStyle w:val="BodyText"/>
        <w:numPr>
          <w:ilvl w:val="0"/>
          <w:numId w:val="68"/>
        </w:numPr>
        <w:tabs>
          <w:tab w:val="clear" w:pos="720"/>
          <w:tab w:val="left" w:pos="0" w:leader="none"/>
        </w:tabs>
        <w:spacing w:before="0" w:after="200"/>
        <w:ind w:hanging="283" w:left="709"/>
        <w:rPr/>
      </w:pPr>
      <w:r>
        <w:rPr/>
        <w:t>The difference between intended and actual effects; and</w:t>
      </w:r>
    </w:p>
    <w:p>
      <w:pPr>
        <w:pStyle w:val="BodyText"/>
        <w:numPr>
          <w:ilvl w:val="0"/>
          <w:numId w:val="68"/>
        </w:numPr>
        <w:tabs>
          <w:tab w:val="clear" w:pos="720"/>
          <w:tab w:val="left" w:pos="0" w:leader="none"/>
        </w:tabs>
        <w:spacing w:before="0" w:after="200"/>
        <w:ind w:hanging="283" w:left="709"/>
        <w:rPr/>
      </w:pPr>
      <w:r>
        <w:rPr/>
        <w:t>The separation of causal contribution from moral responsibility.</w:t>
      </w:r>
    </w:p>
    <w:p>
      <w:pPr>
        <w:pStyle w:val="BodyText"/>
        <w:spacing w:before="0" w:after="200"/>
        <w:rPr/>
      </w:pPr>
      <w:r>
        <w:rPr/>
        <w:t>The framework’s World Context also resembles the Stoic practice of viewing an action as part of a larger whole. Both approaches discourage an agent from evaluating events solely through immediate personal advantage. Stoic cosmopolitanism and justice further support widening the scope of concern beyond the actor’s local objectives.</w:t>
      </w:r>
    </w:p>
    <w:p>
      <w:pPr>
        <w:pStyle w:val="BodyText"/>
        <w:spacing w:before="0" w:after="200"/>
        <w:rPr/>
      </w:pPr>
      <w:r>
        <w:rPr/>
        <w:t>A fundamental difference nevertheless remains. Stoicism locates moral goodness primarily in the virtue of the agent’s rational choice. This framework evaluates the complete World Context Transition and gives independent importance to changes in the flourishing and future possibilities of affected entities. A well-intentioned and carefully reasoned action that causes serious harm may preserve the Stoic agent’s virtue if the result was genuinely unforeseeable, but the transition itself can still be ethically adverse under this framework.</w:t>
      </w:r>
    </w:p>
    <w:p>
      <w:pPr>
        <w:pStyle w:val="BodyText"/>
        <w:spacing w:before="0" w:after="200"/>
        <w:rPr/>
      </w:pPr>
      <w:r>
        <w:rPr/>
        <w:t>The framework can accommodate this distinction because it separates the ethical effects of an Assessed Action from the responsibility of a particular actor. It can conclude simultaneously that:</w:t>
      </w:r>
    </w:p>
    <w:p>
      <w:pPr>
        <w:pStyle w:val="BodyText"/>
        <w:numPr>
          <w:ilvl w:val="0"/>
          <w:numId w:val="69"/>
        </w:numPr>
        <w:tabs>
          <w:tab w:val="clear" w:pos="720"/>
          <w:tab w:val="left" w:pos="0" w:leader="none"/>
        </w:tabs>
        <w:spacing w:before="0" w:after="200"/>
        <w:ind w:hanging="283" w:left="709"/>
        <w:rPr/>
      </w:pPr>
      <w:r>
        <w:rPr/>
        <w:t>The action produced a harmful transition;</w:t>
      </w:r>
    </w:p>
    <w:p>
      <w:pPr>
        <w:pStyle w:val="BodyText"/>
        <w:numPr>
          <w:ilvl w:val="0"/>
          <w:numId w:val="69"/>
        </w:numPr>
        <w:tabs>
          <w:tab w:val="clear" w:pos="720"/>
          <w:tab w:val="left" w:pos="0" w:leader="none"/>
        </w:tabs>
        <w:spacing w:before="0" w:after="200"/>
        <w:ind w:hanging="283" w:left="709"/>
        <w:rPr/>
      </w:pPr>
      <w:r>
        <w:rPr/>
        <w:t>The actor used the best available evidence;</w:t>
      </w:r>
    </w:p>
    <w:p>
      <w:pPr>
        <w:pStyle w:val="BodyText"/>
        <w:numPr>
          <w:ilvl w:val="0"/>
          <w:numId w:val="69"/>
        </w:numPr>
        <w:tabs>
          <w:tab w:val="clear" w:pos="720"/>
          <w:tab w:val="left" w:pos="0" w:leader="none"/>
        </w:tabs>
        <w:spacing w:before="0" w:after="200"/>
        <w:ind w:hanging="283" w:left="709"/>
        <w:rPr/>
      </w:pPr>
      <w:r>
        <w:rPr/>
        <w:t>The harm was not reasonably foreseeable;</w:t>
      </w:r>
    </w:p>
    <w:p>
      <w:pPr>
        <w:pStyle w:val="BodyText"/>
        <w:numPr>
          <w:ilvl w:val="0"/>
          <w:numId w:val="69"/>
        </w:numPr>
        <w:tabs>
          <w:tab w:val="clear" w:pos="720"/>
          <w:tab w:val="left" w:pos="0" w:leader="none"/>
        </w:tabs>
        <w:spacing w:before="0" w:after="200"/>
        <w:ind w:hanging="283" w:left="709"/>
        <w:rPr/>
      </w:pPr>
      <w:r>
        <w:rPr/>
        <w:t>The actor’s responsibility is therefore limited; and</w:t>
      </w:r>
    </w:p>
    <w:p>
      <w:pPr>
        <w:pStyle w:val="BodyText"/>
        <w:numPr>
          <w:ilvl w:val="0"/>
          <w:numId w:val="69"/>
        </w:numPr>
        <w:tabs>
          <w:tab w:val="clear" w:pos="720"/>
          <w:tab w:val="left" w:pos="0" w:leader="none"/>
        </w:tabs>
        <w:spacing w:before="0" w:after="200"/>
        <w:ind w:hanging="283" w:left="709"/>
        <w:rPr/>
      </w:pPr>
      <w:r>
        <w:rPr/>
        <w:t>Subsequent corrective action may still be required.</w:t>
      </w:r>
    </w:p>
    <w:p>
      <w:pPr>
        <w:pStyle w:val="BodyText"/>
        <w:spacing w:before="0" w:after="200"/>
        <w:rPr/>
      </w:pPr>
      <w:r>
        <w:rPr/>
        <w:t>A second difference concerns external conditions. The framework treats health, capability, security, resources, relationships, and future state space as substantive dimensions of Long-Term Flourishing. Classical Stoicism treats these as preferred indifferents rather than constituents of moral goodness. The two approaches therefore use “flourishing” differently.</w:t>
      </w:r>
    </w:p>
    <w:p>
      <w:pPr>
        <w:pStyle w:val="BodyText"/>
        <w:spacing w:before="0" w:after="200"/>
        <w:rPr/>
      </w:pPr>
      <w:r>
        <w:rPr/>
        <w:t>A third difference concerns metaphysics. Classical Stoicism grounds ethics in a rationally ordered and providential nature. This framework is implementation-neutral and does not require belief in cosmic providence, divine reason, or strict causal determinism.</w:t>
      </w:r>
    </w:p>
    <w:p>
      <w:pPr>
        <w:pStyle w:val="Heading3"/>
        <w:spacing w:before="0" w:after="200"/>
        <w:ind w:hanging="0" w:left="0"/>
        <w:rPr>
          <w:rFonts w:ascii="Aptos" w:hAnsi="Aptos"/>
          <w:color w:val="auto"/>
        </w:rPr>
      </w:pPr>
      <w:r>
        <w:rPr>
          <w:rFonts w:ascii="Aptos" w:hAnsi="Aptos"/>
          <w:color w:val="auto"/>
        </w:rPr>
        <w:t>Concepts Adopted or Adapted by This Framework</w:t>
      </w:r>
    </w:p>
    <w:p>
      <w:pPr>
        <w:pStyle w:val="BodyText"/>
        <w:spacing w:before="0" w:after="200"/>
        <w:rPr/>
      </w:pPr>
      <w:r>
        <w:rPr/>
        <w:t>The framework implicitly adopts or can functionally adapt several Stoic concepts.</w:t>
      </w:r>
    </w:p>
    <w:tbl>
      <w:tblPr>
        <w:tblW w:w="8640" w:type="dxa"/>
        <w:jc w:val="left"/>
        <w:tblInd w:w="28" w:type="dxa"/>
        <w:tblLayout w:type="fixed"/>
        <w:tblCellMar>
          <w:top w:w="28" w:type="dxa"/>
          <w:left w:w="28" w:type="dxa"/>
          <w:bottom w:w="28" w:type="dxa"/>
          <w:right w:w="28" w:type="dxa"/>
        </w:tblCellMar>
      </w:tblPr>
      <w:tblGrid>
        <w:gridCol w:w="2598"/>
        <w:gridCol w:w="6042"/>
      </w:tblGrid>
      <w:tr>
        <w:trPr>
          <w:tblHeader w:val="true"/>
        </w:trPr>
        <w:tc>
          <w:tcPr>
            <w:tcW w:w="2598" w:type="dxa"/>
            <w:tcBorders/>
            <w:vAlign w:val="center"/>
          </w:tcPr>
          <w:p>
            <w:pPr>
              <w:pStyle w:val="TableHeading"/>
              <w:suppressLineNumbers/>
              <w:spacing w:before="0" w:after="200"/>
              <w:jc w:val="center"/>
              <w:rPr/>
            </w:pPr>
            <w:r>
              <w:rPr/>
              <w:t>Stoic concept</w:t>
            </w:r>
          </w:p>
        </w:tc>
        <w:tc>
          <w:tcPr>
            <w:tcW w:w="6042" w:type="dxa"/>
            <w:tcBorders/>
            <w:vAlign w:val="center"/>
          </w:tcPr>
          <w:p>
            <w:pPr>
              <w:pStyle w:val="TableHeading"/>
              <w:suppressLineNumbers/>
              <w:spacing w:before="0" w:after="200"/>
              <w:jc w:val="center"/>
              <w:rPr/>
            </w:pPr>
            <w:r>
              <w:rPr/>
              <w:t>Adoption or adaptation within this framework</w:t>
            </w:r>
          </w:p>
        </w:tc>
      </w:tr>
      <w:tr>
        <w:trPr/>
        <w:tc>
          <w:tcPr>
            <w:tcW w:w="2598" w:type="dxa"/>
            <w:tcBorders/>
            <w:vAlign w:val="center"/>
          </w:tcPr>
          <w:p>
            <w:pPr>
              <w:pStyle w:val="TableContents"/>
              <w:widowControl w:val="false"/>
              <w:suppressLineNumbers/>
              <w:spacing w:before="0" w:after="200"/>
              <w:rPr/>
            </w:pPr>
            <w:r>
              <w:rPr>
                <w:rStyle w:val="Strong"/>
              </w:rPr>
              <w:t>Virtue as stable rational character</w:t>
            </w:r>
          </w:p>
        </w:tc>
        <w:tc>
          <w:tcPr>
            <w:tcW w:w="6042" w:type="dxa"/>
            <w:tcBorders/>
            <w:vAlign w:val="center"/>
          </w:tcPr>
          <w:p>
            <w:pPr>
              <w:pStyle w:val="TableContents"/>
              <w:widowControl w:val="false"/>
              <w:suppressLineNumbers/>
              <w:spacing w:before="0" w:after="200"/>
              <w:rPr/>
            </w:pPr>
            <w:r>
              <w:rPr/>
              <w:t>Adaptable as a durable moral-agent policy that consistently governs interpretation, objective selection, and action across contexts.</w:t>
            </w:r>
          </w:p>
        </w:tc>
      </w:tr>
      <w:tr>
        <w:trPr/>
        <w:tc>
          <w:tcPr>
            <w:tcW w:w="2598" w:type="dxa"/>
            <w:tcBorders/>
            <w:vAlign w:val="center"/>
          </w:tcPr>
          <w:p>
            <w:pPr>
              <w:pStyle w:val="TableContents"/>
              <w:widowControl w:val="false"/>
              <w:suppressLineNumbers/>
              <w:spacing w:before="0" w:after="200"/>
              <w:rPr/>
            </w:pPr>
            <w:r>
              <w:rPr>
                <w:rStyle w:val="Strong"/>
              </w:rPr>
              <w:t>Wisdom</w:t>
            </w:r>
          </w:p>
        </w:tc>
        <w:tc>
          <w:tcPr>
            <w:tcW w:w="6042" w:type="dxa"/>
            <w:tcBorders/>
            <w:vAlign w:val="center"/>
          </w:tcPr>
          <w:p>
            <w:pPr>
              <w:pStyle w:val="TableContents"/>
              <w:widowControl w:val="false"/>
              <w:suppressLineNumbers/>
              <w:spacing w:before="0" w:after="200"/>
              <w:rPr/>
            </w:pPr>
            <w:r>
              <w:rPr/>
              <w:t>Reflected in the use of evidence, probability, causal reasoning, multiple horizons, and explicit uncertainty.</w:t>
            </w:r>
          </w:p>
        </w:tc>
      </w:tr>
      <w:tr>
        <w:trPr/>
        <w:tc>
          <w:tcPr>
            <w:tcW w:w="2598" w:type="dxa"/>
            <w:tcBorders/>
            <w:vAlign w:val="center"/>
          </w:tcPr>
          <w:p>
            <w:pPr>
              <w:pStyle w:val="TableContents"/>
              <w:widowControl w:val="false"/>
              <w:suppressLineNumbers/>
              <w:spacing w:before="0" w:after="200"/>
              <w:rPr/>
            </w:pPr>
            <w:r>
              <w:rPr>
                <w:rStyle w:val="Strong"/>
              </w:rPr>
              <w:t>Justice</w:t>
            </w:r>
          </w:p>
        </w:tc>
        <w:tc>
          <w:tcPr>
            <w:tcW w:w="6042" w:type="dxa"/>
            <w:tcBorders/>
            <w:vAlign w:val="center"/>
          </w:tcPr>
          <w:p>
            <w:pPr>
              <w:pStyle w:val="TableContents"/>
              <w:widowControl w:val="false"/>
              <w:suppressLineNumbers/>
              <w:spacing w:before="0" w:after="200"/>
              <w:rPr/>
            </w:pPr>
            <w:r>
              <w:rPr/>
              <w:t>Reflected in the requirement to include effects on other relevant entities rather than treating the actor’s objectives as decisive.</w:t>
            </w:r>
          </w:p>
        </w:tc>
      </w:tr>
      <w:tr>
        <w:trPr/>
        <w:tc>
          <w:tcPr>
            <w:tcW w:w="2598" w:type="dxa"/>
            <w:tcBorders/>
            <w:vAlign w:val="center"/>
          </w:tcPr>
          <w:p>
            <w:pPr>
              <w:pStyle w:val="TableContents"/>
              <w:widowControl w:val="false"/>
              <w:suppressLineNumbers/>
              <w:spacing w:before="0" w:after="200"/>
              <w:rPr/>
            </w:pPr>
            <w:r>
              <w:rPr>
                <w:rStyle w:val="Strong"/>
              </w:rPr>
              <w:t>Courage</w:t>
            </w:r>
          </w:p>
        </w:tc>
        <w:tc>
          <w:tcPr>
            <w:tcW w:w="6042" w:type="dxa"/>
            <w:tcBorders/>
            <w:vAlign w:val="center"/>
          </w:tcPr>
          <w:p>
            <w:pPr>
              <w:pStyle w:val="TableContents"/>
              <w:widowControl w:val="false"/>
              <w:suppressLineNumbers/>
              <w:spacing w:before="0" w:after="200"/>
              <w:rPr/>
            </w:pPr>
            <w:r>
              <w:rPr/>
              <w:t>Representable as willingness to perform a justified action despite fear, cost, uncertainty, or social pressure.</w:t>
            </w:r>
          </w:p>
        </w:tc>
      </w:tr>
      <w:tr>
        <w:trPr/>
        <w:tc>
          <w:tcPr>
            <w:tcW w:w="2598" w:type="dxa"/>
            <w:tcBorders/>
            <w:vAlign w:val="center"/>
          </w:tcPr>
          <w:p>
            <w:pPr>
              <w:pStyle w:val="TableContents"/>
              <w:widowControl w:val="false"/>
              <w:suppressLineNumbers/>
              <w:spacing w:before="0" w:after="200"/>
              <w:rPr/>
            </w:pPr>
            <w:r>
              <w:rPr>
                <w:rStyle w:val="Strong"/>
              </w:rPr>
              <w:t>Moderation</w:t>
            </w:r>
          </w:p>
        </w:tc>
        <w:tc>
          <w:tcPr>
            <w:tcW w:w="6042" w:type="dxa"/>
            <w:tcBorders/>
            <w:vAlign w:val="center"/>
          </w:tcPr>
          <w:p>
            <w:pPr>
              <w:pStyle w:val="TableContents"/>
              <w:widowControl w:val="false"/>
              <w:suppressLineNumbers/>
              <w:spacing w:before="0" w:after="200"/>
              <w:rPr/>
            </w:pPr>
            <w:r>
              <w:rPr/>
              <w:t>Representable as constraint of excessive, impulsive, or narrowly self-interested objectives.</w:t>
            </w:r>
          </w:p>
        </w:tc>
      </w:tr>
      <w:tr>
        <w:trPr/>
        <w:tc>
          <w:tcPr>
            <w:tcW w:w="2598" w:type="dxa"/>
            <w:tcBorders/>
            <w:vAlign w:val="center"/>
          </w:tcPr>
          <w:p>
            <w:pPr>
              <w:pStyle w:val="TableContents"/>
              <w:widowControl w:val="false"/>
              <w:suppressLineNumbers/>
              <w:spacing w:before="0" w:after="200"/>
              <w:rPr/>
            </w:pPr>
            <w:r>
              <w:rPr>
                <w:rStyle w:val="Strong"/>
              </w:rPr>
              <w:t>What is “up to us”</w:t>
            </w:r>
          </w:p>
        </w:tc>
        <w:tc>
          <w:tcPr>
            <w:tcW w:w="6042" w:type="dxa"/>
            <w:tcBorders/>
            <w:vAlign w:val="center"/>
          </w:tcPr>
          <w:p>
            <w:pPr>
              <w:pStyle w:val="TableContents"/>
              <w:widowControl w:val="false"/>
              <w:suppressLineNumbers/>
              <w:spacing w:before="0" w:after="200"/>
              <w:rPr/>
            </w:pPr>
            <w:r>
              <w:rPr/>
              <w:t>Adapted through analysis of authority, capability, controllability, knowledge, and available alternatives.</w:t>
            </w:r>
          </w:p>
        </w:tc>
      </w:tr>
      <w:tr>
        <w:trPr/>
        <w:tc>
          <w:tcPr>
            <w:tcW w:w="2598" w:type="dxa"/>
            <w:tcBorders/>
            <w:vAlign w:val="center"/>
          </w:tcPr>
          <w:p>
            <w:pPr>
              <w:pStyle w:val="TableContents"/>
              <w:widowControl w:val="false"/>
              <w:suppressLineNumbers/>
              <w:spacing w:before="0" w:after="200"/>
              <w:rPr/>
            </w:pPr>
            <w:r>
              <w:rPr>
                <w:rStyle w:val="Strong"/>
              </w:rPr>
              <w:t>Impression and assent</w:t>
            </w:r>
          </w:p>
        </w:tc>
        <w:tc>
          <w:tcPr>
            <w:tcW w:w="6042" w:type="dxa"/>
            <w:tcBorders/>
            <w:vAlign w:val="center"/>
          </w:tcPr>
          <w:p>
            <w:pPr>
              <w:pStyle w:val="TableContents"/>
              <w:widowControl w:val="false"/>
              <w:suppressLineNumbers/>
              <w:spacing w:before="0" w:after="200"/>
              <w:rPr/>
            </w:pPr>
            <w:r>
              <w:rPr/>
              <w:t>Adaptable as a reasoning sequence in which incoming information is evaluated before it changes belief, objective, or action policy.</w:t>
            </w:r>
          </w:p>
        </w:tc>
      </w:tr>
      <w:tr>
        <w:trPr/>
        <w:tc>
          <w:tcPr>
            <w:tcW w:w="2598" w:type="dxa"/>
            <w:tcBorders/>
            <w:vAlign w:val="center"/>
          </w:tcPr>
          <w:p>
            <w:pPr>
              <w:pStyle w:val="TableContents"/>
              <w:widowControl w:val="false"/>
              <w:suppressLineNumbers/>
              <w:spacing w:before="0" w:after="200"/>
              <w:rPr/>
            </w:pPr>
            <w:r>
              <w:rPr>
                <w:rStyle w:val="Strong"/>
              </w:rPr>
              <w:t>Prohairesis or volition</w:t>
            </w:r>
          </w:p>
        </w:tc>
        <w:tc>
          <w:tcPr>
            <w:tcW w:w="6042" w:type="dxa"/>
            <w:tcBorders/>
            <w:vAlign w:val="center"/>
          </w:tcPr>
          <w:p>
            <w:pPr>
              <w:pStyle w:val="TableContents"/>
              <w:widowControl w:val="false"/>
              <w:suppressLineNumbers/>
              <w:spacing w:before="0" w:after="200"/>
              <w:rPr/>
            </w:pPr>
            <w:r>
              <w:rPr/>
              <w:t>Related to the agent’s capacity to select objectives and actions through reflective judgment.</w:t>
            </w:r>
          </w:p>
        </w:tc>
      </w:tr>
      <w:tr>
        <w:trPr/>
        <w:tc>
          <w:tcPr>
            <w:tcW w:w="2598" w:type="dxa"/>
            <w:tcBorders/>
            <w:vAlign w:val="center"/>
          </w:tcPr>
          <w:p>
            <w:pPr>
              <w:pStyle w:val="TableContents"/>
              <w:widowControl w:val="false"/>
              <w:suppressLineNumbers/>
              <w:spacing w:before="0" w:after="200"/>
              <w:rPr/>
            </w:pPr>
            <w:r>
              <w:rPr>
                <w:rStyle w:val="Strong"/>
              </w:rPr>
              <w:t>Preferred indifferents</w:t>
            </w:r>
          </w:p>
        </w:tc>
        <w:tc>
          <w:tcPr>
            <w:tcW w:w="6042" w:type="dxa"/>
            <w:tcBorders/>
            <w:vAlign w:val="center"/>
          </w:tcPr>
          <w:p>
            <w:pPr>
              <w:pStyle w:val="TableContents"/>
              <w:widowControl w:val="false"/>
              <w:suppressLineNumbers/>
              <w:spacing w:before="0" w:after="200"/>
              <w:rPr/>
            </w:pPr>
            <w:r>
              <w:rPr/>
              <w:t>Adaptable as outcomes that should normally be pursued without making moral responsibility depend entirely on their successful attainment.</w:t>
            </w:r>
          </w:p>
        </w:tc>
      </w:tr>
      <w:tr>
        <w:trPr/>
        <w:tc>
          <w:tcPr>
            <w:tcW w:w="2598" w:type="dxa"/>
            <w:tcBorders/>
            <w:vAlign w:val="center"/>
          </w:tcPr>
          <w:p>
            <w:pPr>
              <w:pStyle w:val="TableContents"/>
              <w:widowControl w:val="false"/>
              <w:suppressLineNumbers/>
              <w:spacing w:before="0" w:after="200"/>
              <w:rPr/>
            </w:pPr>
            <w:r>
              <w:rPr>
                <w:rStyle w:val="Strong"/>
              </w:rPr>
              <w:t>Appropriate actions</w:t>
            </w:r>
          </w:p>
        </w:tc>
        <w:tc>
          <w:tcPr>
            <w:tcW w:w="6042" w:type="dxa"/>
            <w:tcBorders/>
            <w:vAlign w:val="center"/>
          </w:tcPr>
          <w:p>
            <w:pPr>
              <w:pStyle w:val="TableContents"/>
              <w:widowControl w:val="false"/>
              <w:suppressLineNumbers/>
              <w:spacing w:before="0" w:after="200"/>
              <w:rPr/>
            </w:pPr>
            <w:r>
              <w:rPr/>
              <w:t>Reflected in duties created by role, relationship, authority, institutional function, and situational context.</w:t>
            </w:r>
          </w:p>
        </w:tc>
      </w:tr>
      <w:tr>
        <w:trPr/>
        <w:tc>
          <w:tcPr>
            <w:tcW w:w="2598" w:type="dxa"/>
            <w:tcBorders/>
            <w:vAlign w:val="center"/>
          </w:tcPr>
          <w:p>
            <w:pPr>
              <w:pStyle w:val="TableContents"/>
              <w:widowControl w:val="false"/>
              <w:suppressLineNumbers/>
              <w:spacing w:before="0" w:after="200"/>
              <w:rPr/>
            </w:pPr>
            <w:r>
              <w:rPr>
                <w:rStyle w:val="Strong"/>
              </w:rPr>
              <w:t>Reserve clause</w:t>
            </w:r>
          </w:p>
        </w:tc>
        <w:tc>
          <w:tcPr>
            <w:tcW w:w="6042" w:type="dxa"/>
            <w:tcBorders/>
            <w:vAlign w:val="center"/>
          </w:tcPr>
          <w:p>
            <w:pPr>
              <w:pStyle w:val="TableContents"/>
              <w:widowControl w:val="false"/>
              <w:suppressLineNumbers/>
              <w:spacing w:before="0" w:after="200"/>
              <w:rPr/>
            </w:pPr>
            <w:r>
              <w:rPr/>
              <w:t>Adaptable as a conditional objective pursued subject to uncertainty and external constraints.</w:t>
            </w:r>
          </w:p>
        </w:tc>
      </w:tr>
      <w:tr>
        <w:trPr/>
        <w:tc>
          <w:tcPr>
            <w:tcW w:w="2598" w:type="dxa"/>
            <w:tcBorders/>
            <w:vAlign w:val="center"/>
          </w:tcPr>
          <w:p>
            <w:pPr>
              <w:pStyle w:val="TableContents"/>
              <w:widowControl w:val="false"/>
              <w:suppressLineNumbers/>
              <w:spacing w:before="0" w:after="200"/>
              <w:rPr/>
            </w:pPr>
            <w:r>
              <w:rPr>
                <w:rStyle w:val="Strong"/>
              </w:rPr>
              <w:t>Oikeiōsis</w:t>
            </w:r>
          </w:p>
        </w:tc>
        <w:tc>
          <w:tcPr>
            <w:tcW w:w="6042" w:type="dxa"/>
            <w:tcBorders/>
            <w:vAlign w:val="center"/>
          </w:tcPr>
          <w:p>
            <w:pPr>
              <w:pStyle w:val="TableContents"/>
              <w:widowControl w:val="false"/>
              <w:suppressLineNumbers/>
              <w:spacing w:before="0" w:after="200"/>
              <w:rPr/>
            </w:pPr>
            <w:r>
              <w:rPr/>
              <w:t>Related to the progressive recognition of additional entities and relationships as morally relevant.</w:t>
            </w:r>
          </w:p>
        </w:tc>
      </w:tr>
      <w:tr>
        <w:trPr/>
        <w:tc>
          <w:tcPr>
            <w:tcW w:w="2598" w:type="dxa"/>
            <w:tcBorders/>
            <w:vAlign w:val="center"/>
          </w:tcPr>
          <w:p>
            <w:pPr>
              <w:pStyle w:val="TableContents"/>
              <w:widowControl w:val="false"/>
              <w:suppressLineNumbers/>
              <w:spacing w:before="0" w:after="200"/>
              <w:rPr/>
            </w:pPr>
            <w:r>
              <w:rPr>
                <w:rStyle w:val="Strong"/>
              </w:rPr>
              <w:t>Cosmopolitanism</w:t>
            </w:r>
          </w:p>
        </w:tc>
        <w:tc>
          <w:tcPr>
            <w:tcW w:w="6042" w:type="dxa"/>
            <w:tcBorders/>
            <w:vAlign w:val="center"/>
          </w:tcPr>
          <w:p>
            <w:pPr>
              <w:pStyle w:val="TableContents"/>
              <w:widowControl w:val="false"/>
              <w:suppressLineNumbers/>
              <w:spacing w:before="0" w:after="200"/>
              <w:rPr/>
            </w:pPr>
            <w:r>
              <w:rPr/>
              <w:t>Reflected in the expansion of assessment beyond local actors, organizations, jurisdictions, or immediate beneficiaries.</w:t>
            </w:r>
          </w:p>
        </w:tc>
      </w:tr>
      <w:tr>
        <w:trPr/>
        <w:tc>
          <w:tcPr>
            <w:tcW w:w="2598" w:type="dxa"/>
            <w:tcBorders/>
            <w:vAlign w:val="center"/>
          </w:tcPr>
          <w:p>
            <w:pPr>
              <w:pStyle w:val="TableContents"/>
              <w:widowControl w:val="false"/>
              <w:suppressLineNumbers/>
              <w:spacing w:before="0" w:after="200"/>
              <w:rPr/>
            </w:pPr>
            <w:r>
              <w:rPr>
                <w:rStyle w:val="Strong"/>
              </w:rPr>
              <w:t>View from the whole</w:t>
            </w:r>
          </w:p>
        </w:tc>
        <w:tc>
          <w:tcPr>
            <w:tcW w:w="6042" w:type="dxa"/>
            <w:tcBorders/>
            <w:vAlign w:val="center"/>
          </w:tcPr>
          <w:p>
            <w:pPr>
              <w:pStyle w:val="TableContents"/>
              <w:widowControl w:val="false"/>
              <w:suppressLineNumbers/>
              <w:spacing w:before="0" w:after="200"/>
              <w:rPr/>
            </w:pPr>
            <w:r>
              <w:rPr/>
              <w:t>Closely related to evaluation of the complete World Context Transition.</w:t>
            </w:r>
          </w:p>
        </w:tc>
      </w:tr>
      <w:tr>
        <w:trPr/>
        <w:tc>
          <w:tcPr>
            <w:tcW w:w="2598" w:type="dxa"/>
            <w:tcBorders/>
            <w:vAlign w:val="center"/>
          </w:tcPr>
          <w:p>
            <w:pPr>
              <w:pStyle w:val="TableContents"/>
              <w:widowControl w:val="false"/>
              <w:suppressLineNumbers/>
              <w:spacing w:before="0" w:after="200"/>
              <w:rPr/>
            </w:pPr>
            <w:r>
              <w:rPr>
                <w:rStyle w:val="Strong"/>
              </w:rPr>
              <w:t>Self-examination</w:t>
            </w:r>
          </w:p>
        </w:tc>
        <w:tc>
          <w:tcPr>
            <w:tcW w:w="6042" w:type="dxa"/>
            <w:tcBorders/>
            <w:vAlign w:val="center"/>
          </w:tcPr>
          <w:p>
            <w:pPr>
              <w:pStyle w:val="TableContents"/>
              <w:widowControl w:val="false"/>
              <w:suppressLineNumbers/>
              <w:spacing w:before="0" w:after="200"/>
              <w:rPr/>
            </w:pPr>
            <w:r>
              <w:rPr/>
              <w:t>Adaptable through decision logs, retrospective review, outcome monitoring, error correction, and policy updating.</w:t>
            </w:r>
          </w:p>
        </w:tc>
      </w:tr>
      <w:tr>
        <w:trPr/>
        <w:tc>
          <w:tcPr>
            <w:tcW w:w="2598" w:type="dxa"/>
            <w:tcBorders/>
            <w:vAlign w:val="center"/>
          </w:tcPr>
          <w:p>
            <w:pPr>
              <w:pStyle w:val="TableContents"/>
              <w:widowControl w:val="false"/>
              <w:suppressLineNumbers/>
              <w:spacing w:before="0" w:after="200"/>
              <w:rPr/>
            </w:pPr>
            <w:r>
              <w:rPr>
                <w:rStyle w:val="Strong"/>
              </w:rPr>
              <w:t>Preparation for adversity</w:t>
            </w:r>
          </w:p>
        </w:tc>
        <w:tc>
          <w:tcPr>
            <w:tcW w:w="6042" w:type="dxa"/>
            <w:tcBorders/>
            <w:vAlign w:val="center"/>
          </w:tcPr>
          <w:p>
            <w:pPr>
              <w:pStyle w:val="TableContents"/>
              <w:widowControl w:val="false"/>
              <w:suppressLineNumbers/>
              <w:spacing w:before="0" w:after="200"/>
              <w:rPr/>
            </w:pPr>
            <w:r>
              <w:rPr/>
              <w:t>Adaptable through scenario analysis, stress testing, contingency planning, and consideration of low-probability harms.</w:t>
            </w:r>
          </w:p>
        </w:tc>
      </w:tr>
      <w:tr>
        <w:trPr/>
        <w:tc>
          <w:tcPr>
            <w:tcW w:w="2598" w:type="dxa"/>
            <w:tcBorders/>
            <w:vAlign w:val="center"/>
          </w:tcPr>
          <w:p>
            <w:pPr>
              <w:pStyle w:val="TableContents"/>
              <w:widowControl w:val="false"/>
              <w:suppressLineNumbers/>
              <w:spacing w:before="0" w:after="200"/>
              <w:rPr/>
            </w:pPr>
            <w:r>
              <w:rPr>
                <w:rStyle w:val="Strong"/>
              </w:rPr>
              <w:t>Emotional discipline</w:t>
            </w:r>
          </w:p>
        </w:tc>
        <w:tc>
          <w:tcPr>
            <w:tcW w:w="6042" w:type="dxa"/>
            <w:tcBorders/>
            <w:vAlign w:val="center"/>
          </w:tcPr>
          <w:p>
            <w:pPr>
              <w:pStyle w:val="TableContents"/>
              <w:widowControl w:val="false"/>
              <w:suppressLineNumbers/>
              <w:spacing w:before="0" w:after="200"/>
              <w:rPr/>
            </w:pPr>
            <w:r>
              <w:rPr/>
              <w:t>Adaptable as recognition and regulation of fear, anger, desire, status concern, and other influences on evidence assessment.</w:t>
            </w:r>
          </w:p>
        </w:tc>
      </w:tr>
      <w:tr>
        <w:trPr/>
        <w:tc>
          <w:tcPr>
            <w:tcW w:w="2598" w:type="dxa"/>
            <w:tcBorders/>
            <w:vAlign w:val="center"/>
          </w:tcPr>
          <w:p>
            <w:pPr>
              <w:pStyle w:val="TableContents"/>
              <w:widowControl w:val="false"/>
              <w:suppressLineNumbers/>
              <w:spacing w:before="0" w:after="200"/>
              <w:rPr/>
            </w:pPr>
            <w:r>
              <w:rPr>
                <w:rStyle w:val="Strong"/>
              </w:rPr>
              <w:t>Role ethics</w:t>
            </w:r>
          </w:p>
        </w:tc>
        <w:tc>
          <w:tcPr>
            <w:tcW w:w="6042" w:type="dxa"/>
            <w:tcBorders/>
            <w:vAlign w:val="center"/>
          </w:tcPr>
          <w:p>
            <w:pPr>
              <w:pStyle w:val="TableContents"/>
              <w:widowControl w:val="false"/>
              <w:suppressLineNumbers/>
              <w:spacing w:before="0" w:after="200"/>
              <w:rPr/>
            </w:pPr>
            <w:r>
              <w:rPr/>
              <w:t>Reflected in the framework’s treatment of authority, responsibility, institutional position, commitments, and expected conduct.</w:t>
            </w:r>
          </w:p>
        </w:tc>
      </w:tr>
    </w:tbl>
    <w:p>
      <w:pPr>
        <w:pStyle w:val="Heading3"/>
        <w:spacing w:before="0" w:after="200"/>
        <w:ind w:hanging="0" w:left="0"/>
        <w:rPr>
          <w:rFonts w:ascii="Aptos" w:hAnsi="Aptos"/>
          <w:color w:val="auto"/>
        </w:rPr>
      </w:pPr>
      <w:r>
        <w:rPr>
          <w:rFonts w:ascii="Aptos" w:hAnsi="Aptos"/>
          <w:color w:val="auto"/>
        </w:rPr>
        <w:t>Similarities</w:t>
      </w:r>
    </w:p>
    <w:p>
      <w:pPr>
        <w:pStyle w:val="BodyText"/>
        <w:spacing w:before="0" w:after="200"/>
        <w:rPr/>
      </w:pPr>
      <w:r>
        <w:rPr/>
        <w:t>Stoicism and this framework share several important commitments:</w:t>
      </w:r>
    </w:p>
    <w:p>
      <w:pPr>
        <w:pStyle w:val="BodyText"/>
        <w:numPr>
          <w:ilvl w:val="0"/>
          <w:numId w:val="70"/>
        </w:numPr>
        <w:tabs>
          <w:tab w:val="clear" w:pos="720"/>
          <w:tab w:val="left" w:pos="0" w:leader="none"/>
        </w:tabs>
        <w:spacing w:before="0" w:after="200"/>
        <w:ind w:hanging="283" w:left="709"/>
        <w:rPr/>
      </w:pPr>
      <w:r>
        <w:rPr/>
        <w:t>Both understand ethics as requiring the development of stable and capable moral agents.</w:t>
      </w:r>
    </w:p>
    <w:p>
      <w:pPr>
        <w:pStyle w:val="BodyText"/>
        <w:numPr>
          <w:ilvl w:val="0"/>
          <w:numId w:val="70"/>
        </w:numPr>
        <w:tabs>
          <w:tab w:val="clear" w:pos="720"/>
          <w:tab w:val="left" w:pos="0" w:leader="none"/>
        </w:tabs>
        <w:spacing w:before="0" w:after="200"/>
        <w:ind w:hanging="283" w:left="709"/>
        <w:rPr/>
      </w:pPr>
      <w:r>
        <w:rPr/>
        <w:t>Both distinguish an agent’s objective from the ethical acceptability of the means used to pursue it.</w:t>
      </w:r>
    </w:p>
    <w:p>
      <w:pPr>
        <w:pStyle w:val="BodyText"/>
        <w:numPr>
          <w:ilvl w:val="0"/>
          <w:numId w:val="70"/>
        </w:numPr>
        <w:tabs>
          <w:tab w:val="clear" w:pos="720"/>
          <w:tab w:val="left" w:pos="0" w:leader="none"/>
        </w:tabs>
        <w:spacing w:before="0" w:after="200"/>
        <w:ind w:hanging="283" w:left="709"/>
        <w:rPr/>
      </w:pPr>
      <w:r>
        <w:rPr/>
        <w:t>Both emphasize disciplined reasoning rather than impulsive reaction.</w:t>
      </w:r>
    </w:p>
    <w:p>
      <w:pPr>
        <w:pStyle w:val="BodyText"/>
        <w:numPr>
          <w:ilvl w:val="0"/>
          <w:numId w:val="70"/>
        </w:numPr>
        <w:tabs>
          <w:tab w:val="clear" w:pos="720"/>
          <w:tab w:val="left" w:pos="0" w:leader="none"/>
        </w:tabs>
        <w:spacing w:before="0" w:after="200"/>
        <w:ind w:hanging="283" w:left="709"/>
        <w:rPr/>
      </w:pPr>
      <w:r>
        <w:rPr/>
        <w:t>Both recognize that information should be evaluated before it is accepted as a basis for action.</w:t>
      </w:r>
    </w:p>
    <w:p>
      <w:pPr>
        <w:pStyle w:val="BodyText"/>
        <w:numPr>
          <w:ilvl w:val="0"/>
          <w:numId w:val="70"/>
        </w:numPr>
        <w:tabs>
          <w:tab w:val="clear" w:pos="720"/>
          <w:tab w:val="left" w:pos="0" w:leader="none"/>
        </w:tabs>
        <w:spacing w:before="0" w:after="200"/>
        <w:ind w:hanging="283" w:left="709"/>
        <w:rPr/>
      </w:pPr>
      <w:r>
        <w:rPr/>
        <w:t>Both distinguish controllable aspects of conduct from outcomes determined partly by external conditions.</w:t>
      </w:r>
    </w:p>
    <w:p>
      <w:pPr>
        <w:pStyle w:val="BodyText"/>
        <w:numPr>
          <w:ilvl w:val="0"/>
          <w:numId w:val="70"/>
        </w:numPr>
        <w:tabs>
          <w:tab w:val="clear" w:pos="720"/>
          <w:tab w:val="left" w:pos="0" w:leader="none"/>
        </w:tabs>
        <w:spacing w:before="0" w:after="200"/>
        <w:ind w:hanging="283" w:left="709"/>
        <w:rPr/>
      </w:pPr>
      <w:r>
        <w:rPr/>
        <w:t>Both allow responsibility to vary according to knowledge, authority, capacity, foreseeability, and available alternatives.</w:t>
      </w:r>
    </w:p>
    <w:p>
      <w:pPr>
        <w:pStyle w:val="BodyText"/>
        <w:numPr>
          <w:ilvl w:val="0"/>
          <w:numId w:val="70"/>
        </w:numPr>
        <w:tabs>
          <w:tab w:val="clear" w:pos="720"/>
          <w:tab w:val="left" w:pos="0" w:leader="none"/>
        </w:tabs>
        <w:spacing w:before="0" w:after="200"/>
        <w:ind w:hanging="283" w:left="709"/>
        <w:rPr/>
      </w:pPr>
      <w:r>
        <w:rPr/>
        <w:t>Both support role-based responsibilities and duties arising from social relationships.</w:t>
      </w:r>
    </w:p>
    <w:p>
      <w:pPr>
        <w:pStyle w:val="BodyText"/>
        <w:numPr>
          <w:ilvl w:val="0"/>
          <w:numId w:val="70"/>
        </w:numPr>
        <w:tabs>
          <w:tab w:val="clear" w:pos="720"/>
          <w:tab w:val="left" w:pos="0" w:leader="none"/>
        </w:tabs>
        <w:spacing w:before="0" w:after="200"/>
        <w:ind w:hanging="283" w:left="709"/>
        <w:rPr/>
      </w:pPr>
      <w:r>
        <w:rPr/>
        <w:t>Both encourage agents to consider a wider system rather than only personal or immediate advantage.</w:t>
      </w:r>
    </w:p>
    <w:p>
      <w:pPr>
        <w:pStyle w:val="BodyText"/>
        <w:numPr>
          <w:ilvl w:val="0"/>
          <w:numId w:val="70"/>
        </w:numPr>
        <w:tabs>
          <w:tab w:val="clear" w:pos="720"/>
          <w:tab w:val="left" w:pos="0" w:leader="none"/>
        </w:tabs>
        <w:spacing w:before="0" w:after="200"/>
        <w:ind w:hanging="283" w:left="709"/>
        <w:rPr/>
      </w:pPr>
      <w:r>
        <w:rPr/>
        <w:t>Both recognize that moral development requires repeated practice, review, and correction.</w:t>
      </w:r>
    </w:p>
    <w:p>
      <w:pPr>
        <w:pStyle w:val="BodyText"/>
        <w:numPr>
          <w:ilvl w:val="0"/>
          <w:numId w:val="70"/>
        </w:numPr>
        <w:tabs>
          <w:tab w:val="clear" w:pos="720"/>
          <w:tab w:val="left" w:pos="0" w:leader="none"/>
        </w:tabs>
        <w:spacing w:before="0" w:after="200"/>
        <w:ind w:hanging="283" w:left="709"/>
        <w:rPr/>
      </w:pPr>
      <w:r>
        <w:rPr/>
        <w:t>Both seek consistency across different situations rather than ad hoc justification of preferred actions.</w:t>
      </w:r>
    </w:p>
    <w:p>
      <w:pPr>
        <w:pStyle w:val="BodyText"/>
        <w:numPr>
          <w:ilvl w:val="0"/>
          <w:numId w:val="70"/>
        </w:numPr>
        <w:tabs>
          <w:tab w:val="clear" w:pos="720"/>
          <w:tab w:val="left" w:pos="0" w:leader="none"/>
        </w:tabs>
        <w:spacing w:before="0" w:after="200"/>
        <w:ind w:hanging="283" w:left="709"/>
        <w:rPr/>
      </w:pPr>
      <w:r>
        <w:rPr/>
        <w:t>Both emphasize long-term orientation over immediate pleasure, status, fear, or convenience.</w:t>
      </w:r>
    </w:p>
    <w:p>
      <w:pPr>
        <w:pStyle w:val="BodyText"/>
        <w:numPr>
          <w:ilvl w:val="0"/>
          <w:numId w:val="70"/>
        </w:numPr>
        <w:tabs>
          <w:tab w:val="clear" w:pos="720"/>
          <w:tab w:val="left" w:pos="0" w:leader="none"/>
        </w:tabs>
        <w:spacing w:before="0" w:after="200"/>
        <w:ind w:hanging="283" w:left="709"/>
        <w:rPr/>
      </w:pPr>
      <w:r>
        <w:rPr/>
        <w:t>Both treat adversity and uncertainty as conditions requiring better judgment rather than automatic abandonment of ethical commitments.</w:t>
      </w:r>
    </w:p>
    <w:p>
      <w:pPr>
        <w:pStyle w:val="BodyText"/>
        <w:numPr>
          <w:ilvl w:val="0"/>
          <w:numId w:val="70"/>
        </w:numPr>
        <w:tabs>
          <w:tab w:val="clear" w:pos="720"/>
          <w:tab w:val="left" w:pos="0" w:leader="none"/>
        </w:tabs>
        <w:spacing w:before="0" w:after="200"/>
        <w:ind w:hanging="283" w:left="709"/>
        <w:rPr/>
      </w:pPr>
      <w:r>
        <w:rPr/>
        <w:t>Both recognize the importance of justice, cooperation, and the moral development of social agents.</w:t>
      </w:r>
    </w:p>
    <w:p>
      <w:pPr>
        <w:pStyle w:val="BodyText"/>
        <w:numPr>
          <w:ilvl w:val="0"/>
          <w:numId w:val="70"/>
        </w:numPr>
        <w:tabs>
          <w:tab w:val="clear" w:pos="720"/>
          <w:tab w:val="left" w:pos="0" w:leader="none"/>
        </w:tabs>
        <w:spacing w:before="0" w:after="200"/>
        <w:ind w:hanging="283" w:left="709"/>
        <w:rPr/>
      </w:pPr>
      <w:r>
        <w:rPr/>
        <w:t>Both can distinguish a harmful result from a blameworthy decision.</w:t>
      </w:r>
    </w:p>
    <w:p>
      <w:pPr>
        <w:pStyle w:val="BodyText"/>
        <w:numPr>
          <w:ilvl w:val="0"/>
          <w:numId w:val="70"/>
        </w:numPr>
        <w:tabs>
          <w:tab w:val="clear" w:pos="720"/>
          <w:tab w:val="left" w:pos="0" w:leader="none"/>
        </w:tabs>
        <w:spacing w:before="0" w:after="200"/>
        <w:ind w:hanging="283" w:left="709"/>
        <w:rPr/>
      </w:pPr>
      <w:r>
        <w:rPr/>
        <w:t>Both can support resilient action without assuming that successful control of every outcome is possible.</w:t>
      </w:r>
    </w:p>
    <w:p>
      <w:pPr>
        <w:pStyle w:val="Heading3"/>
        <w:spacing w:before="0" w:after="200"/>
        <w:ind w:hanging="0" w:left="0"/>
        <w:rPr>
          <w:rFonts w:ascii="Aptos" w:hAnsi="Aptos"/>
          <w:color w:val="auto"/>
        </w:rPr>
      </w:pPr>
      <w:r>
        <w:rPr>
          <w:rFonts w:ascii="Aptos" w:hAnsi="Aptos"/>
          <w:color w:val="auto"/>
        </w:rPr>
        <w:t>Differences</w:t>
      </w:r>
    </w:p>
    <w:tbl>
      <w:tblPr>
        <w:tblW w:w="8640" w:type="dxa"/>
        <w:jc w:val="left"/>
        <w:tblInd w:w="28" w:type="dxa"/>
        <w:tblLayout w:type="fixed"/>
        <w:tblCellMar>
          <w:top w:w="28" w:type="dxa"/>
          <w:left w:w="28" w:type="dxa"/>
          <w:bottom w:w="28" w:type="dxa"/>
          <w:right w:w="28" w:type="dxa"/>
        </w:tblCellMar>
      </w:tblPr>
      <w:tblGrid>
        <w:gridCol w:w="1891"/>
        <w:gridCol w:w="2827"/>
        <w:gridCol w:w="3922"/>
      </w:tblGrid>
      <w:tr>
        <w:trPr>
          <w:tblHeader w:val="true"/>
        </w:trPr>
        <w:tc>
          <w:tcPr>
            <w:tcW w:w="1891" w:type="dxa"/>
            <w:tcBorders/>
            <w:vAlign w:val="center"/>
          </w:tcPr>
          <w:p>
            <w:pPr>
              <w:pStyle w:val="TableHeading"/>
              <w:suppressLineNumbers/>
              <w:spacing w:before="0" w:after="200"/>
              <w:jc w:val="center"/>
              <w:rPr/>
            </w:pPr>
            <w:r>
              <w:rPr/>
              <w:t>Dimension</w:t>
            </w:r>
          </w:p>
        </w:tc>
        <w:tc>
          <w:tcPr>
            <w:tcW w:w="2827" w:type="dxa"/>
            <w:tcBorders/>
            <w:vAlign w:val="center"/>
          </w:tcPr>
          <w:p>
            <w:pPr>
              <w:pStyle w:val="TableHeading"/>
              <w:suppressLineNumbers/>
              <w:spacing w:before="0" w:after="200"/>
              <w:jc w:val="center"/>
              <w:rPr/>
            </w:pPr>
            <w:r>
              <w:rPr/>
              <w:t>Stoicism</w:t>
            </w:r>
          </w:p>
        </w:tc>
        <w:tc>
          <w:tcPr>
            <w:tcW w:w="3922" w:type="dxa"/>
            <w:tcBorders/>
            <w:vAlign w:val="center"/>
          </w:tcPr>
          <w:p>
            <w:pPr>
              <w:pStyle w:val="TableHeading"/>
              <w:suppressLineNumbers/>
              <w:spacing w:before="0" w:after="200"/>
              <w:jc w:val="center"/>
              <w:rPr/>
            </w:pPr>
            <w:r>
              <w:rPr/>
              <w:t>This framework</w:t>
            </w:r>
          </w:p>
        </w:tc>
      </w:tr>
      <w:tr>
        <w:trPr/>
        <w:tc>
          <w:tcPr>
            <w:tcW w:w="1891" w:type="dxa"/>
            <w:tcBorders/>
            <w:vAlign w:val="center"/>
          </w:tcPr>
          <w:p>
            <w:pPr>
              <w:pStyle w:val="TableContents"/>
              <w:widowControl w:val="false"/>
              <w:suppressLineNumbers/>
              <w:spacing w:before="0" w:after="200"/>
              <w:rPr/>
            </w:pPr>
            <w:r>
              <w:rPr>
                <w:rStyle w:val="Strong"/>
              </w:rPr>
              <w:t>Primary normative focus</w:t>
            </w:r>
          </w:p>
        </w:tc>
        <w:tc>
          <w:tcPr>
            <w:tcW w:w="2827" w:type="dxa"/>
            <w:tcBorders/>
            <w:vAlign w:val="center"/>
          </w:tcPr>
          <w:p>
            <w:pPr>
              <w:pStyle w:val="TableContents"/>
              <w:widowControl w:val="false"/>
              <w:suppressLineNumbers/>
              <w:spacing w:before="0" w:after="200"/>
              <w:rPr/>
            </w:pPr>
            <w:r>
              <w:rPr/>
              <w:t>Virtuous rational agency</w:t>
            </w:r>
          </w:p>
        </w:tc>
        <w:tc>
          <w:tcPr>
            <w:tcW w:w="3922" w:type="dxa"/>
            <w:tcBorders/>
            <w:vAlign w:val="center"/>
          </w:tcPr>
          <w:p>
            <w:pPr>
              <w:pStyle w:val="TableContents"/>
              <w:widowControl w:val="false"/>
              <w:suppressLineNumbers/>
              <w:spacing w:before="0" w:after="200"/>
              <w:rPr/>
            </w:pPr>
            <w:r>
              <w:rPr/>
              <w:t>The complete World Context Transition</w:t>
            </w:r>
          </w:p>
        </w:tc>
      </w:tr>
      <w:tr>
        <w:trPr/>
        <w:tc>
          <w:tcPr>
            <w:tcW w:w="1891" w:type="dxa"/>
            <w:tcBorders/>
            <w:vAlign w:val="center"/>
          </w:tcPr>
          <w:p>
            <w:pPr>
              <w:pStyle w:val="TableContents"/>
              <w:widowControl w:val="false"/>
              <w:suppressLineNumbers/>
              <w:spacing w:before="0" w:after="200"/>
              <w:rPr/>
            </w:pPr>
            <w:r>
              <w:rPr>
                <w:rStyle w:val="Strong"/>
              </w:rPr>
              <w:t>Highest good</w:t>
            </w:r>
          </w:p>
        </w:tc>
        <w:tc>
          <w:tcPr>
            <w:tcW w:w="2827" w:type="dxa"/>
            <w:tcBorders/>
            <w:vAlign w:val="center"/>
          </w:tcPr>
          <w:p>
            <w:pPr>
              <w:pStyle w:val="TableContents"/>
              <w:widowControl w:val="false"/>
              <w:suppressLineNumbers/>
              <w:spacing w:before="0" w:after="200"/>
              <w:rPr/>
            </w:pPr>
            <w:r>
              <w:rPr/>
              <w:t>Virtue alone</w:t>
            </w:r>
          </w:p>
        </w:tc>
        <w:tc>
          <w:tcPr>
            <w:tcW w:w="3922" w:type="dxa"/>
            <w:tcBorders/>
            <w:vAlign w:val="center"/>
          </w:tcPr>
          <w:p>
            <w:pPr>
              <w:pStyle w:val="TableContents"/>
              <w:widowControl w:val="false"/>
              <w:suppressLineNumbers/>
              <w:spacing w:before="0" w:after="200"/>
              <w:rPr/>
            </w:pPr>
            <w:r>
              <w:rPr/>
              <w:t>Long-term flourishing across relevant entities and the World Context</w:t>
            </w:r>
          </w:p>
        </w:tc>
      </w:tr>
      <w:tr>
        <w:trPr/>
        <w:tc>
          <w:tcPr>
            <w:tcW w:w="1891" w:type="dxa"/>
            <w:tcBorders/>
            <w:vAlign w:val="center"/>
          </w:tcPr>
          <w:p>
            <w:pPr>
              <w:pStyle w:val="TableContents"/>
              <w:widowControl w:val="false"/>
              <w:suppressLineNumbers/>
              <w:spacing w:before="0" w:after="200"/>
              <w:rPr/>
            </w:pPr>
            <w:r>
              <w:rPr>
                <w:rStyle w:val="Strong"/>
              </w:rPr>
              <w:t>Meaning of flourishing</w:t>
            </w:r>
          </w:p>
        </w:tc>
        <w:tc>
          <w:tcPr>
            <w:tcW w:w="2827" w:type="dxa"/>
            <w:tcBorders/>
            <w:vAlign w:val="center"/>
          </w:tcPr>
          <w:p>
            <w:pPr>
              <w:pStyle w:val="TableContents"/>
              <w:widowControl w:val="false"/>
              <w:suppressLineNumbers/>
              <w:spacing w:before="0" w:after="200"/>
              <w:rPr/>
            </w:pPr>
            <w:r>
              <w:rPr/>
              <w:t>Rational and virtuous activity sufficient for eudaimonia</w:t>
            </w:r>
          </w:p>
        </w:tc>
        <w:tc>
          <w:tcPr>
            <w:tcW w:w="3922" w:type="dxa"/>
            <w:tcBorders/>
            <w:vAlign w:val="center"/>
          </w:tcPr>
          <w:p>
            <w:pPr>
              <w:pStyle w:val="TableContents"/>
              <w:widowControl w:val="false"/>
              <w:suppressLineNumbers/>
              <w:spacing w:before="0" w:after="200"/>
              <w:rPr/>
            </w:pPr>
            <w:r>
              <w:rPr/>
              <w:t>Sustained capacity to preserve and expand beneficial future state space compatibly with wider flourishing</w:t>
            </w:r>
          </w:p>
        </w:tc>
      </w:tr>
      <w:tr>
        <w:trPr/>
        <w:tc>
          <w:tcPr>
            <w:tcW w:w="1891" w:type="dxa"/>
            <w:tcBorders/>
            <w:vAlign w:val="center"/>
          </w:tcPr>
          <w:p>
            <w:pPr>
              <w:pStyle w:val="TableContents"/>
              <w:widowControl w:val="false"/>
              <w:suppressLineNumbers/>
              <w:spacing w:before="0" w:after="200"/>
              <w:rPr/>
            </w:pPr>
            <w:r>
              <w:rPr>
                <w:rStyle w:val="Strong"/>
              </w:rPr>
              <w:t>Status of external conditions</w:t>
            </w:r>
          </w:p>
        </w:tc>
        <w:tc>
          <w:tcPr>
            <w:tcW w:w="2827" w:type="dxa"/>
            <w:tcBorders/>
            <w:vAlign w:val="center"/>
          </w:tcPr>
          <w:p>
            <w:pPr>
              <w:pStyle w:val="TableContents"/>
              <w:widowControl w:val="false"/>
              <w:suppressLineNumbers/>
              <w:spacing w:before="0" w:after="200"/>
              <w:rPr/>
            </w:pPr>
            <w:r>
              <w:rPr/>
              <w:t>Preferred or dispreferred indifferents, not moral goods or evils</w:t>
            </w:r>
          </w:p>
        </w:tc>
        <w:tc>
          <w:tcPr>
            <w:tcW w:w="3922" w:type="dxa"/>
            <w:tcBorders/>
            <w:vAlign w:val="center"/>
          </w:tcPr>
          <w:p>
            <w:pPr>
              <w:pStyle w:val="TableContents"/>
              <w:widowControl w:val="false"/>
              <w:suppressLineNumbers/>
              <w:spacing w:before="0" w:after="200"/>
              <w:rPr/>
            </w:pPr>
            <w:r>
              <w:rPr/>
              <w:t>Substantive effects on health, capability, relationships, resources, and future possibilities</w:t>
            </w:r>
          </w:p>
        </w:tc>
      </w:tr>
      <w:tr>
        <w:trPr/>
        <w:tc>
          <w:tcPr>
            <w:tcW w:w="1891" w:type="dxa"/>
            <w:tcBorders/>
            <w:vAlign w:val="center"/>
          </w:tcPr>
          <w:p>
            <w:pPr>
              <w:pStyle w:val="TableContents"/>
              <w:widowControl w:val="false"/>
              <w:suppressLineNumbers/>
              <w:spacing w:before="0" w:after="200"/>
              <w:rPr/>
            </w:pPr>
            <w:r>
              <w:rPr>
                <w:rStyle w:val="Strong"/>
              </w:rPr>
              <w:t>Evaluation of outcomes</w:t>
            </w:r>
          </w:p>
        </w:tc>
        <w:tc>
          <w:tcPr>
            <w:tcW w:w="2827" w:type="dxa"/>
            <w:tcBorders/>
            <w:vAlign w:val="center"/>
          </w:tcPr>
          <w:p>
            <w:pPr>
              <w:pStyle w:val="TableContents"/>
              <w:widowControl w:val="false"/>
              <w:suppressLineNumbers/>
              <w:spacing w:before="0" w:after="200"/>
              <w:rPr/>
            </w:pPr>
            <w:r>
              <w:rPr/>
              <w:t>External success does not determine the agent’s virtue</w:t>
            </w:r>
          </w:p>
        </w:tc>
        <w:tc>
          <w:tcPr>
            <w:tcW w:w="3922" w:type="dxa"/>
            <w:tcBorders/>
            <w:vAlign w:val="center"/>
          </w:tcPr>
          <w:p>
            <w:pPr>
              <w:pStyle w:val="TableContents"/>
              <w:widowControl w:val="false"/>
              <w:suppressLineNumbers/>
              <w:spacing w:before="0" w:after="200"/>
              <w:rPr/>
            </w:pPr>
            <w:r>
              <w:rPr/>
              <w:t>Outcomes remain ethically significant even when responsibility is limited</w:t>
            </w:r>
          </w:p>
        </w:tc>
      </w:tr>
      <w:tr>
        <w:trPr/>
        <w:tc>
          <w:tcPr>
            <w:tcW w:w="1891" w:type="dxa"/>
            <w:tcBorders/>
            <w:vAlign w:val="center"/>
          </w:tcPr>
          <w:p>
            <w:pPr>
              <w:pStyle w:val="TableContents"/>
              <w:widowControl w:val="false"/>
              <w:suppressLineNumbers/>
              <w:spacing w:before="0" w:after="200"/>
              <w:rPr/>
            </w:pPr>
            <w:r>
              <w:rPr>
                <w:rStyle w:val="Strong"/>
              </w:rPr>
              <w:t>Responsibility</w:t>
            </w:r>
          </w:p>
        </w:tc>
        <w:tc>
          <w:tcPr>
            <w:tcW w:w="2827" w:type="dxa"/>
            <w:tcBorders/>
            <w:vAlign w:val="center"/>
          </w:tcPr>
          <w:p>
            <w:pPr>
              <w:pStyle w:val="TableContents"/>
              <w:widowControl w:val="false"/>
              <w:suppressLineNumbers/>
              <w:spacing w:before="0" w:after="200"/>
              <w:rPr/>
            </w:pPr>
            <w:r>
              <w:rPr/>
              <w:t>Concentrated in judgment, assent, intention, and volition</w:t>
            </w:r>
          </w:p>
        </w:tc>
        <w:tc>
          <w:tcPr>
            <w:tcW w:w="3922" w:type="dxa"/>
            <w:tcBorders/>
            <w:vAlign w:val="center"/>
          </w:tcPr>
          <w:p>
            <w:pPr>
              <w:pStyle w:val="TableContents"/>
              <w:widowControl w:val="false"/>
              <w:suppressLineNumbers/>
              <w:spacing w:before="0" w:after="200"/>
              <w:rPr/>
            </w:pPr>
            <w:r>
              <w:rPr/>
              <w:t>Evaluated through role, knowledge, intent, authority, alternatives, foreseeability, and causal contribution</w:t>
            </w:r>
          </w:p>
        </w:tc>
      </w:tr>
      <w:tr>
        <w:trPr/>
        <w:tc>
          <w:tcPr>
            <w:tcW w:w="1891" w:type="dxa"/>
            <w:tcBorders/>
            <w:vAlign w:val="center"/>
          </w:tcPr>
          <w:p>
            <w:pPr>
              <w:pStyle w:val="TableContents"/>
              <w:widowControl w:val="false"/>
              <w:suppressLineNumbers/>
              <w:spacing w:before="0" w:after="200"/>
              <w:rPr/>
            </w:pPr>
            <w:r>
              <w:rPr>
                <w:rStyle w:val="Strong"/>
              </w:rPr>
              <w:t>Metaphysical basis</w:t>
            </w:r>
          </w:p>
        </w:tc>
        <w:tc>
          <w:tcPr>
            <w:tcW w:w="2827" w:type="dxa"/>
            <w:tcBorders/>
            <w:vAlign w:val="center"/>
          </w:tcPr>
          <w:p>
            <w:pPr>
              <w:pStyle w:val="TableContents"/>
              <w:widowControl w:val="false"/>
              <w:suppressLineNumbers/>
              <w:spacing w:before="0" w:after="200"/>
              <w:rPr/>
            </w:pPr>
            <w:r>
              <w:rPr/>
              <w:t>Living according to rational nature within a causally ordered cosmos</w:t>
            </w:r>
          </w:p>
        </w:tc>
        <w:tc>
          <w:tcPr>
            <w:tcW w:w="3922" w:type="dxa"/>
            <w:tcBorders/>
            <w:vAlign w:val="center"/>
          </w:tcPr>
          <w:p>
            <w:pPr>
              <w:pStyle w:val="TableContents"/>
              <w:widowControl w:val="false"/>
              <w:suppressLineNumbers/>
              <w:spacing w:before="0" w:after="200"/>
              <w:rPr/>
            </w:pPr>
            <w:r>
              <w:rPr/>
              <w:t>Implementation-neutral and compatible with multiple metaphysical positions</w:t>
            </w:r>
          </w:p>
        </w:tc>
      </w:tr>
      <w:tr>
        <w:trPr/>
        <w:tc>
          <w:tcPr>
            <w:tcW w:w="1891" w:type="dxa"/>
            <w:tcBorders/>
            <w:vAlign w:val="center"/>
          </w:tcPr>
          <w:p>
            <w:pPr>
              <w:pStyle w:val="TableContents"/>
              <w:widowControl w:val="false"/>
              <w:suppressLineNumbers/>
              <w:spacing w:before="0" w:after="200"/>
              <w:rPr/>
            </w:pPr>
            <w:r>
              <w:rPr>
                <w:rStyle w:val="Strong"/>
              </w:rPr>
              <w:t>Moral scope</w:t>
            </w:r>
          </w:p>
        </w:tc>
        <w:tc>
          <w:tcPr>
            <w:tcW w:w="2827" w:type="dxa"/>
            <w:tcBorders/>
            <w:vAlign w:val="center"/>
          </w:tcPr>
          <w:p>
            <w:pPr>
              <w:pStyle w:val="TableContents"/>
              <w:widowControl w:val="false"/>
              <w:suppressLineNumbers/>
              <w:spacing w:before="0" w:after="200"/>
              <w:rPr/>
            </w:pPr>
            <w:r>
              <w:rPr/>
              <w:t>Primarily rational and social human beings within a cosmopolis</w:t>
            </w:r>
          </w:p>
        </w:tc>
        <w:tc>
          <w:tcPr>
            <w:tcW w:w="3922" w:type="dxa"/>
            <w:tcBorders/>
            <w:vAlign w:val="center"/>
          </w:tcPr>
          <w:p>
            <w:pPr>
              <w:pStyle w:val="TableContents"/>
              <w:widowControl w:val="false"/>
              <w:suppressLineNumbers/>
              <w:spacing w:before="0" w:after="200"/>
              <w:rPr/>
            </w:pPr>
            <w:r>
              <w:rPr/>
              <w:t>Potentially includes broader classes of persistent adaptive and autopoietic entities</w:t>
            </w:r>
          </w:p>
        </w:tc>
      </w:tr>
      <w:tr>
        <w:trPr/>
        <w:tc>
          <w:tcPr>
            <w:tcW w:w="1891" w:type="dxa"/>
            <w:tcBorders/>
            <w:vAlign w:val="center"/>
          </w:tcPr>
          <w:p>
            <w:pPr>
              <w:pStyle w:val="TableContents"/>
              <w:widowControl w:val="false"/>
              <w:suppressLineNumbers/>
              <w:spacing w:before="0" w:after="200"/>
              <w:rPr/>
            </w:pPr>
            <w:r>
              <w:rPr>
                <w:rStyle w:val="Strong"/>
              </w:rPr>
              <w:t>Emotion</w:t>
            </w:r>
          </w:p>
        </w:tc>
        <w:tc>
          <w:tcPr>
            <w:tcW w:w="2827" w:type="dxa"/>
            <w:tcBorders/>
            <w:vAlign w:val="center"/>
          </w:tcPr>
          <w:p>
            <w:pPr>
              <w:pStyle w:val="TableContents"/>
              <w:widowControl w:val="false"/>
              <w:suppressLineNumbers/>
              <w:spacing w:before="0" w:after="200"/>
              <w:rPr/>
            </w:pPr>
            <w:r>
              <w:rPr/>
              <w:t>Passions are closely connected to mistaken value judgments and require philosophical correction</w:t>
            </w:r>
          </w:p>
        </w:tc>
        <w:tc>
          <w:tcPr>
            <w:tcW w:w="3922" w:type="dxa"/>
            <w:tcBorders/>
            <w:vAlign w:val="center"/>
          </w:tcPr>
          <w:p>
            <w:pPr>
              <w:pStyle w:val="TableContents"/>
              <w:widowControl w:val="false"/>
              <w:suppressLineNumbers/>
              <w:spacing w:before="0" w:after="200"/>
              <w:rPr/>
            </w:pPr>
            <w:r>
              <w:rPr/>
              <w:t>Emotions can be represented as information or state but are not given a single foundational interpretation</w:t>
            </w:r>
          </w:p>
        </w:tc>
      </w:tr>
      <w:tr>
        <w:trPr/>
        <w:tc>
          <w:tcPr>
            <w:tcW w:w="1891" w:type="dxa"/>
            <w:tcBorders/>
            <w:vAlign w:val="center"/>
          </w:tcPr>
          <w:p>
            <w:pPr>
              <w:pStyle w:val="TableContents"/>
              <w:widowControl w:val="false"/>
              <w:suppressLineNumbers/>
              <w:spacing w:before="0" w:after="200"/>
              <w:rPr/>
            </w:pPr>
            <w:r>
              <w:rPr>
                <w:rStyle w:val="Strong"/>
              </w:rPr>
              <w:t>Justice</w:t>
            </w:r>
          </w:p>
        </w:tc>
        <w:tc>
          <w:tcPr>
            <w:tcW w:w="2827" w:type="dxa"/>
            <w:tcBorders/>
            <w:vAlign w:val="center"/>
          </w:tcPr>
          <w:p>
            <w:pPr>
              <w:pStyle w:val="TableContents"/>
              <w:widowControl w:val="false"/>
              <w:suppressLineNumbers/>
              <w:spacing w:before="0" w:after="200"/>
              <w:rPr/>
            </w:pPr>
            <w:r>
              <w:rPr/>
              <w:t>A cardinal virtue and expression of rational social nature</w:t>
            </w:r>
          </w:p>
        </w:tc>
        <w:tc>
          <w:tcPr>
            <w:tcW w:w="3922" w:type="dxa"/>
            <w:tcBorders/>
            <w:vAlign w:val="center"/>
          </w:tcPr>
          <w:p>
            <w:pPr>
              <w:pStyle w:val="TableContents"/>
              <w:widowControl w:val="false"/>
              <w:suppressLineNumbers/>
              <w:spacing w:before="0" w:after="200"/>
              <w:rPr/>
            </w:pPr>
            <w:r>
              <w:rPr/>
              <w:t>Assessed through effects, constraints, relationships, institutions, and compatibility of flourishing</w:t>
            </w:r>
          </w:p>
        </w:tc>
      </w:tr>
      <w:tr>
        <w:trPr/>
        <w:tc>
          <w:tcPr>
            <w:tcW w:w="1891" w:type="dxa"/>
            <w:tcBorders/>
            <w:vAlign w:val="center"/>
          </w:tcPr>
          <w:p>
            <w:pPr>
              <w:pStyle w:val="TableContents"/>
              <w:widowControl w:val="false"/>
              <w:suppressLineNumbers/>
              <w:spacing w:before="0" w:after="200"/>
              <w:rPr/>
            </w:pPr>
            <w:r>
              <w:rPr>
                <w:rStyle w:val="Strong"/>
              </w:rPr>
              <w:t>Failure mode</w:t>
            </w:r>
          </w:p>
        </w:tc>
        <w:tc>
          <w:tcPr>
            <w:tcW w:w="2827" w:type="dxa"/>
            <w:tcBorders/>
            <w:vAlign w:val="center"/>
          </w:tcPr>
          <w:p>
            <w:pPr>
              <w:pStyle w:val="TableContents"/>
              <w:widowControl w:val="false"/>
              <w:suppressLineNumbers/>
              <w:spacing w:before="0" w:after="200"/>
              <w:rPr/>
            </w:pPr>
            <w:r>
              <w:rPr/>
              <w:t>Vice, false assent, irrational attachment, or failure of appropriate action</w:t>
            </w:r>
          </w:p>
        </w:tc>
        <w:tc>
          <w:tcPr>
            <w:tcW w:w="3922" w:type="dxa"/>
            <w:tcBorders/>
            <w:vAlign w:val="center"/>
          </w:tcPr>
          <w:p>
            <w:pPr>
              <w:pStyle w:val="TableContents"/>
              <w:widowControl w:val="false"/>
              <w:suppressLineNumbers/>
              <w:spacing w:before="0" w:after="200"/>
              <w:rPr/>
            </w:pPr>
            <w:r>
              <w:rPr/>
              <w:t>An unjustified transition that diminishes relevant long-term flourishing</w:t>
            </w:r>
          </w:p>
        </w:tc>
      </w:tr>
      <w:tr>
        <w:trPr/>
        <w:tc>
          <w:tcPr>
            <w:tcW w:w="1891" w:type="dxa"/>
            <w:tcBorders/>
            <w:vAlign w:val="center"/>
          </w:tcPr>
          <w:p>
            <w:pPr>
              <w:pStyle w:val="TableContents"/>
              <w:widowControl w:val="false"/>
              <w:suppressLineNumbers/>
              <w:spacing w:before="0" w:after="200"/>
              <w:rPr/>
            </w:pPr>
            <w:r>
              <w:rPr>
                <w:rStyle w:val="Strong"/>
              </w:rPr>
              <w:t>Control</w:t>
            </w:r>
          </w:p>
        </w:tc>
        <w:tc>
          <w:tcPr>
            <w:tcW w:w="2827" w:type="dxa"/>
            <w:tcBorders/>
            <w:vAlign w:val="center"/>
          </w:tcPr>
          <w:p>
            <w:pPr>
              <w:pStyle w:val="TableContents"/>
              <w:widowControl w:val="false"/>
              <w:suppressLineNumbers/>
              <w:spacing w:before="0" w:after="200"/>
              <w:rPr/>
            </w:pPr>
            <w:r>
              <w:rPr/>
              <w:t>Moral freedom centers on what is genuinely “up to” the agent</w:t>
            </w:r>
          </w:p>
        </w:tc>
        <w:tc>
          <w:tcPr>
            <w:tcW w:w="3922" w:type="dxa"/>
            <w:tcBorders/>
            <w:vAlign w:val="center"/>
          </w:tcPr>
          <w:p>
            <w:pPr>
              <w:pStyle w:val="TableContents"/>
              <w:widowControl w:val="false"/>
              <w:suppressLineNumbers/>
              <w:spacing w:before="0" w:after="200"/>
              <w:rPr/>
            </w:pPr>
            <w:r>
              <w:rPr/>
              <w:t>Degrees of control affect responsibility but do not eliminate evaluation of external effects</w:t>
            </w:r>
          </w:p>
        </w:tc>
      </w:tr>
      <w:tr>
        <w:trPr/>
        <w:tc>
          <w:tcPr>
            <w:tcW w:w="1891" w:type="dxa"/>
            <w:tcBorders/>
            <w:vAlign w:val="center"/>
          </w:tcPr>
          <w:p>
            <w:pPr>
              <w:pStyle w:val="TableContents"/>
              <w:widowControl w:val="false"/>
              <w:suppressLineNumbers/>
              <w:spacing w:before="0" w:after="200"/>
              <w:rPr/>
            </w:pPr>
            <w:r>
              <w:rPr>
                <w:rStyle w:val="Strong"/>
              </w:rPr>
              <w:t>Ideal agent</w:t>
            </w:r>
          </w:p>
        </w:tc>
        <w:tc>
          <w:tcPr>
            <w:tcW w:w="2827" w:type="dxa"/>
            <w:tcBorders/>
            <w:vAlign w:val="center"/>
          </w:tcPr>
          <w:p>
            <w:pPr>
              <w:pStyle w:val="TableContents"/>
              <w:widowControl w:val="false"/>
              <w:suppressLineNumbers/>
              <w:spacing w:before="0" w:after="200"/>
              <w:rPr/>
            </w:pPr>
            <w:r>
              <w:rPr/>
              <w:t>The Stoic sage possessing perfected reason and virtue</w:t>
            </w:r>
          </w:p>
        </w:tc>
        <w:tc>
          <w:tcPr>
            <w:tcW w:w="3922" w:type="dxa"/>
            <w:tcBorders/>
            <w:vAlign w:val="center"/>
          </w:tcPr>
          <w:p>
            <w:pPr>
              <w:pStyle w:val="TableContents"/>
              <w:widowControl w:val="false"/>
              <w:suppressLineNumbers/>
              <w:spacing w:before="0" w:after="200"/>
              <w:rPr/>
            </w:pPr>
            <w:r>
              <w:rPr/>
              <w:t>An adaptive moral agent capable of evidence-based, explainable, and revisable assessment</w:t>
            </w:r>
          </w:p>
        </w:tc>
      </w:tr>
      <w:tr>
        <w:trPr/>
        <w:tc>
          <w:tcPr>
            <w:tcW w:w="1891" w:type="dxa"/>
            <w:tcBorders/>
            <w:vAlign w:val="center"/>
          </w:tcPr>
          <w:p>
            <w:pPr>
              <w:pStyle w:val="TableContents"/>
              <w:widowControl w:val="false"/>
              <w:suppressLineNumbers/>
              <w:spacing w:before="0" w:after="200"/>
              <w:rPr/>
            </w:pPr>
            <w:r>
              <w:rPr>
                <w:rStyle w:val="Strong"/>
              </w:rPr>
              <w:t>Decision method</w:t>
            </w:r>
          </w:p>
        </w:tc>
        <w:tc>
          <w:tcPr>
            <w:tcW w:w="2827" w:type="dxa"/>
            <w:tcBorders/>
            <w:vAlign w:val="center"/>
          </w:tcPr>
          <w:p>
            <w:pPr>
              <w:pStyle w:val="TableContents"/>
              <w:widowControl w:val="false"/>
              <w:suppressLineNumbers/>
              <w:spacing w:before="0" w:after="200"/>
              <w:rPr/>
            </w:pPr>
            <w:r>
              <w:rPr/>
              <w:t>Philosophical exercises, role reflection, examination of impressions, and virtuous judgment</w:t>
            </w:r>
          </w:p>
        </w:tc>
        <w:tc>
          <w:tcPr>
            <w:tcW w:w="3922" w:type="dxa"/>
            <w:tcBorders/>
            <w:vAlign w:val="center"/>
          </w:tcPr>
          <w:p>
            <w:pPr>
              <w:pStyle w:val="TableContents"/>
              <w:widowControl w:val="false"/>
              <w:suppressLineNumbers/>
              <w:spacing w:before="0" w:after="200"/>
              <w:rPr/>
            </w:pPr>
            <w:r>
              <w:rPr/>
              <w:t>Explicit modeling of context, entities, associations, constraints, probabilities, and future transitions</w:t>
            </w:r>
          </w:p>
        </w:tc>
      </w:tr>
      <w:tr>
        <w:trPr/>
        <w:tc>
          <w:tcPr>
            <w:tcW w:w="1891" w:type="dxa"/>
            <w:tcBorders/>
            <w:vAlign w:val="center"/>
          </w:tcPr>
          <w:p>
            <w:pPr>
              <w:pStyle w:val="TableContents"/>
              <w:widowControl w:val="false"/>
              <w:suppressLineNumbers/>
              <w:spacing w:before="0" w:after="200"/>
              <w:rPr/>
            </w:pPr>
            <w:r>
              <w:rPr>
                <w:rStyle w:val="Strong"/>
              </w:rPr>
              <w:t>Treatment of harm</w:t>
            </w:r>
          </w:p>
        </w:tc>
        <w:tc>
          <w:tcPr>
            <w:tcW w:w="2827" w:type="dxa"/>
            <w:tcBorders/>
            <w:vAlign w:val="center"/>
          </w:tcPr>
          <w:p>
            <w:pPr>
              <w:pStyle w:val="TableContents"/>
              <w:widowControl w:val="false"/>
              <w:suppressLineNumbers/>
              <w:spacing w:before="0" w:after="200"/>
              <w:rPr/>
            </w:pPr>
            <w:r>
              <w:rPr/>
              <w:t>Bodily and material harm does not by itself destroy the victim’s moral flourishing</w:t>
            </w:r>
          </w:p>
        </w:tc>
        <w:tc>
          <w:tcPr>
            <w:tcW w:w="3922" w:type="dxa"/>
            <w:tcBorders/>
            <w:vAlign w:val="center"/>
          </w:tcPr>
          <w:p>
            <w:pPr>
              <w:pStyle w:val="TableContents"/>
              <w:widowControl w:val="false"/>
              <w:suppressLineNumbers/>
              <w:spacing w:before="0" w:after="200"/>
              <w:rPr/>
            </w:pPr>
            <w:r>
              <w:rPr/>
              <w:t>Material harm can directly diminish an entity’s flourishing and future state space</w:t>
            </w:r>
          </w:p>
        </w:tc>
      </w:tr>
      <w:tr>
        <w:trPr/>
        <w:tc>
          <w:tcPr>
            <w:tcW w:w="1891" w:type="dxa"/>
            <w:tcBorders/>
            <w:vAlign w:val="center"/>
          </w:tcPr>
          <w:p>
            <w:pPr>
              <w:pStyle w:val="TableContents"/>
              <w:widowControl w:val="false"/>
              <w:suppressLineNumbers/>
              <w:spacing w:before="0" w:after="200"/>
              <w:rPr/>
            </w:pPr>
            <w:r>
              <w:rPr>
                <w:rStyle w:val="Strong"/>
              </w:rPr>
              <w:t>Acceptance</w:t>
            </w:r>
          </w:p>
        </w:tc>
        <w:tc>
          <w:tcPr>
            <w:tcW w:w="2827" w:type="dxa"/>
            <w:tcBorders/>
            <w:vAlign w:val="center"/>
          </w:tcPr>
          <w:p>
            <w:pPr>
              <w:pStyle w:val="TableContents"/>
              <w:widowControl w:val="false"/>
              <w:suppressLineNumbers/>
              <w:spacing w:before="0" w:after="200"/>
              <w:rPr/>
            </w:pPr>
            <w:r>
              <w:rPr/>
              <w:t>Rational acceptance of what cannot be changed</w:t>
            </w:r>
          </w:p>
        </w:tc>
        <w:tc>
          <w:tcPr>
            <w:tcW w:w="3922" w:type="dxa"/>
            <w:tcBorders/>
            <w:vAlign w:val="center"/>
          </w:tcPr>
          <w:p>
            <w:pPr>
              <w:pStyle w:val="TableContents"/>
              <w:widowControl w:val="false"/>
              <w:suppressLineNumbers/>
              <w:spacing w:before="0" w:after="200"/>
              <w:rPr/>
            </w:pPr>
            <w:r>
              <w:rPr/>
              <w:t>Acceptance may be appropriate only after feasible corrective or protective alternatives are assessed</w:t>
            </w:r>
          </w:p>
        </w:tc>
      </w:tr>
    </w:tbl>
    <w:p>
      <w:pPr>
        <w:pStyle w:val="Heading3"/>
        <w:spacing w:before="0" w:after="200"/>
        <w:ind w:hanging="0" w:left="0"/>
        <w:rPr>
          <w:rFonts w:ascii="Aptos" w:hAnsi="Aptos"/>
          <w:color w:val="auto"/>
        </w:rPr>
      </w:pPr>
      <w:r>
        <w:rPr>
          <w:rFonts w:ascii="Aptos" w:hAnsi="Aptos"/>
          <w:color w:val="auto"/>
        </w:rPr>
        <w:t>Potential Integration Opportunities</w:t>
      </w:r>
    </w:p>
    <w:p>
      <w:pPr>
        <w:pStyle w:val="BodyText"/>
        <w:spacing w:before="0" w:after="200"/>
        <w:rPr/>
      </w:pPr>
      <w:r>
        <w:rPr/>
        <w:t>The framework could integrate Stoic concepts more explicitly through the following extensions:</w:t>
      </w:r>
    </w:p>
    <w:p>
      <w:pPr>
        <w:pStyle w:val="BodyText"/>
        <w:numPr>
          <w:ilvl w:val="0"/>
          <w:numId w:val="71"/>
        </w:numPr>
        <w:tabs>
          <w:tab w:val="clear" w:pos="720"/>
          <w:tab w:val="left" w:pos="0" w:leader="none"/>
        </w:tabs>
        <w:spacing w:before="0" w:after="200"/>
        <w:ind w:hanging="283" w:left="709"/>
        <w:rPr/>
      </w:pPr>
      <w:r>
        <w:rPr>
          <w:rStyle w:val="Strong"/>
        </w:rPr>
        <w:t>Add an agent-control analysis.</w:t>
      </w:r>
      <w:r>
        <w:rPr/>
        <w:t xml:space="preserve"> Each Assessed Action could distinguish:</w:t>
      </w:r>
    </w:p>
    <w:p>
      <w:pPr>
        <w:pStyle w:val="BodyText"/>
        <w:numPr>
          <w:ilvl w:val="1"/>
          <w:numId w:val="71"/>
        </w:numPr>
        <w:tabs>
          <w:tab w:val="clear" w:pos="720"/>
          <w:tab w:val="left" w:pos="0" w:leader="none"/>
        </w:tabs>
        <w:spacing w:before="0" w:after="200"/>
        <w:ind w:hanging="283" w:left="1418"/>
        <w:rPr/>
      </w:pPr>
      <w:r>
        <w:rPr/>
        <w:t>Factors directly controlled by the agent;</w:t>
      </w:r>
    </w:p>
    <w:p>
      <w:pPr>
        <w:pStyle w:val="BodyText"/>
        <w:numPr>
          <w:ilvl w:val="1"/>
          <w:numId w:val="71"/>
        </w:numPr>
        <w:tabs>
          <w:tab w:val="clear" w:pos="720"/>
          <w:tab w:val="left" w:pos="0" w:leader="none"/>
        </w:tabs>
        <w:spacing w:before="0" w:after="200"/>
        <w:ind w:hanging="283" w:left="1418"/>
        <w:rPr/>
      </w:pPr>
      <w:r>
        <w:rPr/>
        <w:t>Factors the agent can influence but not determine;</w:t>
      </w:r>
    </w:p>
    <w:p>
      <w:pPr>
        <w:pStyle w:val="BodyText"/>
        <w:numPr>
          <w:ilvl w:val="1"/>
          <w:numId w:val="71"/>
        </w:numPr>
        <w:tabs>
          <w:tab w:val="clear" w:pos="720"/>
          <w:tab w:val="left" w:pos="0" w:leader="none"/>
        </w:tabs>
        <w:spacing w:before="0" w:after="200"/>
        <w:ind w:hanging="283" w:left="1418"/>
        <w:rPr/>
      </w:pPr>
      <w:r>
        <w:rPr/>
        <w:t>Factors controlled by other entities;</w:t>
      </w:r>
    </w:p>
    <w:p>
      <w:pPr>
        <w:pStyle w:val="BodyText"/>
        <w:numPr>
          <w:ilvl w:val="1"/>
          <w:numId w:val="71"/>
        </w:numPr>
        <w:tabs>
          <w:tab w:val="clear" w:pos="720"/>
          <w:tab w:val="left" w:pos="0" w:leader="none"/>
        </w:tabs>
        <w:spacing w:before="0" w:after="200"/>
        <w:ind w:hanging="283" w:left="1418"/>
        <w:rPr/>
      </w:pPr>
      <w:r>
        <w:rPr/>
        <w:t>Environmental uncertainty; and</w:t>
      </w:r>
    </w:p>
    <w:p>
      <w:pPr>
        <w:pStyle w:val="BodyText"/>
        <w:numPr>
          <w:ilvl w:val="1"/>
          <w:numId w:val="71"/>
        </w:numPr>
        <w:tabs>
          <w:tab w:val="clear" w:pos="720"/>
          <w:tab w:val="left" w:pos="0" w:leader="none"/>
        </w:tabs>
        <w:spacing w:before="0" w:after="200"/>
        <w:ind w:hanging="283" w:left="1418"/>
        <w:rPr/>
      </w:pPr>
      <w:r>
        <w:rPr/>
        <w:t>Factors outside any relevant agent’s practical control.</w:t>
      </w:r>
    </w:p>
    <w:p>
      <w:pPr>
        <w:pStyle w:val="BodyText"/>
        <w:numPr>
          <w:ilvl w:val="0"/>
          <w:numId w:val="71"/>
        </w:numPr>
        <w:tabs>
          <w:tab w:val="clear" w:pos="720"/>
          <w:tab w:val="left" w:pos="0" w:leader="none"/>
        </w:tabs>
        <w:spacing w:before="0" w:after="200"/>
        <w:ind w:hanging="283" w:left="709"/>
        <w:rPr/>
      </w:pPr>
      <w:r>
        <w:rPr>
          <w:rStyle w:val="Strong"/>
        </w:rPr>
        <w:t>Separate transition quality from agent quality.</w:t>
      </w:r>
      <w:r>
        <w:rPr/>
        <w:t xml:space="preserve"> Every assessment could report both the ethical quality of the World Context Transition and the quality of the actor’s reasoning, intention, and conduct.</w:t>
      </w:r>
    </w:p>
    <w:p>
      <w:pPr>
        <w:pStyle w:val="BodyText"/>
        <w:numPr>
          <w:ilvl w:val="0"/>
          <w:numId w:val="71"/>
        </w:numPr>
        <w:tabs>
          <w:tab w:val="clear" w:pos="720"/>
          <w:tab w:val="left" w:pos="0" w:leader="none"/>
        </w:tabs>
        <w:spacing w:before="0" w:after="200"/>
        <w:ind w:hanging="283" w:left="709"/>
        <w:rPr/>
      </w:pPr>
      <w:r>
        <w:rPr>
          <w:rStyle w:val="Strong"/>
        </w:rPr>
        <w:t>Introduce a Stoic assent sequence.</w:t>
      </w:r>
      <w:r>
        <w:rPr/>
        <w:t xml:space="preserve"> Before an impression changes an objective or initiates action, the system could ask:</w:t>
      </w:r>
    </w:p>
    <w:p>
      <w:pPr>
        <w:pStyle w:val="BodyText"/>
        <w:numPr>
          <w:ilvl w:val="1"/>
          <w:numId w:val="71"/>
        </w:numPr>
        <w:tabs>
          <w:tab w:val="clear" w:pos="720"/>
          <w:tab w:val="left" w:pos="0" w:leader="none"/>
        </w:tabs>
        <w:spacing w:before="0" w:after="200"/>
        <w:ind w:hanging="283" w:left="1418"/>
        <w:rPr/>
      </w:pPr>
      <w:r>
        <w:rPr/>
        <w:t>What is the initial impression?</w:t>
      </w:r>
    </w:p>
    <w:p>
      <w:pPr>
        <w:pStyle w:val="BodyText"/>
        <w:numPr>
          <w:ilvl w:val="1"/>
          <w:numId w:val="71"/>
        </w:numPr>
        <w:tabs>
          <w:tab w:val="clear" w:pos="720"/>
          <w:tab w:val="left" w:pos="0" w:leader="none"/>
        </w:tabs>
        <w:spacing w:before="0" w:after="200"/>
        <w:ind w:hanging="283" w:left="1418"/>
        <w:rPr/>
      </w:pPr>
      <w:r>
        <w:rPr/>
        <w:t>What judgment does it imply?</w:t>
      </w:r>
    </w:p>
    <w:p>
      <w:pPr>
        <w:pStyle w:val="BodyText"/>
        <w:numPr>
          <w:ilvl w:val="1"/>
          <w:numId w:val="71"/>
        </w:numPr>
        <w:tabs>
          <w:tab w:val="clear" w:pos="720"/>
          <w:tab w:val="left" w:pos="0" w:leader="none"/>
        </w:tabs>
        <w:spacing w:before="0" w:after="200"/>
        <w:ind w:hanging="283" w:left="1418"/>
        <w:rPr/>
      </w:pPr>
      <w:r>
        <w:rPr/>
        <w:t>What evidence supports that judgment?</w:t>
      </w:r>
    </w:p>
    <w:p>
      <w:pPr>
        <w:pStyle w:val="BodyText"/>
        <w:numPr>
          <w:ilvl w:val="1"/>
          <w:numId w:val="71"/>
        </w:numPr>
        <w:tabs>
          <w:tab w:val="clear" w:pos="720"/>
          <w:tab w:val="left" w:pos="0" w:leader="none"/>
        </w:tabs>
        <w:spacing w:before="0" w:after="200"/>
        <w:ind w:hanging="283" w:left="1418"/>
        <w:rPr/>
      </w:pPr>
      <w:r>
        <w:rPr/>
        <w:t>Is the event being mislabeled as inherently good or evil?</w:t>
      </w:r>
    </w:p>
    <w:p>
      <w:pPr>
        <w:pStyle w:val="BodyText"/>
        <w:numPr>
          <w:ilvl w:val="1"/>
          <w:numId w:val="71"/>
        </w:numPr>
        <w:tabs>
          <w:tab w:val="clear" w:pos="720"/>
          <w:tab w:val="left" w:pos="0" w:leader="none"/>
        </w:tabs>
        <w:spacing w:before="0" w:after="200"/>
        <w:ind w:hanging="283" w:left="1418"/>
        <w:rPr/>
      </w:pPr>
      <w:r>
        <w:rPr/>
        <w:t>What action remains within the agent’s authority?</w:t>
      </w:r>
    </w:p>
    <w:p>
      <w:pPr>
        <w:pStyle w:val="BodyText"/>
        <w:numPr>
          <w:ilvl w:val="1"/>
          <w:numId w:val="71"/>
        </w:numPr>
        <w:tabs>
          <w:tab w:val="clear" w:pos="720"/>
          <w:tab w:val="left" w:pos="0" w:leader="none"/>
        </w:tabs>
        <w:spacing w:before="0" w:after="200"/>
        <w:ind w:hanging="283" w:left="1418"/>
        <w:rPr/>
      </w:pPr>
      <w:r>
        <w:rPr/>
        <w:t>Which virtue should govern the response?</w:t>
      </w:r>
    </w:p>
    <w:p>
      <w:pPr>
        <w:pStyle w:val="BodyText"/>
        <w:numPr>
          <w:ilvl w:val="0"/>
          <w:numId w:val="71"/>
        </w:numPr>
        <w:tabs>
          <w:tab w:val="clear" w:pos="720"/>
          <w:tab w:val="left" w:pos="0" w:leader="none"/>
        </w:tabs>
        <w:spacing w:before="0" w:after="200"/>
        <w:ind w:hanging="283" w:left="709"/>
        <w:rPr/>
      </w:pPr>
      <w:r>
        <w:rPr>
          <w:rStyle w:val="Strong"/>
        </w:rPr>
        <w:t>Add a cardinal-virtue review.</w:t>
      </w:r>
      <w:r>
        <w:rPr/>
        <w:t xml:space="preserve"> Proposed actions could be separately assessed for wisdom, justice, courage, and moderation.</w:t>
      </w:r>
    </w:p>
    <w:p>
      <w:pPr>
        <w:pStyle w:val="BodyText"/>
        <w:numPr>
          <w:ilvl w:val="0"/>
          <w:numId w:val="71"/>
        </w:numPr>
        <w:tabs>
          <w:tab w:val="clear" w:pos="720"/>
          <w:tab w:val="left" w:pos="0" w:leader="none"/>
        </w:tabs>
        <w:spacing w:before="0" w:after="200"/>
        <w:ind w:hanging="283" w:left="709"/>
        <w:rPr/>
      </w:pPr>
      <w:r>
        <w:rPr>
          <w:rStyle w:val="Strong"/>
        </w:rPr>
        <w:t>Use conditional or reserved objectives.</w:t>
      </w:r>
      <w:r>
        <w:rPr/>
        <w:t xml:space="preserve"> Goals could be expressed as intentions to pursue an outcome competently while acknowledging uncertainty and external interference.</w:t>
      </w:r>
    </w:p>
    <w:p>
      <w:pPr>
        <w:pStyle w:val="BodyText"/>
        <w:numPr>
          <w:ilvl w:val="0"/>
          <w:numId w:val="71"/>
        </w:numPr>
        <w:tabs>
          <w:tab w:val="clear" w:pos="720"/>
          <w:tab w:val="left" w:pos="0" w:leader="none"/>
        </w:tabs>
        <w:spacing w:before="0" w:after="200"/>
        <w:ind w:hanging="283" w:left="709"/>
        <w:rPr/>
      </w:pPr>
      <w:r>
        <w:rPr>
          <w:rStyle w:val="Strong"/>
        </w:rPr>
        <w:t>Distinguish reasonable selection from successful acquisition.</w:t>
      </w:r>
      <w:r>
        <w:rPr/>
        <w:t xml:space="preserve"> An agent may reasonably select health, safety, or protection while recognizing that success is not fully controllable. This would improve responsibility analysis without treating external outcomes as ethically irrelevant.</w:t>
      </w:r>
    </w:p>
    <w:p>
      <w:pPr>
        <w:pStyle w:val="BodyText"/>
        <w:numPr>
          <w:ilvl w:val="0"/>
          <w:numId w:val="71"/>
        </w:numPr>
        <w:tabs>
          <w:tab w:val="clear" w:pos="720"/>
          <w:tab w:val="left" w:pos="0" w:leader="none"/>
        </w:tabs>
        <w:spacing w:before="0" w:after="200"/>
        <w:ind w:hanging="283" w:left="709"/>
        <w:rPr/>
      </w:pPr>
      <w:r>
        <w:rPr>
          <w:rStyle w:val="Strong"/>
        </w:rPr>
        <w:t>Add role-based appropriate-action rules.</w:t>
      </w:r>
      <w:r>
        <w:rPr/>
        <w:t xml:space="preserve"> Responsibilities associated with parenthood, citizenship, leadership, professional practice, contractual commitment, and institutional authority could be represented explicitly.</w:t>
      </w:r>
    </w:p>
    <w:p>
      <w:pPr>
        <w:pStyle w:val="BodyText"/>
        <w:numPr>
          <w:ilvl w:val="0"/>
          <w:numId w:val="71"/>
        </w:numPr>
        <w:tabs>
          <w:tab w:val="clear" w:pos="720"/>
          <w:tab w:val="left" w:pos="0" w:leader="none"/>
        </w:tabs>
        <w:spacing w:before="0" w:after="200"/>
        <w:ind w:hanging="283" w:left="709"/>
        <w:rPr/>
      </w:pPr>
      <w:r>
        <w:rPr>
          <w:rStyle w:val="Strong"/>
        </w:rPr>
        <w:t>Implement impression and bias monitoring.</w:t>
      </w:r>
      <w:r>
        <w:rPr/>
        <w:t xml:space="preserve"> Fear, anger, desire, resentment, reputation, and status concerns could be flagged as possible influences on evidence assessment and objective selection.</w:t>
      </w:r>
    </w:p>
    <w:p>
      <w:pPr>
        <w:pStyle w:val="BodyText"/>
        <w:numPr>
          <w:ilvl w:val="0"/>
          <w:numId w:val="71"/>
        </w:numPr>
        <w:tabs>
          <w:tab w:val="clear" w:pos="720"/>
          <w:tab w:val="left" w:pos="0" w:leader="none"/>
        </w:tabs>
        <w:spacing w:before="0" w:after="200"/>
        <w:ind w:hanging="283" w:left="709"/>
        <w:rPr/>
      </w:pPr>
      <w:r>
        <w:rPr>
          <w:rStyle w:val="Strong"/>
        </w:rPr>
        <w:t>Add pre-action adversity testing.</w:t>
      </w:r>
      <w:r>
        <w:rPr/>
        <w:t xml:space="preserve"> Agents could anticipate loss, delay, resistance, failure, criticism, scarcity, and other foreseeable obstacles before committing to an action.</w:t>
      </w:r>
    </w:p>
    <w:p>
      <w:pPr>
        <w:pStyle w:val="BodyText"/>
        <w:numPr>
          <w:ilvl w:val="0"/>
          <w:numId w:val="71"/>
        </w:numPr>
        <w:tabs>
          <w:tab w:val="clear" w:pos="720"/>
          <w:tab w:val="left" w:pos="0" w:leader="none"/>
        </w:tabs>
        <w:spacing w:before="0" w:after="200"/>
        <w:ind w:hanging="283" w:left="709"/>
        <w:rPr/>
      </w:pPr>
      <w:r>
        <w:rPr>
          <w:rStyle w:val="Strong"/>
        </w:rPr>
        <w:t>Add post-action moral review.</w:t>
      </w:r>
      <w:r>
        <w:rPr/>
        <w:t xml:space="preserve"> The system could compare expected and actual outcomes, examine errors of judgment, identify uncontrolled factors, and update the agent’s future policy.</w:t>
      </w:r>
    </w:p>
    <w:p>
      <w:pPr>
        <w:pStyle w:val="BodyText"/>
        <w:numPr>
          <w:ilvl w:val="0"/>
          <w:numId w:val="71"/>
        </w:numPr>
        <w:tabs>
          <w:tab w:val="clear" w:pos="720"/>
          <w:tab w:val="left" w:pos="0" w:leader="none"/>
        </w:tabs>
        <w:spacing w:before="0" w:after="200"/>
        <w:ind w:hanging="283" w:left="709"/>
        <w:rPr/>
      </w:pPr>
      <w:r>
        <w:rPr>
          <w:rStyle w:val="Strong"/>
        </w:rPr>
        <w:t>Incorporate cosmopolitan scope tests.</w:t>
      </w:r>
      <w:r>
        <w:rPr/>
        <w:t xml:space="preserve"> Assessments could ask whether relevant distant, foreign, politically weak, or institutionally invisible entities were excluded merely because they fell outside the actor’s immediate community.</w:t>
      </w:r>
    </w:p>
    <w:p>
      <w:pPr>
        <w:pStyle w:val="BodyText"/>
        <w:numPr>
          <w:ilvl w:val="0"/>
          <w:numId w:val="71"/>
        </w:numPr>
        <w:tabs>
          <w:tab w:val="clear" w:pos="720"/>
          <w:tab w:val="left" w:pos="0" w:leader="none"/>
        </w:tabs>
        <w:spacing w:before="0" w:after="200"/>
        <w:ind w:hanging="283" w:left="709"/>
        <w:rPr/>
      </w:pPr>
      <w:r>
        <w:rPr>
          <w:rStyle w:val="Strong"/>
        </w:rPr>
        <w:t>Model expanding moral affiliation.</w:t>
      </w:r>
      <w:r>
        <w:rPr/>
        <w:t xml:space="preserve"> The framework could track whether moral agents progressively recognize broader classes of entities and relationships as ethically relevant.</w:t>
      </w:r>
    </w:p>
    <w:p>
      <w:pPr>
        <w:pStyle w:val="BodyText"/>
        <w:numPr>
          <w:ilvl w:val="0"/>
          <w:numId w:val="71"/>
        </w:numPr>
        <w:tabs>
          <w:tab w:val="clear" w:pos="720"/>
          <w:tab w:val="left" w:pos="0" w:leader="none"/>
        </w:tabs>
        <w:spacing w:before="0" w:after="200"/>
        <w:ind w:hanging="283" w:left="709"/>
        <w:rPr/>
      </w:pPr>
      <w:r>
        <w:rPr>
          <w:rStyle w:val="Strong"/>
        </w:rPr>
        <w:t>Develop resilience safeguards.</w:t>
      </w:r>
      <w:r>
        <w:rPr/>
        <w:t xml:space="preserve"> Stoic practices could help agents maintain ethical commitments under pressure, uncertainty, threat, reputational loss, or operational failure.</w:t>
      </w:r>
    </w:p>
    <w:p>
      <w:pPr>
        <w:pStyle w:val="BodyText"/>
        <w:numPr>
          <w:ilvl w:val="0"/>
          <w:numId w:val="71"/>
        </w:numPr>
        <w:tabs>
          <w:tab w:val="clear" w:pos="720"/>
          <w:tab w:val="left" w:pos="0" w:leader="none"/>
        </w:tabs>
        <w:spacing w:before="0" w:after="200"/>
        <w:ind w:hanging="283" w:left="709"/>
        <w:rPr/>
      </w:pPr>
      <w:r>
        <w:rPr>
          <w:rStyle w:val="Strong"/>
        </w:rPr>
        <w:t>Prevent passive misuse of acceptance.</w:t>
      </w:r>
      <w:r>
        <w:rPr/>
        <w:t xml:space="preserve"> The framework should distinguish unavoidable conditions from remediable injustice. Stoic acceptance should apply to what cannot reasonably be changed, not to harms that an agent has the authority and capacity to address.</w:t>
      </w:r>
    </w:p>
    <w:p>
      <w:pPr>
        <w:pStyle w:val="BodyText"/>
        <w:numPr>
          <w:ilvl w:val="0"/>
          <w:numId w:val="71"/>
        </w:numPr>
        <w:tabs>
          <w:tab w:val="clear" w:pos="720"/>
          <w:tab w:val="left" w:pos="0" w:leader="none"/>
        </w:tabs>
        <w:spacing w:before="0" w:after="200"/>
        <w:ind w:hanging="283" w:left="709"/>
        <w:rPr/>
      </w:pPr>
      <w:r>
        <w:rPr>
          <w:rStyle w:val="Strong"/>
        </w:rPr>
        <w:t>Prevent emotional suppression.</w:t>
      </w:r>
      <w:r>
        <w:rPr/>
        <w:t xml:space="preserve"> Emotional regulation should be distinguished from ignoring grief, trauma, fear, or morally informative concern. Relevant emotional states should be examined rather than automatically eliminated.</w:t>
      </w:r>
    </w:p>
    <w:p>
      <w:pPr>
        <w:pStyle w:val="BodyText"/>
        <w:numPr>
          <w:ilvl w:val="0"/>
          <w:numId w:val="71"/>
        </w:numPr>
        <w:tabs>
          <w:tab w:val="clear" w:pos="720"/>
          <w:tab w:val="left" w:pos="0" w:leader="none"/>
        </w:tabs>
        <w:spacing w:before="0" w:after="200"/>
        <w:ind w:hanging="283" w:left="709"/>
        <w:rPr/>
      </w:pPr>
      <w:r>
        <w:rPr>
          <w:rStyle w:val="Strong"/>
        </w:rPr>
        <w:t>Prevent victim-blaming.</w:t>
      </w:r>
      <w:r>
        <w:rPr/>
        <w:t xml:space="preserve"> Stoic claims about internal moral freedom should not be used to deny the reality of coercion, injury, deprivation, or institutional responsibility.</w:t>
      </w:r>
    </w:p>
    <w:p>
      <w:pPr>
        <w:pStyle w:val="BodyText"/>
        <w:numPr>
          <w:ilvl w:val="0"/>
          <w:numId w:val="71"/>
        </w:numPr>
        <w:tabs>
          <w:tab w:val="clear" w:pos="720"/>
          <w:tab w:val="left" w:pos="0" w:leader="none"/>
        </w:tabs>
        <w:spacing w:before="0" w:after="200"/>
        <w:ind w:hanging="283" w:left="709"/>
        <w:rPr/>
      </w:pPr>
      <w:r>
        <w:rPr>
          <w:rStyle w:val="Strong"/>
        </w:rPr>
        <w:t>Integrate virtue into policy learning.</w:t>
      </w:r>
      <w:r>
        <w:rPr/>
        <w:t xml:space="preserve"> Distributed Policy Effects could evaluate whether an action cultivates wisdom, justice, courage, and moderation in agents and institutions or instead normalizes impulsiveness, cowardice, injustice, and excess.</w:t>
      </w:r>
    </w:p>
    <w:p>
      <w:pPr>
        <w:pStyle w:val="BodyText"/>
        <w:numPr>
          <w:ilvl w:val="0"/>
          <w:numId w:val="71"/>
        </w:numPr>
        <w:tabs>
          <w:tab w:val="clear" w:pos="720"/>
          <w:tab w:val="left" w:pos="0" w:leader="none"/>
        </w:tabs>
        <w:spacing w:before="0" w:after="200"/>
        <w:ind w:hanging="283" w:left="709"/>
        <w:rPr/>
      </w:pPr>
      <w:r>
        <w:rPr>
          <w:rStyle w:val="Strong"/>
        </w:rPr>
        <w:t>Test the distinction between preferred indifferents and flourishing conditions.</w:t>
      </w:r>
      <w:r>
        <w:rPr/>
        <w:t xml:space="preserve"> Future research could examine whether Stoic detachment improves resilience while preserving sufficient recognition of material, relational, and institutional harms.</w:t>
      </w:r>
    </w:p>
    <w:p>
      <w:pPr>
        <w:pStyle w:val="BodyText"/>
        <w:numPr>
          <w:ilvl w:val="0"/>
          <w:numId w:val="71"/>
        </w:numPr>
        <w:tabs>
          <w:tab w:val="clear" w:pos="720"/>
          <w:tab w:val="left" w:pos="0" w:leader="none"/>
        </w:tabs>
        <w:spacing w:before="0" w:after="200"/>
        <w:ind w:hanging="283" w:left="709"/>
        <w:rPr/>
      </w:pPr>
      <w:r>
        <w:rPr>
          <w:rStyle w:val="Strong"/>
        </w:rPr>
        <w:t>Support ethical leadership under uncertainty.</w:t>
      </w:r>
      <w:r>
        <w:rPr/>
        <w:t xml:space="preserve"> Stoic role duty, self-command, mortality awareness, and resistance to status incentives could be incorporated into assessments involving public officials and organizational leaders.</w:t>
      </w:r>
    </w:p>
    <w:p>
      <w:pPr>
        <w:pStyle w:val="BodyText"/>
        <w:numPr>
          <w:ilvl w:val="0"/>
          <w:numId w:val="71"/>
        </w:numPr>
        <w:tabs>
          <w:tab w:val="clear" w:pos="720"/>
          <w:tab w:val="left" w:pos="0" w:leader="none"/>
        </w:tabs>
        <w:spacing w:before="0" w:after="200"/>
        <w:ind w:hanging="283" w:left="709"/>
        <w:rPr/>
      </w:pPr>
      <w:r>
        <w:rPr>
          <w:rStyle w:val="Strong"/>
        </w:rPr>
        <w:t>Produce a dual Stoic-systems finding.</w:t>
      </w:r>
      <w:r>
        <w:rPr/>
        <w:t xml:space="preserve"> Each relevant assessment could state:</w:t>
      </w:r>
    </w:p>
    <w:p>
      <w:pPr>
        <w:pStyle w:val="BodyText"/>
        <w:numPr>
          <w:ilvl w:val="0"/>
          <w:numId w:val="72"/>
        </w:numPr>
        <w:tabs>
          <w:tab w:val="clear" w:pos="720"/>
          <w:tab w:val="left" w:pos="0" w:leader="none"/>
        </w:tabs>
        <w:spacing w:before="0" w:after="200"/>
        <w:ind w:hanging="283" w:left="709"/>
        <w:rPr/>
      </w:pPr>
      <w:r>
        <w:rPr/>
        <w:t>Whether the agent exercised sound judgment and appropriate control;</w:t>
      </w:r>
    </w:p>
    <w:p>
      <w:pPr>
        <w:pStyle w:val="BodyText"/>
        <w:numPr>
          <w:ilvl w:val="0"/>
          <w:numId w:val="72"/>
        </w:numPr>
        <w:tabs>
          <w:tab w:val="clear" w:pos="720"/>
          <w:tab w:val="left" w:pos="0" w:leader="none"/>
        </w:tabs>
        <w:spacing w:before="0" w:after="200"/>
        <w:ind w:hanging="283" w:left="709"/>
        <w:rPr/>
      </w:pPr>
      <w:r>
        <w:rPr/>
        <w:t>Whether the action reflected wisdom, justice, courage, and moderation;</w:t>
      </w:r>
    </w:p>
    <w:p>
      <w:pPr>
        <w:pStyle w:val="BodyText"/>
        <w:numPr>
          <w:ilvl w:val="0"/>
          <w:numId w:val="72"/>
        </w:numPr>
        <w:tabs>
          <w:tab w:val="clear" w:pos="720"/>
          <w:tab w:val="left" w:pos="0" w:leader="none"/>
        </w:tabs>
        <w:spacing w:before="0" w:after="200"/>
        <w:ind w:hanging="283" w:left="709"/>
        <w:rPr/>
      </w:pPr>
      <w:r>
        <w:rPr/>
        <w:t>Which outcomes were reasonably selectable but not controllable;</w:t>
      </w:r>
    </w:p>
    <w:p>
      <w:pPr>
        <w:pStyle w:val="BodyText"/>
        <w:numPr>
          <w:ilvl w:val="0"/>
          <w:numId w:val="72"/>
        </w:numPr>
        <w:tabs>
          <w:tab w:val="clear" w:pos="720"/>
          <w:tab w:val="left" w:pos="0" w:leader="none"/>
        </w:tabs>
        <w:spacing w:before="0" w:after="200"/>
        <w:ind w:hanging="283" w:left="709"/>
        <w:rPr/>
      </w:pPr>
      <w:r>
        <w:rPr/>
        <w:t>What transition actually occurred;</w:t>
      </w:r>
    </w:p>
    <w:p>
      <w:pPr>
        <w:pStyle w:val="BodyText"/>
        <w:numPr>
          <w:ilvl w:val="0"/>
          <w:numId w:val="72"/>
        </w:numPr>
        <w:tabs>
          <w:tab w:val="clear" w:pos="720"/>
          <w:tab w:val="left" w:pos="0" w:leader="none"/>
        </w:tabs>
        <w:spacing w:before="0" w:after="200"/>
        <w:ind w:hanging="283" w:left="709"/>
        <w:rPr/>
      </w:pPr>
      <w:r>
        <w:rPr/>
        <w:t>Which affected entities experienced diminished flourishing;</w:t>
      </w:r>
    </w:p>
    <w:p>
      <w:pPr>
        <w:pStyle w:val="BodyText"/>
        <w:numPr>
          <w:ilvl w:val="0"/>
          <w:numId w:val="72"/>
        </w:numPr>
        <w:tabs>
          <w:tab w:val="clear" w:pos="720"/>
          <w:tab w:val="left" w:pos="0" w:leader="none"/>
        </w:tabs>
        <w:spacing w:before="0" w:after="200"/>
        <w:ind w:hanging="283" w:left="709"/>
        <w:rPr/>
      </w:pPr>
      <w:r>
        <w:rPr/>
        <w:t>What responsibility remains; and</w:t>
      </w:r>
    </w:p>
    <w:p>
      <w:pPr>
        <w:pStyle w:val="BodyText"/>
        <w:numPr>
          <w:ilvl w:val="0"/>
          <w:numId w:val="72"/>
        </w:numPr>
        <w:tabs>
          <w:tab w:val="clear" w:pos="720"/>
          <w:tab w:val="left" w:pos="0" w:leader="none"/>
        </w:tabs>
        <w:spacing w:before="0" w:after="200"/>
        <w:ind w:hanging="283" w:left="709"/>
        <w:rPr/>
      </w:pPr>
      <w:r>
        <w:rPr/>
        <w:t>What corrective action is now within the agent’s control.</w:t>
      </w:r>
    </w:p>
    <w:p>
      <w:pPr>
        <w:pStyle w:val="BodyText"/>
        <w:spacing w:before="0" w:after="200"/>
        <w:rPr/>
      </w:pPr>
      <w:r>
        <w:rPr/>
        <w:t>This integration would preserve the Stoic distinction between moral agency and external fortune while retaining the framework’s commitment to evaluate real effects on other entities. It would also prevent two opposite errors: blaming agents for outcomes they could not reasonably control and treating avoidable harm as ethically irrelevant merely because the actor maintained internal composure.</w:t>
      </w:r>
    </w:p>
    <w:p>
      <w:pPr>
        <w:pStyle w:val="Heading2"/>
        <w:rPr/>
      </w:pPr>
      <w:r>
        <w:rPr/>
        <w:t>Cosmism</w:t>
      </w:r>
    </w:p>
    <w:p>
      <w:pPr>
        <w:pStyle w:val="BodyText"/>
        <w:spacing w:before="0" w:after="200"/>
        <w:rPr/>
      </w:pPr>
      <w:r>
        <w:rPr/>
        <w:t>Cosmism, as used here, refers primarily to the Russian Cosmist tradition that emerged during the late nineteenth and early twentieth centuries, together with its later noospheric, spacefaring, life-extension, and transhumanist descendants. It should not be confused with “cosmicism,” which emphasizes humanity’s insignificance within an indifferent universe. Cosmism instead presents humanity—or intelligent life more generally—as a potentially active participant in cosmic evolution.</w:t>
      </w:r>
    </w:p>
    <w:p>
      <w:pPr>
        <w:pStyle w:val="BodyText"/>
        <w:spacing w:before="0" w:after="200"/>
        <w:rPr/>
      </w:pPr>
      <w:r>
        <w:rPr/>
        <w:t xml:space="preserve">Cosmism is not a single ethical theory. It combines religious philosophy, scientific naturalism, technological speculation, systems thinking, and theories of humanity’s cosmic future. Its recurring themes include collective responsibility for directing evolution, overcoming involuntary death, preserving life and memory, expanding beyond Earth, and transforming the biosphere through knowledge. One concise scholarly characterization describes Cosmism as “active evolutionism”: the view that intelligence can and should consciously participate in the direction of natural and cosmic development. </w:t>
      </w:r>
      <w:hyperlink r:id="rId50">
        <w:r>
          <w:rPr>
            <w:rStyle w:val="Hyperlink"/>
          </w:rPr>
          <w:t>Filosofia: An Encyclopedia of Russian Thought</w:t>
        </w:r>
      </w:hyperlink>
    </w:p>
    <w:p>
      <w:pPr>
        <w:pStyle w:val="Heading3"/>
        <w:spacing w:before="0" w:after="200"/>
        <w:ind w:hanging="0" w:left="0"/>
        <w:rPr>
          <w:rFonts w:ascii="Aptos" w:hAnsi="Aptos"/>
          <w:color w:val="auto"/>
        </w:rPr>
      </w:pPr>
      <w:r>
        <w:rPr>
          <w:rFonts w:ascii="Aptos" w:hAnsi="Aptos"/>
          <w:color w:val="auto"/>
        </w:rPr>
        <w:t>Primary Experts</w:t>
      </w:r>
    </w:p>
    <w:tbl>
      <w:tblPr>
        <w:tblW w:w="8640" w:type="dxa"/>
        <w:jc w:val="left"/>
        <w:tblInd w:w="28" w:type="dxa"/>
        <w:tblLayout w:type="fixed"/>
        <w:tblCellMar>
          <w:top w:w="28" w:type="dxa"/>
          <w:left w:w="28" w:type="dxa"/>
          <w:bottom w:w="28" w:type="dxa"/>
          <w:right w:w="28" w:type="dxa"/>
        </w:tblCellMar>
      </w:tblPr>
      <w:tblGrid>
        <w:gridCol w:w="1753"/>
        <w:gridCol w:w="736"/>
        <w:gridCol w:w="2409"/>
        <w:gridCol w:w="3742"/>
      </w:tblGrid>
      <w:tr>
        <w:trPr>
          <w:tblHeader w:val="true"/>
        </w:trPr>
        <w:tc>
          <w:tcPr>
            <w:tcW w:w="1753" w:type="dxa"/>
            <w:tcBorders/>
            <w:vAlign w:val="center"/>
          </w:tcPr>
          <w:p>
            <w:pPr>
              <w:pStyle w:val="TableHeading"/>
              <w:suppressLineNumbers/>
              <w:spacing w:before="0" w:after="200"/>
              <w:jc w:val="center"/>
              <w:rPr/>
            </w:pPr>
            <w:r>
              <w:rPr/>
              <w:t>Expert</w:t>
            </w:r>
          </w:p>
        </w:tc>
        <w:tc>
          <w:tcPr>
            <w:tcW w:w="736" w:type="dxa"/>
            <w:tcBorders/>
            <w:vAlign w:val="center"/>
          </w:tcPr>
          <w:p>
            <w:pPr>
              <w:pStyle w:val="TableHeading"/>
              <w:spacing w:before="0" w:after="200"/>
              <w:jc w:val="right"/>
              <w:rPr/>
            </w:pPr>
            <w:r>
              <w:rPr/>
              <w:t>Years</w:t>
            </w:r>
          </w:p>
        </w:tc>
        <w:tc>
          <w:tcPr>
            <w:tcW w:w="2409" w:type="dxa"/>
            <w:tcBorders/>
            <w:vAlign w:val="center"/>
          </w:tcPr>
          <w:p>
            <w:pPr>
              <w:pStyle w:val="TableHeading"/>
              <w:suppressLineNumbers/>
              <w:spacing w:before="0" w:after="200"/>
              <w:jc w:val="center"/>
              <w:rPr/>
            </w:pPr>
            <w:r>
              <w:rPr/>
              <w:t>Associated institution or setting</w:t>
            </w:r>
          </w:p>
        </w:tc>
        <w:tc>
          <w:tcPr>
            <w:tcW w:w="3742" w:type="dxa"/>
            <w:tcBorders/>
            <w:vAlign w:val="center"/>
          </w:tcPr>
          <w:p>
            <w:pPr>
              <w:pStyle w:val="TableHeading"/>
              <w:suppressLineNumbers/>
              <w:spacing w:before="0" w:after="200"/>
              <w:jc w:val="center"/>
              <w:rPr/>
            </w:pPr>
            <w:r>
              <w:rPr/>
              <w:t>Principal contribution</w:t>
            </w:r>
          </w:p>
        </w:tc>
      </w:tr>
      <w:tr>
        <w:trPr/>
        <w:tc>
          <w:tcPr>
            <w:tcW w:w="1753" w:type="dxa"/>
            <w:tcBorders/>
            <w:vAlign w:val="center"/>
          </w:tcPr>
          <w:p>
            <w:pPr>
              <w:pStyle w:val="TableContents"/>
              <w:widowControl w:val="false"/>
              <w:suppressLineNumbers/>
              <w:spacing w:before="0" w:after="200"/>
              <w:rPr/>
            </w:pPr>
            <w:r>
              <w:rPr>
                <w:rStyle w:val="Strong"/>
              </w:rPr>
              <w:t>Nikolai Fedorovich Fedorov</w:t>
            </w:r>
            <w:r>
              <w:rPr/>
              <w:t>—also rendered Fyodorov</w:t>
            </w:r>
          </w:p>
        </w:tc>
        <w:tc>
          <w:tcPr>
            <w:tcW w:w="736" w:type="dxa"/>
            <w:tcBorders/>
            <w:vAlign w:val="center"/>
          </w:tcPr>
          <w:p>
            <w:pPr>
              <w:pStyle w:val="TableContents"/>
              <w:spacing w:before="0" w:after="200"/>
              <w:jc w:val="right"/>
              <w:rPr/>
            </w:pPr>
            <w:r>
              <w:rPr/>
              <w:t>1829–1903</w:t>
            </w:r>
          </w:p>
        </w:tc>
        <w:tc>
          <w:tcPr>
            <w:tcW w:w="2409" w:type="dxa"/>
            <w:tcBorders/>
            <w:vAlign w:val="center"/>
          </w:tcPr>
          <w:p>
            <w:pPr>
              <w:pStyle w:val="TableContents"/>
              <w:widowControl w:val="false"/>
              <w:suppressLineNumbers/>
              <w:spacing w:before="0" w:after="200"/>
              <w:rPr/>
            </w:pPr>
            <w:r>
              <w:rPr/>
              <w:t>Rumyantsev Museum Library, Moscow; earlier provincial teaching positions</w:t>
            </w:r>
          </w:p>
        </w:tc>
        <w:tc>
          <w:tcPr>
            <w:tcW w:w="3742" w:type="dxa"/>
            <w:tcBorders/>
            <w:vAlign w:val="center"/>
          </w:tcPr>
          <w:p>
            <w:pPr>
              <w:pStyle w:val="TableContents"/>
              <w:widowControl w:val="false"/>
              <w:suppressLineNumbers/>
              <w:spacing w:before="0" w:after="200"/>
              <w:rPr/>
            </w:pPr>
            <w:r>
              <w:rPr/>
              <w:t xml:space="preserve">Principal philosophical founder of Russian Cosmism. His “Common Task” called for humanity to overcome division, regulate destructive natural forces, defeat involuntary death, and ultimately restore all prior human lives through collective scientific and moral effort. </w:t>
            </w:r>
            <w:hyperlink r:id="rId51">
              <w:r>
                <w:rPr>
                  <w:rStyle w:val="Hyperlink"/>
                </w:rPr>
                <w:t>Internet Encyclopedia of Philosophy</w:t>
              </w:r>
            </w:hyperlink>
          </w:p>
        </w:tc>
      </w:tr>
      <w:tr>
        <w:trPr/>
        <w:tc>
          <w:tcPr>
            <w:tcW w:w="1753" w:type="dxa"/>
            <w:tcBorders/>
            <w:vAlign w:val="center"/>
          </w:tcPr>
          <w:p>
            <w:pPr>
              <w:pStyle w:val="TableContents"/>
              <w:widowControl w:val="false"/>
              <w:suppressLineNumbers/>
              <w:spacing w:before="0" w:after="200"/>
              <w:rPr/>
            </w:pPr>
            <w:r>
              <w:rPr>
                <w:rStyle w:val="Strong"/>
              </w:rPr>
              <w:t>Konstantin Eduardovich Tsiolkovsky</w:t>
            </w:r>
          </w:p>
        </w:tc>
        <w:tc>
          <w:tcPr>
            <w:tcW w:w="736" w:type="dxa"/>
            <w:tcBorders/>
            <w:vAlign w:val="center"/>
          </w:tcPr>
          <w:p>
            <w:pPr>
              <w:pStyle w:val="TableContents"/>
              <w:spacing w:before="0" w:after="200"/>
              <w:jc w:val="right"/>
              <w:rPr/>
            </w:pPr>
            <w:r>
              <w:rPr/>
              <w:t>1857–1935</w:t>
            </w:r>
          </w:p>
        </w:tc>
        <w:tc>
          <w:tcPr>
            <w:tcW w:w="2409" w:type="dxa"/>
            <w:tcBorders/>
            <w:vAlign w:val="center"/>
          </w:tcPr>
          <w:p>
            <w:pPr>
              <w:pStyle w:val="TableContents"/>
              <w:widowControl w:val="false"/>
              <w:suppressLineNumbers/>
              <w:spacing w:before="0" w:after="200"/>
              <w:rPr/>
            </w:pPr>
            <w:r>
              <w:rPr/>
              <w:t>Public schools in Borovsk and Kaluga; Socialist Academy; independent research in Kaluga</w:t>
            </w:r>
          </w:p>
        </w:tc>
        <w:tc>
          <w:tcPr>
            <w:tcW w:w="3742" w:type="dxa"/>
            <w:tcBorders/>
            <w:vAlign w:val="center"/>
          </w:tcPr>
          <w:p>
            <w:pPr>
              <w:pStyle w:val="TableContents"/>
              <w:widowControl w:val="false"/>
              <w:suppressLineNumbers/>
              <w:spacing w:before="0" w:after="200"/>
              <w:rPr/>
            </w:pPr>
            <w:r>
              <w:rPr/>
              <w:t xml:space="preserve">Combined a cosmic philosophy of humanity’s future with foundational work in astronautics. He viewed space exploration, technological transformation, and expansion beyond Earth as stages in the development of intelligent life. </w:t>
            </w:r>
            <w:hyperlink r:id="rId52">
              <w:r>
                <w:rPr>
                  <w:rStyle w:val="Hyperlink"/>
                </w:rPr>
                <w:t>European Space Agency</w:t>
              </w:r>
            </w:hyperlink>
            <w:r>
              <w:rPr/>
              <w:t xml:space="preserve">, </w:t>
            </w:r>
            <w:hyperlink r:id="rId53">
              <w:r>
                <w:rPr>
                  <w:rStyle w:val="Hyperlink"/>
                </w:rPr>
                <w:t>New Mexico Museum of Space History</w:t>
              </w:r>
            </w:hyperlink>
          </w:p>
        </w:tc>
      </w:tr>
      <w:tr>
        <w:trPr/>
        <w:tc>
          <w:tcPr>
            <w:tcW w:w="1753" w:type="dxa"/>
            <w:tcBorders/>
            <w:vAlign w:val="center"/>
          </w:tcPr>
          <w:p>
            <w:pPr>
              <w:pStyle w:val="TableContents"/>
              <w:widowControl w:val="false"/>
              <w:suppressLineNumbers/>
              <w:spacing w:before="0" w:after="200"/>
              <w:rPr/>
            </w:pPr>
            <w:r>
              <w:rPr>
                <w:rStyle w:val="Strong"/>
              </w:rPr>
              <w:t>Vladimir Ivanovich Vernadsky</w:t>
            </w:r>
          </w:p>
        </w:tc>
        <w:tc>
          <w:tcPr>
            <w:tcW w:w="736" w:type="dxa"/>
            <w:tcBorders/>
            <w:vAlign w:val="center"/>
          </w:tcPr>
          <w:p>
            <w:pPr>
              <w:pStyle w:val="TableContents"/>
              <w:spacing w:before="0" w:after="200"/>
              <w:jc w:val="right"/>
              <w:rPr/>
            </w:pPr>
            <w:r>
              <w:rPr/>
              <w:t>1863–1945</w:t>
            </w:r>
          </w:p>
        </w:tc>
        <w:tc>
          <w:tcPr>
            <w:tcW w:w="2409" w:type="dxa"/>
            <w:tcBorders/>
            <w:vAlign w:val="center"/>
          </w:tcPr>
          <w:p>
            <w:pPr>
              <w:pStyle w:val="TableContents"/>
              <w:widowControl w:val="false"/>
              <w:suppressLineNumbers/>
              <w:spacing w:before="0" w:after="200"/>
              <w:rPr/>
            </w:pPr>
            <w:r>
              <w:rPr/>
              <w:t>Imperial Moscow University; Russian Academy of Sciences; founding president of the Ukrainian Academy of Sciences</w:t>
            </w:r>
          </w:p>
        </w:tc>
        <w:tc>
          <w:tcPr>
            <w:tcW w:w="3742" w:type="dxa"/>
            <w:tcBorders/>
            <w:vAlign w:val="center"/>
          </w:tcPr>
          <w:p>
            <w:pPr>
              <w:pStyle w:val="TableContents"/>
              <w:widowControl w:val="false"/>
              <w:suppressLineNumbers/>
              <w:spacing w:before="0" w:after="200"/>
              <w:rPr/>
            </w:pPr>
            <w:r>
              <w:rPr/>
              <w:t xml:space="preserve">Developed the scientific concept of the biosphere and the associated idea of the noosphere: a stage in which scientific thought and organized human activity become planetary forces. His work connected life, geology, energy, and cognition at a planetary scale. </w:t>
            </w:r>
            <w:hyperlink r:id="rId54">
              <w:r>
                <w:rPr>
                  <w:rStyle w:val="Hyperlink"/>
                </w:rPr>
                <w:t>Journal of Geochemical Exploration</w:t>
              </w:r>
            </w:hyperlink>
          </w:p>
        </w:tc>
      </w:tr>
      <w:tr>
        <w:trPr/>
        <w:tc>
          <w:tcPr>
            <w:tcW w:w="1753" w:type="dxa"/>
            <w:tcBorders/>
            <w:vAlign w:val="center"/>
          </w:tcPr>
          <w:p>
            <w:pPr>
              <w:pStyle w:val="TableContents"/>
              <w:widowControl w:val="false"/>
              <w:suppressLineNumbers/>
              <w:spacing w:before="0" w:after="200"/>
              <w:rPr/>
            </w:pPr>
            <w:r>
              <w:rPr>
                <w:rStyle w:val="Strong"/>
              </w:rPr>
              <w:t>Alexander Leonidovich Chizhevsky</w:t>
            </w:r>
          </w:p>
        </w:tc>
        <w:tc>
          <w:tcPr>
            <w:tcW w:w="736" w:type="dxa"/>
            <w:tcBorders/>
            <w:vAlign w:val="center"/>
          </w:tcPr>
          <w:p>
            <w:pPr>
              <w:pStyle w:val="TableContents"/>
              <w:spacing w:before="0" w:after="200"/>
              <w:jc w:val="right"/>
              <w:rPr/>
            </w:pPr>
            <w:r>
              <w:rPr/>
              <w:t>1897–1964</w:t>
            </w:r>
          </w:p>
        </w:tc>
        <w:tc>
          <w:tcPr>
            <w:tcW w:w="2409" w:type="dxa"/>
            <w:tcBorders/>
            <w:vAlign w:val="center"/>
          </w:tcPr>
          <w:p>
            <w:pPr>
              <w:pStyle w:val="TableContents"/>
              <w:widowControl w:val="false"/>
              <w:suppressLineNumbers/>
              <w:spacing w:before="0" w:after="200"/>
              <w:rPr/>
            </w:pPr>
            <w:r>
              <w:rPr/>
              <w:t>Kaluga scientific community; Soviet research and aero-ionification laboratories</w:t>
            </w:r>
          </w:p>
        </w:tc>
        <w:tc>
          <w:tcPr>
            <w:tcW w:w="3742" w:type="dxa"/>
            <w:tcBorders/>
            <w:vAlign w:val="center"/>
          </w:tcPr>
          <w:p>
            <w:pPr>
              <w:pStyle w:val="TableContents"/>
              <w:widowControl w:val="false"/>
              <w:suppressLineNumbers/>
              <w:spacing w:before="0" w:after="200"/>
              <w:rPr/>
            </w:pPr>
            <w:r>
              <w:rPr/>
              <w:t xml:space="preserve">Developed heliobiology, cosmo-biology, and theories concerning relationships among solar activity, biological systems, and human behavior. His work represents Cosmism’s attempt to situate terrestrial life within larger cosmic processes, although several of his empirical claims remain controversial. </w:t>
            </w:r>
            <w:hyperlink r:id="rId55">
              <w:r>
                <w:rPr>
                  <w:rStyle w:val="Hyperlink"/>
                </w:rPr>
                <w:t>A. L. Chizhevsky Science Center</w:t>
              </w:r>
            </w:hyperlink>
          </w:p>
        </w:tc>
      </w:tr>
    </w:tbl>
    <w:p>
      <w:pPr>
        <w:pStyle w:val="Heading3"/>
        <w:spacing w:before="0" w:after="200"/>
        <w:ind w:hanging="0" w:left="0"/>
        <w:rPr>
          <w:rFonts w:ascii="Aptos" w:hAnsi="Aptos"/>
          <w:color w:val="auto"/>
        </w:rPr>
      </w:pPr>
      <w:r>
        <w:rPr>
          <w:rFonts w:ascii="Aptos" w:hAnsi="Aptos"/>
          <w:color w:val="auto"/>
        </w:rPr>
        <w:t>Core Assumptions</w:t>
      </w:r>
    </w:p>
    <w:p>
      <w:pPr>
        <w:pStyle w:val="BodyText"/>
        <w:spacing w:before="0" w:after="200"/>
        <w:rPr/>
      </w:pPr>
      <w:r>
        <w:rPr/>
        <w:t>Because Cosmism contains religious, scientific, speculative, and political strands, not every Cosmist accepts all of the following propositions. They represent recurring assumptions across the tradition.</w:t>
      </w:r>
    </w:p>
    <w:p>
      <w:pPr>
        <w:pStyle w:val="BodyText"/>
        <w:numPr>
          <w:ilvl w:val="0"/>
          <w:numId w:val="81"/>
        </w:numPr>
        <w:tabs>
          <w:tab w:val="clear" w:pos="720"/>
          <w:tab w:val="left" w:pos="0" w:leader="none"/>
        </w:tabs>
        <w:spacing w:before="0" w:after="200"/>
        <w:ind w:hanging="283" w:left="709"/>
        <w:rPr/>
      </w:pPr>
      <w:r>
        <w:rPr>
          <w:rStyle w:val="Strong"/>
        </w:rPr>
        <w:t>The cosmos is an evolving whole.</w:t>
      </w:r>
      <w:r>
        <w:rPr/>
        <w:t xml:space="preserve"> Humanity, life, intelligence, technology, and the physical universe are interconnected stages or dimensions of a larger evolutionary process.</w:t>
      </w:r>
    </w:p>
    <w:p>
      <w:pPr>
        <w:pStyle w:val="BodyText"/>
        <w:numPr>
          <w:ilvl w:val="0"/>
          <w:numId w:val="81"/>
        </w:numPr>
        <w:tabs>
          <w:tab w:val="clear" w:pos="720"/>
          <w:tab w:val="left" w:pos="0" w:leader="none"/>
        </w:tabs>
        <w:spacing w:before="0" w:after="200"/>
        <w:ind w:hanging="283" w:left="709"/>
        <w:rPr/>
      </w:pPr>
      <w:r>
        <w:rPr>
          <w:rStyle w:val="Strong"/>
        </w:rPr>
        <w:t>Humanity is not merely a passive product of evolution.</w:t>
      </w:r>
      <w:r>
        <w:rPr/>
        <w:t xml:space="preserve"> Intelligence creates the possibility of conscious participation in evolution and the deliberate transformation of natural conditions.</w:t>
      </w:r>
    </w:p>
    <w:p>
      <w:pPr>
        <w:pStyle w:val="BodyText"/>
        <w:numPr>
          <w:ilvl w:val="0"/>
          <w:numId w:val="81"/>
        </w:numPr>
        <w:tabs>
          <w:tab w:val="clear" w:pos="720"/>
          <w:tab w:val="left" w:pos="0" w:leader="none"/>
        </w:tabs>
        <w:spacing w:before="0" w:after="200"/>
        <w:ind w:hanging="283" w:left="709"/>
        <w:rPr/>
      </w:pPr>
      <w:r>
        <w:rPr>
          <w:rStyle w:val="Strong"/>
        </w:rPr>
        <w:t>Nature is incomplete rather than morally final.</w:t>
      </w:r>
      <w:r>
        <w:rPr/>
        <w:t xml:space="preserve"> Disease, scarcity, destructive natural events, aging, and death need not be accepted simply because they occur naturally.</w:t>
      </w:r>
    </w:p>
    <w:p>
      <w:pPr>
        <w:pStyle w:val="BodyText"/>
        <w:numPr>
          <w:ilvl w:val="0"/>
          <w:numId w:val="81"/>
        </w:numPr>
        <w:tabs>
          <w:tab w:val="clear" w:pos="720"/>
          <w:tab w:val="left" w:pos="0" w:leader="none"/>
        </w:tabs>
        <w:spacing w:before="0" w:after="200"/>
        <w:ind w:hanging="283" w:left="709"/>
        <w:rPr/>
      </w:pPr>
      <w:r>
        <w:rPr>
          <w:rStyle w:val="Strong"/>
        </w:rPr>
        <w:t>Scientific knowledge creates responsibility.</w:t>
      </w:r>
      <w:r>
        <w:rPr/>
        <w:t xml:space="preserve"> As humanity acquires greater causal power, it acquires corresponding responsibilities to use that power deliberately and ethically.</w:t>
      </w:r>
    </w:p>
    <w:p>
      <w:pPr>
        <w:pStyle w:val="BodyText"/>
        <w:numPr>
          <w:ilvl w:val="0"/>
          <w:numId w:val="81"/>
        </w:numPr>
        <w:tabs>
          <w:tab w:val="clear" w:pos="720"/>
          <w:tab w:val="left" w:pos="0" w:leader="none"/>
        </w:tabs>
        <w:spacing w:before="0" w:after="200"/>
        <w:ind w:hanging="283" w:left="709"/>
        <w:rPr/>
      </w:pPr>
      <w:r>
        <w:rPr>
          <w:rStyle w:val="Strong"/>
        </w:rPr>
        <w:t>The division between understanding and action should be reduced.</w:t>
      </w:r>
      <w:r>
        <w:rPr/>
        <w:t xml:space="preserve"> Knowledge of a preventable source of suffering creates a reason to develop the means of prevention.</w:t>
      </w:r>
    </w:p>
    <w:p>
      <w:pPr>
        <w:pStyle w:val="BodyText"/>
        <w:numPr>
          <w:ilvl w:val="0"/>
          <w:numId w:val="81"/>
        </w:numPr>
        <w:tabs>
          <w:tab w:val="clear" w:pos="720"/>
          <w:tab w:val="left" w:pos="0" w:leader="none"/>
        </w:tabs>
        <w:spacing w:before="0" w:after="200"/>
        <w:ind w:hanging="283" w:left="709"/>
        <w:rPr/>
      </w:pPr>
      <w:r>
        <w:rPr>
          <w:rStyle w:val="Strong"/>
        </w:rPr>
        <w:t>Involuntary death is a problem to be challenged.</w:t>
      </w:r>
      <w:r>
        <w:rPr/>
        <w:t xml:space="preserve"> Fedorov’s religious Cosmism treats death as a central moral and material problem rather than an immutable boundary of ethics.</w:t>
      </w:r>
    </w:p>
    <w:p>
      <w:pPr>
        <w:pStyle w:val="BodyText"/>
        <w:numPr>
          <w:ilvl w:val="0"/>
          <w:numId w:val="81"/>
        </w:numPr>
        <w:tabs>
          <w:tab w:val="clear" w:pos="720"/>
          <w:tab w:val="left" w:pos="0" w:leader="none"/>
        </w:tabs>
        <w:spacing w:before="0" w:after="200"/>
        <w:ind w:hanging="283" w:left="709"/>
        <w:rPr/>
      </w:pPr>
      <w:r>
        <w:rPr>
          <w:rStyle w:val="Strong"/>
        </w:rPr>
        <w:t>Progress should be universal.</w:t>
      </w:r>
      <w:r>
        <w:rPr/>
        <w:t xml:space="preserve"> Life extension, technological enhancement, and access to future possibilities should not be reserved for elites or limited to a privileged generation.</w:t>
      </w:r>
    </w:p>
    <w:p>
      <w:pPr>
        <w:pStyle w:val="BodyText"/>
        <w:numPr>
          <w:ilvl w:val="0"/>
          <w:numId w:val="81"/>
        </w:numPr>
        <w:tabs>
          <w:tab w:val="clear" w:pos="720"/>
          <w:tab w:val="left" w:pos="0" w:leader="none"/>
        </w:tabs>
        <w:spacing w:before="0" w:after="200"/>
        <w:ind w:hanging="283" w:left="709"/>
        <w:rPr/>
      </w:pPr>
      <w:r>
        <w:rPr>
          <w:rStyle w:val="Strong"/>
        </w:rPr>
        <w:t>The past retains moral significance.</w:t>
      </w:r>
      <w:r>
        <w:rPr/>
        <w:t xml:space="preserve"> Fedorov’s Common Task extends responsibility not only to current and future persons but also, in its most radical form, to ancestors whose deaths should not be treated as morally irrelevant.</w:t>
      </w:r>
    </w:p>
    <w:p>
      <w:pPr>
        <w:pStyle w:val="BodyText"/>
        <w:numPr>
          <w:ilvl w:val="0"/>
          <w:numId w:val="81"/>
        </w:numPr>
        <w:tabs>
          <w:tab w:val="clear" w:pos="720"/>
          <w:tab w:val="left" w:pos="0" w:leader="none"/>
        </w:tabs>
        <w:spacing w:before="0" w:after="200"/>
        <w:ind w:hanging="283" w:left="709"/>
        <w:rPr/>
      </w:pPr>
      <w:r>
        <w:rPr>
          <w:rStyle w:val="Strong"/>
        </w:rPr>
        <w:t>Humanity requires a shared project.</w:t>
      </w:r>
      <w:r>
        <w:rPr/>
        <w:t xml:space="preserve"> Large-scale conflict, competition, and military capacity should be redirected toward common scientific and civilizational tasks.</w:t>
      </w:r>
    </w:p>
    <w:p>
      <w:pPr>
        <w:pStyle w:val="BodyText"/>
        <w:numPr>
          <w:ilvl w:val="0"/>
          <w:numId w:val="81"/>
        </w:numPr>
        <w:tabs>
          <w:tab w:val="clear" w:pos="720"/>
          <w:tab w:val="left" w:pos="0" w:leader="none"/>
        </w:tabs>
        <w:spacing w:before="0" w:after="200"/>
        <w:ind w:hanging="283" w:left="709"/>
        <w:rPr/>
      </w:pPr>
      <w:r>
        <w:rPr>
          <w:rStyle w:val="Strong"/>
        </w:rPr>
        <w:t>Cosmic expansion may be necessary for long-term continuity.</w:t>
      </w:r>
      <w:r>
        <w:rPr/>
        <w:t xml:space="preserve"> A civilization confined to one planet remains vulnerable to local resource limits, environmental change, and existential catastrophe.</w:t>
      </w:r>
    </w:p>
    <w:p>
      <w:pPr>
        <w:pStyle w:val="BodyText"/>
        <w:numPr>
          <w:ilvl w:val="0"/>
          <w:numId w:val="81"/>
        </w:numPr>
        <w:tabs>
          <w:tab w:val="clear" w:pos="720"/>
          <w:tab w:val="left" w:pos="0" w:leader="none"/>
        </w:tabs>
        <w:spacing w:before="0" w:after="200"/>
        <w:ind w:hanging="283" w:left="709"/>
        <w:rPr/>
      </w:pPr>
      <w:r>
        <w:rPr>
          <w:rStyle w:val="Strong"/>
        </w:rPr>
        <w:t>The biosphere is a coupled planetary system.</w:t>
      </w:r>
      <w:r>
        <w:rPr/>
        <w:t xml:space="preserve"> Life changes the physical environment and is itself changed by geological, chemical, atmospheric, and energetic conditions.</w:t>
      </w:r>
    </w:p>
    <w:p>
      <w:pPr>
        <w:pStyle w:val="BodyText"/>
        <w:numPr>
          <w:ilvl w:val="0"/>
          <w:numId w:val="81"/>
        </w:numPr>
        <w:tabs>
          <w:tab w:val="clear" w:pos="720"/>
          <w:tab w:val="left" w:pos="0" w:leader="none"/>
        </w:tabs>
        <w:spacing w:before="0" w:after="200"/>
        <w:ind w:hanging="283" w:left="709"/>
        <w:rPr/>
      </w:pPr>
      <w:r>
        <w:rPr>
          <w:rStyle w:val="Strong"/>
        </w:rPr>
        <w:t>The noosphere represents a new level of planetary organization.</w:t>
      </w:r>
      <w:r>
        <w:rPr/>
        <w:t xml:space="preserve"> Knowledge, communication, scientific activity, and coordinated intelligence can become forces affecting the future of the biosphere.</w:t>
      </w:r>
    </w:p>
    <w:p>
      <w:pPr>
        <w:pStyle w:val="BodyText"/>
        <w:numPr>
          <w:ilvl w:val="0"/>
          <w:numId w:val="81"/>
        </w:numPr>
        <w:tabs>
          <w:tab w:val="clear" w:pos="720"/>
          <w:tab w:val="left" w:pos="0" w:leader="none"/>
        </w:tabs>
        <w:spacing w:before="0" w:after="200"/>
        <w:ind w:hanging="283" w:left="709"/>
        <w:rPr/>
      </w:pPr>
      <w:r>
        <w:rPr>
          <w:rStyle w:val="Strong"/>
        </w:rPr>
        <w:t>Technological development should be joined to moral development.</w:t>
      </w:r>
      <w:r>
        <w:rPr/>
        <w:t xml:space="preserve"> Increased power without universal responsibility, cooperation, and ethical purpose may intensify conflict rather than advance cosmic development.</w:t>
      </w:r>
    </w:p>
    <w:p>
      <w:pPr>
        <w:pStyle w:val="BodyText"/>
        <w:numPr>
          <w:ilvl w:val="0"/>
          <w:numId w:val="81"/>
        </w:numPr>
        <w:tabs>
          <w:tab w:val="clear" w:pos="720"/>
          <w:tab w:val="left" w:pos="0" w:leader="none"/>
        </w:tabs>
        <w:spacing w:before="0" w:after="200"/>
        <w:ind w:hanging="283" w:left="709"/>
        <w:rPr/>
      </w:pPr>
      <w:r>
        <w:rPr>
          <w:rStyle w:val="Strong"/>
        </w:rPr>
        <w:t>Long time horizons are morally relevant.</w:t>
      </w:r>
      <w:r>
        <w:rPr/>
        <w:t xml:space="preserve"> Ethical reasoning should consider civilizational, planetary, evolutionary, and potentially cosmic futures.</w:t>
      </w:r>
    </w:p>
    <w:p>
      <w:pPr>
        <w:pStyle w:val="BodyText"/>
        <w:numPr>
          <w:ilvl w:val="0"/>
          <w:numId w:val="81"/>
        </w:numPr>
        <w:tabs>
          <w:tab w:val="clear" w:pos="720"/>
          <w:tab w:val="left" w:pos="0" w:leader="none"/>
        </w:tabs>
        <w:spacing w:before="0" w:after="200"/>
        <w:ind w:hanging="283" w:left="709"/>
        <w:rPr/>
      </w:pPr>
      <w:r>
        <w:rPr>
          <w:rStyle w:val="Strong"/>
        </w:rPr>
        <w:t>Human bodies and environments may be transformable.</w:t>
      </w:r>
      <w:r>
        <w:rPr/>
        <w:t xml:space="preserve"> Biological limitations and environmental constraints are not necessarily fixed features of the human condition.</w:t>
      </w:r>
    </w:p>
    <w:p>
      <w:pPr>
        <w:pStyle w:val="BodyText"/>
        <w:numPr>
          <w:ilvl w:val="0"/>
          <w:numId w:val="81"/>
        </w:numPr>
        <w:tabs>
          <w:tab w:val="clear" w:pos="720"/>
          <w:tab w:val="left" w:pos="0" w:leader="none"/>
        </w:tabs>
        <w:spacing w:before="0" w:after="200"/>
        <w:ind w:hanging="283" w:left="709"/>
        <w:rPr/>
      </w:pPr>
      <w:r>
        <w:rPr>
          <w:rStyle w:val="Strong"/>
        </w:rPr>
        <w:t>Intelligence may spread and diversify.</w:t>
      </w:r>
      <w:r>
        <w:rPr/>
        <w:t xml:space="preserve"> Later interpretations of Cosmism allow for biological enhancement, artificial intelligence, synthetic life, and other possible forms of adaptive intelligence.</w:t>
      </w:r>
    </w:p>
    <w:p>
      <w:pPr>
        <w:pStyle w:val="BodyText"/>
        <w:numPr>
          <w:ilvl w:val="0"/>
          <w:numId w:val="81"/>
        </w:numPr>
        <w:tabs>
          <w:tab w:val="clear" w:pos="720"/>
          <w:tab w:val="left" w:pos="0" w:leader="none"/>
        </w:tabs>
        <w:spacing w:before="0" w:after="200"/>
        <w:ind w:hanging="283" w:left="709"/>
        <w:rPr/>
      </w:pPr>
      <w:r>
        <w:rPr>
          <w:rStyle w:val="Strong"/>
        </w:rPr>
        <w:t>Cosmic development has or may acquire direction.</w:t>
      </w:r>
      <w:r>
        <w:rPr/>
        <w:t xml:space="preserve"> Religious Cosmists often understand this direction teleologically, while scientific and contemporary Cosmists may interpret it as an objective selected by intelligent beings rather than a predetermined cosmic purpose.</w:t>
      </w:r>
    </w:p>
    <w:p>
      <w:pPr>
        <w:pStyle w:val="BodyText"/>
        <w:numPr>
          <w:ilvl w:val="0"/>
          <w:numId w:val="81"/>
        </w:numPr>
        <w:tabs>
          <w:tab w:val="clear" w:pos="720"/>
          <w:tab w:val="left" w:pos="0" w:leader="none"/>
        </w:tabs>
        <w:spacing w:before="0" w:after="200"/>
        <w:ind w:hanging="283" w:left="709"/>
        <w:rPr/>
      </w:pPr>
      <w:r>
        <w:rPr>
          <w:rStyle w:val="Strong"/>
        </w:rPr>
        <w:t>Large-scale collective action is ethically necessary.</w:t>
      </w:r>
      <w:r>
        <w:rPr/>
        <w:t xml:space="preserve"> Projects such as existential-risk reduction, planetary management, space settlement, life extension, and preservation of knowledge exceed the capacity of isolated agents.</w:t>
      </w:r>
    </w:p>
    <w:p>
      <w:pPr>
        <w:pStyle w:val="Heading3"/>
        <w:spacing w:before="0" w:after="200"/>
        <w:ind w:hanging="0" w:left="0"/>
        <w:rPr>
          <w:rFonts w:ascii="Aptos" w:hAnsi="Aptos"/>
          <w:color w:val="auto"/>
        </w:rPr>
      </w:pPr>
      <w:r>
        <w:rPr>
          <w:rFonts w:ascii="Aptos" w:hAnsi="Aptos"/>
          <w:color w:val="auto"/>
        </w:rPr>
        <w:t>Relationship to This Framework</w:t>
      </w:r>
    </w:p>
    <w:p>
      <w:pPr>
        <w:pStyle w:val="BodyText"/>
        <w:spacing w:before="0" w:after="200"/>
        <w:rPr/>
      </w:pPr>
      <w:r>
        <w:rPr/>
        <w:t>Cosmism and this framework share an unusually expansive temporal and systemic orientation. Both reject the assumption that ethics should be limited to immediate interpersonal conduct or near-term effects. The framework’s complete World Context Transition can include planetary systems, future generations, institutions, technological development, ecological dependencies, and changes in the future state space available to intelligent life.</w:t>
      </w:r>
    </w:p>
    <w:p>
      <w:pPr>
        <w:pStyle w:val="BodyText"/>
        <w:spacing w:before="0" w:after="200"/>
        <w:rPr/>
      </w:pPr>
      <w:r>
        <w:rPr/>
        <w:t>The Foundational Axiom’s emphasis on the long-term flourishing of relevant persistent adaptive entities is compatible with several Cosmist objectives:</w:t>
      </w:r>
    </w:p>
    <w:p>
      <w:pPr>
        <w:pStyle w:val="BodyText"/>
        <w:numPr>
          <w:ilvl w:val="0"/>
          <w:numId w:val="82"/>
        </w:numPr>
        <w:tabs>
          <w:tab w:val="clear" w:pos="720"/>
          <w:tab w:val="left" w:pos="0" w:leader="none"/>
        </w:tabs>
        <w:spacing w:before="0" w:after="200"/>
        <w:ind w:hanging="283" w:left="709"/>
        <w:rPr/>
      </w:pPr>
      <w:r>
        <w:rPr/>
        <w:t>Preserving life across long periods;</w:t>
      </w:r>
    </w:p>
    <w:p>
      <w:pPr>
        <w:pStyle w:val="BodyText"/>
        <w:numPr>
          <w:ilvl w:val="0"/>
          <w:numId w:val="82"/>
        </w:numPr>
        <w:tabs>
          <w:tab w:val="clear" w:pos="720"/>
          <w:tab w:val="left" w:pos="0" w:leader="none"/>
        </w:tabs>
        <w:spacing w:before="0" w:after="200"/>
        <w:ind w:hanging="283" w:left="709"/>
        <w:rPr/>
      </w:pPr>
      <w:r>
        <w:rPr/>
        <w:t>Increasing resilience against catastrophic loss;</w:t>
      </w:r>
    </w:p>
    <w:p>
      <w:pPr>
        <w:pStyle w:val="BodyText"/>
        <w:numPr>
          <w:ilvl w:val="0"/>
          <w:numId w:val="82"/>
        </w:numPr>
        <w:tabs>
          <w:tab w:val="clear" w:pos="720"/>
          <w:tab w:val="left" w:pos="0" w:leader="none"/>
        </w:tabs>
        <w:spacing w:before="0" w:after="200"/>
        <w:ind w:hanging="283" w:left="709"/>
        <w:rPr/>
      </w:pPr>
      <w:r>
        <w:rPr/>
        <w:t>Expanding the future possibilities of adaptive entities;</w:t>
      </w:r>
    </w:p>
    <w:p>
      <w:pPr>
        <w:pStyle w:val="BodyText"/>
        <w:numPr>
          <w:ilvl w:val="0"/>
          <w:numId w:val="82"/>
        </w:numPr>
        <w:tabs>
          <w:tab w:val="clear" w:pos="720"/>
          <w:tab w:val="left" w:pos="0" w:leader="none"/>
        </w:tabs>
        <w:spacing w:before="0" w:after="200"/>
        <w:ind w:hanging="283" w:left="709"/>
        <w:rPr/>
      </w:pPr>
      <w:r>
        <w:rPr/>
        <w:t>Developing the capabilities of moral agents;</w:t>
      </w:r>
    </w:p>
    <w:p>
      <w:pPr>
        <w:pStyle w:val="BodyText"/>
        <w:numPr>
          <w:ilvl w:val="0"/>
          <w:numId w:val="82"/>
        </w:numPr>
        <w:tabs>
          <w:tab w:val="clear" w:pos="720"/>
          <w:tab w:val="left" w:pos="0" w:leader="none"/>
        </w:tabs>
        <w:spacing w:before="0" w:after="200"/>
        <w:ind w:hanging="283" w:left="709"/>
        <w:rPr/>
      </w:pPr>
      <w:r>
        <w:rPr/>
        <w:t>Coordinating action across institutions and generations;</w:t>
      </w:r>
    </w:p>
    <w:p>
      <w:pPr>
        <w:pStyle w:val="BodyText"/>
        <w:numPr>
          <w:ilvl w:val="0"/>
          <w:numId w:val="82"/>
        </w:numPr>
        <w:tabs>
          <w:tab w:val="clear" w:pos="720"/>
          <w:tab w:val="left" w:pos="0" w:leader="none"/>
        </w:tabs>
        <w:spacing w:before="0" w:after="200"/>
        <w:ind w:hanging="283" w:left="709"/>
        <w:rPr/>
      </w:pPr>
      <w:r>
        <w:rPr/>
        <w:t>Protecting knowledge and cultural memory;</w:t>
      </w:r>
    </w:p>
    <w:p>
      <w:pPr>
        <w:pStyle w:val="BodyText"/>
        <w:numPr>
          <w:ilvl w:val="0"/>
          <w:numId w:val="82"/>
        </w:numPr>
        <w:tabs>
          <w:tab w:val="clear" w:pos="720"/>
          <w:tab w:val="left" w:pos="0" w:leader="none"/>
        </w:tabs>
        <w:spacing w:before="0" w:after="200"/>
        <w:ind w:hanging="283" w:left="709"/>
        <w:rPr/>
      </w:pPr>
      <w:r>
        <w:rPr/>
        <w:t>Reducing destructive conflict; and</w:t>
      </w:r>
    </w:p>
    <w:p>
      <w:pPr>
        <w:pStyle w:val="BodyText"/>
        <w:numPr>
          <w:ilvl w:val="0"/>
          <w:numId w:val="82"/>
        </w:numPr>
        <w:tabs>
          <w:tab w:val="clear" w:pos="720"/>
          <w:tab w:val="left" w:pos="0" w:leader="none"/>
        </w:tabs>
        <w:spacing w:before="0" w:after="200"/>
        <w:ind w:hanging="283" w:left="709"/>
        <w:rPr/>
      </w:pPr>
      <w:r>
        <w:rPr/>
        <w:t>Creating conditions for continued biological, social, and technological development.</w:t>
      </w:r>
    </w:p>
    <w:p>
      <w:pPr>
        <w:pStyle w:val="BodyText"/>
        <w:spacing w:before="0" w:after="200"/>
        <w:rPr/>
      </w:pPr>
      <w:r>
        <w:rPr/>
        <w:t>Vernadsky’s biosphere and noosphere concepts have a particularly close relationship to the framework’s World Context. The biosphere illustrates how living entities and their physical environment form a coupled system. The noosphere adds informational, scientific, institutional, and cognitive processes that increasingly shape that system. These correspond to the framework’s inclusion of Objects, Associations, information states, institutions, constraints, and Distributed Policy Effects.</w:t>
      </w:r>
    </w:p>
    <w:p>
      <w:pPr>
        <w:pStyle w:val="BodyText"/>
        <w:spacing w:before="0" w:after="200"/>
        <w:rPr/>
      </w:pPr>
      <w:r>
        <w:rPr/>
        <w:t>Cosmism’s active evolution also resembles the framework’s treatment of moral agents as adaptive entities capable of revising objectives and policies. Actions do not merely change the external world; they alter the future developmental policies of agents, observers, institutions, and artificial systems.</w:t>
      </w:r>
    </w:p>
    <w:p>
      <w:pPr>
        <w:pStyle w:val="BodyText"/>
        <w:spacing w:before="0" w:after="200"/>
        <w:rPr/>
      </w:pPr>
      <w:r>
        <w:rPr/>
        <w:t>The central difference is that Cosmism commonly advances substantive civilizational objectives—such as overcoming death, directing evolution, expanding into space, or transforming nature. This framework does not automatically recognize any of those objectives as ethically valid. It treats them as proposed objectives whose means, assumptions, distributional effects, risks, and World Context Transitions must be assessed.</w:t>
      </w:r>
    </w:p>
    <w:p>
      <w:pPr>
        <w:pStyle w:val="BodyText"/>
        <w:spacing w:before="0" w:after="200"/>
        <w:rPr/>
      </w:pPr>
      <w:r>
        <w:rPr/>
        <w:t>The framework also requires compatibility among the flourishing of relevant entities. A project that expands humanity’s technological power while destroying ecosystems, coercing present populations, concentrating control, or eliminating alternative forms of life would not satisfy the Foundational Axiom merely because it increased the duration or spatial extent of human civilization.</w:t>
      </w:r>
    </w:p>
    <w:p>
      <w:pPr>
        <w:pStyle w:val="BodyText"/>
        <w:spacing w:before="0" w:after="200"/>
        <w:rPr/>
      </w:pPr>
      <w:r>
        <w:rPr/>
        <w:t>Cosmism can therefore contribute candidate long-term objectives and an expanded scale of analysis. The framework contributes a means of evaluating whether those objectives are ethically justified and whether their implementation preserves compatible flourishing.</w:t>
      </w:r>
    </w:p>
    <w:p>
      <w:pPr>
        <w:pStyle w:val="Heading3"/>
        <w:spacing w:before="0" w:after="200"/>
        <w:ind w:hanging="0" w:left="0"/>
        <w:rPr>
          <w:rFonts w:ascii="Aptos" w:hAnsi="Aptos"/>
          <w:color w:val="auto"/>
        </w:rPr>
      </w:pPr>
      <w:r>
        <w:rPr>
          <w:rFonts w:ascii="Aptos" w:hAnsi="Aptos"/>
          <w:color w:val="auto"/>
        </w:rPr>
        <w:t>Concepts Adopted or Adapted by This Framework</w:t>
      </w:r>
    </w:p>
    <w:p>
      <w:pPr>
        <w:pStyle w:val="BodyText"/>
        <w:spacing w:before="0" w:after="200"/>
        <w:rPr/>
      </w:pPr>
      <w:r>
        <w:rPr/>
        <w:t>The framework implicitly incorporates or can functionally adapt several Cosmist concepts.</w:t>
      </w:r>
    </w:p>
    <w:tbl>
      <w:tblPr>
        <w:tblW w:w="8640" w:type="dxa"/>
        <w:jc w:val="left"/>
        <w:tblInd w:w="28" w:type="dxa"/>
        <w:tblLayout w:type="fixed"/>
        <w:tblCellMar>
          <w:top w:w="28" w:type="dxa"/>
          <w:left w:w="28" w:type="dxa"/>
          <w:bottom w:w="28" w:type="dxa"/>
          <w:right w:w="28" w:type="dxa"/>
        </w:tblCellMar>
      </w:tblPr>
      <w:tblGrid>
        <w:gridCol w:w="2571"/>
        <w:gridCol w:w="6069"/>
      </w:tblGrid>
      <w:tr>
        <w:trPr>
          <w:tblHeader w:val="true"/>
        </w:trPr>
        <w:tc>
          <w:tcPr>
            <w:tcW w:w="2571" w:type="dxa"/>
            <w:tcBorders/>
            <w:vAlign w:val="center"/>
          </w:tcPr>
          <w:p>
            <w:pPr>
              <w:pStyle w:val="TableHeading"/>
              <w:suppressLineNumbers/>
              <w:spacing w:before="0" w:after="200"/>
              <w:jc w:val="center"/>
              <w:rPr/>
            </w:pPr>
            <w:r>
              <w:rPr/>
              <w:t>Cosmist concept</w:t>
            </w:r>
          </w:p>
        </w:tc>
        <w:tc>
          <w:tcPr>
            <w:tcW w:w="6069" w:type="dxa"/>
            <w:tcBorders/>
            <w:vAlign w:val="center"/>
          </w:tcPr>
          <w:p>
            <w:pPr>
              <w:pStyle w:val="TableHeading"/>
              <w:suppressLineNumbers/>
              <w:spacing w:before="0" w:after="200"/>
              <w:jc w:val="center"/>
              <w:rPr/>
            </w:pPr>
            <w:r>
              <w:rPr/>
              <w:t>Adoption or adaptation within this framework</w:t>
            </w:r>
          </w:p>
        </w:tc>
      </w:tr>
      <w:tr>
        <w:trPr/>
        <w:tc>
          <w:tcPr>
            <w:tcW w:w="2571" w:type="dxa"/>
            <w:tcBorders/>
            <w:vAlign w:val="center"/>
          </w:tcPr>
          <w:p>
            <w:pPr>
              <w:pStyle w:val="TableContents"/>
              <w:widowControl w:val="false"/>
              <w:suppressLineNumbers/>
              <w:spacing w:before="0" w:after="200"/>
              <w:rPr/>
            </w:pPr>
            <w:r>
              <w:rPr>
                <w:rStyle w:val="Strong"/>
              </w:rPr>
              <w:t>Active evolution</w:t>
            </w:r>
          </w:p>
        </w:tc>
        <w:tc>
          <w:tcPr>
            <w:tcW w:w="6069" w:type="dxa"/>
            <w:tcBorders/>
            <w:vAlign w:val="center"/>
          </w:tcPr>
          <w:p>
            <w:pPr>
              <w:pStyle w:val="TableContents"/>
              <w:widowControl w:val="false"/>
              <w:suppressLineNumbers/>
              <w:spacing w:before="0" w:after="200"/>
              <w:rPr/>
            </w:pPr>
            <w:r>
              <w:rPr/>
              <w:t>Reflected in the adaptive development of moral agents and the deliberate alteration of future policies, capabilities, and environmental conditions.</w:t>
            </w:r>
          </w:p>
        </w:tc>
      </w:tr>
      <w:tr>
        <w:trPr/>
        <w:tc>
          <w:tcPr>
            <w:tcW w:w="2571" w:type="dxa"/>
            <w:tcBorders/>
            <w:vAlign w:val="center"/>
          </w:tcPr>
          <w:p>
            <w:pPr>
              <w:pStyle w:val="TableContents"/>
              <w:widowControl w:val="false"/>
              <w:suppressLineNumbers/>
              <w:spacing w:before="0" w:after="200"/>
              <w:rPr/>
            </w:pPr>
            <w:r>
              <w:rPr>
                <w:rStyle w:val="Strong"/>
              </w:rPr>
              <w:t>Common Task</w:t>
            </w:r>
          </w:p>
        </w:tc>
        <w:tc>
          <w:tcPr>
            <w:tcW w:w="6069" w:type="dxa"/>
            <w:tcBorders/>
            <w:vAlign w:val="center"/>
          </w:tcPr>
          <w:p>
            <w:pPr>
              <w:pStyle w:val="TableContents"/>
              <w:widowControl w:val="false"/>
              <w:suppressLineNumbers/>
              <w:spacing w:before="0" w:after="200"/>
              <w:rPr/>
            </w:pPr>
            <w:r>
              <w:rPr/>
              <w:t>Adaptable as a shared objective distributed across agents, institutions, jurisdictions, and generations.</w:t>
            </w:r>
          </w:p>
        </w:tc>
      </w:tr>
      <w:tr>
        <w:trPr/>
        <w:tc>
          <w:tcPr>
            <w:tcW w:w="2571" w:type="dxa"/>
            <w:tcBorders/>
            <w:vAlign w:val="center"/>
          </w:tcPr>
          <w:p>
            <w:pPr>
              <w:pStyle w:val="TableContents"/>
              <w:widowControl w:val="false"/>
              <w:suppressLineNumbers/>
              <w:spacing w:before="0" w:after="200"/>
              <w:rPr/>
            </w:pPr>
            <w:r>
              <w:rPr>
                <w:rStyle w:val="Strong"/>
              </w:rPr>
              <w:t>Regulation of destructive nature</w:t>
            </w:r>
          </w:p>
        </w:tc>
        <w:tc>
          <w:tcPr>
            <w:tcW w:w="6069" w:type="dxa"/>
            <w:tcBorders/>
            <w:vAlign w:val="center"/>
          </w:tcPr>
          <w:p>
            <w:pPr>
              <w:pStyle w:val="TableContents"/>
              <w:widowControl w:val="false"/>
              <w:suppressLineNumbers/>
              <w:spacing w:before="0" w:after="200"/>
              <w:rPr/>
            </w:pPr>
            <w:r>
              <w:rPr/>
              <w:t>Representable as an Assessed Action intended to reduce disease, disaster, scarcity, or other threats through deliberate intervention.</w:t>
            </w:r>
          </w:p>
        </w:tc>
      </w:tr>
      <w:tr>
        <w:trPr/>
        <w:tc>
          <w:tcPr>
            <w:tcW w:w="2571" w:type="dxa"/>
            <w:tcBorders/>
            <w:vAlign w:val="center"/>
          </w:tcPr>
          <w:p>
            <w:pPr>
              <w:pStyle w:val="TableContents"/>
              <w:widowControl w:val="false"/>
              <w:suppressLineNumbers/>
              <w:spacing w:before="0" w:after="200"/>
              <w:rPr/>
            </w:pPr>
            <w:r>
              <w:rPr>
                <w:rStyle w:val="Strong"/>
              </w:rPr>
              <w:t>Long-term civilizational continuity</w:t>
            </w:r>
          </w:p>
        </w:tc>
        <w:tc>
          <w:tcPr>
            <w:tcW w:w="6069" w:type="dxa"/>
            <w:tcBorders/>
            <w:vAlign w:val="center"/>
          </w:tcPr>
          <w:p>
            <w:pPr>
              <w:pStyle w:val="TableContents"/>
              <w:widowControl w:val="false"/>
              <w:suppressLineNumbers/>
              <w:spacing w:before="0" w:after="200"/>
              <w:rPr/>
            </w:pPr>
            <w:r>
              <w:rPr/>
              <w:t>Closely related to preserving the future state space of persistent adaptive entities.</w:t>
            </w:r>
          </w:p>
        </w:tc>
      </w:tr>
      <w:tr>
        <w:trPr/>
        <w:tc>
          <w:tcPr>
            <w:tcW w:w="2571" w:type="dxa"/>
            <w:tcBorders/>
            <w:vAlign w:val="center"/>
          </w:tcPr>
          <w:p>
            <w:pPr>
              <w:pStyle w:val="TableContents"/>
              <w:widowControl w:val="false"/>
              <w:suppressLineNumbers/>
              <w:spacing w:before="0" w:after="200"/>
              <w:rPr/>
            </w:pPr>
            <w:r>
              <w:rPr>
                <w:rStyle w:val="Strong"/>
              </w:rPr>
              <w:t>Biosphere</w:t>
            </w:r>
          </w:p>
        </w:tc>
        <w:tc>
          <w:tcPr>
            <w:tcW w:w="6069" w:type="dxa"/>
            <w:tcBorders/>
            <w:vAlign w:val="center"/>
          </w:tcPr>
          <w:p>
            <w:pPr>
              <w:pStyle w:val="TableContents"/>
              <w:widowControl w:val="false"/>
              <w:suppressLineNumbers/>
              <w:spacing w:before="0" w:after="200"/>
              <w:rPr/>
            </w:pPr>
            <w:r>
              <w:rPr/>
              <w:t>Representable as an interconnected World Context of living entities, physical systems, energy flows, and environmental constraints.</w:t>
            </w:r>
          </w:p>
        </w:tc>
      </w:tr>
      <w:tr>
        <w:trPr/>
        <w:tc>
          <w:tcPr>
            <w:tcW w:w="2571" w:type="dxa"/>
            <w:tcBorders/>
            <w:vAlign w:val="center"/>
          </w:tcPr>
          <w:p>
            <w:pPr>
              <w:pStyle w:val="TableContents"/>
              <w:widowControl w:val="false"/>
              <w:suppressLineNumbers/>
              <w:spacing w:before="0" w:after="200"/>
              <w:rPr/>
            </w:pPr>
            <w:r>
              <w:rPr>
                <w:rStyle w:val="Strong"/>
              </w:rPr>
              <w:t>Noosphere</w:t>
            </w:r>
          </w:p>
        </w:tc>
        <w:tc>
          <w:tcPr>
            <w:tcW w:w="6069" w:type="dxa"/>
            <w:tcBorders/>
            <w:vAlign w:val="center"/>
          </w:tcPr>
          <w:p>
            <w:pPr>
              <w:pStyle w:val="TableContents"/>
              <w:widowControl w:val="false"/>
              <w:suppressLineNumbers/>
              <w:spacing w:before="0" w:after="200"/>
              <w:rPr/>
            </w:pPr>
            <w:r>
              <w:rPr/>
              <w:t>Adaptable as the informational, scientific, institutional, and policy-generating layer of the World Context.</w:t>
            </w:r>
          </w:p>
        </w:tc>
      </w:tr>
      <w:tr>
        <w:trPr/>
        <w:tc>
          <w:tcPr>
            <w:tcW w:w="2571" w:type="dxa"/>
            <w:tcBorders/>
            <w:vAlign w:val="center"/>
          </w:tcPr>
          <w:p>
            <w:pPr>
              <w:pStyle w:val="TableContents"/>
              <w:widowControl w:val="false"/>
              <w:suppressLineNumbers/>
              <w:spacing w:before="0" w:after="200"/>
              <w:rPr/>
            </w:pPr>
            <w:r>
              <w:rPr>
                <w:rStyle w:val="Strong"/>
              </w:rPr>
              <w:t>Cosmic perspective</w:t>
            </w:r>
          </w:p>
        </w:tc>
        <w:tc>
          <w:tcPr>
            <w:tcW w:w="6069" w:type="dxa"/>
            <w:tcBorders/>
            <w:vAlign w:val="center"/>
          </w:tcPr>
          <w:p>
            <w:pPr>
              <w:pStyle w:val="TableContents"/>
              <w:widowControl w:val="false"/>
              <w:suppressLineNumbers/>
              <w:spacing w:before="0" w:after="200"/>
              <w:rPr/>
            </w:pPr>
            <w:r>
              <w:rPr/>
              <w:t>Reflected in expandable temporal and spatial boundaries for ethical analysis.</w:t>
            </w:r>
          </w:p>
        </w:tc>
      </w:tr>
      <w:tr>
        <w:trPr/>
        <w:tc>
          <w:tcPr>
            <w:tcW w:w="2571" w:type="dxa"/>
            <w:tcBorders/>
            <w:vAlign w:val="center"/>
          </w:tcPr>
          <w:p>
            <w:pPr>
              <w:pStyle w:val="TableContents"/>
              <w:widowControl w:val="false"/>
              <w:suppressLineNumbers/>
              <w:spacing w:before="0" w:after="200"/>
              <w:rPr/>
            </w:pPr>
            <w:r>
              <w:rPr>
                <w:rStyle w:val="Strong"/>
              </w:rPr>
              <w:t>Universal benefit</w:t>
            </w:r>
          </w:p>
        </w:tc>
        <w:tc>
          <w:tcPr>
            <w:tcW w:w="6069" w:type="dxa"/>
            <w:tcBorders/>
            <w:vAlign w:val="center"/>
          </w:tcPr>
          <w:p>
            <w:pPr>
              <w:pStyle w:val="TableContents"/>
              <w:widowControl w:val="false"/>
              <w:suppressLineNumbers/>
              <w:spacing w:before="0" w:after="200"/>
              <w:rPr/>
            </w:pPr>
            <w:r>
              <w:rPr/>
              <w:t>Related to the requirement that one entity’s flourishing remain compatible with the flourishing of other relevant entities.</w:t>
            </w:r>
          </w:p>
        </w:tc>
      </w:tr>
      <w:tr>
        <w:trPr/>
        <w:tc>
          <w:tcPr>
            <w:tcW w:w="2571" w:type="dxa"/>
            <w:tcBorders/>
            <w:vAlign w:val="center"/>
          </w:tcPr>
          <w:p>
            <w:pPr>
              <w:pStyle w:val="TableContents"/>
              <w:widowControl w:val="false"/>
              <w:suppressLineNumbers/>
              <w:spacing w:before="0" w:after="200"/>
              <w:rPr/>
            </w:pPr>
            <w:r>
              <w:rPr>
                <w:rStyle w:val="Strong"/>
              </w:rPr>
              <w:t>Scientific responsibility</w:t>
            </w:r>
          </w:p>
        </w:tc>
        <w:tc>
          <w:tcPr>
            <w:tcW w:w="6069" w:type="dxa"/>
            <w:tcBorders/>
            <w:vAlign w:val="center"/>
          </w:tcPr>
          <w:p>
            <w:pPr>
              <w:pStyle w:val="TableContents"/>
              <w:widowControl w:val="false"/>
              <w:suppressLineNumbers/>
              <w:spacing w:before="0" w:after="200"/>
              <w:rPr/>
            </w:pPr>
            <w:r>
              <w:rPr/>
              <w:t>Reflected in the use of the best available evidence, explicit assumptions, uncertainty analysis, and responsibility proportional to knowledge and capability.</w:t>
            </w:r>
          </w:p>
        </w:tc>
      </w:tr>
      <w:tr>
        <w:trPr/>
        <w:tc>
          <w:tcPr>
            <w:tcW w:w="2571" w:type="dxa"/>
            <w:tcBorders/>
            <w:vAlign w:val="center"/>
          </w:tcPr>
          <w:p>
            <w:pPr>
              <w:pStyle w:val="TableContents"/>
              <w:widowControl w:val="false"/>
              <w:suppressLineNumbers/>
              <w:spacing w:before="0" w:after="200"/>
              <w:rPr/>
            </w:pPr>
            <w:r>
              <w:rPr>
                <w:rStyle w:val="Strong"/>
              </w:rPr>
              <w:t>Technological transformation</w:t>
            </w:r>
          </w:p>
        </w:tc>
        <w:tc>
          <w:tcPr>
            <w:tcW w:w="6069" w:type="dxa"/>
            <w:tcBorders/>
            <w:vAlign w:val="center"/>
          </w:tcPr>
          <w:p>
            <w:pPr>
              <w:pStyle w:val="TableContents"/>
              <w:widowControl w:val="false"/>
              <w:suppressLineNumbers/>
              <w:spacing w:before="0" w:after="200"/>
              <w:rPr/>
            </w:pPr>
            <w:r>
              <w:rPr/>
              <w:t>Representable as an action that changes entity capabilities, identity, embodiment, dependencies, or available future states.</w:t>
            </w:r>
          </w:p>
        </w:tc>
      </w:tr>
      <w:tr>
        <w:trPr/>
        <w:tc>
          <w:tcPr>
            <w:tcW w:w="2571" w:type="dxa"/>
            <w:tcBorders/>
            <w:vAlign w:val="center"/>
          </w:tcPr>
          <w:p>
            <w:pPr>
              <w:pStyle w:val="TableContents"/>
              <w:widowControl w:val="false"/>
              <w:suppressLineNumbers/>
              <w:spacing w:before="0" w:after="200"/>
              <w:rPr/>
            </w:pPr>
            <w:r>
              <w:rPr>
                <w:rStyle w:val="Strong"/>
              </w:rPr>
              <w:t>Life preservation and extension</w:t>
            </w:r>
          </w:p>
        </w:tc>
        <w:tc>
          <w:tcPr>
            <w:tcW w:w="6069" w:type="dxa"/>
            <w:tcBorders/>
            <w:vAlign w:val="center"/>
          </w:tcPr>
          <w:p>
            <w:pPr>
              <w:pStyle w:val="TableContents"/>
              <w:widowControl w:val="false"/>
              <w:suppressLineNumbers/>
              <w:spacing w:before="0" w:after="200"/>
              <w:rPr/>
            </w:pPr>
            <w:r>
              <w:rPr/>
              <w:t>Related to maintaining the persistence, agency, adaptability, and beneficial future possibilities of Flourishing Entities.</w:t>
            </w:r>
          </w:p>
        </w:tc>
      </w:tr>
      <w:tr>
        <w:trPr/>
        <w:tc>
          <w:tcPr>
            <w:tcW w:w="2571" w:type="dxa"/>
            <w:tcBorders/>
            <w:vAlign w:val="center"/>
          </w:tcPr>
          <w:p>
            <w:pPr>
              <w:pStyle w:val="TableContents"/>
              <w:widowControl w:val="false"/>
              <w:suppressLineNumbers/>
              <w:spacing w:before="0" w:after="200"/>
              <w:rPr/>
            </w:pPr>
            <w:r>
              <w:rPr>
                <w:rStyle w:val="Strong"/>
              </w:rPr>
              <w:t>Space settlement</w:t>
            </w:r>
          </w:p>
        </w:tc>
        <w:tc>
          <w:tcPr>
            <w:tcW w:w="6069" w:type="dxa"/>
            <w:tcBorders/>
            <w:vAlign w:val="center"/>
          </w:tcPr>
          <w:p>
            <w:pPr>
              <w:pStyle w:val="TableContents"/>
              <w:widowControl w:val="false"/>
              <w:suppressLineNumbers/>
              <w:spacing w:before="0" w:after="200"/>
              <w:rPr/>
            </w:pPr>
            <w:r>
              <w:rPr/>
              <w:t>Representable as a transition that creates geographic or planetary redundancy and expands future state space, subject to ecological and justice constraints.</w:t>
            </w:r>
          </w:p>
        </w:tc>
      </w:tr>
      <w:tr>
        <w:trPr/>
        <w:tc>
          <w:tcPr>
            <w:tcW w:w="2571" w:type="dxa"/>
            <w:tcBorders/>
            <w:vAlign w:val="center"/>
          </w:tcPr>
          <w:p>
            <w:pPr>
              <w:pStyle w:val="TableContents"/>
              <w:widowControl w:val="false"/>
              <w:suppressLineNumbers/>
              <w:spacing w:before="0" w:after="200"/>
              <w:rPr/>
            </w:pPr>
            <w:r>
              <w:rPr>
                <w:rStyle w:val="Strong"/>
              </w:rPr>
              <w:t>Collective intelligence</w:t>
            </w:r>
          </w:p>
        </w:tc>
        <w:tc>
          <w:tcPr>
            <w:tcW w:w="6069" w:type="dxa"/>
            <w:tcBorders/>
            <w:vAlign w:val="center"/>
          </w:tcPr>
          <w:p>
            <w:pPr>
              <w:pStyle w:val="TableContents"/>
              <w:widowControl w:val="false"/>
              <w:suppressLineNumbers/>
              <w:spacing w:before="0" w:after="200"/>
              <w:rPr/>
            </w:pPr>
            <w:r>
              <w:rPr/>
              <w:t>Adaptable as coordination among human agents, institutions, communication systems, and artificial agents.</w:t>
            </w:r>
          </w:p>
        </w:tc>
      </w:tr>
      <w:tr>
        <w:trPr/>
        <w:tc>
          <w:tcPr>
            <w:tcW w:w="2571" w:type="dxa"/>
            <w:tcBorders/>
            <w:vAlign w:val="center"/>
          </w:tcPr>
          <w:p>
            <w:pPr>
              <w:pStyle w:val="TableContents"/>
              <w:widowControl w:val="false"/>
              <w:suppressLineNumbers/>
              <w:spacing w:before="0" w:after="200"/>
              <w:rPr/>
            </w:pPr>
            <w:r>
              <w:rPr>
                <w:rStyle w:val="Strong"/>
              </w:rPr>
              <w:t>Intergenerational projects</w:t>
            </w:r>
          </w:p>
        </w:tc>
        <w:tc>
          <w:tcPr>
            <w:tcW w:w="6069" w:type="dxa"/>
            <w:tcBorders/>
            <w:vAlign w:val="center"/>
          </w:tcPr>
          <w:p>
            <w:pPr>
              <w:pStyle w:val="TableContents"/>
              <w:widowControl w:val="false"/>
              <w:suppressLineNumbers/>
              <w:spacing w:before="0" w:after="200"/>
              <w:rPr/>
            </w:pPr>
            <w:r>
              <w:rPr/>
              <w:t>Representable through long-horizon objectives, institutional continuity, knowledge transfer, and responsibility to future entities.</w:t>
            </w:r>
          </w:p>
        </w:tc>
      </w:tr>
      <w:tr>
        <w:trPr/>
        <w:tc>
          <w:tcPr>
            <w:tcW w:w="2571" w:type="dxa"/>
            <w:tcBorders/>
            <w:vAlign w:val="center"/>
          </w:tcPr>
          <w:p>
            <w:pPr>
              <w:pStyle w:val="TableContents"/>
              <w:widowControl w:val="false"/>
              <w:suppressLineNumbers/>
              <w:spacing w:before="0" w:after="200"/>
              <w:rPr/>
            </w:pPr>
            <w:r>
              <w:rPr>
                <w:rStyle w:val="Strong"/>
              </w:rPr>
              <w:t>Preservation of memory</w:t>
            </w:r>
          </w:p>
        </w:tc>
        <w:tc>
          <w:tcPr>
            <w:tcW w:w="6069" w:type="dxa"/>
            <w:tcBorders/>
            <w:vAlign w:val="center"/>
          </w:tcPr>
          <w:p>
            <w:pPr>
              <w:pStyle w:val="TableContents"/>
              <w:widowControl w:val="false"/>
              <w:suppressLineNumbers/>
              <w:spacing w:before="0" w:after="200"/>
              <w:rPr/>
            </w:pPr>
            <w:r>
              <w:rPr/>
              <w:t>Reflected in the representation of historical information, identity, relationships, commitments, and institutional records.</w:t>
            </w:r>
          </w:p>
        </w:tc>
      </w:tr>
      <w:tr>
        <w:trPr/>
        <w:tc>
          <w:tcPr>
            <w:tcW w:w="2571" w:type="dxa"/>
            <w:tcBorders/>
            <w:vAlign w:val="center"/>
          </w:tcPr>
          <w:p>
            <w:pPr>
              <w:pStyle w:val="TableContents"/>
              <w:widowControl w:val="false"/>
              <w:suppressLineNumbers/>
              <w:spacing w:before="0" w:after="200"/>
              <w:rPr/>
            </w:pPr>
            <w:r>
              <w:rPr>
                <w:rStyle w:val="Strong"/>
              </w:rPr>
              <w:t>Existential-risk reduction</w:t>
            </w:r>
          </w:p>
        </w:tc>
        <w:tc>
          <w:tcPr>
            <w:tcW w:w="6069" w:type="dxa"/>
            <w:tcBorders/>
            <w:vAlign w:val="center"/>
          </w:tcPr>
          <w:p>
            <w:pPr>
              <w:pStyle w:val="TableContents"/>
              <w:widowControl w:val="false"/>
              <w:suppressLineNumbers/>
              <w:spacing w:before="0" w:after="200"/>
              <w:rPr/>
            </w:pPr>
            <w:r>
              <w:rPr/>
              <w:t>Closely aligned with preserving the continued existence and future possibilities of relevant persistent adaptive entities.</w:t>
            </w:r>
          </w:p>
        </w:tc>
      </w:tr>
      <w:tr>
        <w:trPr/>
        <w:tc>
          <w:tcPr>
            <w:tcW w:w="2571" w:type="dxa"/>
            <w:tcBorders/>
            <w:vAlign w:val="center"/>
          </w:tcPr>
          <w:p>
            <w:pPr>
              <w:pStyle w:val="TableContents"/>
              <w:widowControl w:val="false"/>
              <w:suppressLineNumbers/>
              <w:spacing w:before="0" w:after="200"/>
              <w:rPr/>
            </w:pPr>
            <w:r>
              <w:rPr>
                <w:rStyle w:val="Strong"/>
              </w:rPr>
              <w:t>Humanity as a planetary force</w:t>
            </w:r>
          </w:p>
        </w:tc>
        <w:tc>
          <w:tcPr>
            <w:tcW w:w="6069" w:type="dxa"/>
            <w:tcBorders/>
            <w:vAlign w:val="center"/>
          </w:tcPr>
          <w:p>
            <w:pPr>
              <w:pStyle w:val="TableContents"/>
              <w:widowControl w:val="false"/>
              <w:suppressLineNumbers/>
              <w:spacing w:before="0" w:after="200"/>
              <w:rPr/>
            </w:pPr>
            <w:r>
              <w:rPr/>
              <w:t>Representable through aggregate and Distributed Policy Effects on climate, ecosystems, technology, information, and institutions.</w:t>
            </w:r>
          </w:p>
        </w:tc>
      </w:tr>
      <w:tr>
        <w:trPr/>
        <w:tc>
          <w:tcPr>
            <w:tcW w:w="2571" w:type="dxa"/>
            <w:tcBorders/>
            <w:vAlign w:val="center"/>
          </w:tcPr>
          <w:p>
            <w:pPr>
              <w:pStyle w:val="TableContents"/>
              <w:widowControl w:val="false"/>
              <w:suppressLineNumbers/>
              <w:spacing w:before="0" w:after="200"/>
              <w:rPr/>
            </w:pPr>
            <w:r>
              <w:rPr>
                <w:rStyle w:val="Strong"/>
              </w:rPr>
              <w:t>Expansion of intelligence</w:t>
            </w:r>
          </w:p>
        </w:tc>
        <w:tc>
          <w:tcPr>
            <w:tcW w:w="6069" w:type="dxa"/>
            <w:tcBorders/>
            <w:vAlign w:val="center"/>
          </w:tcPr>
          <w:p>
            <w:pPr>
              <w:pStyle w:val="TableContents"/>
              <w:widowControl w:val="false"/>
              <w:suppressLineNumbers/>
              <w:spacing w:before="0" w:after="200"/>
              <w:rPr/>
            </w:pPr>
            <w:r>
              <w:rPr/>
              <w:t>Adaptable as the development of moral and epistemic capabilities, but not automatically treated as an ethical good.</w:t>
            </w:r>
          </w:p>
        </w:tc>
      </w:tr>
    </w:tbl>
    <w:p>
      <w:pPr>
        <w:pStyle w:val="Heading3"/>
        <w:spacing w:before="0" w:after="200"/>
        <w:ind w:hanging="0" w:left="0"/>
        <w:rPr>
          <w:rFonts w:ascii="Aptos" w:hAnsi="Aptos"/>
          <w:color w:val="auto"/>
        </w:rPr>
      </w:pPr>
      <w:r>
        <w:rPr>
          <w:rFonts w:ascii="Aptos" w:hAnsi="Aptos"/>
          <w:color w:val="auto"/>
        </w:rPr>
        <w:t>Similarities</w:t>
      </w:r>
    </w:p>
    <w:p>
      <w:pPr>
        <w:pStyle w:val="BodyText"/>
        <w:spacing w:before="0" w:after="200"/>
        <w:rPr/>
      </w:pPr>
      <w:r>
        <w:rPr/>
        <w:t>Cosmism and this framework share several substantial commitments:</w:t>
      </w:r>
    </w:p>
    <w:p>
      <w:pPr>
        <w:pStyle w:val="BodyText"/>
        <w:numPr>
          <w:ilvl w:val="0"/>
          <w:numId w:val="83"/>
        </w:numPr>
        <w:tabs>
          <w:tab w:val="clear" w:pos="720"/>
          <w:tab w:val="left" w:pos="0" w:leader="none"/>
        </w:tabs>
        <w:spacing w:before="0" w:after="200"/>
        <w:ind w:hanging="283" w:left="709"/>
        <w:rPr/>
      </w:pPr>
      <w:r>
        <w:rPr/>
        <w:t>Both use long temporal horizons extending beyond the immediate decision.</w:t>
      </w:r>
    </w:p>
    <w:p>
      <w:pPr>
        <w:pStyle w:val="BodyText"/>
        <w:numPr>
          <w:ilvl w:val="0"/>
          <w:numId w:val="83"/>
        </w:numPr>
        <w:tabs>
          <w:tab w:val="clear" w:pos="720"/>
          <w:tab w:val="left" w:pos="0" w:leader="none"/>
        </w:tabs>
        <w:spacing w:before="0" w:after="200"/>
        <w:ind w:hanging="283" w:left="709"/>
        <w:rPr/>
      </w:pPr>
      <w:r>
        <w:rPr/>
        <w:t>Both treat humanity and technology as components of larger systems.</w:t>
      </w:r>
    </w:p>
    <w:p>
      <w:pPr>
        <w:pStyle w:val="BodyText"/>
        <w:numPr>
          <w:ilvl w:val="0"/>
          <w:numId w:val="83"/>
        </w:numPr>
        <w:tabs>
          <w:tab w:val="clear" w:pos="720"/>
          <w:tab w:val="left" w:pos="0" w:leader="none"/>
        </w:tabs>
        <w:spacing w:before="0" w:after="200"/>
        <w:ind w:hanging="283" w:left="709"/>
        <w:rPr/>
      </w:pPr>
      <w:r>
        <w:rPr/>
        <w:t>Both recognize that advanced knowledge creates increased causal power and responsibility.</w:t>
      </w:r>
    </w:p>
    <w:p>
      <w:pPr>
        <w:pStyle w:val="BodyText"/>
        <w:numPr>
          <w:ilvl w:val="0"/>
          <w:numId w:val="83"/>
        </w:numPr>
        <w:tabs>
          <w:tab w:val="clear" w:pos="720"/>
          <w:tab w:val="left" w:pos="0" w:leader="none"/>
        </w:tabs>
        <w:spacing w:before="0" w:after="200"/>
        <w:ind w:hanging="283" w:left="709"/>
        <w:rPr/>
      </w:pPr>
      <w:r>
        <w:rPr/>
        <w:t>Both consider the future development of agents and institutions ethically significant.</w:t>
      </w:r>
    </w:p>
    <w:p>
      <w:pPr>
        <w:pStyle w:val="BodyText"/>
        <w:numPr>
          <w:ilvl w:val="0"/>
          <w:numId w:val="83"/>
        </w:numPr>
        <w:tabs>
          <w:tab w:val="clear" w:pos="720"/>
          <w:tab w:val="left" w:pos="0" w:leader="none"/>
        </w:tabs>
        <w:spacing w:before="0" w:after="200"/>
        <w:ind w:hanging="283" w:left="709"/>
        <w:rPr/>
      </w:pPr>
      <w:r>
        <w:rPr/>
        <w:t>Both emphasize the preservation and expansion of beneficial future possibilities.</w:t>
      </w:r>
    </w:p>
    <w:p>
      <w:pPr>
        <w:pStyle w:val="BodyText"/>
        <w:numPr>
          <w:ilvl w:val="0"/>
          <w:numId w:val="83"/>
        </w:numPr>
        <w:tabs>
          <w:tab w:val="clear" w:pos="720"/>
          <w:tab w:val="left" w:pos="0" w:leader="none"/>
        </w:tabs>
        <w:spacing w:before="0" w:after="200"/>
        <w:ind w:hanging="283" w:left="709"/>
        <w:rPr/>
      </w:pPr>
      <w:r>
        <w:rPr/>
        <w:t>Both support coordinated action on problems that exceed individual or national capacity.</w:t>
      </w:r>
    </w:p>
    <w:p>
      <w:pPr>
        <w:pStyle w:val="BodyText"/>
        <w:numPr>
          <w:ilvl w:val="0"/>
          <w:numId w:val="83"/>
        </w:numPr>
        <w:tabs>
          <w:tab w:val="clear" w:pos="720"/>
          <w:tab w:val="left" w:pos="0" w:leader="none"/>
        </w:tabs>
        <w:spacing w:before="0" w:after="200"/>
        <w:ind w:hanging="283" w:left="709"/>
        <w:rPr/>
      </w:pPr>
      <w:r>
        <w:rPr/>
        <w:t>Both recognize existential and civilizational risks as morally important.</w:t>
      </w:r>
    </w:p>
    <w:p>
      <w:pPr>
        <w:pStyle w:val="BodyText"/>
        <w:numPr>
          <w:ilvl w:val="0"/>
          <w:numId w:val="83"/>
        </w:numPr>
        <w:tabs>
          <w:tab w:val="clear" w:pos="720"/>
          <w:tab w:val="left" w:pos="0" w:leader="none"/>
        </w:tabs>
        <w:spacing w:before="0" w:after="200"/>
        <w:ind w:hanging="283" w:left="709"/>
        <w:rPr/>
      </w:pPr>
      <w:r>
        <w:rPr/>
        <w:t>Both examine relationships among living systems, physical environments, information, and technology.</w:t>
      </w:r>
    </w:p>
    <w:p>
      <w:pPr>
        <w:pStyle w:val="BodyText"/>
        <w:numPr>
          <w:ilvl w:val="0"/>
          <w:numId w:val="83"/>
        </w:numPr>
        <w:tabs>
          <w:tab w:val="clear" w:pos="720"/>
          <w:tab w:val="left" w:pos="0" w:leader="none"/>
        </w:tabs>
        <w:spacing w:before="0" w:after="200"/>
        <w:ind w:hanging="283" w:left="709"/>
        <w:rPr/>
      </w:pPr>
      <w:r>
        <w:rPr/>
        <w:t>Both reject exclusively passive acceptance of preventable disease, disaster, deprivation, or systemic failure.</w:t>
      </w:r>
    </w:p>
    <w:p>
      <w:pPr>
        <w:pStyle w:val="BodyText"/>
        <w:numPr>
          <w:ilvl w:val="0"/>
          <w:numId w:val="83"/>
        </w:numPr>
        <w:tabs>
          <w:tab w:val="clear" w:pos="720"/>
          <w:tab w:val="left" w:pos="0" w:leader="none"/>
        </w:tabs>
        <w:spacing w:before="0" w:after="200"/>
        <w:ind w:hanging="283" w:left="709"/>
        <w:rPr/>
      </w:pPr>
      <w:r>
        <w:rPr/>
        <w:t>Both recognize that moral decisions can affect future generations and the long-term direction of civilization.</w:t>
      </w:r>
    </w:p>
    <w:p>
      <w:pPr>
        <w:pStyle w:val="BodyText"/>
        <w:numPr>
          <w:ilvl w:val="0"/>
          <w:numId w:val="83"/>
        </w:numPr>
        <w:tabs>
          <w:tab w:val="clear" w:pos="720"/>
          <w:tab w:val="left" w:pos="0" w:leader="none"/>
        </w:tabs>
        <w:spacing w:before="0" w:after="200"/>
        <w:ind w:hanging="283" w:left="709"/>
        <w:rPr/>
      </w:pPr>
      <w:r>
        <w:rPr/>
        <w:t>Both support the preservation and transmission of knowledge.</w:t>
      </w:r>
    </w:p>
    <w:p>
      <w:pPr>
        <w:pStyle w:val="BodyText"/>
        <w:numPr>
          <w:ilvl w:val="0"/>
          <w:numId w:val="83"/>
        </w:numPr>
        <w:tabs>
          <w:tab w:val="clear" w:pos="720"/>
          <w:tab w:val="left" w:pos="0" w:leader="none"/>
        </w:tabs>
        <w:spacing w:before="0" w:after="200"/>
        <w:ind w:hanging="283" w:left="709"/>
        <w:rPr/>
      </w:pPr>
      <w:r>
        <w:rPr/>
        <w:t>Both can evaluate space exploration and technological development as ethically significant rather than merely economically or politically useful.</w:t>
      </w:r>
    </w:p>
    <w:p>
      <w:pPr>
        <w:pStyle w:val="BodyText"/>
        <w:numPr>
          <w:ilvl w:val="0"/>
          <w:numId w:val="83"/>
        </w:numPr>
        <w:tabs>
          <w:tab w:val="clear" w:pos="720"/>
          <w:tab w:val="left" w:pos="0" w:leader="none"/>
        </w:tabs>
        <w:spacing w:before="0" w:after="200"/>
        <w:ind w:hanging="283" w:left="709"/>
        <w:rPr/>
      </w:pPr>
      <w:r>
        <w:rPr/>
        <w:t>Both recognize that isolated objectives can be harmful when disconnected from the broader system.</w:t>
      </w:r>
    </w:p>
    <w:p>
      <w:pPr>
        <w:pStyle w:val="BodyText"/>
        <w:numPr>
          <w:ilvl w:val="0"/>
          <w:numId w:val="83"/>
        </w:numPr>
        <w:tabs>
          <w:tab w:val="clear" w:pos="720"/>
          <w:tab w:val="left" w:pos="0" w:leader="none"/>
        </w:tabs>
        <w:spacing w:before="0" w:after="200"/>
        <w:ind w:hanging="283" w:left="709"/>
        <w:rPr/>
      </w:pPr>
      <w:r>
        <w:rPr/>
        <w:t>Both treat adaptive development as important to the continued flourishing of intelligent agents.</w:t>
      </w:r>
    </w:p>
    <w:p>
      <w:pPr>
        <w:pStyle w:val="BodyText"/>
        <w:numPr>
          <w:ilvl w:val="0"/>
          <w:numId w:val="83"/>
        </w:numPr>
        <w:tabs>
          <w:tab w:val="clear" w:pos="720"/>
          <w:tab w:val="left" w:pos="0" w:leader="none"/>
        </w:tabs>
        <w:spacing w:before="0" w:after="200"/>
        <w:ind w:hanging="283" w:left="709"/>
        <w:rPr/>
      </w:pPr>
      <w:r>
        <w:rPr/>
        <w:t>Both can examine the transition from locally organized intelligence to planetary or larger-scale coordination.</w:t>
      </w:r>
    </w:p>
    <w:p>
      <w:pPr>
        <w:pStyle w:val="Heading3"/>
        <w:spacing w:before="0" w:after="200"/>
        <w:ind w:hanging="0" w:left="0"/>
        <w:rPr>
          <w:rFonts w:ascii="Aptos" w:hAnsi="Aptos"/>
          <w:color w:val="auto"/>
        </w:rPr>
      </w:pPr>
      <w:r>
        <w:rPr>
          <w:rFonts w:ascii="Aptos" w:hAnsi="Aptos"/>
          <w:color w:val="auto"/>
        </w:rPr>
        <w:t>Differences</w:t>
      </w:r>
    </w:p>
    <w:tbl>
      <w:tblPr>
        <w:tblW w:w="8640" w:type="dxa"/>
        <w:jc w:val="left"/>
        <w:tblInd w:w="28" w:type="dxa"/>
        <w:tblLayout w:type="fixed"/>
        <w:tblCellMar>
          <w:top w:w="28" w:type="dxa"/>
          <w:left w:w="28" w:type="dxa"/>
          <w:bottom w:w="28" w:type="dxa"/>
          <w:right w:w="28" w:type="dxa"/>
        </w:tblCellMar>
      </w:tblPr>
      <w:tblGrid>
        <w:gridCol w:w="1843"/>
        <w:gridCol w:w="3374"/>
        <w:gridCol w:w="3423"/>
      </w:tblGrid>
      <w:tr>
        <w:trPr>
          <w:tblHeader w:val="true"/>
        </w:trPr>
        <w:tc>
          <w:tcPr>
            <w:tcW w:w="1843" w:type="dxa"/>
            <w:tcBorders/>
            <w:vAlign w:val="center"/>
          </w:tcPr>
          <w:p>
            <w:pPr>
              <w:pStyle w:val="TableHeading"/>
              <w:suppressLineNumbers/>
              <w:spacing w:before="0" w:after="200"/>
              <w:jc w:val="center"/>
              <w:rPr/>
            </w:pPr>
            <w:r>
              <w:rPr/>
              <w:t>Dimension</w:t>
            </w:r>
          </w:p>
        </w:tc>
        <w:tc>
          <w:tcPr>
            <w:tcW w:w="3374" w:type="dxa"/>
            <w:tcBorders/>
            <w:vAlign w:val="center"/>
          </w:tcPr>
          <w:p>
            <w:pPr>
              <w:pStyle w:val="TableHeading"/>
              <w:suppressLineNumbers/>
              <w:spacing w:before="0" w:after="200"/>
              <w:jc w:val="center"/>
              <w:rPr/>
            </w:pPr>
            <w:r>
              <w:rPr/>
              <w:t>Cosmism</w:t>
            </w:r>
          </w:p>
        </w:tc>
        <w:tc>
          <w:tcPr>
            <w:tcW w:w="3423" w:type="dxa"/>
            <w:tcBorders/>
            <w:vAlign w:val="center"/>
          </w:tcPr>
          <w:p>
            <w:pPr>
              <w:pStyle w:val="TableHeading"/>
              <w:suppressLineNumbers/>
              <w:spacing w:before="0" w:after="200"/>
              <w:jc w:val="center"/>
              <w:rPr/>
            </w:pPr>
            <w:r>
              <w:rPr/>
              <w:t>This framework</w:t>
            </w:r>
          </w:p>
        </w:tc>
      </w:tr>
      <w:tr>
        <w:trPr/>
        <w:tc>
          <w:tcPr>
            <w:tcW w:w="1843" w:type="dxa"/>
            <w:tcBorders/>
            <w:vAlign w:val="center"/>
          </w:tcPr>
          <w:p>
            <w:pPr>
              <w:pStyle w:val="TableContents"/>
              <w:widowControl w:val="false"/>
              <w:suppressLineNumbers/>
              <w:spacing w:before="0" w:after="200"/>
              <w:rPr/>
            </w:pPr>
            <w:r>
              <w:rPr>
                <w:rStyle w:val="Strong"/>
              </w:rPr>
              <w:t>Status as an ethical model</w:t>
            </w:r>
          </w:p>
        </w:tc>
        <w:tc>
          <w:tcPr>
            <w:tcW w:w="3374" w:type="dxa"/>
            <w:tcBorders/>
            <w:vAlign w:val="center"/>
          </w:tcPr>
          <w:p>
            <w:pPr>
              <w:pStyle w:val="TableContents"/>
              <w:widowControl w:val="false"/>
              <w:suppressLineNumbers/>
              <w:spacing w:before="0" w:after="200"/>
              <w:rPr/>
            </w:pPr>
            <w:r>
              <w:rPr/>
              <w:t>A diverse philosophical and cultural tradition with religious, scientific, and technological branches</w:t>
            </w:r>
          </w:p>
        </w:tc>
        <w:tc>
          <w:tcPr>
            <w:tcW w:w="3423" w:type="dxa"/>
            <w:tcBorders/>
            <w:vAlign w:val="center"/>
          </w:tcPr>
          <w:p>
            <w:pPr>
              <w:pStyle w:val="TableContents"/>
              <w:widowControl w:val="false"/>
              <w:suppressLineNumbers/>
              <w:spacing w:before="0" w:after="200"/>
              <w:rPr/>
            </w:pPr>
            <w:r>
              <w:rPr/>
              <w:t>A structured, implementation-neutral architecture for assessing actions</w:t>
            </w:r>
          </w:p>
        </w:tc>
      </w:tr>
      <w:tr>
        <w:trPr/>
        <w:tc>
          <w:tcPr>
            <w:tcW w:w="1843" w:type="dxa"/>
            <w:tcBorders/>
            <w:vAlign w:val="center"/>
          </w:tcPr>
          <w:p>
            <w:pPr>
              <w:pStyle w:val="TableContents"/>
              <w:widowControl w:val="false"/>
              <w:suppressLineNumbers/>
              <w:spacing w:before="0" w:after="200"/>
              <w:rPr/>
            </w:pPr>
            <w:r>
              <w:rPr>
                <w:rStyle w:val="Strong"/>
              </w:rPr>
              <w:t>Primary objective</w:t>
            </w:r>
          </w:p>
        </w:tc>
        <w:tc>
          <w:tcPr>
            <w:tcW w:w="3374" w:type="dxa"/>
            <w:tcBorders/>
            <w:vAlign w:val="center"/>
          </w:tcPr>
          <w:p>
            <w:pPr>
              <w:pStyle w:val="TableContents"/>
              <w:widowControl w:val="false"/>
              <w:suppressLineNumbers/>
              <w:spacing w:before="0" w:after="200"/>
              <w:rPr/>
            </w:pPr>
            <w:r>
              <w:rPr/>
              <w:t>Frequently proposes cosmic expansion, active evolution, life extension, resurrection, or transformation of nature</w:t>
            </w:r>
          </w:p>
        </w:tc>
        <w:tc>
          <w:tcPr>
            <w:tcW w:w="3423" w:type="dxa"/>
            <w:tcBorders/>
            <w:vAlign w:val="center"/>
          </w:tcPr>
          <w:p>
            <w:pPr>
              <w:pStyle w:val="TableContents"/>
              <w:widowControl w:val="false"/>
              <w:suppressLineNumbers/>
              <w:spacing w:before="0" w:after="200"/>
              <w:rPr/>
            </w:pPr>
            <w:r>
              <w:rPr/>
              <w:t>Does not prescribe a single substantive project beyond the Foundational Axiom</w:t>
            </w:r>
          </w:p>
        </w:tc>
      </w:tr>
      <w:tr>
        <w:trPr/>
        <w:tc>
          <w:tcPr>
            <w:tcW w:w="1843" w:type="dxa"/>
            <w:tcBorders/>
            <w:vAlign w:val="center"/>
          </w:tcPr>
          <w:p>
            <w:pPr>
              <w:pStyle w:val="TableContents"/>
              <w:widowControl w:val="false"/>
              <w:suppressLineNumbers/>
              <w:spacing w:before="0" w:after="200"/>
              <w:rPr/>
            </w:pPr>
            <w:r>
              <w:rPr>
                <w:rStyle w:val="Strong"/>
              </w:rPr>
              <w:t>Temporal scope</w:t>
            </w:r>
          </w:p>
        </w:tc>
        <w:tc>
          <w:tcPr>
            <w:tcW w:w="3374" w:type="dxa"/>
            <w:tcBorders/>
            <w:vAlign w:val="center"/>
          </w:tcPr>
          <w:p>
            <w:pPr>
              <w:pStyle w:val="TableContents"/>
              <w:widowControl w:val="false"/>
              <w:suppressLineNumbers/>
              <w:spacing w:before="0" w:after="200"/>
              <w:rPr/>
            </w:pPr>
            <w:r>
              <w:rPr/>
              <w:t>Civilizational, evolutionary, and cosmic</w:t>
            </w:r>
          </w:p>
        </w:tc>
        <w:tc>
          <w:tcPr>
            <w:tcW w:w="3423" w:type="dxa"/>
            <w:tcBorders/>
            <w:vAlign w:val="center"/>
          </w:tcPr>
          <w:p>
            <w:pPr>
              <w:pStyle w:val="TableContents"/>
              <w:widowControl w:val="false"/>
              <w:suppressLineNumbers/>
              <w:spacing w:before="0" w:after="200"/>
              <w:rPr/>
            </w:pPr>
            <w:r>
              <w:rPr/>
              <w:t>Adjustable to the relevant action, including near-term through cosmic horizons</w:t>
            </w:r>
          </w:p>
        </w:tc>
      </w:tr>
      <w:tr>
        <w:trPr/>
        <w:tc>
          <w:tcPr>
            <w:tcW w:w="1843" w:type="dxa"/>
            <w:tcBorders/>
            <w:vAlign w:val="center"/>
          </w:tcPr>
          <w:p>
            <w:pPr>
              <w:pStyle w:val="TableContents"/>
              <w:widowControl w:val="false"/>
              <w:suppressLineNumbers/>
              <w:spacing w:before="0" w:after="200"/>
              <w:rPr/>
            </w:pPr>
            <w:r>
              <w:rPr>
                <w:rStyle w:val="Strong"/>
              </w:rPr>
              <w:t>Spatial scope</w:t>
            </w:r>
          </w:p>
        </w:tc>
        <w:tc>
          <w:tcPr>
            <w:tcW w:w="3374" w:type="dxa"/>
            <w:tcBorders/>
            <w:vAlign w:val="center"/>
          </w:tcPr>
          <w:p>
            <w:pPr>
              <w:pStyle w:val="TableContents"/>
              <w:widowControl w:val="false"/>
              <w:suppressLineNumbers/>
              <w:spacing w:before="0" w:after="200"/>
              <w:rPr/>
            </w:pPr>
            <w:r>
              <w:rPr/>
              <w:t>Planetary and cosmic</w:t>
            </w:r>
          </w:p>
        </w:tc>
        <w:tc>
          <w:tcPr>
            <w:tcW w:w="3423" w:type="dxa"/>
            <w:tcBorders/>
            <w:vAlign w:val="center"/>
          </w:tcPr>
          <w:p>
            <w:pPr>
              <w:pStyle w:val="TableContents"/>
              <w:widowControl w:val="false"/>
              <w:suppressLineNumbers/>
              <w:spacing w:before="0" w:after="200"/>
              <w:rPr/>
            </w:pPr>
            <w:r>
              <w:rPr/>
              <w:t>Defined by the relevant World Context and expandable as necessary</w:t>
            </w:r>
          </w:p>
        </w:tc>
      </w:tr>
      <w:tr>
        <w:trPr/>
        <w:tc>
          <w:tcPr>
            <w:tcW w:w="1843" w:type="dxa"/>
            <w:tcBorders/>
            <w:vAlign w:val="center"/>
          </w:tcPr>
          <w:p>
            <w:pPr>
              <w:pStyle w:val="TableContents"/>
              <w:widowControl w:val="false"/>
              <w:suppressLineNumbers/>
              <w:spacing w:before="0" w:after="200"/>
              <w:rPr/>
            </w:pPr>
            <w:r>
              <w:rPr>
                <w:rStyle w:val="Strong"/>
              </w:rPr>
              <w:t>Moral subject</w:t>
            </w:r>
          </w:p>
        </w:tc>
        <w:tc>
          <w:tcPr>
            <w:tcW w:w="3374" w:type="dxa"/>
            <w:tcBorders/>
            <w:vAlign w:val="center"/>
          </w:tcPr>
          <w:p>
            <w:pPr>
              <w:pStyle w:val="TableContents"/>
              <w:widowControl w:val="false"/>
              <w:suppressLineNumbers/>
              <w:spacing w:before="0" w:after="200"/>
              <w:rPr/>
            </w:pPr>
            <w:r>
              <w:rPr/>
              <w:t>Often humanity or intelligent life considered collectively</w:t>
            </w:r>
          </w:p>
        </w:tc>
        <w:tc>
          <w:tcPr>
            <w:tcW w:w="3423" w:type="dxa"/>
            <w:tcBorders/>
            <w:vAlign w:val="center"/>
          </w:tcPr>
          <w:p>
            <w:pPr>
              <w:pStyle w:val="TableContents"/>
              <w:widowControl w:val="false"/>
              <w:suppressLineNumbers/>
              <w:spacing w:before="0" w:after="200"/>
              <w:rPr/>
            </w:pPr>
            <w:r>
              <w:rPr/>
              <w:t>Individual and collective persistent adaptive entities, potentially including autopoietic and nonhuman entities</w:t>
            </w:r>
          </w:p>
        </w:tc>
      </w:tr>
      <w:tr>
        <w:trPr/>
        <w:tc>
          <w:tcPr>
            <w:tcW w:w="1843" w:type="dxa"/>
            <w:tcBorders/>
            <w:vAlign w:val="center"/>
          </w:tcPr>
          <w:p>
            <w:pPr>
              <w:pStyle w:val="TableContents"/>
              <w:widowControl w:val="false"/>
              <w:suppressLineNumbers/>
              <w:spacing w:before="0" w:after="200"/>
              <w:rPr/>
            </w:pPr>
            <w:r>
              <w:rPr>
                <w:rStyle w:val="Strong"/>
              </w:rPr>
              <w:t>View of nature</w:t>
            </w:r>
          </w:p>
        </w:tc>
        <w:tc>
          <w:tcPr>
            <w:tcW w:w="3374" w:type="dxa"/>
            <w:tcBorders/>
            <w:vAlign w:val="center"/>
          </w:tcPr>
          <w:p>
            <w:pPr>
              <w:pStyle w:val="TableContents"/>
              <w:widowControl w:val="false"/>
              <w:suppressLineNumbers/>
              <w:spacing w:before="0" w:after="200"/>
              <w:rPr/>
            </w:pPr>
            <w:r>
              <w:rPr/>
              <w:t>Frequently treats nature as incomplete, blind, or requiring rational regulation</w:t>
            </w:r>
          </w:p>
        </w:tc>
        <w:tc>
          <w:tcPr>
            <w:tcW w:w="3423" w:type="dxa"/>
            <w:tcBorders/>
            <w:vAlign w:val="center"/>
          </w:tcPr>
          <w:p>
            <w:pPr>
              <w:pStyle w:val="TableContents"/>
              <w:widowControl w:val="false"/>
              <w:suppressLineNumbers/>
              <w:spacing w:before="0" w:after="200"/>
              <w:rPr/>
            </w:pPr>
            <w:r>
              <w:rPr/>
              <w:t>Treats natural and constructed systems as elements of the World Context whose alteration requires ethical assessment</w:t>
            </w:r>
          </w:p>
        </w:tc>
      </w:tr>
      <w:tr>
        <w:trPr/>
        <w:tc>
          <w:tcPr>
            <w:tcW w:w="1843" w:type="dxa"/>
            <w:tcBorders/>
            <w:vAlign w:val="center"/>
          </w:tcPr>
          <w:p>
            <w:pPr>
              <w:pStyle w:val="TableContents"/>
              <w:widowControl w:val="false"/>
              <w:suppressLineNumbers/>
              <w:spacing w:before="0" w:after="200"/>
              <w:rPr/>
            </w:pPr>
            <w:r>
              <w:rPr>
                <w:rStyle w:val="Strong"/>
              </w:rPr>
              <w:t>Death</w:t>
            </w:r>
          </w:p>
        </w:tc>
        <w:tc>
          <w:tcPr>
            <w:tcW w:w="3374" w:type="dxa"/>
            <w:tcBorders/>
            <w:vAlign w:val="center"/>
          </w:tcPr>
          <w:p>
            <w:pPr>
              <w:pStyle w:val="TableContents"/>
              <w:widowControl w:val="false"/>
              <w:suppressLineNumbers/>
              <w:spacing w:before="0" w:after="200"/>
              <w:rPr/>
            </w:pPr>
            <w:r>
              <w:rPr/>
              <w:t>Often regarded as a primary evil or technical problem to be overcome</w:t>
            </w:r>
          </w:p>
        </w:tc>
        <w:tc>
          <w:tcPr>
            <w:tcW w:w="3423" w:type="dxa"/>
            <w:tcBorders/>
            <w:vAlign w:val="center"/>
          </w:tcPr>
          <w:p>
            <w:pPr>
              <w:pStyle w:val="TableContents"/>
              <w:widowControl w:val="false"/>
              <w:suppressLineNumbers/>
              <w:spacing w:before="0" w:after="200"/>
              <w:rPr/>
            </w:pPr>
            <w:r>
              <w:rPr/>
              <w:t>A major potential diminishment of future state space, but not automatically the overriding ethical problem</w:t>
            </w:r>
          </w:p>
        </w:tc>
      </w:tr>
      <w:tr>
        <w:trPr/>
        <w:tc>
          <w:tcPr>
            <w:tcW w:w="1843" w:type="dxa"/>
            <w:tcBorders/>
            <w:vAlign w:val="center"/>
          </w:tcPr>
          <w:p>
            <w:pPr>
              <w:pStyle w:val="TableContents"/>
              <w:widowControl w:val="false"/>
              <w:suppressLineNumbers/>
              <w:spacing w:before="0" w:after="200"/>
              <w:rPr/>
            </w:pPr>
            <w:r>
              <w:rPr>
                <w:rStyle w:val="Strong"/>
              </w:rPr>
              <w:t>Technological progress</w:t>
            </w:r>
          </w:p>
        </w:tc>
        <w:tc>
          <w:tcPr>
            <w:tcW w:w="3374" w:type="dxa"/>
            <w:tcBorders/>
            <w:vAlign w:val="center"/>
          </w:tcPr>
          <w:p>
            <w:pPr>
              <w:pStyle w:val="TableContents"/>
              <w:widowControl w:val="false"/>
              <w:suppressLineNumbers/>
              <w:spacing w:before="0" w:after="200"/>
              <w:rPr/>
            </w:pPr>
            <w:r>
              <w:rPr/>
              <w:t>Commonly viewed as central to humanity’s cosmic task</w:t>
            </w:r>
          </w:p>
        </w:tc>
        <w:tc>
          <w:tcPr>
            <w:tcW w:w="3423" w:type="dxa"/>
            <w:tcBorders/>
            <w:vAlign w:val="center"/>
          </w:tcPr>
          <w:p>
            <w:pPr>
              <w:pStyle w:val="TableContents"/>
              <w:widowControl w:val="false"/>
              <w:suppressLineNumbers/>
              <w:spacing w:before="0" w:after="200"/>
              <w:rPr/>
            </w:pPr>
            <w:r>
              <w:rPr/>
              <w:t>Evaluated as a means whose value depends on evidence, distribution, constraints, and effects</w:t>
            </w:r>
          </w:p>
        </w:tc>
      </w:tr>
      <w:tr>
        <w:trPr/>
        <w:tc>
          <w:tcPr>
            <w:tcW w:w="1843" w:type="dxa"/>
            <w:tcBorders/>
            <w:vAlign w:val="center"/>
          </w:tcPr>
          <w:p>
            <w:pPr>
              <w:pStyle w:val="TableContents"/>
              <w:widowControl w:val="false"/>
              <w:suppressLineNumbers/>
              <w:spacing w:before="0" w:after="200"/>
              <w:rPr/>
            </w:pPr>
            <w:r>
              <w:rPr>
                <w:rStyle w:val="Strong"/>
              </w:rPr>
              <w:t>Cosmic purpose</w:t>
            </w:r>
          </w:p>
        </w:tc>
        <w:tc>
          <w:tcPr>
            <w:tcW w:w="3374" w:type="dxa"/>
            <w:tcBorders/>
            <w:vAlign w:val="center"/>
          </w:tcPr>
          <w:p>
            <w:pPr>
              <w:pStyle w:val="TableContents"/>
              <w:widowControl w:val="false"/>
              <w:suppressLineNumbers/>
              <w:spacing w:before="0" w:after="200"/>
              <w:rPr/>
            </w:pPr>
            <w:r>
              <w:rPr/>
              <w:t>May assume religious, teleological, panpsychist, or evolutionary direction</w:t>
            </w:r>
          </w:p>
        </w:tc>
        <w:tc>
          <w:tcPr>
            <w:tcW w:w="3423" w:type="dxa"/>
            <w:tcBorders/>
            <w:vAlign w:val="center"/>
          </w:tcPr>
          <w:p>
            <w:pPr>
              <w:pStyle w:val="TableContents"/>
              <w:widowControl w:val="false"/>
              <w:suppressLineNumbers/>
              <w:spacing w:before="0" w:after="200"/>
              <w:rPr/>
            </w:pPr>
            <w:r>
              <w:rPr/>
              <w:t>Metaphysically neutral and does not assume a predetermined cosmic purpose</w:t>
            </w:r>
          </w:p>
        </w:tc>
      </w:tr>
      <w:tr>
        <w:trPr/>
        <w:tc>
          <w:tcPr>
            <w:tcW w:w="1843" w:type="dxa"/>
            <w:tcBorders/>
            <w:vAlign w:val="center"/>
          </w:tcPr>
          <w:p>
            <w:pPr>
              <w:pStyle w:val="TableContents"/>
              <w:widowControl w:val="false"/>
              <w:suppressLineNumbers/>
              <w:spacing w:before="0" w:after="200"/>
              <w:rPr/>
            </w:pPr>
            <w:r>
              <w:rPr>
                <w:rStyle w:val="Strong"/>
              </w:rPr>
              <w:t>Universalism</w:t>
            </w:r>
          </w:p>
        </w:tc>
        <w:tc>
          <w:tcPr>
            <w:tcW w:w="3374" w:type="dxa"/>
            <w:tcBorders/>
            <w:vAlign w:val="center"/>
          </w:tcPr>
          <w:p>
            <w:pPr>
              <w:pStyle w:val="TableContents"/>
              <w:widowControl w:val="false"/>
              <w:suppressLineNumbers/>
              <w:spacing w:before="0" w:after="200"/>
              <w:rPr/>
            </w:pPr>
            <w:r>
              <w:rPr/>
              <w:t>Often seeks a universal human or cosmic project</w:t>
            </w:r>
          </w:p>
        </w:tc>
        <w:tc>
          <w:tcPr>
            <w:tcW w:w="3423" w:type="dxa"/>
            <w:tcBorders/>
            <w:vAlign w:val="center"/>
          </w:tcPr>
          <w:p>
            <w:pPr>
              <w:pStyle w:val="TableContents"/>
              <w:widowControl w:val="false"/>
              <w:suppressLineNumbers/>
              <w:spacing w:before="0" w:after="200"/>
              <w:rPr/>
            </w:pPr>
            <w:r>
              <w:rPr/>
              <w:t>Requires inclusion of relevant entities but permits plural objectives and ways of flourishing</w:t>
            </w:r>
          </w:p>
        </w:tc>
      </w:tr>
      <w:tr>
        <w:trPr/>
        <w:tc>
          <w:tcPr>
            <w:tcW w:w="1843" w:type="dxa"/>
            <w:tcBorders/>
            <w:vAlign w:val="center"/>
          </w:tcPr>
          <w:p>
            <w:pPr>
              <w:pStyle w:val="TableContents"/>
              <w:widowControl w:val="false"/>
              <w:suppressLineNumbers/>
              <w:spacing w:before="0" w:after="200"/>
              <w:rPr/>
            </w:pPr>
            <w:r>
              <w:rPr>
                <w:rStyle w:val="Strong"/>
              </w:rPr>
              <w:t>Collective agency</w:t>
            </w:r>
          </w:p>
        </w:tc>
        <w:tc>
          <w:tcPr>
            <w:tcW w:w="3374" w:type="dxa"/>
            <w:tcBorders/>
            <w:vAlign w:val="center"/>
          </w:tcPr>
          <w:p>
            <w:pPr>
              <w:pStyle w:val="TableContents"/>
              <w:widowControl w:val="false"/>
              <w:suppressLineNumbers/>
              <w:spacing w:before="0" w:after="200"/>
              <w:rPr/>
            </w:pPr>
            <w:r>
              <w:rPr/>
              <w:t>Humanity may be treated as the principal unified agent</w:t>
            </w:r>
          </w:p>
        </w:tc>
        <w:tc>
          <w:tcPr>
            <w:tcW w:w="3423" w:type="dxa"/>
            <w:tcBorders/>
            <w:vAlign w:val="center"/>
          </w:tcPr>
          <w:p>
            <w:pPr>
              <w:pStyle w:val="TableContents"/>
              <w:widowControl w:val="false"/>
              <w:suppressLineNumbers/>
              <w:spacing w:before="0" w:after="200"/>
              <w:rPr/>
            </w:pPr>
            <w:r>
              <w:rPr/>
              <w:t>Collective objectives must be traced to actual institutions, authorities, participants, and affected entities</w:t>
            </w:r>
          </w:p>
        </w:tc>
      </w:tr>
      <w:tr>
        <w:trPr/>
        <w:tc>
          <w:tcPr>
            <w:tcW w:w="1843" w:type="dxa"/>
            <w:tcBorders/>
            <w:vAlign w:val="center"/>
          </w:tcPr>
          <w:p>
            <w:pPr>
              <w:pStyle w:val="TableContents"/>
              <w:widowControl w:val="false"/>
              <w:suppressLineNumbers/>
              <w:spacing w:before="0" w:after="200"/>
              <w:rPr/>
            </w:pPr>
            <w:r>
              <w:rPr>
                <w:rStyle w:val="Strong"/>
              </w:rPr>
              <w:t>Governance</w:t>
            </w:r>
          </w:p>
        </w:tc>
        <w:tc>
          <w:tcPr>
            <w:tcW w:w="3374" w:type="dxa"/>
            <w:tcBorders/>
            <w:vAlign w:val="center"/>
          </w:tcPr>
          <w:p>
            <w:pPr>
              <w:pStyle w:val="TableContents"/>
              <w:widowControl w:val="false"/>
              <w:suppressLineNumbers/>
              <w:spacing w:before="0" w:after="200"/>
              <w:rPr/>
            </w:pPr>
            <w:r>
              <w:rPr/>
              <w:t>Often underdeveloped relative to the scale of the proposed project</w:t>
            </w:r>
          </w:p>
        </w:tc>
        <w:tc>
          <w:tcPr>
            <w:tcW w:w="3423" w:type="dxa"/>
            <w:tcBorders/>
            <w:vAlign w:val="center"/>
          </w:tcPr>
          <w:p>
            <w:pPr>
              <w:pStyle w:val="TableContents"/>
              <w:widowControl w:val="false"/>
              <w:suppressLineNumbers/>
              <w:spacing w:before="0" w:after="200"/>
              <w:rPr/>
            </w:pPr>
            <w:r>
              <w:rPr/>
              <w:t>Explicitly examines authority, legitimacy, responsibility, information, and alternatives</w:t>
            </w:r>
          </w:p>
        </w:tc>
      </w:tr>
      <w:tr>
        <w:trPr/>
        <w:tc>
          <w:tcPr>
            <w:tcW w:w="1843" w:type="dxa"/>
            <w:tcBorders/>
            <w:vAlign w:val="center"/>
          </w:tcPr>
          <w:p>
            <w:pPr>
              <w:pStyle w:val="TableContents"/>
              <w:widowControl w:val="false"/>
              <w:suppressLineNumbers/>
              <w:spacing w:before="0" w:after="200"/>
              <w:rPr/>
            </w:pPr>
            <w:r>
              <w:rPr>
                <w:rStyle w:val="Strong"/>
              </w:rPr>
              <w:t>Evidence</w:t>
            </w:r>
          </w:p>
        </w:tc>
        <w:tc>
          <w:tcPr>
            <w:tcW w:w="3374" w:type="dxa"/>
            <w:tcBorders/>
            <w:vAlign w:val="center"/>
          </w:tcPr>
          <w:p>
            <w:pPr>
              <w:pStyle w:val="TableContents"/>
              <w:widowControl w:val="false"/>
              <w:suppressLineNumbers/>
              <w:spacing w:before="0" w:after="200"/>
              <w:rPr/>
            </w:pPr>
            <w:r>
              <w:rPr/>
              <w:t>Includes visionary and highly speculative claims</w:t>
            </w:r>
          </w:p>
        </w:tc>
        <w:tc>
          <w:tcPr>
            <w:tcW w:w="3423" w:type="dxa"/>
            <w:tcBorders/>
            <w:vAlign w:val="center"/>
          </w:tcPr>
          <w:p>
            <w:pPr>
              <w:pStyle w:val="TableContents"/>
              <w:widowControl w:val="false"/>
              <w:suppressLineNumbers/>
              <w:spacing w:before="0" w:after="200"/>
              <w:rPr/>
            </w:pPr>
            <w:r>
              <w:rPr/>
              <w:t>Requires assumptions and probabilities to reflect the best evidence available in the Situational Context</w:t>
            </w:r>
          </w:p>
        </w:tc>
      </w:tr>
      <w:tr>
        <w:trPr/>
        <w:tc>
          <w:tcPr>
            <w:tcW w:w="1843" w:type="dxa"/>
            <w:tcBorders/>
            <w:vAlign w:val="center"/>
          </w:tcPr>
          <w:p>
            <w:pPr>
              <w:pStyle w:val="TableContents"/>
              <w:widowControl w:val="false"/>
              <w:suppressLineNumbers/>
              <w:spacing w:before="0" w:after="200"/>
              <w:rPr/>
            </w:pPr>
            <w:r>
              <w:rPr>
                <w:rStyle w:val="Strong"/>
              </w:rPr>
              <w:t>Treatment of ecosystems</w:t>
            </w:r>
          </w:p>
        </w:tc>
        <w:tc>
          <w:tcPr>
            <w:tcW w:w="3374" w:type="dxa"/>
            <w:tcBorders/>
            <w:vAlign w:val="center"/>
          </w:tcPr>
          <w:p>
            <w:pPr>
              <w:pStyle w:val="TableContents"/>
              <w:widowControl w:val="false"/>
              <w:suppressLineNumbers/>
              <w:spacing w:before="0" w:after="200"/>
              <w:rPr/>
            </w:pPr>
            <w:r>
              <w:rPr/>
              <w:t>Some strands emphasize planetary unity; others prioritize transformation and control</w:t>
            </w:r>
          </w:p>
        </w:tc>
        <w:tc>
          <w:tcPr>
            <w:tcW w:w="3423" w:type="dxa"/>
            <w:tcBorders/>
            <w:vAlign w:val="center"/>
          </w:tcPr>
          <w:p>
            <w:pPr>
              <w:pStyle w:val="TableContents"/>
              <w:widowControl w:val="false"/>
              <w:suppressLineNumbers/>
              <w:spacing w:before="0" w:after="200"/>
              <w:rPr/>
            </w:pPr>
            <w:r>
              <w:rPr/>
              <w:t>Requires ecological and nonhuman effects to remain independently visible</w:t>
            </w:r>
          </w:p>
        </w:tc>
      </w:tr>
      <w:tr>
        <w:trPr/>
        <w:tc>
          <w:tcPr>
            <w:tcW w:w="1843" w:type="dxa"/>
            <w:tcBorders/>
            <w:vAlign w:val="center"/>
          </w:tcPr>
          <w:p>
            <w:pPr>
              <w:pStyle w:val="TableContents"/>
              <w:widowControl w:val="false"/>
              <w:suppressLineNumbers/>
              <w:spacing w:before="0" w:after="200"/>
              <w:rPr/>
            </w:pPr>
            <w:r>
              <w:rPr>
                <w:rStyle w:val="Strong"/>
              </w:rPr>
              <w:t>Risk of coercion</w:t>
            </w:r>
          </w:p>
        </w:tc>
        <w:tc>
          <w:tcPr>
            <w:tcW w:w="3374" w:type="dxa"/>
            <w:tcBorders/>
            <w:vAlign w:val="center"/>
          </w:tcPr>
          <w:p>
            <w:pPr>
              <w:pStyle w:val="TableContents"/>
              <w:widowControl w:val="false"/>
              <w:suppressLineNumbers/>
              <w:spacing w:before="0" w:after="200"/>
              <w:rPr/>
            </w:pPr>
            <w:r>
              <w:rPr/>
              <w:t>A universal Common Task can imply compulsory participation</w:t>
            </w:r>
          </w:p>
        </w:tc>
        <w:tc>
          <w:tcPr>
            <w:tcW w:w="3423" w:type="dxa"/>
            <w:tcBorders/>
            <w:vAlign w:val="center"/>
          </w:tcPr>
          <w:p>
            <w:pPr>
              <w:pStyle w:val="TableContents"/>
              <w:widowControl w:val="false"/>
              <w:suppressLineNumbers/>
              <w:spacing w:before="0" w:after="200"/>
              <w:rPr/>
            </w:pPr>
            <w:r>
              <w:rPr/>
              <w:t>Legitimacy, consent, rights, and compatible flourishing constrain collective objectives</w:t>
            </w:r>
          </w:p>
        </w:tc>
      </w:tr>
      <w:tr>
        <w:trPr/>
        <w:tc>
          <w:tcPr>
            <w:tcW w:w="1843" w:type="dxa"/>
            <w:tcBorders/>
            <w:vAlign w:val="center"/>
          </w:tcPr>
          <w:p>
            <w:pPr>
              <w:pStyle w:val="TableContents"/>
              <w:widowControl w:val="false"/>
              <w:suppressLineNumbers/>
              <w:spacing w:before="0" w:after="200"/>
              <w:rPr/>
            </w:pPr>
            <w:r>
              <w:rPr>
                <w:rStyle w:val="Strong"/>
              </w:rPr>
              <w:t>Identity continuity</w:t>
            </w:r>
          </w:p>
        </w:tc>
        <w:tc>
          <w:tcPr>
            <w:tcW w:w="3374" w:type="dxa"/>
            <w:tcBorders/>
            <w:vAlign w:val="center"/>
          </w:tcPr>
          <w:p>
            <w:pPr>
              <w:pStyle w:val="TableContents"/>
              <w:widowControl w:val="false"/>
              <w:suppressLineNumbers/>
              <w:spacing w:before="0" w:after="200"/>
              <w:rPr/>
            </w:pPr>
            <w:r>
              <w:rPr/>
              <w:t>Resurrection or radical transformation may presume that personal identity can be reconstructed</w:t>
            </w:r>
          </w:p>
        </w:tc>
        <w:tc>
          <w:tcPr>
            <w:tcW w:w="3423" w:type="dxa"/>
            <w:tcBorders/>
            <w:vAlign w:val="center"/>
          </w:tcPr>
          <w:p>
            <w:pPr>
              <w:pStyle w:val="TableContents"/>
              <w:widowControl w:val="false"/>
              <w:suppressLineNumbers/>
              <w:spacing w:before="0" w:after="200"/>
              <w:rPr/>
            </w:pPr>
            <w:r>
              <w:rPr/>
              <w:t>Requires explicit criteria for determining whether an entity persists through reconstruction or transformation</w:t>
            </w:r>
          </w:p>
        </w:tc>
      </w:tr>
      <w:tr>
        <w:trPr/>
        <w:tc>
          <w:tcPr>
            <w:tcW w:w="1843" w:type="dxa"/>
            <w:tcBorders/>
            <w:vAlign w:val="center"/>
          </w:tcPr>
          <w:p>
            <w:pPr>
              <w:pStyle w:val="TableContents"/>
              <w:widowControl w:val="false"/>
              <w:suppressLineNumbers/>
              <w:spacing w:before="0" w:after="200"/>
              <w:rPr/>
            </w:pPr>
            <w:r>
              <w:rPr>
                <w:rStyle w:val="Strong"/>
              </w:rPr>
              <w:t>Success criterion</w:t>
            </w:r>
          </w:p>
        </w:tc>
        <w:tc>
          <w:tcPr>
            <w:tcW w:w="3374" w:type="dxa"/>
            <w:tcBorders/>
            <w:vAlign w:val="center"/>
          </w:tcPr>
          <w:p>
            <w:pPr>
              <w:pStyle w:val="TableContents"/>
              <w:widowControl w:val="false"/>
              <w:suppressLineNumbers/>
              <w:spacing w:before="0" w:after="200"/>
              <w:rPr/>
            </w:pPr>
            <w:r>
              <w:rPr/>
              <w:t>Expansion, transformation, increased intelligence, or defeat of mortality</w:t>
            </w:r>
          </w:p>
        </w:tc>
        <w:tc>
          <w:tcPr>
            <w:tcW w:w="3423" w:type="dxa"/>
            <w:tcBorders/>
            <w:vAlign w:val="center"/>
          </w:tcPr>
          <w:p>
            <w:pPr>
              <w:pStyle w:val="TableContents"/>
              <w:widowControl w:val="false"/>
              <w:suppressLineNumbers/>
              <w:spacing w:before="0" w:after="200"/>
              <w:rPr/>
            </w:pPr>
            <w:r>
              <w:rPr/>
              <w:t>A transition compatible with the long-term flourishing of all relevant entities</w:t>
            </w:r>
          </w:p>
        </w:tc>
      </w:tr>
      <w:tr>
        <w:trPr/>
        <w:tc>
          <w:tcPr>
            <w:tcW w:w="1843" w:type="dxa"/>
            <w:tcBorders/>
            <w:vAlign w:val="center"/>
          </w:tcPr>
          <w:p>
            <w:pPr>
              <w:pStyle w:val="TableContents"/>
              <w:widowControl w:val="false"/>
              <w:suppressLineNumbers/>
              <w:spacing w:before="0" w:after="200"/>
              <w:rPr/>
            </w:pPr>
            <w:r>
              <w:rPr>
                <w:rStyle w:val="Strong"/>
              </w:rPr>
              <w:t>Relationship to uncertainty</w:t>
            </w:r>
          </w:p>
        </w:tc>
        <w:tc>
          <w:tcPr>
            <w:tcW w:w="3374" w:type="dxa"/>
            <w:tcBorders/>
            <w:vAlign w:val="center"/>
          </w:tcPr>
          <w:p>
            <w:pPr>
              <w:pStyle w:val="TableContents"/>
              <w:widowControl w:val="false"/>
              <w:suppressLineNumbers/>
              <w:spacing w:before="0" w:after="200"/>
              <w:rPr/>
            </w:pPr>
            <w:r>
              <w:rPr/>
              <w:t>Often speculative and aspirational</w:t>
            </w:r>
          </w:p>
        </w:tc>
        <w:tc>
          <w:tcPr>
            <w:tcW w:w="3423" w:type="dxa"/>
            <w:tcBorders/>
            <w:vAlign w:val="center"/>
          </w:tcPr>
          <w:p>
            <w:pPr>
              <w:pStyle w:val="TableContents"/>
              <w:widowControl w:val="false"/>
              <w:suppressLineNumbers/>
              <w:spacing w:before="0" w:after="200"/>
              <w:rPr/>
            </w:pPr>
            <w:r>
              <w:rPr/>
              <w:t>Explicitly probabilistic, evidence-sensitive, and revisable</w:t>
            </w:r>
          </w:p>
        </w:tc>
      </w:tr>
    </w:tbl>
    <w:p>
      <w:pPr>
        <w:pStyle w:val="Heading3"/>
        <w:spacing w:before="0" w:after="200"/>
        <w:ind w:hanging="0" w:left="0"/>
        <w:rPr>
          <w:rFonts w:ascii="Aptos" w:hAnsi="Aptos"/>
          <w:color w:val="auto"/>
        </w:rPr>
      </w:pPr>
      <w:r>
        <w:rPr>
          <w:rFonts w:ascii="Aptos" w:hAnsi="Aptos"/>
          <w:color w:val="auto"/>
        </w:rPr>
        <w:t>Potential Integration Opportunities</w:t>
      </w:r>
    </w:p>
    <w:p>
      <w:pPr>
        <w:pStyle w:val="BodyText"/>
        <w:spacing w:before="0" w:after="200"/>
        <w:rPr/>
      </w:pPr>
      <w:r>
        <w:rPr/>
        <w:t>The framework could integrate Cosmism more productively through the following extensions:</w:t>
      </w:r>
    </w:p>
    <w:p>
      <w:pPr>
        <w:pStyle w:val="BodyText"/>
        <w:numPr>
          <w:ilvl w:val="0"/>
          <w:numId w:val="84"/>
        </w:numPr>
        <w:tabs>
          <w:tab w:val="clear" w:pos="720"/>
          <w:tab w:val="left" w:pos="0" w:leader="none"/>
        </w:tabs>
        <w:spacing w:before="0" w:after="200"/>
        <w:ind w:hanging="283" w:left="709"/>
        <w:rPr/>
      </w:pPr>
      <w:r>
        <w:rPr>
          <w:rStyle w:val="Strong"/>
        </w:rPr>
        <w:t>Add planetary and cosmic context levels.</w:t>
      </w:r>
      <w:r>
        <w:rPr/>
        <w:t xml:space="preserve"> World Context boundaries could explicitly include local, regional, planetary, interplanetary, interstellar, and civilizational scales.</w:t>
      </w:r>
    </w:p>
    <w:p>
      <w:pPr>
        <w:pStyle w:val="BodyText"/>
        <w:numPr>
          <w:ilvl w:val="0"/>
          <w:numId w:val="84"/>
        </w:numPr>
        <w:tabs>
          <w:tab w:val="clear" w:pos="720"/>
          <w:tab w:val="left" w:pos="0" w:leader="none"/>
        </w:tabs>
        <w:spacing w:before="0" w:after="200"/>
        <w:ind w:hanging="283" w:left="709"/>
        <w:rPr/>
      </w:pPr>
      <w:r>
        <w:rPr>
          <w:rStyle w:val="Strong"/>
        </w:rPr>
        <w:t>Extend temporal horizons.</w:t>
      </w:r>
      <w:r>
        <w:rPr/>
        <w:t xml:space="preserve"> Assessments involving existential risk, ecological change, space settlement, or irreversible technology should include multigenerational and civilizational horizons.</w:t>
      </w:r>
    </w:p>
    <w:p>
      <w:pPr>
        <w:pStyle w:val="BodyText"/>
        <w:numPr>
          <w:ilvl w:val="0"/>
          <w:numId w:val="84"/>
        </w:numPr>
        <w:tabs>
          <w:tab w:val="clear" w:pos="720"/>
          <w:tab w:val="left" w:pos="0" w:leader="none"/>
        </w:tabs>
        <w:spacing w:before="0" w:after="200"/>
        <w:ind w:hanging="283" w:left="709"/>
        <w:rPr/>
      </w:pPr>
      <w:r>
        <w:rPr>
          <w:rStyle w:val="Strong"/>
        </w:rPr>
        <w:t>Add an existential-risk module.</w:t>
      </w:r>
      <w:r>
        <w:rPr/>
        <w:t xml:space="preserve"> The framework could separately evaluate extinction, irreversible loss of capability, knowledge collapse, permanent value lock-in, and reduction of civilizational future state space.</w:t>
      </w:r>
    </w:p>
    <w:p>
      <w:pPr>
        <w:pStyle w:val="BodyText"/>
        <w:numPr>
          <w:ilvl w:val="0"/>
          <w:numId w:val="84"/>
        </w:numPr>
        <w:tabs>
          <w:tab w:val="clear" w:pos="720"/>
          <w:tab w:val="left" w:pos="0" w:leader="none"/>
        </w:tabs>
        <w:spacing w:before="0" w:after="200"/>
        <w:ind w:hanging="283" w:left="709"/>
        <w:rPr/>
      </w:pPr>
      <w:r>
        <w:rPr>
          <w:rStyle w:val="Strong"/>
        </w:rPr>
        <w:t>Formalize Common Task governance.</w:t>
      </w:r>
      <w:r>
        <w:rPr/>
        <w:t xml:space="preserve"> Shared civilizational objectives should identify participants, authority, consent, burden allocation, decision procedures, accountability, and rights of refusal.</w:t>
      </w:r>
    </w:p>
    <w:p>
      <w:pPr>
        <w:pStyle w:val="BodyText"/>
        <w:numPr>
          <w:ilvl w:val="0"/>
          <w:numId w:val="84"/>
        </w:numPr>
        <w:tabs>
          <w:tab w:val="clear" w:pos="720"/>
          <w:tab w:val="left" w:pos="0" w:leader="none"/>
        </w:tabs>
        <w:spacing w:before="0" w:after="200"/>
        <w:ind w:hanging="283" w:left="709"/>
        <w:rPr/>
      </w:pPr>
      <w:r>
        <w:rPr>
          <w:rStyle w:val="Strong"/>
        </w:rPr>
        <w:t>Distinguish universal benefit from compulsory uniformity.</w:t>
      </w:r>
      <w:r>
        <w:rPr/>
        <w:t xml:space="preserve"> A project intended for all entities should not require every entity to adopt the same form of life, embodiment, objective, or conception of flourishing.</w:t>
      </w:r>
    </w:p>
    <w:p>
      <w:pPr>
        <w:pStyle w:val="BodyText"/>
        <w:numPr>
          <w:ilvl w:val="0"/>
          <w:numId w:val="84"/>
        </w:numPr>
        <w:tabs>
          <w:tab w:val="clear" w:pos="720"/>
          <w:tab w:val="left" w:pos="0" w:leader="none"/>
        </w:tabs>
        <w:spacing w:before="0" w:after="200"/>
        <w:ind w:hanging="283" w:left="709"/>
        <w:rPr/>
      </w:pPr>
      <w:r>
        <w:rPr>
          <w:rStyle w:val="Strong"/>
        </w:rPr>
        <w:t>Introduce active-evolution safeguards.</w:t>
      </w:r>
      <w:r>
        <w:rPr/>
        <w:t xml:space="preserve"> Biological, cognitive, artificial, or ecological interventions should be tested for necessity, reversibility, containment, consent, diversity preservation, and unintended evolutionary effects.</w:t>
      </w:r>
    </w:p>
    <w:p>
      <w:pPr>
        <w:pStyle w:val="BodyText"/>
        <w:numPr>
          <w:ilvl w:val="0"/>
          <w:numId w:val="84"/>
        </w:numPr>
        <w:tabs>
          <w:tab w:val="clear" w:pos="720"/>
          <w:tab w:val="left" w:pos="0" w:leader="none"/>
        </w:tabs>
        <w:spacing w:before="0" w:after="200"/>
        <w:ind w:hanging="283" w:left="709"/>
        <w:rPr/>
      </w:pPr>
      <w:r>
        <w:rPr>
          <w:rStyle w:val="Strong"/>
        </w:rPr>
        <w:t>Add a biosphere-noosphere model.</w:t>
      </w:r>
      <w:r>
        <w:rPr/>
        <w:t xml:space="preserve"> The framework could explicitly map interactions among ecosystems, energy and material flows, knowledge systems, institutions, communication networks, and artificial intelligence.</w:t>
      </w:r>
    </w:p>
    <w:p>
      <w:pPr>
        <w:pStyle w:val="BodyText"/>
        <w:numPr>
          <w:ilvl w:val="0"/>
          <w:numId w:val="84"/>
        </w:numPr>
        <w:tabs>
          <w:tab w:val="clear" w:pos="720"/>
          <w:tab w:val="left" w:pos="0" w:leader="none"/>
        </w:tabs>
        <w:spacing w:before="0" w:after="200"/>
        <w:ind w:hanging="283" w:left="709"/>
        <w:rPr/>
      </w:pPr>
      <w:r>
        <w:rPr>
          <w:rStyle w:val="Strong"/>
        </w:rPr>
        <w:t>Evaluate life-extension projects across multiple dimensions.</w:t>
      </w:r>
      <w:r>
        <w:rPr/>
        <w:t xml:space="preserve"> Relevant considerations should include access, consent, identity, population effects, resource requirements, institutional power, psychological adaptation, and intergenerational distribution.</w:t>
      </w:r>
    </w:p>
    <w:p>
      <w:pPr>
        <w:pStyle w:val="BodyText"/>
        <w:numPr>
          <w:ilvl w:val="0"/>
          <w:numId w:val="84"/>
        </w:numPr>
        <w:tabs>
          <w:tab w:val="clear" w:pos="720"/>
          <w:tab w:val="left" w:pos="0" w:leader="none"/>
        </w:tabs>
        <w:spacing w:before="0" w:after="200"/>
        <w:ind w:hanging="283" w:left="709"/>
        <w:rPr/>
      </w:pPr>
      <w:r>
        <w:rPr>
          <w:rStyle w:val="Strong"/>
        </w:rPr>
        <w:t>Create identity-continuity criteria.</w:t>
      </w:r>
      <w:r>
        <w:rPr/>
        <w:t xml:space="preserve"> Claims involving resurrection, mind uploading, copying, biological replacement, or radical enhancement require a method for distinguishing survival, reconstruction, duplication, and succession.</w:t>
      </w:r>
    </w:p>
    <w:p>
      <w:pPr>
        <w:pStyle w:val="BodyText"/>
        <w:numPr>
          <w:ilvl w:val="0"/>
          <w:numId w:val="84"/>
        </w:numPr>
        <w:tabs>
          <w:tab w:val="clear" w:pos="720"/>
          <w:tab w:val="left" w:pos="0" w:leader="none"/>
        </w:tabs>
        <w:spacing w:before="0" w:after="200"/>
        <w:ind w:hanging="283" w:left="709"/>
        <w:rPr/>
      </w:pPr>
      <w:r>
        <w:rPr>
          <w:rStyle w:val="Strong"/>
        </w:rPr>
        <w:t>Add space-settlement ethics.</w:t>
      </w:r>
      <w:r>
        <w:rPr/>
        <w:t xml:space="preserve"> Assessments should include planetary protection, contamination, resource claims, political independence, labor conditions, reproductive autonomy, communication delays, and obligations to Earth.</w:t>
      </w:r>
    </w:p>
    <w:p>
      <w:pPr>
        <w:pStyle w:val="BodyText"/>
        <w:numPr>
          <w:ilvl w:val="0"/>
          <w:numId w:val="84"/>
        </w:numPr>
        <w:tabs>
          <w:tab w:val="clear" w:pos="720"/>
          <w:tab w:val="left" w:pos="0" w:leader="none"/>
        </w:tabs>
        <w:spacing w:before="0" w:after="200"/>
        <w:ind w:hanging="283" w:left="709"/>
        <w:rPr/>
      </w:pPr>
      <w:r>
        <w:rPr>
          <w:rStyle w:val="Strong"/>
        </w:rPr>
        <w:t>Represent future generations explicitly.</w:t>
      </w:r>
      <w:r>
        <w:rPr/>
        <w:t xml:space="preserve"> Long-term projects should identify how future entities’ interests are estimated, represented, and protected from irreversible decisions made by present actors.</w:t>
      </w:r>
    </w:p>
    <w:p>
      <w:pPr>
        <w:pStyle w:val="BodyText"/>
        <w:numPr>
          <w:ilvl w:val="0"/>
          <w:numId w:val="84"/>
        </w:numPr>
        <w:tabs>
          <w:tab w:val="clear" w:pos="720"/>
          <w:tab w:val="left" w:pos="0" w:leader="none"/>
        </w:tabs>
        <w:spacing w:before="0" w:after="200"/>
        <w:ind w:hanging="283" w:left="709"/>
        <w:rPr/>
      </w:pPr>
      <w:r>
        <w:rPr>
          <w:rStyle w:val="Strong"/>
        </w:rPr>
        <w:t>Represent ancestral and historical obligations.</w:t>
      </w:r>
      <w:r>
        <w:rPr/>
        <w:t xml:space="preserve"> Without assuming literal resurrection, the framework could evaluate preservation of memory, cultural inheritance, historical repair, and responsibilities arising from past relationships.</w:t>
      </w:r>
    </w:p>
    <w:p>
      <w:pPr>
        <w:pStyle w:val="BodyText"/>
        <w:numPr>
          <w:ilvl w:val="0"/>
          <w:numId w:val="84"/>
        </w:numPr>
        <w:tabs>
          <w:tab w:val="clear" w:pos="720"/>
          <w:tab w:val="left" w:pos="0" w:leader="none"/>
        </w:tabs>
        <w:spacing w:before="0" w:after="200"/>
        <w:ind w:hanging="283" w:left="709"/>
        <w:rPr/>
      </w:pPr>
      <w:r>
        <w:rPr>
          <w:rStyle w:val="Strong"/>
        </w:rPr>
        <w:t>Add cosmic moral-standing criteria.</w:t>
      </w:r>
      <w:r>
        <w:rPr/>
        <w:t xml:space="preserve"> The discovery or creation of nonhuman intelligence, artificial life, or extraterrestrial organisms would require criteria for moral standing that do not assume human superiority.</w:t>
      </w:r>
    </w:p>
    <w:p>
      <w:pPr>
        <w:pStyle w:val="BodyText"/>
        <w:numPr>
          <w:ilvl w:val="0"/>
          <w:numId w:val="84"/>
        </w:numPr>
        <w:tabs>
          <w:tab w:val="clear" w:pos="720"/>
          <w:tab w:val="left" w:pos="0" w:leader="none"/>
        </w:tabs>
        <w:spacing w:before="0" w:after="200"/>
        <w:ind w:hanging="283" w:left="709"/>
        <w:rPr/>
      </w:pPr>
      <w:r>
        <w:rPr>
          <w:rStyle w:val="Strong"/>
        </w:rPr>
        <w:t>Protect biological and cultural diversity.</w:t>
      </w:r>
      <w:r>
        <w:rPr/>
        <w:t xml:space="preserve"> Expansion of intelligence should not be equated with convergence on a single optimized species, culture, architecture, or objective.</w:t>
      </w:r>
    </w:p>
    <w:p>
      <w:pPr>
        <w:pStyle w:val="BodyText"/>
        <w:numPr>
          <w:ilvl w:val="0"/>
          <w:numId w:val="84"/>
        </w:numPr>
        <w:tabs>
          <w:tab w:val="clear" w:pos="720"/>
          <w:tab w:val="left" w:pos="0" w:leader="none"/>
        </w:tabs>
        <w:spacing w:before="0" w:after="200"/>
        <w:ind w:hanging="283" w:left="709"/>
        <w:rPr/>
      </w:pPr>
      <w:r>
        <w:rPr>
          <w:rStyle w:val="Strong"/>
        </w:rPr>
        <w:t>Introduce civilizational redundancy analysis.</w:t>
      </w:r>
      <w:r>
        <w:rPr/>
        <w:t xml:space="preserve"> Space settlement, distributed archives, ecological restoration, and decentralized institutions could be evaluated for their ability to reduce correlated existential risks.</w:t>
      </w:r>
    </w:p>
    <w:p>
      <w:pPr>
        <w:pStyle w:val="BodyText"/>
        <w:numPr>
          <w:ilvl w:val="0"/>
          <w:numId w:val="84"/>
        </w:numPr>
        <w:tabs>
          <w:tab w:val="clear" w:pos="720"/>
          <w:tab w:val="left" w:pos="0" w:leader="none"/>
        </w:tabs>
        <w:spacing w:before="0" w:after="200"/>
        <w:ind w:hanging="283" w:left="709"/>
        <w:rPr/>
      </w:pPr>
      <w:r>
        <w:rPr>
          <w:rStyle w:val="Strong"/>
        </w:rPr>
        <w:t>Add carrying-capacity and resource analysis.</w:t>
      </w:r>
      <w:r>
        <w:rPr/>
        <w:t xml:space="preserve"> Life extension or restoration projects must account for energy, habitat, ecological stability, resource distribution, and the flourishing of existing entities.</w:t>
      </w:r>
    </w:p>
    <w:p>
      <w:pPr>
        <w:pStyle w:val="BodyText"/>
        <w:numPr>
          <w:ilvl w:val="0"/>
          <w:numId w:val="84"/>
        </w:numPr>
        <w:tabs>
          <w:tab w:val="clear" w:pos="720"/>
          <w:tab w:val="left" w:pos="0" w:leader="none"/>
        </w:tabs>
        <w:spacing w:before="0" w:after="200"/>
        <w:ind w:hanging="283" w:left="709"/>
        <w:rPr/>
      </w:pPr>
      <w:r>
        <w:rPr>
          <w:rStyle w:val="Strong"/>
        </w:rPr>
        <w:t>Require higher evidence thresholds for irreversible transformation.</w:t>
      </w:r>
      <w:r>
        <w:rPr/>
        <w:t xml:space="preserve"> Speculative benefits should not justify irreversible actions without evidence proportionate to the magnitude and permanence of the risk.</w:t>
      </w:r>
    </w:p>
    <w:p>
      <w:pPr>
        <w:pStyle w:val="BodyText"/>
        <w:numPr>
          <w:ilvl w:val="0"/>
          <w:numId w:val="84"/>
        </w:numPr>
        <w:tabs>
          <w:tab w:val="clear" w:pos="720"/>
          <w:tab w:val="left" w:pos="0" w:leader="none"/>
        </w:tabs>
        <w:spacing w:before="0" w:after="200"/>
        <w:ind w:hanging="283" w:left="709"/>
        <w:rPr/>
      </w:pPr>
      <w:r>
        <w:rPr>
          <w:rStyle w:val="Strong"/>
        </w:rPr>
        <w:t>Add staged experimentation.</w:t>
      </w:r>
      <w:r>
        <w:rPr/>
        <w:t xml:space="preserve"> Transformative projects could proceed through bounded, monitored, reversible stages rather than immediate civilization-wide implementation.</w:t>
      </w:r>
    </w:p>
    <w:p>
      <w:pPr>
        <w:pStyle w:val="BodyText"/>
        <w:numPr>
          <w:ilvl w:val="0"/>
          <w:numId w:val="84"/>
        </w:numPr>
        <w:tabs>
          <w:tab w:val="clear" w:pos="720"/>
          <w:tab w:val="left" w:pos="0" w:leader="none"/>
        </w:tabs>
        <w:spacing w:before="0" w:after="200"/>
        <w:ind w:hanging="283" w:left="709"/>
        <w:rPr/>
      </w:pPr>
      <w:r>
        <w:rPr>
          <w:rStyle w:val="Strong"/>
        </w:rPr>
        <w:t>Evaluate value lock-in.</w:t>
      </w:r>
      <w:r>
        <w:rPr/>
        <w:t xml:space="preserve"> A long-lived or technologically dominant civilization could preserve existing errors and power structures indefinitely. The framework should protect continued moral learning and institutional revision.</w:t>
      </w:r>
    </w:p>
    <w:p>
      <w:pPr>
        <w:pStyle w:val="BodyText"/>
        <w:numPr>
          <w:ilvl w:val="0"/>
          <w:numId w:val="84"/>
        </w:numPr>
        <w:tabs>
          <w:tab w:val="clear" w:pos="720"/>
          <w:tab w:val="left" w:pos="0" w:leader="none"/>
        </w:tabs>
        <w:spacing w:before="0" w:after="200"/>
        <w:ind w:hanging="283" w:left="709"/>
        <w:rPr/>
      </w:pPr>
      <w:r>
        <w:rPr>
          <w:rStyle w:val="Strong"/>
        </w:rPr>
        <w:t>Add noosphere integrity measures.</w:t>
      </w:r>
      <w:r>
        <w:rPr/>
        <w:t xml:space="preserve"> Information quality, scientific openness, epistemic diversity, censorship, manipulation, and concentration of computational power should be treated as planetary ethical concerns.</w:t>
      </w:r>
    </w:p>
    <w:p>
      <w:pPr>
        <w:pStyle w:val="BodyText"/>
        <w:numPr>
          <w:ilvl w:val="0"/>
          <w:numId w:val="84"/>
        </w:numPr>
        <w:tabs>
          <w:tab w:val="clear" w:pos="720"/>
          <w:tab w:val="left" w:pos="0" w:leader="none"/>
        </w:tabs>
        <w:spacing w:before="0" w:after="200"/>
        <w:ind w:hanging="283" w:left="709"/>
        <w:rPr/>
      </w:pPr>
      <w:r>
        <w:rPr>
          <w:rStyle w:val="Strong"/>
        </w:rPr>
        <w:t>Distinguish technological capacity from moral progress.</w:t>
      </w:r>
      <w:r>
        <w:rPr/>
        <w:t xml:space="preserve"> Increased longevity, intelligence, energy use, or spatial expansion should not be accepted as evidence of ethical advancement without improvements in justice, responsibility, and compatible flourishing.</w:t>
      </w:r>
    </w:p>
    <w:p>
      <w:pPr>
        <w:pStyle w:val="BodyText"/>
        <w:numPr>
          <w:ilvl w:val="0"/>
          <w:numId w:val="84"/>
        </w:numPr>
        <w:tabs>
          <w:tab w:val="clear" w:pos="720"/>
          <w:tab w:val="left" w:pos="0" w:leader="none"/>
        </w:tabs>
        <w:spacing w:before="0" w:after="200"/>
        <w:ind w:hanging="283" w:left="709"/>
        <w:rPr/>
      </w:pPr>
      <w:r>
        <w:rPr>
          <w:rStyle w:val="Strong"/>
        </w:rPr>
        <w:t>Assess military-to-civilian redirection.</w:t>
      </w:r>
      <w:r>
        <w:rPr/>
        <w:t xml:space="preserve"> Fedorov’s idea of redirecting destructive capacities toward common problems could be evaluated through realistic transition plans, institutional incentives, verification, and distributional effects.</w:t>
      </w:r>
    </w:p>
    <w:p>
      <w:pPr>
        <w:pStyle w:val="BodyText"/>
        <w:numPr>
          <w:ilvl w:val="0"/>
          <w:numId w:val="84"/>
        </w:numPr>
        <w:tabs>
          <w:tab w:val="clear" w:pos="720"/>
          <w:tab w:val="left" w:pos="0" w:leader="none"/>
        </w:tabs>
        <w:spacing w:before="0" w:after="200"/>
        <w:ind w:hanging="283" w:left="709"/>
        <w:rPr/>
      </w:pPr>
      <w:r>
        <w:rPr>
          <w:rStyle w:val="Strong"/>
        </w:rPr>
        <w:t>Incorporate technological humility.</w:t>
      </w:r>
      <w:r>
        <w:rPr/>
        <w:t xml:space="preserve"> The ability to intervene in complex systems does not imply the ability to predict or control every consequence. Monitoring, reversibility, plural oversight, and correction should accompany active evolution.</w:t>
      </w:r>
    </w:p>
    <w:p>
      <w:pPr>
        <w:pStyle w:val="BodyText"/>
        <w:numPr>
          <w:ilvl w:val="0"/>
          <w:numId w:val="84"/>
        </w:numPr>
        <w:tabs>
          <w:tab w:val="clear" w:pos="720"/>
          <w:tab w:val="left" w:pos="0" w:leader="none"/>
        </w:tabs>
        <w:spacing w:before="0" w:after="200"/>
        <w:ind w:hanging="283" w:left="709"/>
        <w:rPr/>
      </w:pPr>
      <w:r>
        <w:rPr>
          <w:rStyle w:val="Strong"/>
        </w:rPr>
        <w:t>Produce a separate Cosmist-scale finding.</w:t>
      </w:r>
      <w:r>
        <w:rPr/>
        <w:t xml:space="preserve"> Relevant assessments could report:</w:t>
      </w:r>
    </w:p>
    <w:p>
      <w:pPr>
        <w:pStyle w:val="BodyText"/>
        <w:numPr>
          <w:ilvl w:val="0"/>
          <w:numId w:val="85"/>
        </w:numPr>
        <w:tabs>
          <w:tab w:val="clear" w:pos="720"/>
          <w:tab w:val="left" w:pos="0" w:leader="none"/>
        </w:tabs>
        <w:spacing w:before="0" w:after="200"/>
        <w:ind w:hanging="283" w:left="709"/>
        <w:rPr/>
      </w:pPr>
      <w:r>
        <w:rPr/>
        <w:t>Effects on civilizational continuity;</w:t>
      </w:r>
    </w:p>
    <w:p>
      <w:pPr>
        <w:pStyle w:val="BodyText"/>
        <w:numPr>
          <w:ilvl w:val="0"/>
          <w:numId w:val="85"/>
        </w:numPr>
        <w:tabs>
          <w:tab w:val="clear" w:pos="720"/>
          <w:tab w:val="left" w:pos="0" w:leader="none"/>
        </w:tabs>
        <w:spacing w:before="0" w:after="200"/>
        <w:ind w:hanging="283" w:left="709"/>
        <w:rPr/>
      </w:pPr>
      <w:r>
        <w:rPr/>
        <w:t>Effects on existential and catastrophic risk;</w:t>
      </w:r>
    </w:p>
    <w:p>
      <w:pPr>
        <w:pStyle w:val="BodyText"/>
        <w:numPr>
          <w:ilvl w:val="0"/>
          <w:numId w:val="85"/>
        </w:numPr>
        <w:tabs>
          <w:tab w:val="clear" w:pos="720"/>
          <w:tab w:val="left" w:pos="0" w:leader="none"/>
        </w:tabs>
        <w:spacing w:before="0" w:after="200"/>
        <w:ind w:hanging="283" w:left="709"/>
        <w:rPr/>
      </w:pPr>
      <w:r>
        <w:rPr/>
        <w:t>Expansion or contraction of future state space;</w:t>
      </w:r>
    </w:p>
    <w:p>
      <w:pPr>
        <w:pStyle w:val="BodyText"/>
        <w:numPr>
          <w:ilvl w:val="0"/>
          <w:numId w:val="85"/>
        </w:numPr>
        <w:tabs>
          <w:tab w:val="clear" w:pos="720"/>
          <w:tab w:val="left" w:pos="0" w:leader="none"/>
        </w:tabs>
        <w:spacing w:before="0" w:after="200"/>
        <w:ind w:hanging="283" w:left="709"/>
        <w:rPr/>
      </w:pPr>
      <w:r>
        <w:rPr/>
        <w:t>Effects on the biosphere and noosphere;</w:t>
      </w:r>
    </w:p>
    <w:p>
      <w:pPr>
        <w:pStyle w:val="BodyText"/>
        <w:numPr>
          <w:ilvl w:val="0"/>
          <w:numId w:val="85"/>
        </w:numPr>
        <w:tabs>
          <w:tab w:val="clear" w:pos="720"/>
          <w:tab w:val="left" w:pos="0" w:leader="none"/>
        </w:tabs>
        <w:spacing w:before="0" w:after="200"/>
        <w:ind w:hanging="283" w:left="709"/>
        <w:rPr/>
      </w:pPr>
      <w:r>
        <w:rPr/>
        <w:t>Distribution of benefits and burdens across generations;</w:t>
      </w:r>
    </w:p>
    <w:p>
      <w:pPr>
        <w:pStyle w:val="BodyText"/>
        <w:numPr>
          <w:ilvl w:val="0"/>
          <w:numId w:val="85"/>
        </w:numPr>
        <w:tabs>
          <w:tab w:val="clear" w:pos="720"/>
          <w:tab w:val="left" w:pos="0" w:leader="none"/>
        </w:tabs>
        <w:spacing w:before="0" w:after="200"/>
        <w:ind w:hanging="283" w:left="709"/>
        <w:rPr/>
      </w:pPr>
      <w:r>
        <w:rPr/>
        <w:t>Preservation of diversity and moral learning;</w:t>
      </w:r>
    </w:p>
    <w:p>
      <w:pPr>
        <w:pStyle w:val="BodyText"/>
        <w:numPr>
          <w:ilvl w:val="0"/>
          <w:numId w:val="85"/>
        </w:numPr>
        <w:tabs>
          <w:tab w:val="clear" w:pos="720"/>
          <w:tab w:val="left" w:pos="0" w:leader="none"/>
        </w:tabs>
        <w:spacing w:before="0" w:after="200"/>
        <w:ind w:hanging="283" w:left="709"/>
        <w:rPr/>
      </w:pPr>
      <w:r>
        <w:rPr/>
        <w:t>Identity and continuity implications;</w:t>
      </w:r>
    </w:p>
    <w:p>
      <w:pPr>
        <w:pStyle w:val="BodyText"/>
        <w:numPr>
          <w:ilvl w:val="0"/>
          <w:numId w:val="85"/>
        </w:numPr>
        <w:tabs>
          <w:tab w:val="clear" w:pos="720"/>
          <w:tab w:val="left" w:pos="0" w:leader="none"/>
        </w:tabs>
        <w:spacing w:before="0" w:after="200"/>
        <w:ind w:hanging="283" w:left="709"/>
        <w:rPr/>
      </w:pPr>
      <w:r>
        <w:rPr/>
        <w:t>Governance and consent;</w:t>
      </w:r>
    </w:p>
    <w:p>
      <w:pPr>
        <w:pStyle w:val="BodyText"/>
        <w:numPr>
          <w:ilvl w:val="0"/>
          <w:numId w:val="85"/>
        </w:numPr>
        <w:tabs>
          <w:tab w:val="clear" w:pos="720"/>
          <w:tab w:val="left" w:pos="0" w:leader="none"/>
        </w:tabs>
        <w:spacing w:before="0" w:after="200"/>
        <w:ind w:hanging="283" w:left="709"/>
        <w:rPr/>
      </w:pPr>
      <w:r>
        <w:rPr/>
        <w:t>Uncertainty and reversibility; and</w:t>
      </w:r>
    </w:p>
    <w:p>
      <w:pPr>
        <w:pStyle w:val="BodyText"/>
        <w:numPr>
          <w:ilvl w:val="0"/>
          <w:numId w:val="85"/>
        </w:numPr>
        <w:tabs>
          <w:tab w:val="clear" w:pos="720"/>
          <w:tab w:val="left" w:pos="0" w:leader="none"/>
        </w:tabs>
        <w:spacing w:before="0" w:after="200"/>
        <w:ind w:hanging="283" w:left="709"/>
        <w:rPr/>
      </w:pPr>
      <w:r>
        <w:rPr/>
        <w:t>Potential Distributed Policy Effects at planetary or cosmic scale.</w:t>
      </w:r>
    </w:p>
    <w:p>
      <w:pPr>
        <w:pStyle w:val="BodyText"/>
        <w:spacing w:before="0" w:after="200"/>
        <w:rPr/>
      </w:pPr>
      <w:r>
        <w:rPr/>
        <w:t>Cosmism can expand the framework’s attention to very long-term, planetary, and cosmic possibilities. The framework can, in turn, prevent cosmic ambition from becoming an unlimited justification for technological control. The resulting integration would treat the preservation and expansion of intelligent life as an important possible objective while requiring that the path toward it remain evidence-based, pluralistic, non-coercive, ecologically responsible, and compatible with the flourishing of other relevant entities.</w:t>
      </w:r>
    </w:p>
    <w:p>
      <w:pPr>
        <w:pStyle w:val="Heading2"/>
        <w:rPr/>
      </w:pPr>
      <w:r>
        <w:rPr/>
        <w:t>Pragmatism</w:t>
      </w:r>
    </w:p>
    <w:p>
      <w:pPr>
        <w:pStyle w:val="BodyText"/>
        <w:spacing w:before="0" w:after="200"/>
        <w:rPr/>
      </w:pPr>
      <w:r>
        <w:rPr/>
        <w:t xml:space="preserve">Pragmatism is a philosophical tradition that connects meaning, knowledge, value, and truth with inquiry and action in experience. It does not mean merely choosing whatever is expedient or immediately successful. Rather, Pragmatism asks what practical difference a belief or concept makes, how claims can be tested through experience, what consequences follow from acting on them, and how conclusions should be revised when evidence changes. Pragmatism generally treats knowing the world as inseparable from acting within it. </w:t>
      </w:r>
      <w:hyperlink r:id="rId56">
        <w:r>
          <w:rPr>
            <w:rStyle w:val="Hyperlink"/>
          </w:rPr>
          <w:t>Stanford Encyclopedia of Philosophy</w:t>
        </w:r>
      </w:hyperlink>
    </w:p>
    <w:p>
      <w:pPr>
        <w:pStyle w:val="Heading3"/>
        <w:spacing w:before="0" w:after="200"/>
        <w:ind w:hanging="0" w:left="0"/>
        <w:rPr>
          <w:rFonts w:ascii="Aptos" w:hAnsi="Aptos"/>
          <w:color w:val="auto"/>
        </w:rPr>
      </w:pPr>
      <w:r>
        <w:rPr>
          <w:rFonts w:ascii="Aptos" w:hAnsi="Aptos"/>
          <w:color w:val="auto"/>
        </w:rPr>
        <w:t>Primary Experts</w:t>
      </w:r>
    </w:p>
    <w:tbl>
      <w:tblPr>
        <w:tblW w:w="8640" w:type="dxa"/>
        <w:jc w:val="left"/>
        <w:tblInd w:w="28" w:type="dxa"/>
        <w:tblLayout w:type="fixed"/>
        <w:tblCellMar>
          <w:top w:w="28" w:type="dxa"/>
          <w:left w:w="28" w:type="dxa"/>
          <w:bottom w:w="28" w:type="dxa"/>
          <w:right w:w="28" w:type="dxa"/>
        </w:tblCellMar>
      </w:tblPr>
      <w:tblGrid>
        <w:gridCol w:w="1122"/>
        <w:gridCol w:w="745"/>
        <w:gridCol w:w="2071"/>
        <w:gridCol w:w="4702"/>
      </w:tblGrid>
      <w:tr>
        <w:trPr>
          <w:tblHeader w:val="true"/>
        </w:trPr>
        <w:tc>
          <w:tcPr>
            <w:tcW w:w="1122" w:type="dxa"/>
            <w:tcBorders/>
            <w:vAlign w:val="center"/>
          </w:tcPr>
          <w:p>
            <w:pPr>
              <w:pStyle w:val="TableHeading"/>
              <w:suppressLineNumbers/>
              <w:spacing w:before="0" w:after="200"/>
              <w:jc w:val="center"/>
              <w:rPr/>
            </w:pPr>
            <w:r>
              <w:rPr/>
              <w:t>Expert</w:t>
            </w:r>
          </w:p>
        </w:tc>
        <w:tc>
          <w:tcPr>
            <w:tcW w:w="745" w:type="dxa"/>
            <w:tcBorders/>
            <w:vAlign w:val="center"/>
          </w:tcPr>
          <w:p>
            <w:pPr>
              <w:pStyle w:val="TableHeading"/>
              <w:spacing w:before="0" w:after="200"/>
              <w:jc w:val="right"/>
              <w:rPr/>
            </w:pPr>
            <w:r>
              <w:rPr/>
              <w:t>Years</w:t>
            </w:r>
          </w:p>
        </w:tc>
        <w:tc>
          <w:tcPr>
            <w:tcW w:w="2071" w:type="dxa"/>
            <w:tcBorders/>
            <w:vAlign w:val="center"/>
          </w:tcPr>
          <w:p>
            <w:pPr>
              <w:pStyle w:val="TableHeading"/>
              <w:suppressLineNumbers/>
              <w:spacing w:before="0" w:after="200"/>
              <w:jc w:val="center"/>
              <w:rPr/>
            </w:pPr>
            <w:r>
              <w:rPr/>
              <w:t>Associated institution(s)</w:t>
            </w:r>
          </w:p>
        </w:tc>
        <w:tc>
          <w:tcPr>
            <w:tcW w:w="4702" w:type="dxa"/>
            <w:tcBorders/>
            <w:vAlign w:val="center"/>
          </w:tcPr>
          <w:p>
            <w:pPr>
              <w:pStyle w:val="TableHeading"/>
              <w:suppressLineNumbers/>
              <w:spacing w:before="0" w:after="200"/>
              <w:jc w:val="center"/>
              <w:rPr/>
            </w:pPr>
            <w:r>
              <w:rPr/>
              <w:t>Principal contribution</w:t>
            </w:r>
          </w:p>
        </w:tc>
      </w:tr>
      <w:tr>
        <w:trPr/>
        <w:tc>
          <w:tcPr>
            <w:tcW w:w="1122" w:type="dxa"/>
            <w:tcBorders/>
            <w:vAlign w:val="center"/>
          </w:tcPr>
          <w:p>
            <w:pPr>
              <w:pStyle w:val="TableContents"/>
              <w:widowControl w:val="false"/>
              <w:suppressLineNumbers/>
              <w:spacing w:before="0" w:after="200"/>
              <w:rPr/>
            </w:pPr>
            <w:r>
              <w:rPr>
                <w:rStyle w:val="Strong"/>
              </w:rPr>
              <w:t>Charles Sanders Peirce</w:t>
            </w:r>
          </w:p>
        </w:tc>
        <w:tc>
          <w:tcPr>
            <w:tcW w:w="745" w:type="dxa"/>
            <w:tcBorders/>
            <w:vAlign w:val="center"/>
          </w:tcPr>
          <w:p>
            <w:pPr>
              <w:pStyle w:val="TableContents"/>
              <w:spacing w:before="0" w:after="200"/>
              <w:jc w:val="right"/>
              <w:rPr/>
            </w:pPr>
            <w:r>
              <w:rPr/>
              <w:t>1839–1914</w:t>
            </w:r>
          </w:p>
        </w:tc>
        <w:tc>
          <w:tcPr>
            <w:tcW w:w="2071" w:type="dxa"/>
            <w:tcBorders/>
            <w:vAlign w:val="center"/>
          </w:tcPr>
          <w:p>
            <w:pPr>
              <w:pStyle w:val="TableContents"/>
              <w:widowControl w:val="false"/>
              <w:suppressLineNumbers/>
              <w:spacing w:before="0" w:after="200"/>
              <w:rPr/>
            </w:pPr>
            <w:r>
              <w:rPr/>
              <w:t>United States Coast and Geodetic Survey; Johns Hopkins University</w:t>
            </w:r>
          </w:p>
        </w:tc>
        <w:tc>
          <w:tcPr>
            <w:tcW w:w="4702" w:type="dxa"/>
            <w:tcBorders/>
            <w:vAlign w:val="center"/>
          </w:tcPr>
          <w:p>
            <w:pPr>
              <w:pStyle w:val="TableContents"/>
              <w:widowControl w:val="false"/>
              <w:suppressLineNumbers/>
              <w:spacing w:before="0" w:after="200"/>
              <w:rPr/>
            </w:pPr>
            <w:r>
              <w:rPr/>
              <w:t xml:space="preserve">Originated the pragmatic maxim, developed fallibilism and a community-centered conception of inquiry, and made major contributions to logic, semiotics, scientific method, and abductive reasoning. </w:t>
            </w:r>
            <w:hyperlink r:id="rId57">
              <w:r>
                <w:rPr>
                  <w:rStyle w:val="Hyperlink"/>
                </w:rPr>
                <w:t>Internet Encyclopedia of Philosophy</w:t>
              </w:r>
            </w:hyperlink>
            <w:r>
              <w:rPr/>
              <w:t xml:space="preserve">, </w:t>
            </w:r>
            <w:hyperlink r:id="rId58">
              <w:r>
                <w:rPr>
                  <w:rStyle w:val="Hyperlink"/>
                </w:rPr>
                <w:t>Stanford Encyclopedia of Philosophy</w:t>
              </w:r>
            </w:hyperlink>
          </w:p>
        </w:tc>
      </w:tr>
      <w:tr>
        <w:trPr/>
        <w:tc>
          <w:tcPr>
            <w:tcW w:w="1122" w:type="dxa"/>
            <w:tcBorders/>
            <w:vAlign w:val="center"/>
          </w:tcPr>
          <w:p>
            <w:pPr>
              <w:pStyle w:val="TableContents"/>
              <w:widowControl w:val="false"/>
              <w:suppressLineNumbers/>
              <w:spacing w:before="0" w:after="200"/>
              <w:rPr/>
            </w:pPr>
            <w:r>
              <w:rPr>
                <w:rStyle w:val="Strong"/>
              </w:rPr>
              <w:t>William James</w:t>
            </w:r>
          </w:p>
        </w:tc>
        <w:tc>
          <w:tcPr>
            <w:tcW w:w="745" w:type="dxa"/>
            <w:tcBorders/>
            <w:vAlign w:val="center"/>
          </w:tcPr>
          <w:p>
            <w:pPr>
              <w:pStyle w:val="TableContents"/>
              <w:spacing w:before="0" w:after="200"/>
              <w:jc w:val="right"/>
              <w:rPr/>
            </w:pPr>
            <w:r>
              <w:rPr/>
              <w:t>1842–1910</w:t>
            </w:r>
          </w:p>
        </w:tc>
        <w:tc>
          <w:tcPr>
            <w:tcW w:w="2071" w:type="dxa"/>
            <w:tcBorders/>
            <w:vAlign w:val="center"/>
          </w:tcPr>
          <w:p>
            <w:pPr>
              <w:pStyle w:val="TableContents"/>
              <w:widowControl w:val="false"/>
              <w:suppressLineNumbers/>
              <w:spacing w:before="0" w:after="200"/>
              <w:rPr/>
            </w:pPr>
            <w:r>
              <w:rPr/>
              <w:t>Harvard University</w:t>
            </w:r>
          </w:p>
        </w:tc>
        <w:tc>
          <w:tcPr>
            <w:tcW w:w="4702" w:type="dxa"/>
            <w:tcBorders/>
            <w:vAlign w:val="center"/>
          </w:tcPr>
          <w:p>
            <w:pPr>
              <w:pStyle w:val="TableContents"/>
              <w:widowControl w:val="false"/>
              <w:suppressLineNumbers/>
              <w:spacing w:before="0" w:after="200"/>
              <w:rPr/>
            </w:pPr>
            <w:r>
              <w:rPr/>
              <w:t xml:space="preserve">Popularized Pragmatism and connected beliefs with their practical consequences in lived experience. He emphasized pluralism, human purposes, psychology, religious experience, and the ways beliefs guide action. </w:t>
            </w:r>
            <w:hyperlink r:id="rId59">
              <w:r>
                <w:rPr>
                  <w:rStyle w:val="Hyperlink"/>
                </w:rPr>
                <w:t>Harvard University</w:t>
              </w:r>
            </w:hyperlink>
            <w:r>
              <w:rPr/>
              <w:t xml:space="preserve">, </w:t>
            </w:r>
            <w:hyperlink r:id="rId60">
              <w:r>
                <w:rPr>
                  <w:rStyle w:val="Hyperlink"/>
                </w:rPr>
                <w:t>Internet Encyclopedia of Philosophy</w:t>
              </w:r>
            </w:hyperlink>
          </w:p>
        </w:tc>
      </w:tr>
      <w:tr>
        <w:trPr/>
        <w:tc>
          <w:tcPr>
            <w:tcW w:w="1122" w:type="dxa"/>
            <w:tcBorders/>
            <w:vAlign w:val="center"/>
          </w:tcPr>
          <w:p>
            <w:pPr>
              <w:pStyle w:val="TableContents"/>
              <w:widowControl w:val="false"/>
              <w:suppressLineNumbers/>
              <w:spacing w:before="0" w:after="200"/>
              <w:rPr/>
            </w:pPr>
            <w:r>
              <w:rPr>
                <w:rStyle w:val="Strong"/>
              </w:rPr>
              <w:t>John Dewey</w:t>
            </w:r>
          </w:p>
        </w:tc>
        <w:tc>
          <w:tcPr>
            <w:tcW w:w="745" w:type="dxa"/>
            <w:tcBorders/>
            <w:vAlign w:val="center"/>
          </w:tcPr>
          <w:p>
            <w:pPr>
              <w:pStyle w:val="TableContents"/>
              <w:spacing w:before="0" w:after="200"/>
              <w:jc w:val="right"/>
              <w:rPr/>
            </w:pPr>
            <w:r>
              <w:rPr/>
              <w:t>1859–1952</w:t>
            </w:r>
          </w:p>
        </w:tc>
        <w:tc>
          <w:tcPr>
            <w:tcW w:w="2071" w:type="dxa"/>
            <w:tcBorders/>
            <w:vAlign w:val="center"/>
          </w:tcPr>
          <w:p>
            <w:pPr>
              <w:pStyle w:val="TableContents"/>
              <w:widowControl w:val="false"/>
              <w:suppressLineNumbers/>
              <w:spacing w:before="0" w:after="200"/>
              <w:rPr/>
            </w:pPr>
            <w:r>
              <w:rPr/>
              <w:t>University of Chicago and its Laboratory School; Teachers College, Columbia University</w:t>
            </w:r>
          </w:p>
        </w:tc>
        <w:tc>
          <w:tcPr>
            <w:tcW w:w="4702" w:type="dxa"/>
            <w:tcBorders/>
            <w:vAlign w:val="center"/>
          </w:tcPr>
          <w:p>
            <w:pPr>
              <w:pStyle w:val="TableContents"/>
              <w:widowControl w:val="false"/>
              <w:suppressLineNumbers/>
              <w:spacing w:before="0" w:after="200"/>
              <w:rPr/>
            </w:pPr>
            <w:r>
              <w:rPr/>
              <w:t xml:space="preserve">Developed Pragmatism as experimentalism or instrumentalism. He treated ethical judgment as reflective inquiry into problematic situations and emphasized education, democracy, habits, institutions, and the continuous revision of ends and means. </w:t>
            </w:r>
            <w:hyperlink r:id="rId61">
              <w:r>
                <w:rPr>
                  <w:rStyle w:val="Hyperlink"/>
                </w:rPr>
                <w:t>Stanford Encyclopedia of Philosophy</w:t>
              </w:r>
            </w:hyperlink>
            <w:r>
              <w:rPr/>
              <w:t xml:space="preserve">, </w:t>
            </w:r>
            <w:hyperlink r:id="rId62">
              <w:r>
                <w:rPr>
                  <w:rStyle w:val="Hyperlink"/>
                </w:rPr>
                <w:t>Columbia University</w:t>
              </w:r>
            </w:hyperlink>
          </w:p>
        </w:tc>
      </w:tr>
      <w:tr>
        <w:trPr/>
        <w:tc>
          <w:tcPr>
            <w:tcW w:w="1122" w:type="dxa"/>
            <w:tcBorders/>
            <w:vAlign w:val="center"/>
          </w:tcPr>
          <w:p>
            <w:pPr>
              <w:pStyle w:val="TableContents"/>
              <w:widowControl w:val="false"/>
              <w:suppressLineNumbers/>
              <w:spacing w:before="0" w:after="200"/>
              <w:rPr/>
            </w:pPr>
            <w:r>
              <w:rPr>
                <w:rStyle w:val="Strong"/>
              </w:rPr>
              <w:t>Jane Addams</w:t>
            </w:r>
          </w:p>
        </w:tc>
        <w:tc>
          <w:tcPr>
            <w:tcW w:w="745" w:type="dxa"/>
            <w:tcBorders/>
            <w:vAlign w:val="center"/>
          </w:tcPr>
          <w:p>
            <w:pPr>
              <w:pStyle w:val="TableContents"/>
              <w:spacing w:before="0" w:after="200"/>
              <w:jc w:val="right"/>
              <w:rPr/>
            </w:pPr>
            <w:r>
              <w:rPr/>
              <w:t>1860–1935</w:t>
            </w:r>
          </w:p>
        </w:tc>
        <w:tc>
          <w:tcPr>
            <w:tcW w:w="2071" w:type="dxa"/>
            <w:tcBorders/>
            <w:vAlign w:val="center"/>
          </w:tcPr>
          <w:p>
            <w:pPr>
              <w:pStyle w:val="TableContents"/>
              <w:widowControl w:val="false"/>
              <w:suppressLineNumbers/>
              <w:spacing w:before="0" w:after="200"/>
              <w:rPr/>
            </w:pPr>
            <w:r>
              <w:rPr/>
              <w:t>Hull House; Women’s International League for Peace and Freedom</w:t>
            </w:r>
          </w:p>
        </w:tc>
        <w:tc>
          <w:tcPr>
            <w:tcW w:w="4702" w:type="dxa"/>
            <w:tcBorders/>
            <w:vAlign w:val="center"/>
          </w:tcPr>
          <w:p>
            <w:pPr>
              <w:pStyle w:val="TableContents"/>
              <w:widowControl w:val="false"/>
              <w:suppressLineNumbers/>
              <w:spacing w:before="0" w:after="200"/>
              <w:rPr/>
            </w:pPr>
            <w:r>
              <w:rPr/>
              <w:t xml:space="preserve">Applied Pragmatism through community-based inquiry, social reform, democratic participation, peace advocacy, and direct engagement with affected populations. Her work connected ethical knowledge with cooperative social practice. </w:t>
            </w:r>
            <w:hyperlink r:id="rId63">
              <w:r>
                <w:rPr>
                  <w:rStyle w:val="Hyperlink"/>
                </w:rPr>
                <w:t>Stanford Encyclopedia of Philosophy</w:t>
              </w:r>
            </w:hyperlink>
          </w:p>
        </w:tc>
      </w:tr>
      <w:tr>
        <w:trPr/>
        <w:tc>
          <w:tcPr>
            <w:tcW w:w="1122" w:type="dxa"/>
            <w:tcBorders/>
            <w:vAlign w:val="center"/>
          </w:tcPr>
          <w:p>
            <w:pPr>
              <w:pStyle w:val="TableContents"/>
              <w:widowControl w:val="false"/>
              <w:suppressLineNumbers/>
              <w:spacing w:before="0" w:after="200"/>
              <w:rPr/>
            </w:pPr>
            <w:r>
              <w:rPr>
                <w:rStyle w:val="Strong"/>
              </w:rPr>
              <w:t>George Herbert Mead</w:t>
            </w:r>
          </w:p>
        </w:tc>
        <w:tc>
          <w:tcPr>
            <w:tcW w:w="745" w:type="dxa"/>
            <w:tcBorders/>
            <w:vAlign w:val="center"/>
          </w:tcPr>
          <w:p>
            <w:pPr>
              <w:pStyle w:val="TableContents"/>
              <w:spacing w:before="0" w:after="200"/>
              <w:jc w:val="right"/>
              <w:rPr/>
            </w:pPr>
            <w:r>
              <w:rPr/>
              <w:t>1863–1931</w:t>
            </w:r>
          </w:p>
        </w:tc>
        <w:tc>
          <w:tcPr>
            <w:tcW w:w="2071" w:type="dxa"/>
            <w:tcBorders/>
            <w:vAlign w:val="center"/>
          </w:tcPr>
          <w:p>
            <w:pPr>
              <w:pStyle w:val="TableContents"/>
              <w:widowControl w:val="false"/>
              <w:suppressLineNumbers/>
              <w:spacing w:before="0" w:after="200"/>
              <w:rPr/>
            </w:pPr>
            <w:r>
              <w:rPr/>
              <w:t>University of Chicago</w:t>
            </w:r>
          </w:p>
        </w:tc>
        <w:tc>
          <w:tcPr>
            <w:tcW w:w="4702" w:type="dxa"/>
            <w:tcBorders/>
            <w:vAlign w:val="center"/>
          </w:tcPr>
          <w:p>
            <w:pPr>
              <w:pStyle w:val="TableContents"/>
              <w:widowControl w:val="false"/>
              <w:suppressLineNumbers/>
              <w:spacing w:before="0" w:after="200"/>
              <w:rPr/>
            </w:pPr>
            <w:r>
              <w:rPr/>
              <w:t xml:space="preserve">Developed a social Pragmatism in which mind, self, communication, and moral agency emerge through interaction. His work helped explain how social habits, institutions, and shared meanings shape individual conduct. </w:t>
            </w:r>
            <w:hyperlink r:id="rId64">
              <w:r>
                <w:rPr>
                  <w:rStyle w:val="Hyperlink"/>
                </w:rPr>
                <w:t>Stanford Encyclopedia of Philosophy</w:t>
              </w:r>
            </w:hyperlink>
          </w:p>
        </w:tc>
      </w:tr>
    </w:tbl>
    <w:p>
      <w:pPr>
        <w:pStyle w:val="Heading3"/>
        <w:spacing w:before="0" w:after="200"/>
        <w:ind w:hanging="0" w:left="0"/>
        <w:rPr>
          <w:rFonts w:ascii="Aptos" w:hAnsi="Aptos"/>
          <w:color w:val="auto"/>
        </w:rPr>
      </w:pPr>
      <w:r>
        <w:rPr>
          <w:rFonts w:ascii="Aptos" w:hAnsi="Aptos"/>
          <w:color w:val="auto"/>
        </w:rPr>
        <w:t>Core Assumptions</w:t>
      </w:r>
    </w:p>
    <w:p>
      <w:pPr>
        <w:pStyle w:val="BodyText"/>
        <w:spacing w:before="0" w:after="200"/>
        <w:rPr/>
      </w:pPr>
      <w:r>
        <w:rPr/>
        <w:t>Pragmatism includes several distinct positions, and Peirce, James, Dewey, Addams, and Mead did not agree on every philosophical question. The tradition’s recurring assumptions generally include the following:</w:t>
      </w:r>
    </w:p>
    <w:p>
      <w:pPr>
        <w:pStyle w:val="BodyText"/>
        <w:numPr>
          <w:ilvl w:val="0"/>
          <w:numId w:val="91"/>
        </w:numPr>
        <w:tabs>
          <w:tab w:val="clear" w:pos="720"/>
          <w:tab w:val="left" w:pos="0" w:leader="none"/>
        </w:tabs>
        <w:spacing w:before="0" w:after="200"/>
        <w:ind w:hanging="283" w:left="709"/>
        <w:rPr/>
      </w:pPr>
      <w:r>
        <w:rPr>
          <w:rStyle w:val="Strong"/>
        </w:rPr>
        <w:t>Knowing and acting are connected.</w:t>
      </w:r>
      <w:r>
        <w:rPr/>
        <w:t xml:space="preserve"> Beliefs are not detached representations held outside experience. They guide expectations, choices, habits, and interventions.</w:t>
      </w:r>
    </w:p>
    <w:p>
      <w:pPr>
        <w:pStyle w:val="BodyText"/>
        <w:numPr>
          <w:ilvl w:val="0"/>
          <w:numId w:val="91"/>
        </w:numPr>
        <w:tabs>
          <w:tab w:val="clear" w:pos="720"/>
          <w:tab w:val="left" w:pos="0" w:leader="none"/>
        </w:tabs>
        <w:spacing w:before="0" w:after="200"/>
        <w:ind w:hanging="283" w:left="709"/>
        <w:rPr/>
      </w:pPr>
      <w:r>
        <w:rPr>
          <w:rStyle w:val="Strong"/>
        </w:rPr>
        <w:t>Meaning is clarified through practical consequences.</w:t>
      </w:r>
      <w:r>
        <w:rPr/>
        <w:t xml:space="preserve"> To understand a concept, one should ask what observable or experiential difference would follow if the concept were true.</w:t>
      </w:r>
    </w:p>
    <w:p>
      <w:pPr>
        <w:pStyle w:val="BodyText"/>
        <w:numPr>
          <w:ilvl w:val="0"/>
          <w:numId w:val="91"/>
        </w:numPr>
        <w:tabs>
          <w:tab w:val="clear" w:pos="720"/>
          <w:tab w:val="left" w:pos="0" w:leader="none"/>
        </w:tabs>
        <w:spacing w:before="0" w:after="200"/>
        <w:ind w:hanging="283" w:left="709"/>
        <w:rPr/>
      </w:pPr>
      <w:r>
        <w:rPr>
          <w:rStyle w:val="Strong"/>
        </w:rPr>
        <w:t>Inquiry begins with a problematic situation.</w:t>
      </w:r>
      <w:r>
        <w:rPr/>
        <w:t xml:space="preserve"> Doubt, conflict, uncertainty, disrupted habits, or an unsatisfactory condition creates the need for investigation.</w:t>
      </w:r>
    </w:p>
    <w:p>
      <w:pPr>
        <w:pStyle w:val="BodyText"/>
        <w:numPr>
          <w:ilvl w:val="0"/>
          <w:numId w:val="91"/>
        </w:numPr>
        <w:tabs>
          <w:tab w:val="clear" w:pos="720"/>
          <w:tab w:val="left" w:pos="0" w:leader="none"/>
        </w:tabs>
        <w:spacing w:before="0" w:after="200"/>
        <w:ind w:hanging="283" w:left="709"/>
        <w:rPr/>
      </w:pPr>
      <w:r>
        <w:rPr>
          <w:rStyle w:val="Strong"/>
        </w:rPr>
        <w:t>Beliefs are fallible.</w:t>
      </w:r>
      <w:r>
        <w:rPr/>
        <w:t xml:space="preserve"> No present belief, model, institution, or ethical judgment is beyond possible correction.</w:t>
      </w:r>
    </w:p>
    <w:p>
      <w:pPr>
        <w:pStyle w:val="BodyText"/>
        <w:numPr>
          <w:ilvl w:val="0"/>
          <w:numId w:val="91"/>
        </w:numPr>
        <w:tabs>
          <w:tab w:val="clear" w:pos="720"/>
          <w:tab w:val="left" w:pos="0" w:leader="none"/>
        </w:tabs>
        <w:spacing w:before="0" w:after="200"/>
        <w:ind w:hanging="283" w:left="709"/>
        <w:rPr/>
      </w:pPr>
      <w:r>
        <w:rPr>
          <w:rStyle w:val="Strong"/>
        </w:rPr>
        <w:t>Fallibility does not imply that all claims are equally valid.</w:t>
      </w:r>
      <w:r>
        <w:rPr/>
        <w:t xml:space="preserve"> Claims can be compared through evidence, coherence, explanatory power, reproducibility, practical consequences, and sustained inquiry.</w:t>
      </w:r>
    </w:p>
    <w:p>
      <w:pPr>
        <w:pStyle w:val="BodyText"/>
        <w:numPr>
          <w:ilvl w:val="0"/>
          <w:numId w:val="91"/>
        </w:numPr>
        <w:tabs>
          <w:tab w:val="clear" w:pos="720"/>
          <w:tab w:val="left" w:pos="0" w:leader="none"/>
        </w:tabs>
        <w:spacing w:before="0" w:after="200"/>
        <w:ind w:hanging="283" w:left="709"/>
        <w:rPr/>
      </w:pPr>
      <w:r>
        <w:rPr>
          <w:rStyle w:val="Strong"/>
        </w:rPr>
        <w:t>Inquiry is experimental.</w:t>
      </w:r>
      <w:r>
        <w:rPr/>
        <w:t xml:space="preserve"> Hypotheses should be tested through observation, experience, controlled intervention, comparison, and revision.</w:t>
      </w:r>
    </w:p>
    <w:p>
      <w:pPr>
        <w:pStyle w:val="BodyText"/>
        <w:numPr>
          <w:ilvl w:val="0"/>
          <w:numId w:val="91"/>
        </w:numPr>
        <w:tabs>
          <w:tab w:val="clear" w:pos="720"/>
          <w:tab w:val="left" w:pos="0" w:leader="none"/>
        </w:tabs>
        <w:spacing w:before="0" w:after="200"/>
        <w:ind w:hanging="283" w:left="709"/>
        <w:rPr/>
      </w:pPr>
      <w:r>
        <w:rPr>
          <w:rStyle w:val="Strong"/>
        </w:rPr>
        <w:t>Truth is not simply whatever produces a desired result.</w:t>
      </w:r>
      <w:r>
        <w:rPr/>
        <w:t xml:space="preserve"> Pragmatic theories connect truth with responsible practices of inquiry, verification, assertion, and the capacity of beliefs to withstand continued investigation. </w:t>
      </w:r>
      <w:hyperlink r:id="rId65">
        <w:r>
          <w:rPr>
            <w:rStyle w:val="Hyperlink"/>
          </w:rPr>
          <w:t>Stanford Encyclopedia of Philosophy</w:t>
        </w:r>
      </w:hyperlink>
    </w:p>
    <w:p>
      <w:pPr>
        <w:pStyle w:val="BodyText"/>
        <w:numPr>
          <w:ilvl w:val="0"/>
          <w:numId w:val="91"/>
        </w:numPr>
        <w:tabs>
          <w:tab w:val="clear" w:pos="720"/>
          <w:tab w:val="left" w:pos="0" w:leader="none"/>
        </w:tabs>
        <w:spacing w:before="0" w:after="200"/>
        <w:ind w:hanging="283" w:left="709"/>
        <w:rPr/>
      </w:pPr>
      <w:r>
        <w:rPr>
          <w:rStyle w:val="Strong"/>
        </w:rPr>
        <w:t>The consequences of a belief extend beyond immediate utility.</w:t>
      </w:r>
      <w:r>
        <w:rPr/>
        <w:t xml:space="preserve"> Relevant effects can include indirect, delayed, relational, institutional, and social consequences.</w:t>
      </w:r>
    </w:p>
    <w:p>
      <w:pPr>
        <w:pStyle w:val="BodyText"/>
        <w:numPr>
          <w:ilvl w:val="0"/>
          <w:numId w:val="91"/>
        </w:numPr>
        <w:tabs>
          <w:tab w:val="clear" w:pos="720"/>
          <w:tab w:val="left" w:pos="0" w:leader="none"/>
        </w:tabs>
        <w:spacing w:before="0" w:after="200"/>
        <w:ind w:hanging="283" w:left="709"/>
        <w:rPr/>
      </w:pPr>
      <w:r>
        <w:rPr>
          <w:rStyle w:val="Strong"/>
        </w:rPr>
        <w:t>Ideas and theories are tools.</w:t>
      </w:r>
      <w:r>
        <w:rPr/>
        <w:t xml:space="preserve"> Their value includes their ability to organize experience, identify problems, support prediction, guide action, and facilitate further inquiry.</w:t>
      </w:r>
    </w:p>
    <w:p>
      <w:pPr>
        <w:pStyle w:val="BodyText"/>
        <w:numPr>
          <w:ilvl w:val="0"/>
          <w:numId w:val="91"/>
        </w:numPr>
        <w:tabs>
          <w:tab w:val="clear" w:pos="720"/>
          <w:tab w:val="left" w:pos="0" w:leader="none"/>
        </w:tabs>
        <w:spacing w:before="0" w:after="200"/>
        <w:ind w:hanging="283" w:left="709"/>
        <w:rPr/>
      </w:pPr>
      <w:r>
        <w:rPr>
          <w:rStyle w:val="Strong"/>
        </w:rPr>
        <w:t>Values emerge within experience.</w:t>
      </w:r>
      <w:r>
        <w:rPr/>
        <w:t xml:space="preserve"> Ethical judgments respond to actual conflicts, relationships, needs, and consequences rather than being applied only from an abstract position outside experience.</w:t>
      </w:r>
    </w:p>
    <w:p>
      <w:pPr>
        <w:pStyle w:val="BodyText"/>
        <w:numPr>
          <w:ilvl w:val="0"/>
          <w:numId w:val="91"/>
        </w:numPr>
        <w:tabs>
          <w:tab w:val="clear" w:pos="720"/>
          <w:tab w:val="left" w:pos="0" w:leader="none"/>
        </w:tabs>
        <w:spacing w:before="0" w:after="200"/>
        <w:ind w:hanging="283" w:left="709"/>
        <w:rPr/>
      </w:pPr>
      <w:r>
        <w:rPr>
          <w:rStyle w:val="Strong"/>
        </w:rPr>
        <w:t>Ethical inquiry is revisable.</w:t>
      </w:r>
      <w:r>
        <w:rPr/>
        <w:t xml:space="preserve"> Dewey treats ethical inquiry as reflective intelligence used to improve value judgments in light of the consequences of acting on them.</w:t>
      </w:r>
    </w:p>
    <w:p>
      <w:pPr>
        <w:pStyle w:val="BodyText"/>
        <w:numPr>
          <w:ilvl w:val="0"/>
          <w:numId w:val="91"/>
        </w:numPr>
        <w:tabs>
          <w:tab w:val="clear" w:pos="720"/>
          <w:tab w:val="left" w:pos="0" w:leader="none"/>
        </w:tabs>
        <w:spacing w:before="0" w:after="200"/>
        <w:ind w:hanging="283" w:left="709"/>
        <w:rPr/>
      </w:pPr>
      <w:r>
        <w:rPr>
          <w:rStyle w:val="Strong"/>
        </w:rPr>
        <w:t>Ends are provisional “ends-in-view.”</w:t>
      </w:r>
      <w:r>
        <w:rPr/>
        <w:t xml:space="preserve"> Objectives are hypotheses about desirable resolutions to current problems, not necessarily fixed or final goods.</w:t>
      </w:r>
    </w:p>
    <w:p>
      <w:pPr>
        <w:pStyle w:val="BodyText"/>
        <w:numPr>
          <w:ilvl w:val="0"/>
          <w:numId w:val="91"/>
        </w:numPr>
        <w:tabs>
          <w:tab w:val="clear" w:pos="720"/>
          <w:tab w:val="left" w:pos="0" w:leader="none"/>
        </w:tabs>
        <w:spacing w:before="0" w:after="200"/>
        <w:ind w:hanging="283" w:left="709"/>
        <w:rPr/>
      </w:pPr>
      <w:r>
        <w:rPr>
          <w:rStyle w:val="Strong"/>
        </w:rPr>
        <w:t>Means and ends interact.</w:t>
      </w:r>
      <w:r>
        <w:rPr/>
        <w:t xml:space="preserve"> The chosen means can change the objective, the actor, the relationships involved, and the situation itself. An end cannot be fully separated from the process used to pursue it.</w:t>
      </w:r>
    </w:p>
    <w:p>
      <w:pPr>
        <w:pStyle w:val="BodyText"/>
        <w:numPr>
          <w:ilvl w:val="0"/>
          <w:numId w:val="91"/>
        </w:numPr>
        <w:tabs>
          <w:tab w:val="clear" w:pos="720"/>
          <w:tab w:val="left" w:pos="0" w:leader="none"/>
        </w:tabs>
        <w:spacing w:before="0" w:after="200"/>
        <w:ind w:hanging="283" w:left="709"/>
        <w:rPr/>
      </w:pPr>
      <w:r>
        <w:rPr>
          <w:rStyle w:val="Strong"/>
        </w:rPr>
        <w:t>Habits organize conduct.</w:t>
      </w:r>
      <w:r>
        <w:rPr/>
        <w:t xml:space="preserve"> Individual and institutional actions arise from learned dispositions, routines, expectations, and social practices.</w:t>
      </w:r>
    </w:p>
    <w:p>
      <w:pPr>
        <w:pStyle w:val="BodyText"/>
        <w:numPr>
          <w:ilvl w:val="0"/>
          <w:numId w:val="91"/>
        </w:numPr>
        <w:tabs>
          <w:tab w:val="clear" w:pos="720"/>
          <w:tab w:val="left" w:pos="0" w:leader="none"/>
        </w:tabs>
        <w:spacing w:before="0" w:after="200"/>
        <w:ind w:hanging="283" w:left="709"/>
        <w:rPr/>
      </w:pPr>
      <w:r>
        <w:rPr>
          <w:rStyle w:val="Strong"/>
        </w:rPr>
        <w:t>Agents and environments are transactional.</w:t>
      </w:r>
      <w:r>
        <w:rPr/>
        <w:t xml:space="preserve"> Agents change their environments while environments shape the agents’ future capabilities, beliefs, and habits.</w:t>
      </w:r>
    </w:p>
    <w:p>
      <w:pPr>
        <w:pStyle w:val="BodyText"/>
        <w:numPr>
          <w:ilvl w:val="0"/>
          <w:numId w:val="91"/>
        </w:numPr>
        <w:tabs>
          <w:tab w:val="clear" w:pos="720"/>
          <w:tab w:val="left" w:pos="0" w:leader="none"/>
        </w:tabs>
        <w:spacing w:before="0" w:after="200"/>
        <w:ind w:hanging="283" w:left="709"/>
        <w:rPr/>
      </w:pPr>
      <w:r>
        <w:rPr>
          <w:rStyle w:val="Strong"/>
        </w:rPr>
        <w:t>The social context shapes moral agency.</w:t>
      </w:r>
      <w:r>
        <w:rPr/>
        <w:t xml:space="preserve"> Language, institutions, roles, and relationships influence what agents notice, value, believe, and consider possible.</w:t>
      </w:r>
    </w:p>
    <w:p>
      <w:pPr>
        <w:pStyle w:val="BodyText"/>
        <w:numPr>
          <w:ilvl w:val="0"/>
          <w:numId w:val="91"/>
        </w:numPr>
        <w:tabs>
          <w:tab w:val="clear" w:pos="720"/>
          <w:tab w:val="left" w:pos="0" w:leader="none"/>
        </w:tabs>
        <w:spacing w:before="0" w:after="200"/>
        <w:ind w:hanging="283" w:left="709"/>
        <w:rPr/>
      </w:pPr>
      <w:r>
        <w:rPr>
          <w:rStyle w:val="Strong"/>
        </w:rPr>
        <w:t>Inquiry is socially distributed.</w:t>
      </w:r>
      <w:r>
        <w:rPr/>
        <w:t xml:space="preserve"> Reliable knowledge ordinarily depends on communication, criticism, replication, and participation within a community of inquiry.</w:t>
      </w:r>
    </w:p>
    <w:p>
      <w:pPr>
        <w:pStyle w:val="BodyText"/>
        <w:numPr>
          <w:ilvl w:val="0"/>
          <w:numId w:val="91"/>
        </w:numPr>
        <w:tabs>
          <w:tab w:val="clear" w:pos="720"/>
          <w:tab w:val="left" w:pos="0" w:leader="none"/>
        </w:tabs>
        <w:spacing w:before="0" w:after="200"/>
        <w:ind w:hanging="283" w:left="709"/>
        <w:rPr/>
      </w:pPr>
      <w:r>
        <w:rPr>
          <w:rStyle w:val="Strong"/>
        </w:rPr>
        <w:t>Democracy has epistemic as well as political value.</w:t>
      </w:r>
      <w:r>
        <w:rPr/>
        <w:t xml:space="preserve"> Participation can reveal information and experiences that experts or governing institutions would otherwise overlook.</w:t>
      </w:r>
    </w:p>
    <w:p>
      <w:pPr>
        <w:pStyle w:val="BodyText"/>
        <w:numPr>
          <w:ilvl w:val="0"/>
          <w:numId w:val="91"/>
        </w:numPr>
        <w:tabs>
          <w:tab w:val="clear" w:pos="720"/>
          <w:tab w:val="left" w:pos="0" w:leader="none"/>
        </w:tabs>
        <w:spacing w:before="0" w:after="200"/>
        <w:ind w:hanging="283" w:left="709"/>
        <w:rPr/>
      </w:pPr>
      <w:r>
        <w:rPr>
          <w:rStyle w:val="Strong"/>
        </w:rPr>
        <w:t>Affected communities possess relevant knowledge.</w:t>
      </w:r>
      <w:r>
        <w:rPr/>
        <w:t xml:space="preserve"> Those who experience a policy or institution may understand consequences that are not visible in administrative or theoretical models.</w:t>
      </w:r>
    </w:p>
    <w:p>
      <w:pPr>
        <w:pStyle w:val="BodyText"/>
        <w:numPr>
          <w:ilvl w:val="0"/>
          <w:numId w:val="91"/>
        </w:numPr>
        <w:tabs>
          <w:tab w:val="clear" w:pos="720"/>
          <w:tab w:val="left" w:pos="0" w:leader="none"/>
        </w:tabs>
        <w:spacing w:before="0" w:after="200"/>
        <w:ind w:hanging="283" w:left="709"/>
        <w:rPr/>
      </w:pPr>
      <w:r>
        <w:rPr>
          <w:rStyle w:val="Strong"/>
        </w:rPr>
        <w:t>Pluralism is often productive.</w:t>
      </w:r>
      <w:r>
        <w:rPr/>
        <w:t xml:space="preserve"> Multiple perspectives, methods, objectives, and forms of experience can improve inquiry and prevent premature closure.</w:t>
      </w:r>
    </w:p>
    <w:p>
      <w:pPr>
        <w:pStyle w:val="BodyText"/>
        <w:numPr>
          <w:ilvl w:val="0"/>
          <w:numId w:val="91"/>
        </w:numPr>
        <w:tabs>
          <w:tab w:val="clear" w:pos="720"/>
          <w:tab w:val="left" w:pos="0" w:leader="none"/>
        </w:tabs>
        <w:spacing w:before="0" w:after="200"/>
        <w:ind w:hanging="283" w:left="709"/>
        <w:rPr/>
      </w:pPr>
      <w:r>
        <w:rPr>
          <w:rStyle w:val="Strong"/>
        </w:rPr>
        <w:t>Improvement is possible without requiring perfection.</w:t>
      </w:r>
      <w:r>
        <w:rPr/>
        <w:t xml:space="preserve"> Pragmatic meliorism holds that conditions can be improved through intelligent, cooperative effort, although progress is neither automatic nor guaranteed.</w:t>
      </w:r>
    </w:p>
    <w:p>
      <w:pPr>
        <w:pStyle w:val="BodyText"/>
        <w:numPr>
          <w:ilvl w:val="0"/>
          <w:numId w:val="91"/>
        </w:numPr>
        <w:tabs>
          <w:tab w:val="clear" w:pos="720"/>
          <w:tab w:val="left" w:pos="0" w:leader="none"/>
        </w:tabs>
        <w:spacing w:before="0" w:after="200"/>
        <w:ind w:hanging="283" w:left="709"/>
        <w:rPr/>
      </w:pPr>
      <w:r>
        <w:rPr>
          <w:rStyle w:val="Strong"/>
        </w:rPr>
        <w:t>Moral progress depends on learning.</w:t>
      </w:r>
      <w:r>
        <w:rPr/>
        <w:t xml:space="preserve"> Ethical systems should preserve the capacity to detect error, incorporate new experience, and revise both conduct and institutional structures.</w:t>
      </w:r>
    </w:p>
    <w:p>
      <w:pPr>
        <w:pStyle w:val="Heading3"/>
        <w:spacing w:before="0" w:after="200"/>
        <w:ind w:hanging="0" w:left="0"/>
        <w:rPr>
          <w:rFonts w:ascii="Aptos" w:hAnsi="Aptos"/>
          <w:color w:val="auto"/>
        </w:rPr>
      </w:pPr>
      <w:r>
        <w:rPr>
          <w:rFonts w:ascii="Aptos" w:hAnsi="Aptos"/>
          <w:color w:val="auto"/>
        </w:rPr>
        <w:t>Relationship to This Framework</w:t>
      </w:r>
    </w:p>
    <w:p>
      <w:pPr>
        <w:pStyle w:val="BodyText"/>
        <w:spacing w:before="0" w:after="200"/>
        <w:rPr/>
      </w:pPr>
      <w:r>
        <w:rPr/>
        <w:t>Pragmatism has a particularly close methodological relationship to this framework. Both assess ideas and objectives through the transitions they are expected to produce rather than relying solely on ideological labels, stated intentions, or abstract declarations.</w:t>
      </w:r>
    </w:p>
    <w:p>
      <w:pPr>
        <w:pStyle w:val="BodyText"/>
        <w:spacing w:before="0" w:after="200"/>
        <w:rPr/>
      </w:pPr>
      <w:r>
        <w:rPr/>
        <w:t>The framework’s World Context Transition provides a formal counterpart to the pragmatic maxim. An objective, belief, policy, or ethical rule can be clarified by specifying:</w:t>
      </w:r>
    </w:p>
    <w:p>
      <w:pPr>
        <w:pStyle w:val="BodyText"/>
        <w:numPr>
          <w:ilvl w:val="0"/>
          <w:numId w:val="92"/>
        </w:numPr>
        <w:tabs>
          <w:tab w:val="clear" w:pos="720"/>
          <w:tab w:val="left" w:pos="0" w:leader="none"/>
        </w:tabs>
        <w:spacing w:before="0" w:after="200"/>
        <w:ind w:hanging="283" w:left="709"/>
        <w:rPr/>
      </w:pPr>
      <w:r>
        <w:rPr/>
        <w:t>Which Objects and Associations would change;</w:t>
      </w:r>
    </w:p>
    <w:p>
      <w:pPr>
        <w:pStyle w:val="BodyText"/>
        <w:numPr>
          <w:ilvl w:val="0"/>
          <w:numId w:val="92"/>
        </w:numPr>
        <w:tabs>
          <w:tab w:val="clear" w:pos="720"/>
          <w:tab w:val="left" w:pos="0" w:leader="none"/>
        </w:tabs>
        <w:spacing w:before="0" w:after="200"/>
        <w:ind w:hanging="283" w:left="709"/>
        <w:rPr/>
      </w:pPr>
      <w:r>
        <w:rPr/>
        <w:t>What observable differences would occur;</w:t>
      </w:r>
    </w:p>
    <w:p>
      <w:pPr>
        <w:pStyle w:val="BodyText"/>
        <w:numPr>
          <w:ilvl w:val="0"/>
          <w:numId w:val="92"/>
        </w:numPr>
        <w:tabs>
          <w:tab w:val="clear" w:pos="720"/>
          <w:tab w:val="left" w:pos="0" w:leader="none"/>
        </w:tabs>
        <w:spacing w:before="0" w:after="200"/>
        <w:ind w:hanging="283" w:left="709"/>
        <w:rPr/>
      </w:pPr>
      <w:r>
        <w:rPr/>
        <w:t>Which entities would experience benefits or burdens;</w:t>
      </w:r>
    </w:p>
    <w:p>
      <w:pPr>
        <w:pStyle w:val="BodyText"/>
        <w:numPr>
          <w:ilvl w:val="0"/>
          <w:numId w:val="92"/>
        </w:numPr>
        <w:tabs>
          <w:tab w:val="clear" w:pos="720"/>
          <w:tab w:val="left" w:pos="0" w:leader="none"/>
        </w:tabs>
        <w:spacing w:before="0" w:after="200"/>
        <w:ind w:hanging="283" w:left="709"/>
        <w:rPr/>
      </w:pPr>
      <w:r>
        <w:rPr/>
        <w:t>What new constraints or opportunities would emerge;</w:t>
      </w:r>
    </w:p>
    <w:p>
      <w:pPr>
        <w:pStyle w:val="BodyText"/>
        <w:numPr>
          <w:ilvl w:val="0"/>
          <w:numId w:val="92"/>
        </w:numPr>
        <w:tabs>
          <w:tab w:val="clear" w:pos="720"/>
          <w:tab w:val="left" w:pos="0" w:leader="none"/>
        </w:tabs>
        <w:spacing w:before="0" w:after="200"/>
        <w:ind w:hanging="283" w:left="709"/>
        <w:rPr/>
      </w:pPr>
      <w:r>
        <w:rPr/>
        <w:t>How institutional and individual policies would change;</w:t>
      </w:r>
    </w:p>
    <w:p>
      <w:pPr>
        <w:pStyle w:val="BodyText"/>
        <w:numPr>
          <w:ilvl w:val="0"/>
          <w:numId w:val="92"/>
        </w:numPr>
        <w:tabs>
          <w:tab w:val="clear" w:pos="720"/>
          <w:tab w:val="left" w:pos="0" w:leader="none"/>
        </w:tabs>
        <w:spacing w:before="0" w:after="200"/>
        <w:ind w:hanging="283" w:left="709"/>
        <w:rPr/>
      </w:pPr>
      <w:r>
        <w:rPr/>
        <w:t>Which effects would occur at different time horizons; and</w:t>
      </w:r>
    </w:p>
    <w:p>
      <w:pPr>
        <w:pStyle w:val="BodyText"/>
        <w:numPr>
          <w:ilvl w:val="0"/>
          <w:numId w:val="92"/>
        </w:numPr>
        <w:tabs>
          <w:tab w:val="clear" w:pos="720"/>
          <w:tab w:val="left" w:pos="0" w:leader="none"/>
        </w:tabs>
        <w:spacing w:before="0" w:after="200"/>
        <w:ind w:hanging="283" w:left="709"/>
        <w:rPr/>
      </w:pPr>
      <w:r>
        <w:rPr/>
        <w:t>What evidence would confirm or challenge the prediction.</w:t>
      </w:r>
    </w:p>
    <w:p>
      <w:pPr>
        <w:pStyle w:val="BodyText"/>
        <w:spacing w:before="0" w:after="200"/>
        <w:rPr/>
      </w:pPr>
      <w:r>
        <w:rPr/>
        <w:t>The framework’s use of the best available evidence is also compatible with pragmatic fallibilism. Conclusions are based on the current Situational Context rather than assumed to be infallible. New information can justify revision without implying that the earlier assessment was necessarily dishonest or irrational.</w:t>
      </w:r>
    </w:p>
    <w:p>
      <w:pPr>
        <w:pStyle w:val="BodyText"/>
        <w:spacing w:before="0" w:after="200"/>
        <w:rPr/>
      </w:pPr>
      <w:r>
        <w:rPr/>
        <w:t>Distributed Policy Effects closely parallel the Pragmatist focus on habits. An action changes more than the immediate environment: it can alter how agents, observers, institutions, and artificial systems respond to similar situations in the future. A decision therefore helps create the habits and practices under which later decisions will be made.</w:t>
      </w:r>
    </w:p>
    <w:p>
      <w:pPr>
        <w:pStyle w:val="BodyText"/>
        <w:spacing w:before="0" w:after="200"/>
        <w:rPr/>
      </w:pPr>
      <w:r>
        <w:rPr/>
        <w:t>The framework’s treatment of adaptive moral agents also aligns with Pragmatism. Moral development can be understood as the revision of judgment and conduct through experience, feedback, criticism, and improved inquiry.</w:t>
      </w:r>
    </w:p>
    <w:p>
      <w:pPr>
        <w:pStyle w:val="BodyText"/>
        <w:spacing w:before="0" w:after="200"/>
        <w:rPr/>
      </w:pPr>
      <w:r>
        <w:rPr/>
        <w:t>A significant difference nevertheless remains. This framework begins with a Foundational Axiom concerning Long-Term Flourishing. Many Pragmatists would resist treating any moral formulation as permanently immune from revision. They may accept the axiom as a defensible working commitment while arguing that its interpretation, scope, and application must remain open to inquiry.</w:t>
      </w:r>
    </w:p>
    <w:p>
      <w:pPr>
        <w:pStyle w:val="BodyText"/>
        <w:spacing w:before="0" w:after="200"/>
        <w:rPr/>
      </w:pPr>
      <w:r>
        <w:rPr/>
        <w:t>A second difference concerns formalization. This framework seeks implementation-neutral structures, definitions, and potentially computational assessments. Pragmatism cautions that categories are tools created for particular problems. When a category stops revealing relevant differences or begins obstructing inquiry, it should be revised rather than defended merely for architectural consistency.</w:t>
      </w:r>
    </w:p>
    <w:p>
      <w:pPr>
        <w:pStyle w:val="BodyText"/>
        <w:spacing w:before="0" w:after="200"/>
        <w:rPr/>
      </w:pPr>
      <w:r>
        <w:rPr/>
        <w:t>A third difference concerns prediction and experience. The framework can evaluate predicted transitions before action, while Pragmatism emphasizes learning from actual consequences. Integration therefore requires a continuing loop from prediction to action, observation, evaluation, and model revision.</w:t>
      </w:r>
    </w:p>
    <w:p>
      <w:pPr>
        <w:pStyle w:val="Heading3"/>
        <w:spacing w:before="0" w:after="200"/>
        <w:ind w:hanging="0" w:left="0"/>
        <w:rPr>
          <w:rFonts w:ascii="Aptos" w:hAnsi="Aptos"/>
          <w:color w:val="auto"/>
        </w:rPr>
      </w:pPr>
      <w:r>
        <w:rPr>
          <w:rFonts w:ascii="Aptos" w:hAnsi="Aptos"/>
          <w:color w:val="auto"/>
        </w:rPr>
        <w:t>Concepts Adopted or Adapted by This Framework</w:t>
      </w:r>
    </w:p>
    <w:tbl>
      <w:tblPr>
        <w:tblW w:w="8640" w:type="dxa"/>
        <w:jc w:val="left"/>
        <w:tblInd w:w="28" w:type="dxa"/>
        <w:tblLayout w:type="fixed"/>
        <w:tblCellMar>
          <w:top w:w="28" w:type="dxa"/>
          <w:left w:w="28" w:type="dxa"/>
          <w:bottom w:w="28" w:type="dxa"/>
          <w:right w:w="28" w:type="dxa"/>
        </w:tblCellMar>
      </w:tblPr>
      <w:tblGrid>
        <w:gridCol w:w="2405"/>
        <w:gridCol w:w="6235"/>
      </w:tblGrid>
      <w:tr>
        <w:trPr>
          <w:tblHeader w:val="true"/>
        </w:trPr>
        <w:tc>
          <w:tcPr>
            <w:tcW w:w="2405" w:type="dxa"/>
            <w:tcBorders/>
            <w:vAlign w:val="center"/>
          </w:tcPr>
          <w:p>
            <w:pPr>
              <w:pStyle w:val="TableHeading"/>
              <w:suppressLineNumbers/>
              <w:spacing w:before="0" w:after="200"/>
              <w:jc w:val="center"/>
              <w:rPr/>
            </w:pPr>
            <w:r>
              <w:rPr/>
              <w:t>Pragmatist concept</w:t>
            </w:r>
          </w:p>
        </w:tc>
        <w:tc>
          <w:tcPr>
            <w:tcW w:w="6235" w:type="dxa"/>
            <w:tcBorders/>
            <w:vAlign w:val="center"/>
          </w:tcPr>
          <w:p>
            <w:pPr>
              <w:pStyle w:val="TableHeading"/>
              <w:suppressLineNumbers/>
              <w:spacing w:before="0" w:after="200"/>
              <w:jc w:val="center"/>
              <w:rPr/>
            </w:pPr>
            <w:r>
              <w:rPr/>
              <w:t>Adoption or adaptation within this framework</w:t>
            </w:r>
          </w:p>
        </w:tc>
      </w:tr>
      <w:tr>
        <w:trPr/>
        <w:tc>
          <w:tcPr>
            <w:tcW w:w="2405" w:type="dxa"/>
            <w:tcBorders/>
            <w:vAlign w:val="center"/>
          </w:tcPr>
          <w:p>
            <w:pPr>
              <w:pStyle w:val="TableContents"/>
              <w:widowControl w:val="false"/>
              <w:suppressLineNumbers/>
              <w:spacing w:before="0" w:after="200"/>
              <w:rPr/>
            </w:pPr>
            <w:r>
              <w:rPr>
                <w:rStyle w:val="Strong"/>
              </w:rPr>
              <w:t>Pragmatic maxim</w:t>
            </w:r>
          </w:p>
        </w:tc>
        <w:tc>
          <w:tcPr>
            <w:tcW w:w="6235" w:type="dxa"/>
            <w:tcBorders/>
            <w:vAlign w:val="center"/>
          </w:tcPr>
          <w:p>
            <w:pPr>
              <w:pStyle w:val="TableContents"/>
              <w:widowControl w:val="false"/>
              <w:suppressLineNumbers/>
              <w:spacing w:before="0" w:after="200"/>
              <w:rPr/>
            </w:pPr>
            <w:r>
              <w:rPr/>
              <w:t>Concepts and objectives can be clarified by specifying their predicted World Context Transitions.</w:t>
            </w:r>
          </w:p>
        </w:tc>
      </w:tr>
      <w:tr>
        <w:trPr/>
        <w:tc>
          <w:tcPr>
            <w:tcW w:w="2405" w:type="dxa"/>
            <w:tcBorders/>
            <w:vAlign w:val="center"/>
          </w:tcPr>
          <w:p>
            <w:pPr>
              <w:pStyle w:val="TableContents"/>
              <w:widowControl w:val="false"/>
              <w:suppressLineNumbers/>
              <w:spacing w:before="0" w:after="200"/>
              <w:rPr/>
            </w:pPr>
            <w:r>
              <w:rPr>
                <w:rStyle w:val="Strong"/>
              </w:rPr>
              <w:t>Problematic situation</w:t>
            </w:r>
          </w:p>
        </w:tc>
        <w:tc>
          <w:tcPr>
            <w:tcW w:w="6235" w:type="dxa"/>
            <w:tcBorders/>
            <w:vAlign w:val="center"/>
          </w:tcPr>
          <w:p>
            <w:pPr>
              <w:pStyle w:val="TableContents"/>
              <w:widowControl w:val="false"/>
              <w:suppressLineNumbers/>
              <w:spacing w:before="0" w:after="200"/>
              <w:rPr/>
            </w:pPr>
            <w:r>
              <w:rPr/>
              <w:t>A Situational Context can identify the conflict, disruption, uncertainty, or unmet condition requiring assessment.</w:t>
            </w:r>
          </w:p>
        </w:tc>
      </w:tr>
      <w:tr>
        <w:trPr/>
        <w:tc>
          <w:tcPr>
            <w:tcW w:w="2405" w:type="dxa"/>
            <w:tcBorders/>
            <w:vAlign w:val="center"/>
          </w:tcPr>
          <w:p>
            <w:pPr>
              <w:pStyle w:val="TableContents"/>
              <w:widowControl w:val="false"/>
              <w:suppressLineNumbers/>
              <w:spacing w:before="0" w:after="200"/>
              <w:rPr/>
            </w:pPr>
            <w:r>
              <w:rPr>
                <w:rStyle w:val="Strong"/>
              </w:rPr>
              <w:t>Ends-in-view</w:t>
            </w:r>
          </w:p>
        </w:tc>
        <w:tc>
          <w:tcPr>
            <w:tcW w:w="6235" w:type="dxa"/>
            <w:tcBorders/>
            <w:vAlign w:val="center"/>
          </w:tcPr>
          <w:p>
            <w:pPr>
              <w:pStyle w:val="TableContents"/>
              <w:widowControl w:val="false"/>
              <w:suppressLineNumbers/>
              <w:spacing w:before="0" w:after="200"/>
              <w:rPr/>
            </w:pPr>
            <w:r>
              <w:rPr/>
              <w:t>Objectives can be treated as provisional hypotheses about desirable future states rather than immutable ends.</w:t>
            </w:r>
          </w:p>
        </w:tc>
      </w:tr>
      <w:tr>
        <w:trPr/>
        <w:tc>
          <w:tcPr>
            <w:tcW w:w="2405" w:type="dxa"/>
            <w:tcBorders/>
            <w:vAlign w:val="center"/>
          </w:tcPr>
          <w:p>
            <w:pPr>
              <w:pStyle w:val="TableContents"/>
              <w:widowControl w:val="false"/>
              <w:suppressLineNumbers/>
              <w:spacing w:before="0" w:after="200"/>
              <w:rPr/>
            </w:pPr>
            <w:r>
              <w:rPr>
                <w:rStyle w:val="Strong"/>
              </w:rPr>
              <w:t>Fallibilism</w:t>
            </w:r>
          </w:p>
        </w:tc>
        <w:tc>
          <w:tcPr>
            <w:tcW w:w="6235" w:type="dxa"/>
            <w:tcBorders/>
            <w:vAlign w:val="center"/>
          </w:tcPr>
          <w:p>
            <w:pPr>
              <w:pStyle w:val="TableContents"/>
              <w:widowControl w:val="false"/>
              <w:suppressLineNumbers/>
              <w:spacing w:before="0" w:after="200"/>
              <w:rPr/>
            </w:pPr>
            <w:r>
              <w:rPr/>
              <w:t>Assumptions, probabilities, evidence, and conclusions remain open to revision.</w:t>
            </w:r>
          </w:p>
        </w:tc>
      </w:tr>
      <w:tr>
        <w:trPr/>
        <w:tc>
          <w:tcPr>
            <w:tcW w:w="2405" w:type="dxa"/>
            <w:tcBorders/>
            <w:vAlign w:val="center"/>
          </w:tcPr>
          <w:p>
            <w:pPr>
              <w:pStyle w:val="TableContents"/>
              <w:widowControl w:val="false"/>
              <w:suppressLineNumbers/>
              <w:spacing w:before="0" w:after="200"/>
              <w:rPr/>
            </w:pPr>
            <w:r>
              <w:rPr>
                <w:rStyle w:val="Strong"/>
              </w:rPr>
              <w:t>Experimental inquiry</w:t>
            </w:r>
          </w:p>
        </w:tc>
        <w:tc>
          <w:tcPr>
            <w:tcW w:w="6235" w:type="dxa"/>
            <w:tcBorders/>
            <w:vAlign w:val="center"/>
          </w:tcPr>
          <w:p>
            <w:pPr>
              <w:pStyle w:val="TableContents"/>
              <w:widowControl w:val="false"/>
              <w:suppressLineNumbers/>
              <w:spacing w:before="0" w:after="200"/>
              <w:rPr/>
            </w:pPr>
            <w:r>
              <w:rPr/>
              <w:t>Proposed actions can be tested through pilots, staged deployment, monitoring, and comparison with alternatives.</w:t>
            </w:r>
          </w:p>
        </w:tc>
      </w:tr>
      <w:tr>
        <w:trPr/>
        <w:tc>
          <w:tcPr>
            <w:tcW w:w="2405" w:type="dxa"/>
            <w:tcBorders/>
            <w:vAlign w:val="center"/>
          </w:tcPr>
          <w:p>
            <w:pPr>
              <w:pStyle w:val="TableContents"/>
              <w:widowControl w:val="false"/>
              <w:suppressLineNumbers/>
              <w:spacing w:before="0" w:after="200"/>
              <w:rPr/>
            </w:pPr>
            <w:r>
              <w:rPr>
                <w:rStyle w:val="Strong"/>
              </w:rPr>
              <w:t>Abduction</w:t>
            </w:r>
          </w:p>
        </w:tc>
        <w:tc>
          <w:tcPr>
            <w:tcW w:w="6235" w:type="dxa"/>
            <w:tcBorders/>
            <w:vAlign w:val="center"/>
          </w:tcPr>
          <w:p>
            <w:pPr>
              <w:pStyle w:val="TableContents"/>
              <w:widowControl w:val="false"/>
              <w:suppressLineNumbers/>
              <w:spacing w:before="0" w:after="200"/>
              <w:rPr/>
            </w:pPr>
            <w:r>
              <w:rPr/>
              <w:t>Candidate explanations and actions can be generated as hypotheses before deductive and empirical testing.</w:t>
            </w:r>
          </w:p>
        </w:tc>
      </w:tr>
      <w:tr>
        <w:trPr/>
        <w:tc>
          <w:tcPr>
            <w:tcW w:w="2405" w:type="dxa"/>
            <w:tcBorders/>
            <w:vAlign w:val="center"/>
          </w:tcPr>
          <w:p>
            <w:pPr>
              <w:pStyle w:val="TableContents"/>
              <w:widowControl w:val="false"/>
              <w:suppressLineNumbers/>
              <w:spacing w:before="0" w:after="200"/>
              <w:rPr/>
            </w:pPr>
            <w:r>
              <w:rPr>
                <w:rStyle w:val="Strong"/>
              </w:rPr>
              <w:t>Instrumentalism</w:t>
            </w:r>
          </w:p>
        </w:tc>
        <w:tc>
          <w:tcPr>
            <w:tcW w:w="6235" w:type="dxa"/>
            <w:tcBorders/>
            <w:vAlign w:val="center"/>
          </w:tcPr>
          <w:p>
            <w:pPr>
              <w:pStyle w:val="TableContents"/>
              <w:widowControl w:val="false"/>
              <w:suppressLineNumbers/>
              <w:spacing w:before="0" w:after="200"/>
              <w:rPr/>
            </w:pPr>
            <w:r>
              <w:rPr/>
              <w:t>Models, metrics, rules, and classifications can be treated as tools whose adequacy depends on the inquiry they support.</w:t>
            </w:r>
          </w:p>
        </w:tc>
      </w:tr>
      <w:tr>
        <w:trPr/>
        <w:tc>
          <w:tcPr>
            <w:tcW w:w="2405" w:type="dxa"/>
            <w:tcBorders/>
            <w:vAlign w:val="center"/>
          </w:tcPr>
          <w:p>
            <w:pPr>
              <w:pStyle w:val="TableContents"/>
              <w:widowControl w:val="false"/>
              <w:suppressLineNumbers/>
              <w:spacing w:before="0" w:after="200"/>
              <w:rPr/>
            </w:pPr>
            <w:r>
              <w:rPr>
                <w:rStyle w:val="Strong"/>
              </w:rPr>
              <w:t>Consequences</w:t>
            </w:r>
          </w:p>
        </w:tc>
        <w:tc>
          <w:tcPr>
            <w:tcW w:w="6235" w:type="dxa"/>
            <w:tcBorders/>
            <w:vAlign w:val="center"/>
          </w:tcPr>
          <w:p>
            <w:pPr>
              <w:pStyle w:val="TableContents"/>
              <w:widowControl w:val="false"/>
              <w:suppressLineNumbers/>
              <w:spacing w:before="0" w:after="200"/>
              <w:rPr/>
            </w:pPr>
            <w:r>
              <w:rPr/>
              <w:t>The complete World Context Transition includes direct, indirect, delayed, relational, and institutional effects.</w:t>
            </w:r>
          </w:p>
        </w:tc>
      </w:tr>
      <w:tr>
        <w:trPr/>
        <w:tc>
          <w:tcPr>
            <w:tcW w:w="2405" w:type="dxa"/>
            <w:tcBorders/>
            <w:vAlign w:val="center"/>
          </w:tcPr>
          <w:p>
            <w:pPr>
              <w:pStyle w:val="TableContents"/>
              <w:widowControl w:val="false"/>
              <w:suppressLineNumbers/>
              <w:spacing w:before="0" w:after="200"/>
              <w:rPr/>
            </w:pPr>
            <w:r>
              <w:rPr>
                <w:rStyle w:val="Strong"/>
              </w:rPr>
              <w:t>Means–ends continuity</w:t>
            </w:r>
          </w:p>
        </w:tc>
        <w:tc>
          <w:tcPr>
            <w:tcW w:w="6235" w:type="dxa"/>
            <w:tcBorders/>
            <w:vAlign w:val="center"/>
          </w:tcPr>
          <w:p>
            <w:pPr>
              <w:pStyle w:val="TableContents"/>
              <w:widowControl w:val="false"/>
              <w:suppressLineNumbers/>
              <w:spacing w:before="0" w:after="200"/>
              <w:rPr/>
            </w:pPr>
            <w:r>
              <w:rPr/>
              <w:t>The framework evaluates how the method used to pursue an objective changes the objective, actors, relationships, and later possibilities.</w:t>
            </w:r>
          </w:p>
        </w:tc>
      </w:tr>
      <w:tr>
        <w:trPr/>
        <w:tc>
          <w:tcPr>
            <w:tcW w:w="2405" w:type="dxa"/>
            <w:tcBorders/>
            <w:vAlign w:val="center"/>
          </w:tcPr>
          <w:p>
            <w:pPr>
              <w:pStyle w:val="TableContents"/>
              <w:widowControl w:val="false"/>
              <w:suppressLineNumbers/>
              <w:spacing w:before="0" w:after="200"/>
              <w:rPr/>
            </w:pPr>
            <w:r>
              <w:rPr>
                <w:rStyle w:val="Strong"/>
              </w:rPr>
              <w:t>Habit</w:t>
            </w:r>
          </w:p>
        </w:tc>
        <w:tc>
          <w:tcPr>
            <w:tcW w:w="6235" w:type="dxa"/>
            <w:tcBorders/>
            <w:vAlign w:val="center"/>
          </w:tcPr>
          <w:p>
            <w:pPr>
              <w:pStyle w:val="TableContents"/>
              <w:widowControl w:val="false"/>
              <w:suppressLineNumbers/>
              <w:spacing w:before="0" w:after="200"/>
              <w:rPr/>
            </w:pPr>
            <w:r>
              <w:rPr/>
              <w:t>Individual and institutional policies can be modeled as persistent dispositions to respond in particular ways.</w:t>
            </w:r>
          </w:p>
        </w:tc>
      </w:tr>
      <w:tr>
        <w:trPr/>
        <w:tc>
          <w:tcPr>
            <w:tcW w:w="2405" w:type="dxa"/>
            <w:tcBorders/>
            <w:vAlign w:val="center"/>
          </w:tcPr>
          <w:p>
            <w:pPr>
              <w:pStyle w:val="TableContents"/>
              <w:widowControl w:val="false"/>
              <w:suppressLineNumbers/>
              <w:spacing w:before="0" w:after="200"/>
              <w:rPr/>
            </w:pPr>
            <w:r>
              <w:rPr>
                <w:rStyle w:val="Strong"/>
              </w:rPr>
              <w:t>Transaction</w:t>
            </w:r>
          </w:p>
        </w:tc>
        <w:tc>
          <w:tcPr>
            <w:tcW w:w="6235" w:type="dxa"/>
            <w:tcBorders/>
            <w:vAlign w:val="center"/>
          </w:tcPr>
          <w:p>
            <w:pPr>
              <w:pStyle w:val="TableContents"/>
              <w:widowControl w:val="false"/>
              <w:suppressLineNumbers/>
              <w:spacing w:before="0" w:after="200"/>
              <w:rPr/>
            </w:pPr>
            <w:r>
              <w:rPr/>
              <w:t>Objects and Associations change one another through interaction rather than remaining fully independent.</w:t>
            </w:r>
          </w:p>
        </w:tc>
      </w:tr>
      <w:tr>
        <w:trPr/>
        <w:tc>
          <w:tcPr>
            <w:tcW w:w="2405" w:type="dxa"/>
            <w:tcBorders/>
            <w:vAlign w:val="center"/>
          </w:tcPr>
          <w:p>
            <w:pPr>
              <w:pStyle w:val="TableContents"/>
              <w:widowControl w:val="false"/>
              <w:suppressLineNumbers/>
              <w:spacing w:before="0" w:after="200"/>
              <w:rPr/>
            </w:pPr>
            <w:r>
              <w:rPr>
                <w:rStyle w:val="Strong"/>
              </w:rPr>
              <w:t>Community of inquiry</w:t>
            </w:r>
          </w:p>
        </w:tc>
        <w:tc>
          <w:tcPr>
            <w:tcW w:w="6235" w:type="dxa"/>
            <w:tcBorders/>
            <w:vAlign w:val="center"/>
          </w:tcPr>
          <w:p>
            <w:pPr>
              <w:pStyle w:val="TableContents"/>
              <w:widowControl w:val="false"/>
              <w:suppressLineNumbers/>
              <w:spacing w:before="0" w:after="200"/>
              <w:rPr/>
            </w:pPr>
            <w:r>
              <w:rPr/>
              <w:t>Assessments can include experts, affected entities, institutions, critics, and observers with different forms of knowledge.</w:t>
            </w:r>
          </w:p>
        </w:tc>
      </w:tr>
      <w:tr>
        <w:trPr/>
        <w:tc>
          <w:tcPr>
            <w:tcW w:w="2405" w:type="dxa"/>
            <w:tcBorders/>
            <w:vAlign w:val="center"/>
          </w:tcPr>
          <w:p>
            <w:pPr>
              <w:pStyle w:val="TableContents"/>
              <w:widowControl w:val="false"/>
              <w:suppressLineNumbers/>
              <w:spacing w:before="0" w:after="200"/>
              <w:rPr/>
            </w:pPr>
            <w:r>
              <w:rPr>
                <w:rStyle w:val="Strong"/>
              </w:rPr>
              <w:t>Democratic participation</w:t>
            </w:r>
          </w:p>
        </w:tc>
        <w:tc>
          <w:tcPr>
            <w:tcW w:w="6235" w:type="dxa"/>
            <w:tcBorders/>
            <w:vAlign w:val="center"/>
          </w:tcPr>
          <w:p>
            <w:pPr>
              <w:pStyle w:val="TableContents"/>
              <w:widowControl w:val="false"/>
              <w:suppressLineNumbers/>
              <w:spacing w:before="0" w:after="200"/>
              <w:rPr/>
            </w:pPr>
            <w:r>
              <w:rPr/>
              <w:t>Participation can improve both legitimacy and the quality of information available to the assessment.</w:t>
            </w:r>
          </w:p>
        </w:tc>
      </w:tr>
      <w:tr>
        <w:trPr/>
        <w:tc>
          <w:tcPr>
            <w:tcW w:w="2405" w:type="dxa"/>
            <w:tcBorders/>
            <w:vAlign w:val="center"/>
          </w:tcPr>
          <w:p>
            <w:pPr>
              <w:pStyle w:val="TableContents"/>
              <w:widowControl w:val="false"/>
              <w:suppressLineNumbers/>
              <w:spacing w:before="0" w:after="200"/>
              <w:rPr/>
            </w:pPr>
            <w:r>
              <w:rPr>
                <w:rStyle w:val="Strong"/>
              </w:rPr>
              <w:t>Pluralism</w:t>
            </w:r>
          </w:p>
        </w:tc>
        <w:tc>
          <w:tcPr>
            <w:tcW w:w="6235" w:type="dxa"/>
            <w:tcBorders/>
            <w:vAlign w:val="center"/>
          </w:tcPr>
          <w:p>
            <w:pPr>
              <w:pStyle w:val="TableContents"/>
              <w:widowControl w:val="false"/>
              <w:suppressLineNumbers/>
              <w:spacing w:before="0" w:after="200"/>
              <w:rPr/>
            </w:pPr>
            <w:r>
              <w:rPr/>
              <w:t>Multiple objectives, values, models, and perspectives can be preserved within the World Context.</w:t>
            </w:r>
          </w:p>
        </w:tc>
      </w:tr>
      <w:tr>
        <w:trPr/>
        <w:tc>
          <w:tcPr>
            <w:tcW w:w="2405" w:type="dxa"/>
            <w:tcBorders/>
            <w:vAlign w:val="center"/>
          </w:tcPr>
          <w:p>
            <w:pPr>
              <w:pStyle w:val="TableContents"/>
              <w:widowControl w:val="false"/>
              <w:suppressLineNumbers/>
              <w:spacing w:before="0" w:after="200"/>
              <w:rPr/>
            </w:pPr>
            <w:r>
              <w:rPr>
                <w:rStyle w:val="Strong"/>
              </w:rPr>
              <w:t>Meliorism</w:t>
            </w:r>
          </w:p>
        </w:tc>
        <w:tc>
          <w:tcPr>
            <w:tcW w:w="6235" w:type="dxa"/>
            <w:tcBorders/>
            <w:vAlign w:val="center"/>
          </w:tcPr>
          <w:p>
            <w:pPr>
              <w:pStyle w:val="TableContents"/>
              <w:widowControl w:val="false"/>
              <w:suppressLineNumbers/>
              <w:spacing w:before="0" w:after="200"/>
              <w:rPr/>
            </w:pPr>
            <w:r>
              <w:rPr/>
              <w:t>The framework seeks feasible improvement in flourishing rather than requiring an unattainable perfect state.</w:t>
            </w:r>
          </w:p>
        </w:tc>
      </w:tr>
      <w:tr>
        <w:trPr/>
        <w:tc>
          <w:tcPr>
            <w:tcW w:w="2405" w:type="dxa"/>
            <w:tcBorders/>
            <w:vAlign w:val="center"/>
          </w:tcPr>
          <w:p>
            <w:pPr>
              <w:pStyle w:val="TableContents"/>
              <w:widowControl w:val="false"/>
              <w:suppressLineNumbers/>
              <w:spacing w:before="0" w:after="200"/>
              <w:rPr/>
            </w:pPr>
            <w:r>
              <w:rPr>
                <w:rStyle w:val="Strong"/>
              </w:rPr>
              <w:t>Learning from consequences</w:t>
            </w:r>
          </w:p>
        </w:tc>
        <w:tc>
          <w:tcPr>
            <w:tcW w:w="6235" w:type="dxa"/>
            <w:tcBorders/>
            <w:vAlign w:val="center"/>
          </w:tcPr>
          <w:p>
            <w:pPr>
              <w:pStyle w:val="TableContents"/>
              <w:widowControl w:val="false"/>
              <w:suppressLineNumbers/>
              <w:spacing w:before="0" w:after="200"/>
              <w:rPr/>
            </w:pPr>
            <w:r>
              <w:rPr/>
              <w:t>Predicted transitions can be compared with observed transitions to update future policies.</w:t>
            </w:r>
          </w:p>
        </w:tc>
      </w:tr>
      <w:tr>
        <w:trPr/>
        <w:tc>
          <w:tcPr>
            <w:tcW w:w="2405" w:type="dxa"/>
            <w:tcBorders/>
            <w:vAlign w:val="center"/>
          </w:tcPr>
          <w:p>
            <w:pPr>
              <w:pStyle w:val="TableContents"/>
              <w:widowControl w:val="false"/>
              <w:suppressLineNumbers/>
              <w:spacing w:before="0" w:after="200"/>
              <w:rPr/>
            </w:pPr>
            <w:r>
              <w:rPr>
                <w:rStyle w:val="Strong"/>
              </w:rPr>
              <w:t>Socially constructed agency</w:t>
            </w:r>
          </w:p>
        </w:tc>
        <w:tc>
          <w:tcPr>
            <w:tcW w:w="6235" w:type="dxa"/>
            <w:tcBorders/>
            <w:vAlign w:val="center"/>
          </w:tcPr>
          <w:p>
            <w:pPr>
              <w:pStyle w:val="TableContents"/>
              <w:widowControl w:val="false"/>
              <w:suppressLineNumbers/>
              <w:spacing w:before="0" w:after="200"/>
              <w:rPr/>
            </w:pPr>
            <w:r>
              <w:rPr/>
              <w:t>Moral agents can be modeled as shaped by language, institutions, relationships, and prior policy effects.</w:t>
            </w:r>
          </w:p>
        </w:tc>
      </w:tr>
      <w:tr>
        <w:trPr/>
        <w:tc>
          <w:tcPr>
            <w:tcW w:w="2405" w:type="dxa"/>
            <w:tcBorders/>
            <w:vAlign w:val="center"/>
          </w:tcPr>
          <w:p>
            <w:pPr>
              <w:pStyle w:val="TableContents"/>
              <w:widowControl w:val="false"/>
              <w:suppressLineNumbers/>
              <w:spacing w:before="0" w:after="200"/>
              <w:rPr/>
            </w:pPr>
            <w:r>
              <w:rPr>
                <w:rStyle w:val="Strong"/>
              </w:rPr>
              <w:t>Inquiry as continuing</w:t>
            </w:r>
          </w:p>
        </w:tc>
        <w:tc>
          <w:tcPr>
            <w:tcW w:w="6235" w:type="dxa"/>
            <w:tcBorders/>
            <w:vAlign w:val="center"/>
          </w:tcPr>
          <w:p>
            <w:pPr>
              <w:pStyle w:val="TableContents"/>
              <w:widowControl w:val="false"/>
              <w:suppressLineNumbers/>
              <w:spacing w:before="0" w:after="200"/>
              <w:rPr/>
            </w:pPr>
            <w:r>
              <w:rPr/>
              <w:t>An assessment can remain open to monitoring and revision rather than ending permanently when an initial action is selected.</w:t>
            </w:r>
          </w:p>
        </w:tc>
      </w:tr>
    </w:tbl>
    <w:p>
      <w:pPr>
        <w:pStyle w:val="Heading3"/>
        <w:spacing w:before="0" w:after="200"/>
        <w:ind w:hanging="0" w:left="0"/>
        <w:rPr>
          <w:rFonts w:ascii="Aptos" w:hAnsi="Aptos"/>
          <w:color w:val="auto"/>
        </w:rPr>
      </w:pPr>
      <w:r>
        <w:rPr>
          <w:rFonts w:ascii="Aptos" w:hAnsi="Aptos"/>
          <w:color w:val="auto"/>
        </w:rPr>
        <w:t>Similarities</w:t>
      </w:r>
    </w:p>
    <w:p>
      <w:pPr>
        <w:pStyle w:val="BodyText"/>
        <w:spacing w:before="0" w:after="200"/>
        <w:rPr/>
      </w:pPr>
      <w:r>
        <w:rPr/>
        <w:t>Pragmatism and this framework share several important commitments:</w:t>
      </w:r>
    </w:p>
    <w:p>
      <w:pPr>
        <w:pStyle w:val="BodyText"/>
        <w:numPr>
          <w:ilvl w:val="0"/>
          <w:numId w:val="93"/>
        </w:numPr>
        <w:tabs>
          <w:tab w:val="clear" w:pos="720"/>
          <w:tab w:val="left" w:pos="0" w:leader="none"/>
        </w:tabs>
        <w:spacing w:before="0" w:after="200"/>
        <w:ind w:hanging="283" w:left="709"/>
        <w:rPr/>
      </w:pPr>
      <w:r>
        <w:rPr/>
        <w:t>Both judge objectives partly through the practical consequences of pursuing them.</w:t>
      </w:r>
    </w:p>
    <w:p>
      <w:pPr>
        <w:pStyle w:val="BodyText"/>
        <w:numPr>
          <w:ilvl w:val="0"/>
          <w:numId w:val="93"/>
        </w:numPr>
        <w:tabs>
          <w:tab w:val="clear" w:pos="720"/>
          <w:tab w:val="left" w:pos="0" w:leader="none"/>
        </w:tabs>
        <w:spacing w:before="0" w:after="200"/>
        <w:ind w:hanging="283" w:left="709"/>
        <w:rPr/>
      </w:pPr>
      <w:r>
        <w:rPr/>
        <w:t>Both reject reliance on abstract labels as substitutes for analysis.</w:t>
      </w:r>
    </w:p>
    <w:p>
      <w:pPr>
        <w:pStyle w:val="BodyText"/>
        <w:numPr>
          <w:ilvl w:val="0"/>
          <w:numId w:val="93"/>
        </w:numPr>
        <w:tabs>
          <w:tab w:val="clear" w:pos="720"/>
          <w:tab w:val="left" w:pos="0" w:leader="none"/>
        </w:tabs>
        <w:spacing w:before="0" w:after="200"/>
        <w:ind w:hanging="283" w:left="709"/>
        <w:rPr/>
      </w:pPr>
      <w:r>
        <w:rPr/>
        <w:t>Both use context-sensitive reasoning.</w:t>
      </w:r>
    </w:p>
    <w:p>
      <w:pPr>
        <w:pStyle w:val="BodyText"/>
        <w:numPr>
          <w:ilvl w:val="0"/>
          <w:numId w:val="93"/>
        </w:numPr>
        <w:tabs>
          <w:tab w:val="clear" w:pos="720"/>
          <w:tab w:val="left" w:pos="0" w:leader="none"/>
        </w:tabs>
        <w:spacing w:before="0" w:after="200"/>
        <w:ind w:hanging="283" w:left="709"/>
        <w:rPr/>
      </w:pPr>
      <w:r>
        <w:rPr/>
        <w:t>Both recognize that present knowledge is incomplete and revisable.</w:t>
      </w:r>
    </w:p>
    <w:p>
      <w:pPr>
        <w:pStyle w:val="BodyText"/>
        <w:numPr>
          <w:ilvl w:val="0"/>
          <w:numId w:val="93"/>
        </w:numPr>
        <w:tabs>
          <w:tab w:val="clear" w:pos="720"/>
          <w:tab w:val="left" w:pos="0" w:leader="none"/>
        </w:tabs>
        <w:spacing w:before="0" w:after="200"/>
        <w:ind w:hanging="283" w:left="709"/>
        <w:rPr/>
      </w:pPr>
      <w:r>
        <w:rPr/>
        <w:t>Both support evidence-based comparison of alternatives.</w:t>
      </w:r>
    </w:p>
    <w:p>
      <w:pPr>
        <w:pStyle w:val="BodyText"/>
        <w:numPr>
          <w:ilvl w:val="0"/>
          <w:numId w:val="93"/>
        </w:numPr>
        <w:tabs>
          <w:tab w:val="clear" w:pos="720"/>
          <w:tab w:val="left" w:pos="0" w:leader="none"/>
        </w:tabs>
        <w:spacing w:before="0" w:after="200"/>
        <w:ind w:hanging="283" w:left="709"/>
        <w:rPr/>
      </w:pPr>
      <w:r>
        <w:rPr/>
        <w:t>Both distinguish an actor’s stated intention from the transition actually produced.</w:t>
      </w:r>
    </w:p>
    <w:p>
      <w:pPr>
        <w:pStyle w:val="BodyText"/>
        <w:numPr>
          <w:ilvl w:val="0"/>
          <w:numId w:val="93"/>
        </w:numPr>
        <w:tabs>
          <w:tab w:val="clear" w:pos="720"/>
          <w:tab w:val="left" w:pos="0" w:leader="none"/>
        </w:tabs>
        <w:spacing w:before="0" w:after="200"/>
        <w:ind w:hanging="283" w:left="709"/>
        <w:rPr/>
      </w:pPr>
      <w:r>
        <w:rPr/>
        <w:t>Both recognize direct, indirect, delayed, and institutional effects.</w:t>
      </w:r>
    </w:p>
    <w:p>
      <w:pPr>
        <w:pStyle w:val="BodyText"/>
        <w:numPr>
          <w:ilvl w:val="0"/>
          <w:numId w:val="93"/>
        </w:numPr>
        <w:tabs>
          <w:tab w:val="clear" w:pos="720"/>
          <w:tab w:val="left" w:pos="0" w:leader="none"/>
        </w:tabs>
        <w:spacing w:before="0" w:after="200"/>
        <w:ind w:hanging="283" w:left="709"/>
        <w:rPr/>
      </w:pPr>
      <w:r>
        <w:rPr/>
        <w:t>Both evaluate how actions change future conduct and decision policies.</w:t>
      </w:r>
    </w:p>
    <w:p>
      <w:pPr>
        <w:pStyle w:val="BodyText"/>
        <w:numPr>
          <w:ilvl w:val="0"/>
          <w:numId w:val="93"/>
        </w:numPr>
        <w:tabs>
          <w:tab w:val="clear" w:pos="720"/>
          <w:tab w:val="left" w:pos="0" w:leader="none"/>
        </w:tabs>
        <w:spacing w:before="0" w:after="200"/>
        <w:ind w:hanging="283" w:left="709"/>
        <w:rPr/>
      </w:pPr>
      <w:r>
        <w:rPr/>
        <w:t>Both understand moral agents as capable of learning and adaptation.</w:t>
      </w:r>
    </w:p>
    <w:p>
      <w:pPr>
        <w:pStyle w:val="BodyText"/>
        <w:numPr>
          <w:ilvl w:val="0"/>
          <w:numId w:val="93"/>
        </w:numPr>
        <w:tabs>
          <w:tab w:val="clear" w:pos="720"/>
          <w:tab w:val="left" w:pos="0" w:leader="none"/>
        </w:tabs>
        <w:spacing w:before="0" w:after="200"/>
        <w:ind w:hanging="283" w:left="709"/>
        <w:rPr/>
      </w:pPr>
      <w:r>
        <w:rPr/>
        <w:t>Both can incorporate qualitative and quantitative evidence.</w:t>
      </w:r>
    </w:p>
    <w:p>
      <w:pPr>
        <w:pStyle w:val="BodyText"/>
        <w:numPr>
          <w:ilvl w:val="0"/>
          <w:numId w:val="93"/>
        </w:numPr>
        <w:tabs>
          <w:tab w:val="clear" w:pos="720"/>
          <w:tab w:val="left" w:pos="0" w:leader="none"/>
        </w:tabs>
        <w:spacing w:before="0" w:after="200"/>
        <w:ind w:hanging="283" w:left="709"/>
        <w:rPr/>
      </w:pPr>
      <w:r>
        <w:rPr/>
        <w:t>Both recognize that objectives may change as agents learn more about the problem.</w:t>
      </w:r>
    </w:p>
    <w:p>
      <w:pPr>
        <w:pStyle w:val="BodyText"/>
        <w:numPr>
          <w:ilvl w:val="0"/>
          <w:numId w:val="93"/>
        </w:numPr>
        <w:tabs>
          <w:tab w:val="clear" w:pos="720"/>
          <w:tab w:val="left" w:pos="0" w:leader="none"/>
        </w:tabs>
        <w:spacing w:before="0" w:after="200"/>
        <w:ind w:hanging="283" w:left="709"/>
        <w:rPr/>
      </w:pPr>
      <w:r>
        <w:rPr/>
        <w:t>Both support testing, monitoring, feedback, and correction.</w:t>
      </w:r>
    </w:p>
    <w:p>
      <w:pPr>
        <w:pStyle w:val="BodyText"/>
        <w:numPr>
          <w:ilvl w:val="0"/>
          <w:numId w:val="93"/>
        </w:numPr>
        <w:tabs>
          <w:tab w:val="clear" w:pos="720"/>
          <w:tab w:val="left" w:pos="0" w:leader="none"/>
        </w:tabs>
        <w:spacing w:before="0" w:after="200"/>
        <w:ind w:hanging="283" w:left="709"/>
        <w:rPr/>
      </w:pPr>
      <w:r>
        <w:rPr/>
        <w:t>Both recognize that institutions shape individual conduct.</w:t>
      </w:r>
    </w:p>
    <w:p>
      <w:pPr>
        <w:pStyle w:val="BodyText"/>
        <w:numPr>
          <w:ilvl w:val="0"/>
          <w:numId w:val="93"/>
        </w:numPr>
        <w:tabs>
          <w:tab w:val="clear" w:pos="720"/>
          <w:tab w:val="left" w:pos="0" w:leader="none"/>
        </w:tabs>
        <w:spacing w:before="0" w:after="200"/>
        <w:ind w:hanging="283" w:left="709"/>
        <w:rPr/>
      </w:pPr>
      <w:r>
        <w:rPr/>
        <w:t>Both can treat affected entities as sources of morally and epistemically relevant information.</w:t>
      </w:r>
    </w:p>
    <w:p>
      <w:pPr>
        <w:pStyle w:val="BodyText"/>
        <w:numPr>
          <w:ilvl w:val="0"/>
          <w:numId w:val="93"/>
        </w:numPr>
        <w:tabs>
          <w:tab w:val="clear" w:pos="720"/>
          <w:tab w:val="left" w:pos="0" w:leader="none"/>
        </w:tabs>
        <w:spacing w:before="0" w:after="200"/>
        <w:ind w:hanging="283" w:left="709"/>
        <w:rPr/>
      </w:pPr>
      <w:r>
        <w:rPr/>
        <w:t>Both reject the assumption that aggregate metrics alone capture the complete ethical situation.</w:t>
      </w:r>
    </w:p>
    <w:p>
      <w:pPr>
        <w:pStyle w:val="BodyText"/>
        <w:numPr>
          <w:ilvl w:val="0"/>
          <w:numId w:val="93"/>
        </w:numPr>
        <w:tabs>
          <w:tab w:val="clear" w:pos="720"/>
          <w:tab w:val="left" w:pos="0" w:leader="none"/>
        </w:tabs>
        <w:spacing w:before="0" w:after="200"/>
        <w:ind w:hanging="283" w:left="709"/>
        <w:rPr/>
      </w:pPr>
      <w:r>
        <w:rPr/>
        <w:t>Both favor explainable reasoning over unsupported certainty.</w:t>
      </w:r>
    </w:p>
    <w:p>
      <w:pPr>
        <w:pStyle w:val="BodyText"/>
        <w:numPr>
          <w:ilvl w:val="0"/>
          <w:numId w:val="93"/>
        </w:numPr>
        <w:tabs>
          <w:tab w:val="clear" w:pos="720"/>
          <w:tab w:val="left" w:pos="0" w:leader="none"/>
        </w:tabs>
        <w:spacing w:before="0" w:after="200"/>
        <w:ind w:hanging="283" w:left="709"/>
        <w:rPr/>
      </w:pPr>
      <w:r>
        <w:rPr/>
        <w:t>Both support plural perspectives when they improve inquiry.</w:t>
      </w:r>
    </w:p>
    <w:p>
      <w:pPr>
        <w:pStyle w:val="BodyText"/>
        <w:numPr>
          <w:ilvl w:val="0"/>
          <w:numId w:val="93"/>
        </w:numPr>
        <w:tabs>
          <w:tab w:val="clear" w:pos="720"/>
          <w:tab w:val="left" w:pos="0" w:leader="none"/>
        </w:tabs>
        <w:spacing w:before="0" w:after="200"/>
        <w:ind w:hanging="283" w:left="709"/>
        <w:rPr/>
      </w:pPr>
      <w:r>
        <w:rPr/>
        <w:t>Both permit progress without requiring final agreement on every metaphysical question.</w:t>
      </w:r>
    </w:p>
    <w:p>
      <w:pPr>
        <w:pStyle w:val="Heading3"/>
        <w:spacing w:before="0" w:after="200"/>
        <w:ind w:hanging="0" w:left="0"/>
        <w:rPr>
          <w:rFonts w:ascii="Aptos" w:hAnsi="Aptos"/>
          <w:color w:val="auto"/>
        </w:rPr>
      </w:pPr>
      <w:r>
        <w:rPr>
          <w:rFonts w:ascii="Aptos" w:hAnsi="Aptos"/>
          <w:color w:val="auto"/>
        </w:rPr>
        <w:t>Differences</w:t>
      </w:r>
    </w:p>
    <w:tbl>
      <w:tblPr>
        <w:tblW w:w="8640" w:type="dxa"/>
        <w:jc w:val="left"/>
        <w:tblInd w:w="28" w:type="dxa"/>
        <w:tblLayout w:type="fixed"/>
        <w:tblCellMar>
          <w:top w:w="28" w:type="dxa"/>
          <w:left w:w="28" w:type="dxa"/>
          <w:bottom w:w="28" w:type="dxa"/>
          <w:right w:w="28" w:type="dxa"/>
        </w:tblCellMar>
      </w:tblPr>
      <w:tblGrid>
        <w:gridCol w:w="2052"/>
        <w:gridCol w:w="3088"/>
        <w:gridCol w:w="3500"/>
      </w:tblGrid>
      <w:tr>
        <w:trPr>
          <w:tblHeader w:val="true"/>
        </w:trPr>
        <w:tc>
          <w:tcPr>
            <w:tcW w:w="2052" w:type="dxa"/>
            <w:tcBorders/>
            <w:vAlign w:val="center"/>
          </w:tcPr>
          <w:p>
            <w:pPr>
              <w:pStyle w:val="TableHeading"/>
              <w:suppressLineNumbers/>
              <w:spacing w:before="0" w:after="200"/>
              <w:jc w:val="center"/>
              <w:rPr/>
            </w:pPr>
            <w:r>
              <w:rPr/>
              <w:t>Dimension</w:t>
            </w:r>
          </w:p>
        </w:tc>
        <w:tc>
          <w:tcPr>
            <w:tcW w:w="3088" w:type="dxa"/>
            <w:tcBorders/>
            <w:vAlign w:val="center"/>
          </w:tcPr>
          <w:p>
            <w:pPr>
              <w:pStyle w:val="TableHeading"/>
              <w:suppressLineNumbers/>
              <w:spacing w:before="0" w:after="200"/>
              <w:jc w:val="center"/>
              <w:rPr/>
            </w:pPr>
            <w:r>
              <w:rPr/>
              <w:t>Pragmatism</w:t>
            </w:r>
          </w:p>
        </w:tc>
        <w:tc>
          <w:tcPr>
            <w:tcW w:w="3500" w:type="dxa"/>
            <w:tcBorders/>
            <w:vAlign w:val="center"/>
          </w:tcPr>
          <w:p>
            <w:pPr>
              <w:pStyle w:val="TableHeading"/>
              <w:suppressLineNumbers/>
              <w:spacing w:before="0" w:after="200"/>
              <w:jc w:val="center"/>
              <w:rPr/>
            </w:pPr>
            <w:r>
              <w:rPr/>
              <w:t>This framework</w:t>
            </w:r>
          </w:p>
        </w:tc>
      </w:tr>
      <w:tr>
        <w:trPr/>
        <w:tc>
          <w:tcPr>
            <w:tcW w:w="2052" w:type="dxa"/>
            <w:tcBorders/>
            <w:vAlign w:val="center"/>
          </w:tcPr>
          <w:p>
            <w:pPr>
              <w:pStyle w:val="TableContents"/>
              <w:widowControl w:val="false"/>
              <w:suppressLineNumbers/>
              <w:spacing w:before="0" w:after="200"/>
              <w:rPr/>
            </w:pPr>
            <w:r>
              <w:rPr>
                <w:rStyle w:val="Strong"/>
              </w:rPr>
              <w:t>Primary orientation</w:t>
            </w:r>
          </w:p>
        </w:tc>
        <w:tc>
          <w:tcPr>
            <w:tcW w:w="3088" w:type="dxa"/>
            <w:tcBorders/>
            <w:vAlign w:val="center"/>
          </w:tcPr>
          <w:p>
            <w:pPr>
              <w:pStyle w:val="TableContents"/>
              <w:widowControl w:val="false"/>
              <w:suppressLineNumbers/>
              <w:spacing w:before="0" w:after="200"/>
              <w:rPr/>
            </w:pPr>
            <w:r>
              <w:rPr/>
              <w:t>Method of inquiry connecting meaning, belief, action, and experience</w:t>
            </w:r>
          </w:p>
        </w:tc>
        <w:tc>
          <w:tcPr>
            <w:tcW w:w="3500" w:type="dxa"/>
            <w:tcBorders/>
            <w:vAlign w:val="center"/>
          </w:tcPr>
          <w:p>
            <w:pPr>
              <w:pStyle w:val="TableContents"/>
              <w:widowControl w:val="false"/>
              <w:suppressLineNumbers/>
              <w:spacing w:before="0" w:after="200"/>
              <w:rPr/>
            </w:pPr>
            <w:r>
              <w:rPr/>
              <w:t>Architecture for evaluating Assessed Actions and World Context Transitions</w:t>
            </w:r>
          </w:p>
        </w:tc>
      </w:tr>
      <w:tr>
        <w:trPr/>
        <w:tc>
          <w:tcPr>
            <w:tcW w:w="2052" w:type="dxa"/>
            <w:tcBorders/>
            <w:vAlign w:val="center"/>
          </w:tcPr>
          <w:p>
            <w:pPr>
              <w:pStyle w:val="TableContents"/>
              <w:widowControl w:val="false"/>
              <w:suppressLineNumbers/>
              <w:spacing w:before="0" w:after="200"/>
              <w:rPr/>
            </w:pPr>
            <w:r>
              <w:rPr>
                <w:rStyle w:val="Strong"/>
              </w:rPr>
              <w:t>Normative foundation</w:t>
            </w:r>
          </w:p>
        </w:tc>
        <w:tc>
          <w:tcPr>
            <w:tcW w:w="3088" w:type="dxa"/>
            <w:tcBorders/>
            <w:vAlign w:val="center"/>
          </w:tcPr>
          <w:p>
            <w:pPr>
              <w:pStyle w:val="TableContents"/>
              <w:widowControl w:val="false"/>
              <w:suppressLineNumbers/>
              <w:spacing w:before="0" w:after="200"/>
              <w:rPr/>
            </w:pPr>
            <w:r>
              <w:rPr/>
              <w:t>Often resists fixed or final foundations and begins with experienced problems</w:t>
            </w:r>
          </w:p>
        </w:tc>
        <w:tc>
          <w:tcPr>
            <w:tcW w:w="3500" w:type="dxa"/>
            <w:tcBorders/>
            <w:vAlign w:val="center"/>
          </w:tcPr>
          <w:p>
            <w:pPr>
              <w:pStyle w:val="TableContents"/>
              <w:widowControl w:val="false"/>
              <w:suppressLineNumbers/>
              <w:spacing w:before="0" w:after="200"/>
              <w:rPr/>
            </w:pPr>
            <w:r>
              <w:rPr/>
              <w:t>Begins with a Foundational Axiom concerning Long-Term Flourishing</w:t>
            </w:r>
          </w:p>
        </w:tc>
      </w:tr>
      <w:tr>
        <w:trPr/>
        <w:tc>
          <w:tcPr>
            <w:tcW w:w="2052" w:type="dxa"/>
            <w:tcBorders/>
            <w:vAlign w:val="center"/>
          </w:tcPr>
          <w:p>
            <w:pPr>
              <w:pStyle w:val="TableContents"/>
              <w:widowControl w:val="false"/>
              <w:suppressLineNumbers/>
              <w:spacing w:before="0" w:after="200"/>
              <w:rPr/>
            </w:pPr>
            <w:r>
              <w:rPr>
                <w:rStyle w:val="Strong"/>
              </w:rPr>
              <w:t>Ethical objective</w:t>
            </w:r>
          </w:p>
        </w:tc>
        <w:tc>
          <w:tcPr>
            <w:tcW w:w="3088" w:type="dxa"/>
            <w:tcBorders/>
            <w:vAlign w:val="center"/>
          </w:tcPr>
          <w:p>
            <w:pPr>
              <w:pStyle w:val="TableContents"/>
              <w:widowControl w:val="false"/>
              <w:suppressLineNumbers/>
              <w:spacing w:before="0" w:after="200"/>
              <w:rPr/>
            </w:pPr>
            <w:r>
              <w:rPr/>
              <w:t>Improvement of judgments and resolution of problematic situations</w:t>
            </w:r>
          </w:p>
        </w:tc>
        <w:tc>
          <w:tcPr>
            <w:tcW w:w="3500" w:type="dxa"/>
            <w:tcBorders/>
            <w:vAlign w:val="center"/>
          </w:tcPr>
          <w:p>
            <w:pPr>
              <w:pStyle w:val="TableContents"/>
              <w:widowControl w:val="false"/>
              <w:suppressLineNumbers/>
              <w:spacing w:before="0" w:after="200"/>
              <w:rPr/>
            </w:pPr>
            <w:r>
              <w:rPr/>
              <w:t>Preservation and promotion of compatible long-term flourishing</w:t>
            </w:r>
          </w:p>
        </w:tc>
      </w:tr>
      <w:tr>
        <w:trPr/>
        <w:tc>
          <w:tcPr>
            <w:tcW w:w="2052" w:type="dxa"/>
            <w:tcBorders/>
            <w:vAlign w:val="center"/>
          </w:tcPr>
          <w:p>
            <w:pPr>
              <w:pStyle w:val="TableContents"/>
              <w:widowControl w:val="false"/>
              <w:suppressLineNumbers/>
              <w:spacing w:before="0" w:after="200"/>
              <w:rPr/>
            </w:pPr>
            <w:r>
              <w:rPr>
                <w:rStyle w:val="Strong"/>
              </w:rPr>
              <w:t>Status of principles</w:t>
            </w:r>
          </w:p>
        </w:tc>
        <w:tc>
          <w:tcPr>
            <w:tcW w:w="3088" w:type="dxa"/>
            <w:tcBorders/>
            <w:vAlign w:val="center"/>
          </w:tcPr>
          <w:p>
            <w:pPr>
              <w:pStyle w:val="TableContents"/>
              <w:widowControl w:val="false"/>
              <w:suppressLineNumbers/>
              <w:spacing w:before="0" w:after="200"/>
              <w:rPr/>
            </w:pPr>
            <w:r>
              <w:rPr/>
              <w:t>Tools or working hypotheses subject to revision</w:t>
            </w:r>
          </w:p>
        </w:tc>
        <w:tc>
          <w:tcPr>
            <w:tcW w:w="3500" w:type="dxa"/>
            <w:tcBorders/>
            <w:vAlign w:val="center"/>
          </w:tcPr>
          <w:p>
            <w:pPr>
              <w:pStyle w:val="TableContents"/>
              <w:widowControl w:val="false"/>
              <w:suppressLineNumbers/>
              <w:spacing w:before="0" w:after="200"/>
              <w:rPr/>
            </w:pPr>
            <w:r>
              <w:rPr/>
              <w:t>Constraints and principles may receive more stable architectural roles</w:t>
            </w:r>
          </w:p>
        </w:tc>
      </w:tr>
      <w:tr>
        <w:trPr/>
        <w:tc>
          <w:tcPr>
            <w:tcW w:w="2052" w:type="dxa"/>
            <w:tcBorders/>
            <w:vAlign w:val="center"/>
          </w:tcPr>
          <w:p>
            <w:pPr>
              <w:pStyle w:val="TableContents"/>
              <w:widowControl w:val="false"/>
              <w:suppressLineNumbers/>
              <w:spacing w:before="0" w:after="200"/>
              <w:rPr/>
            </w:pPr>
            <w:r>
              <w:rPr>
                <w:rStyle w:val="Strong"/>
              </w:rPr>
              <w:t>Objectives</w:t>
            </w:r>
          </w:p>
        </w:tc>
        <w:tc>
          <w:tcPr>
            <w:tcW w:w="3088" w:type="dxa"/>
            <w:tcBorders/>
            <w:vAlign w:val="center"/>
          </w:tcPr>
          <w:p>
            <w:pPr>
              <w:pStyle w:val="TableContents"/>
              <w:widowControl w:val="false"/>
              <w:suppressLineNumbers/>
              <w:spacing w:before="0" w:after="200"/>
              <w:rPr/>
            </w:pPr>
            <w:r>
              <w:rPr/>
              <w:t>Provisional ends-in-view reconstructed through inquiry</w:t>
            </w:r>
          </w:p>
        </w:tc>
        <w:tc>
          <w:tcPr>
            <w:tcW w:w="3500" w:type="dxa"/>
            <w:tcBorders/>
            <w:vAlign w:val="center"/>
          </w:tcPr>
          <w:p>
            <w:pPr>
              <w:pStyle w:val="TableContents"/>
              <w:widowControl w:val="false"/>
              <w:suppressLineNumbers/>
              <w:spacing w:before="0" w:after="200"/>
              <w:rPr/>
            </w:pPr>
            <w:r>
              <w:rPr/>
              <w:t>Explicit objects of assessment that may be comparatively evaluated</w:t>
            </w:r>
          </w:p>
        </w:tc>
      </w:tr>
      <w:tr>
        <w:trPr/>
        <w:tc>
          <w:tcPr>
            <w:tcW w:w="2052" w:type="dxa"/>
            <w:tcBorders/>
            <w:vAlign w:val="center"/>
          </w:tcPr>
          <w:p>
            <w:pPr>
              <w:pStyle w:val="TableContents"/>
              <w:widowControl w:val="false"/>
              <w:suppressLineNumbers/>
              <w:spacing w:before="0" w:after="200"/>
              <w:rPr/>
            </w:pPr>
            <w:r>
              <w:rPr>
                <w:rStyle w:val="Strong"/>
              </w:rPr>
              <w:t>Knowledge</w:t>
            </w:r>
          </w:p>
        </w:tc>
        <w:tc>
          <w:tcPr>
            <w:tcW w:w="3088" w:type="dxa"/>
            <w:tcBorders/>
            <w:vAlign w:val="center"/>
          </w:tcPr>
          <w:p>
            <w:pPr>
              <w:pStyle w:val="TableContents"/>
              <w:widowControl w:val="false"/>
              <w:suppressLineNumbers/>
              <w:spacing w:before="0" w:after="200"/>
              <w:rPr/>
            </w:pPr>
            <w:r>
              <w:rPr/>
              <w:t>Produced through continuing inquiry and practical engagement</w:t>
            </w:r>
          </w:p>
        </w:tc>
        <w:tc>
          <w:tcPr>
            <w:tcW w:w="3500" w:type="dxa"/>
            <w:tcBorders/>
            <w:vAlign w:val="center"/>
          </w:tcPr>
          <w:p>
            <w:pPr>
              <w:pStyle w:val="TableContents"/>
              <w:widowControl w:val="false"/>
              <w:suppressLineNumbers/>
              <w:spacing w:before="0" w:after="200"/>
              <w:rPr/>
            </w:pPr>
            <w:r>
              <w:rPr/>
              <w:t>Represented as the best available evidence within the Situational Context</w:t>
            </w:r>
          </w:p>
        </w:tc>
      </w:tr>
      <w:tr>
        <w:trPr/>
        <w:tc>
          <w:tcPr>
            <w:tcW w:w="2052" w:type="dxa"/>
            <w:tcBorders/>
            <w:vAlign w:val="center"/>
          </w:tcPr>
          <w:p>
            <w:pPr>
              <w:pStyle w:val="TableContents"/>
              <w:widowControl w:val="false"/>
              <w:suppressLineNumbers/>
              <w:spacing w:before="0" w:after="200"/>
              <w:rPr/>
            </w:pPr>
            <w:r>
              <w:rPr>
                <w:rStyle w:val="Strong"/>
              </w:rPr>
              <w:t>Consequences</w:t>
            </w:r>
          </w:p>
        </w:tc>
        <w:tc>
          <w:tcPr>
            <w:tcW w:w="3088" w:type="dxa"/>
            <w:tcBorders/>
            <w:vAlign w:val="center"/>
          </w:tcPr>
          <w:p>
            <w:pPr>
              <w:pStyle w:val="TableContents"/>
              <w:widowControl w:val="false"/>
              <w:suppressLineNumbers/>
              <w:spacing w:before="0" w:after="200"/>
              <w:rPr/>
            </w:pPr>
            <w:r>
              <w:rPr/>
              <w:t>Discovered through both anticipation and lived experience</w:t>
            </w:r>
          </w:p>
        </w:tc>
        <w:tc>
          <w:tcPr>
            <w:tcW w:w="3500" w:type="dxa"/>
            <w:tcBorders/>
            <w:vAlign w:val="center"/>
          </w:tcPr>
          <w:p>
            <w:pPr>
              <w:pStyle w:val="TableContents"/>
              <w:widowControl w:val="false"/>
              <w:suppressLineNumbers/>
              <w:spacing w:before="0" w:after="200"/>
              <w:rPr/>
            </w:pPr>
            <w:r>
              <w:rPr/>
              <w:t>Predicted and represented through the World Context Transition</w:t>
            </w:r>
          </w:p>
        </w:tc>
      </w:tr>
      <w:tr>
        <w:trPr/>
        <w:tc>
          <w:tcPr>
            <w:tcW w:w="2052" w:type="dxa"/>
            <w:tcBorders/>
            <w:vAlign w:val="center"/>
          </w:tcPr>
          <w:p>
            <w:pPr>
              <w:pStyle w:val="TableContents"/>
              <w:widowControl w:val="false"/>
              <w:suppressLineNumbers/>
              <w:spacing w:before="0" w:after="200"/>
              <w:rPr/>
            </w:pPr>
            <w:r>
              <w:rPr>
                <w:rStyle w:val="Strong"/>
              </w:rPr>
              <w:t>Experimentation</w:t>
            </w:r>
          </w:p>
        </w:tc>
        <w:tc>
          <w:tcPr>
            <w:tcW w:w="3088" w:type="dxa"/>
            <w:tcBorders/>
            <w:vAlign w:val="center"/>
          </w:tcPr>
          <w:p>
            <w:pPr>
              <w:pStyle w:val="TableContents"/>
              <w:widowControl w:val="false"/>
              <w:suppressLineNumbers/>
              <w:spacing w:before="0" w:after="200"/>
              <w:rPr/>
            </w:pPr>
            <w:r>
              <w:rPr/>
              <w:t>Central to inquiry</w:t>
            </w:r>
          </w:p>
        </w:tc>
        <w:tc>
          <w:tcPr>
            <w:tcW w:w="3500" w:type="dxa"/>
            <w:tcBorders/>
            <w:vAlign w:val="center"/>
          </w:tcPr>
          <w:p>
            <w:pPr>
              <w:pStyle w:val="TableContents"/>
              <w:widowControl w:val="false"/>
              <w:suppressLineNumbers/>
              <w:spacing w:before="0" w:after="200"/>
              <w:rPr/>
            </w:pPr>
            <w:r>
              <w:rPr/>
              <w:t>Available as an implementation and validation method but not inherently required</w:t>
            </w:r>
          </w:p>
        </w:tc>
      </w:tr>
      <w:tr>
        <w:trPr/>
        <w:tc>
          <w:tcPr>
            <w:tcW w:w="2052" w:type="dxa"/>
            <w:tcBorders/>
            <w:vAlign w:val="center"/>
          </w:tcPr>
          <w:p>
            <w:pPr>
              <w:pStyle w:val="TableContents"/>
              <w:widowControl w:val="false"/>
              <w:suppressLineNumbers/>
              <w:spacing w:before="0" w:after="200"/>
              <w:rPr/>
            </w:pPr>
            <w:r>
              <w:rPr>
                <w:rStyle w:val="Strong"/>
              </w:rPr>
              <w:t>Democracy</w:t>
            </w:r>
          </w:p>
        </w:tc>
        <w:tc>
          <w:tcPr>
            <w:tcW w:w="3088" w:type="dxa"/>
            <w:tcBorders/>
            <w:vAlign w:val="center"/>
          </w:tcPr>
          <w:p>
            <w:pPr>
              <w:pStyle w:val="TableContents"/>
              <w:widowControl w:val="false"/>
              <w:suppressLineNumbers/>
              <w:spacing w:before="0" w:after="200"/>
              <w:rPr/>
            </w:pPr>
            <w:r>
              <w:rPr/>
              <w:t>Often treated as a method of social inquiry and associated living</w:t>
            </w:r>
          </w:p>
        </w:tc>
        <w:tc>
          <w:tcPr>
            <w:tcW w:w="3500" w:type="dxa"/>
            <w:tcBorders/>
            <w:vAlign w:val="center"/>
          </w:tcPr>
          <w:p>
            <w:pPr>
              <w:pStyle w:val="TableContents"/>
              <w:widowControl w:val="false"/>
              <w:suppressLineNumbers/>
              <w:spacing w:before="0" w:after="200"/>
              <w:rPr/>
            </w:pPr>
            <w:r>
              <w:rPr/>
              <w:t>Participation affects information and legitimacy but is not independently foundational</w:t>
            </w:r>
          </w:p>
        </w:tc>
      </w:tr>
      <w:tr>
        <w:trPr/>
        <w:tc>
          <w:tcPr>
            <w:tcW w:w="2052" w:type="dxa"/>
            <w:tcBorders/>
            <w:vAlign w:val="center"/>
          </w:tcPr>
          <w:p>
            <w:pPr>
              <w:pStyle w:val="TableContents"/>
              <w:widowControl w:val="false"/>
              <w:suppressLineNumbers/>
              <w:spacing w:before="0" w:after="200"/>
              <w:rPr/>
            </w:pPr>
            <w:r>
              <w:rPr>
                <w:rStyle w:val="Strong"/>
              </w:rPr>
              <w:t>Ontology</w:t>
            </w:r>
          </w:p>
        </w:tc>
        <w:tc>
          <w:tcPr>
            <w:tcW w:w="3088" w:type="dxa"/>
            <w:tcBorders/>
            <w:vAlign w:val="center"/>
          </w:tcPr>
          <w:p>
            <w:pPr>
              <w:pStyle w:val="TableContents"/>
              <w:widowControl w:val="false"/>
              <w:suppressLineNumbers/>
              <w:spacing w:before="0" w:after="200"/>
              <w:rPr/>
            </w:pPr>
            <w:r>
              <w:rPr/>
              <w:t>Categories remain revisable instruments</w:t>
            </w:r>
          </w:p>
        </w:tc>
        <w:tc>
          <w:tcPr>
            <w:tcW w:w="3500" w:type="dxa"/>
            <w:tcBorders/>
            <w:vAlign w:val="center"/>
          </w:tcPr>
          <w:p>
            <w:pPr>
              <w:pStyle w:val="TableContents"/>
              <w:widowControl w:val="false"/>
              <w:suppressLineNumbers/>
              <w:spacing w:before="0" w:after="200"/>
              <w:rPr/>
            </w:pPr>
            <w:r>
              <w:rPr/>
              <w:t>Requires sufficiently stable definitions of Objects, Associations, states, and constraints</w:t>
            </w:r>
          </w:p>
        </w:tc>
      </w:tr>
      <w:tr>
        <w:trPr/>
        <w:tc>
          <w:tcPr>
            <w:tcW w:w="2052" w:type="dxa"/>
            <w:tcBorders/>
            <w:vAlign w:val="center"/>
          </w:tcPr>
          <w:p>
            <w:pPr>
              <w:pStyle w:val="TableContents"/>
              <w:widowControl w:val="false"/>
              <w:suppressLineNumbers/>
              <w:spacing w:before="0" w:after="200"/>
              <w:rPr/>
            </w:pPr>
            <w:r>
              <w:rPr>
                <w:rStyle w:val="Strong"/>
              </w:rPr>
              <w:t>Pluralism</w:t>
            </w:r>
          </w:p>
        </w:tc>
        <w:tc>
          <w:tcPr>
            <w:tcW w:w="3088" w:type="dxa"/>
            <w:tcBorders/>
            <w:vAlign w:val="center"/>
          </w:tcPr>
          <w:p>
            <w:pPr>
              <w:pStyle w:val="TableContents"/>
              <w:widowControl w:val="false"/>
              <w:suppressLineNumbers/>
              <w:spacing w:before="0" w:after="200"/>
              <w:rPr/>
            </w:pPr>
            <w:r>
              <w:rPr/>
              <w:t>Often welcomed as a condition of inquiry</w:t>
            </w:r>
          </w:p>
        </w:tc>
        <w:tc>
          <w:tcPr>
            <w:tcW w:w="3500" w:type="dxa"/>
            <w:tcBorders/>
            <w:vAlign w:val="center"/>
          </w:tcPr>
          <w:p>
            <w:pPr>
              <w:pStyle w:val="TableContents"/>
              <w:widowControl w:val="false"/>
              <w:suppressLineNumbers/>
              <w:spacing w:before="0" w:after="200"/>
              <w:rPr/>
            </w:pPr>
            <w:r>
              <w:rPr/>
              <w:t>Permitted but bounded by the Foundational Axiom and compatibility requirements</w:t>
            </w:r>
          </w:p>
        </w:tc>
      </w:tr>
      <w:tr>
        <w:trPr/>
        <w:tc>
          <w:tcPr>
            <w:tcW w:w="2052" w:type="dxa"/>
            <w:tcBorders/>
            <w:vAlign w:val="center"/>
          </w:tcPr>
          <w:p>
            <w:pPr>
              <w:pStyle w:val="TableContents"/>
              <w:widowControl w:val="false"/>
              <w:suppressLineNumbers/>
              <w:spacing w:before="0" w:after="200"/>
              <w:rPr/>
            </w:pPr>
            <w:r>
              <w:rPr>
                <w:rStyle w:val="Strong"/>
              </w:rPr>
              <w:t>Truth</w:t>
            </w:r>
          </w:p>
        </w:tc>
        <w:tc>
          <w:tcPr>
            <w:tcW w:w="3088" w:type="dxa"/>
            <w:tcBorders/>
            <w:vAlign w:val="center"/>
          </w:tcPr>
          <w:p>
            <w:pPr>
              <w:pStyle w:val="TableContents"/>
              <w:widowControl w:val="false"/>
              <w:suppressLineNumbers/>
              <w:spacing w:before="0" w:after="200"/>
              <w:rPr/>
            </w:pPr>
            <w:r>
              <w:rPr/>
              <w:t>Connected to inquiry, verification, and practical consequences</w:t>
            </w:r>
          </w:p>
        </w:tc>
        <w:tc>
          <w:tcPr>
            <w:tcW w:w="3500" w:type="dxa"/>
            <w:tcBorders/>
            <w:vAlign w:val="center"/>
          </w:tcPr>
          <w:p>
            <w:pPr>
              <w:pStyle w:val="TableContents"/>
              <w:widowControl w:val="false"/>
              <w:suppressLineNumbers/>
              <w:spacing w:before="0" w:after="200"/>
              <w:rPr/>
            </w:pPr>
            <w:r>
              <w:rPr/>
              <w:t>Assumes evidence can support increasingly reliable descriptions and predictions</w:t>
            </w:r>
          </w:p>
        </w:tc>
      </w:tr>
      <w:tr>
        <w:trPr/>
        <w:tc>
          <w:tcPr>
            <w:tcW w:w="2052" w:type="dxa"/>
            <w:tcBorders/>
            <w:vAlign w:val="center"/>
          </w:tcPr>
          <w:p>
            <w:pPr>
              <w:pStyle w:val="TableContents"/>
              <w:widowControl w:val="false"/>
              <w:suppressLineNumbers/>
              <w:spacing w:before="0" w:after="200"/>
              <w:rPr/>
            </w:pPr>
            <w:r>
              <w:rPr>
                <w:rStyle w:val="Strong"/>
              </w:rPr>
              <w:t>Responsibility</w:t>
            </w:r>
          </w:p>
        </w:tc>
        <w:tc>
          <w:tcPr>
            <w:tcW w:w="3088" w:type="dxa"/>
            <w:tcBorders/>
            <w:vAlign w:val="center"/>
          </w:tcPr>
          <w:p>
            <w:pPr>
              <w:pStyle w:val="TableContents"/>
              <w:widowControl w:val="false"/>
              <w:suppressLineNumbers/>
              <w:spacing w:before="0" w:after="200"/>
              <w:rPr/>
            </w:pPr>
            <w:r>
              <w:rPr/>
              <w:t>Often emphasizes reconstruction, learning, and forward-looking correction</w:t>
            </w:r>
          </w:p>
        </w:tc>
        <w:tc>
          <w:tcPr>
            <w:tcW w:w="3500" w:type="dxa"/>
            <w:tcBorders/>
            <w:vAlign w:val="center"/>
          </w:tcPr>
          <w:p>
            <w:pPr>
              <w:pStyle w:val="TableContents"/>
              <w:widowControl w:val="false"/>
              <w:suppressLineNumbers/>
              <w:spacing w:before="0" w:after="200"/>
              <w:rPr/>
            </w:pPr>
            <w:r>
              <w:rPr/>
              <w:t>Separates causal effect from responsibility using role, knowledge, intent, authority, and foreseeability</w:t>
            </w:r>
          </w:p>
        </w:tc>
      </w:tr>
      <w:tr>
        <w:trPr/>
        <w:tc>
          <w:tcPr>
            <w:tcW w:w="2052" w:type="dxa"/>
            <w:tcBorders/>
            <w:vAlign w:val="center"/>
          </w:tcPr>
          <w:p>
            <w:pPr>
              <w:pStyle w:val="TableContents"/>
              <w:widowControl w:val="false"/>
              <w:suppressLineNumbers/>
              <w:spacing w:before="0" w:after="200"/>
              <w:rPr/>
            </w:pPr>
            <w:r>
              <w:rPr>
                <w:rStyle w:val="Strong"/>
              </w:rPr>
              <w:t>Failure</w:t>
            </w:r>
          </w:p>
        </w:tc>
        <w:tc>
          <w:tcPr>
            <w:tcW w:w="3088" w:type="dxa"/>
            <w:tcBorders/>
            <w:vAlign w:val="center"/>
          </w:tcPr>
          <w:p>
            <w:pPr>
              <w:pStyle w:val="TableContents"/>
              <w:widowControl w:val="false"/>
              <w:suppressLineNumbers/>
              <w:spacing w:before="0" w:after="200"/>
              <w:rPr/>
            </w:pPr>
            <w:r>
              <w:rPr/>
              <w:t>A hypothesis, habit, or institution fails to resolve the problem or withstand inquiry</w:t>
            </w:r>
          </w:p>
        </w:tc>
        <w:tc>
          <w:tcPr>
            <w:tcW w:w="3500" w:type="dxa"/>
            <w:tcBorders/>
            <w:vAlign w:val="center"/>
          </w:tcPr>
          <w:p>
            <w:pPr>
              <w:pStyle w:val="TableContents"/>
              <w:widowControl w:val="false"/>
              <w:suppressLineNumbers/>
              <w:spacing w:before="0" w:after="200"/>
              <w:rPr/>
            </w:pPr>
            <w:r>
              <w:rPr/>
              <w:t>A transition unjustifiably diminishes Long-Term Flourishing</w:t>
            </w:r>
          </w:p>
        </w:tc>
      </w:tr>
      <w:tr>
        <w:trPr/>
        <w:tc>
          <w:tcPr>
            <w:tcW w:w="2052" w:type="dxa"/>
            <w:tcBorders/>
            <w:vAlign w:val="center"/>
          </w:tcPr>
          <w:p>
            <w:pPr>
              <w:pStyle w:val="TableContents"/>
              <w:widowControl w:val="false"/>
              <w:suppressLineNumbers/>
              <w:spacing w:before="0" w:after="200"/>
              <w:rPr/>
            </w:pPr>
            <w:r>
              <w:rPr>
                <w:rStyle w:val="Strong"/>
              </w:rPr>
              <w:t>Scale</w:t>
            </w:r>
          </w:p>
        </w:tc>
        <w:tc>
          <w:tcPr>
            <w:tcW w:w="3088" w:type="dxa"/>
            <w:tcBorders/>
            <w:vAlign w:val="center"/>
          </w:tcPr>
          <w:p>
            <w:pPr>
              <w:pStyle w:val="TableContents"/>
              <w:widowControl w:val="false"/>
              <w:suppressLineNumbers/>
              <w:spacing w:before="0" w:after="200"/>
              <w:rPr/>
            </w:pPr>
            <w:r>
              <w:rPr/>
              <w:t>Often begins with concrete problems in lived experience</w:t>
            </w:r>
          </w:p>
        </w:tc>
        <w:tc>
          <w:tcPr>
            <w:tcW w:w="3500" w:type="dxa"/>
            <w:tcBorders/>
            <w:vAlign w:val="center"/>
          </w:tcPr>
          <w:p>
            <w:pPr>
              <w:pStyle w:val="TableContents"/>
              <w:widowControl w:val="false"/>
              <w:suppressLineNumbers/>
              <w:spacing w:before="0" w:after="200"/>
              <w:rPr/>
            </w:pPr>
            <w:r>
              <w:rPr/>
              <w:t>Can begin at interpersonal, institutional, planetary, or other system scales</w:t>
            </w:r>
          </w:p>
        </w:tc>
      </w:tr>
      <w:tr>
        <w:trPr/>
        <w:tc>
          <w:tcPr>
            <w:tcW w:w="2052" w:type="dxa"/>
            <w:tcBorders/>
            <w:vAlign w:val="center"/>
          </w:tcPr>
          <w:p>
            <w:pPr>
              <w:pStyle w:val="TableContents"/>
              <w:widowControl w:val="false"/>
              <w:suppressLineNumbers/>
              <w:spacing w:before="0" w:after="200"/>
              <w:rPr/>
            </w:pPr>
            <w:r>
              <w:rPr>
                <w:rStyle w:val="Strong"/>
              </w:rPr>
              <w:t>Formalization</w:t>
            </w:r>
          </w:p>
        </w:tc>
        <w:tc>
          <w:tcPr>
            <w:tcW w:w="3088" w:type="dxa"/>
            <w:tcBorders/>
            <w:vAlign w:val="center"/>
          </w:tcPr>
          <w:p>
            <w:pPr>
              <w:pStyle w:val="TableContents"/>
              <w:widowControl w:val="false"/>
              <w:suppressLineNumbers/>
              <w:spacing w:before="0" w:after="200"/>
              <w:rPr/>
            </w:pPr>
            <w:r>
              <w:rPr/>
              <w:t>Cautions against allowing fixed abstractions to replace experience</w:t>
            </w:r>
          </w:p>
        </w:tc>
        <w:tc>
          <w:tcPr>
            <w:tcW w:w="3500" w:type="dxa"/>
            <w:tcBorders/>
            <w:vAlign w:val="center"/>
          </w:tcPr>
          <w:p>
            <w:pPr>
              <w:pStyle w:val="TableContents"/>
              <w:widowControl w:val="false"/>
              <w:suppressLineNumbers/>
              <w:spacing w:before="0" w:after="200"/>
              <w:rPr/>
            </w:pPr>
            <w:r>
              <w:rPr/>
              <w:t>Seeks reusable and potentially computational structures</w:t>
            </w:r>
          </w:p>
        </w:tc>
      </w:tr>
    </w:tbl>
    <w:p>
      <w:pPr>
        <w:pStyle w:val="Heading3"/>
        <w:spacing w:before="0" w:after="200"/>
        <w:ind w:hanging="0" w:left="0"/>
        <w:rPr>
          <w:rFonts w:ascii="Aptos" w:hAnsi="Aptos"/>
          <w:color w:val="auto"/>
        </w:rPr>
      </w:pPr>
      <w:r>
        <w:rPr>
          <w:rFonts w:ascii="Aptos" w:hAnsi="Aptos"/>
          <w:color w:val="auto"/>
        </w:rPr>
        <w:t>Potential Integration Opportunities</w:t>
      </w:r>
    </w:p>
    <w:p>
      <w:pPr>
        <w:pStyle w:val="BodyText"/>
        <w:spacing w:before="0" w:after="200"/>
        <w:rPr/>
      </w:pPr>
      <w:r>
        <w:rPr/>
        <w:t>The framework could integrate Pragmatism more explicitly through the following extensions:</w:t>
      </w:r>
    </w:p>
    <w:p>
      <w:pPr>
        <w:pStyle w:val="BodyText"/>
        <w:numPr>
          <w:ilvl w:val="0"/>
          <w:numId w:val="94"/>
        </w:numPr>
        <w:tabs>
          <w:tab w:val="clear" w:pos="720"/>
          <w:tab w:val="left" w:pos="0" w:leader="none"/>
        </w:tabs>
        <w:spacing w:before="0" w:after="200"/>
        <w:ind w:hanging="283" w:left="709"/>
        <w:rPr/>
      </w:pPr>
      <w:r>
        <w:rPr>
          <w:rStyle w:val="Strong"/>
        </w:rPr>
        <w:t>Add a formal inquiry cycle.</w:t>
      </w:r>
      <w:r>
        <w:rPr/>
        <w:t xml:space="preserve"> Each assessment could proceed through:</w:t>
      </w:r>
    </w:p>
    <w:p>
      <w:pPr>
        <w:pStyle w:val="BodyText"/>
        <w:numPr>
          <w:ilvl w:val="1"/>
          <w:numId w:val="94"/>
        </w:numPr>
        <w:tabs>
          <w:tab w:val="clear" w:pos="720"/>
          <w:tab w:val="left" w:pos="0" w:leader="none"/>
        </w:tabs>
        <w:spacing w:before="0" w:after="200"/>
        <w:ind w:hanging="283" w:left="1418"/>
        <w:rPr/>
      </w:pPr>
      <w:r>
        <w:rPr/>
        <w:t>Identification of the problematic situation;</w:t>
      </w:r>
    </w:p>
    <w:p>
      <w:pPr>
        <w:pStyle w:val="BodyText"/>
        <w:numPr>
          <w:ilvl w:val="1"/>
          <w:numId w:val="94"/>
        </w:numPr>
        <w:tabs>
          <w:tab w:val="clear" w:pos="720"/>
          <w:tab w:val="left" w:pos="0" w:leader="none"/>
        </w:tabs>
        <w:spacing w:before="0" w:after="200"/>
        <w:ind w:hanging="283" w:left="1418"/>
        <w:rPr/>
      </w:pPr>
      <w:r>
        <w:rPr/>
        <w:t>Collection of relevant experience and evidence;</w:t>
      </w:r>
    </w:p>
    <w:p>
      <w:pPr>
        <w:pStyle w:val="BodyText"/>
        <w:numPr>
          <w:ilvl w:val="1"/>
          <w:numId w:val="94"/>
        </w:numPr>
        <w:tabs>
          <w:tab w:val="clear" w:pos="720"/>
          <w:tab w:val="left" w:pos="0" w:leader="none"/>
        </w:tabs>
        <w:spacing w:before="0" w:after="200"/>
        <w:ind w:hanging="283" w:left="1418"/>
        <w:rPr/>
      </w:pPr>
      <w:r>
        <w:rPr/>
        <w:t>Generation of alternative explanations and actions;</w:t>
      </w:r>
    </w:p>
    <w:p>
      <w:pPr>
        <w:pStyle w:val="BodyText"/>
        <w:numPr>
          <w:ilvl w:val="1"/>
          <w:numId w:val="94"/>
        </w:numPr>
        <w:tabs>
          <w:tab w:val="clear" w:pos="720"/>
          <w:tab w:val="left" w:pos="0" w:leader="none"/>
        </w:tabs>
        <w:spacing w:before="0" w:after="200"/>
        <w:ind w:hanging="283" w:left="1418"/>
        <w:rPr/>
      </w:pPr>
      <w:r>
        <w:rPr/>
        <w:t>Prediction of practical consequences;</w:t>
      </w:r>
    </w:p>
    <w:p>
      <w:pPr>
        <w:pStyle w:val="BodyText"/>
        <w:numPr>
          <w:ilvl w:val="1"/>
          <w:numId w:val="94"/>
        </w:numPr>
        <w:tabs>
          <w:tab w:val="clear" w:pos="720"/>
          <w:tab w:val="left" w:pos="0" w:leader="none"/>
        </w:tabs>
        <w:spacing w:before="0" w:after="200"/>
        <w:ind w:hanging="283" w:left="1418"/>
        <w:rPr/>
      </w:pPr>
      <w:r>
        <w:rPr/>
        <w:t>Selection of a provisional action;</w:t>
      </w:r>
    </w:p>
    <w:p>
      <w:pPr>
        <w:pStyle w:val="BodyText"/>
        <w:numPr>
          <w:ilvl w:val="1"/>
          <w:numId w:val="94"/>
        </w:numPr>
        <w:tabs>
          <w:tab w:val="clear" w:pos="720"/>
          <w:tab w:val="left" w:pos="0" w:leader="none"/>
        </w:tabs>
        <w:spacing w:before="0" w:after="200"/>
        <w:ind w:hanging="283" w:left="1418"/>
        <w:rPr/>
      </w:pPr>
      <w:r>
        <w:rPr/>
        <w:t>Observation of actual effects;</w:t>
      </w:r>
    </w:p>
    <w:p>
      <w:pPr>
        <w:pStyle w:val="BodyText"/>
        <w:numPr>
          <w:ilvl w:val="1"/>
          <w:numId w:val="94"/>
        </w:numPr>
        <w:tabs>
          <w:tab w:val="clear" w:pos="720"/>
          <w:tab w:val="left" w:pos="0" w:leader="none"/>
        </w:tabs>
        <w:spacing w:before="0" w:after="200"/>
        <w:ind w:hanging="283" w:left="1418"/>
        <w:rPr/>
      </w:pPr>
      <w:r>
        <w:rPr/>
        <w:t>Comparison of predicted and observed transitions; and</w:t>
      </w:r>
    </w:p>
    <w:p>
      <w:pPr>
        <w:pStyle w:val="BodyText"/>
        <w:numPr>
          <w:ilvl w:val="1"/>
          <w:numId w:val="94"/>
        </w:numPr>
        <w:tabs>
          <w:tab w:val="clear" w:pos="720"/>
          <w:tab w:val="left" w:pos="0" w:leader="none"/>
        </w:tabs>
        <w:spacing w:before="0" w:after="200"/>
        <w:ind w:hanging="283" w:left="1418"/>
        <w:rPr/>
      </w:pPr>
      <w:r>
        <w:rPr/>
        <w:t>Revision of beliefs, objectives, and policies.</w:t>
      </w:r>
    </w:p>
    <w:p>
      <w:pPr>
        <w:pStyle w:val="BodyText"/>
        <w:numPr>
          <w:ilvl w:val="0"/>
          <w:numId w:val="94"/>
        </w:numPr>
        <w:tabs>
          <w:tab w:val="clear" w:pos="720"/>
          <w:tab w:val="left" w:pos="0" w:leader="none"/>
        </w:tabs>
        <w:spacing w:before="0" w:after="200"/>
        <w:ind w:hanging="283" w:left="709"/>
        <w:rPr/>
      </w:pPr>
      <w:r>
        <w:rPr>
          <w:rStyle w:val="Strong"/>
        </w:rPr>
        <w:t>Apply the pragmatic maxim to every important concept.</w:t>
      </w:r>
      <w:r>
        <w:rPr/>
        <w:t xml:space="preserve"> Terms such as flourishing, autonomy, dignity, resilience, security, or fairness should be linked to identifiable practical differences in the World Context.</w:t>
      </w:r>
    </w:p>
    <w:p>
      <w:pPr>
        <w:pStyle w:val="BodyText"/>
        <w:numPr>
          <w:ilvl w:val="0"/>
          <w:numId w:val="94"/>
        </w:numPr>
        <w:tabs>
          <w:tab w:val="clear" w:pos="720"/>
          <w:tab w:val="left" w:pos="0" w:leader="none"/>
        </w:tabs>
        <w:spacing w:before="0" w:after="200"/>
        <w:ind w:hanging="283" w:left="709"/>
        <w:rPr/>
      </w:pPr>
      <w:r>
        <w:rPr>
          <w:rStyle w:val="Strong"/>
        </w:rPr>
        <w:t>Classify objectives as ends-in-view.</w:t>
      </w:r>
      <w:r>
        <w:rPr/>
        <w:t xml:space="preserve"> Objectives should include the problem they address, the evidence supporting them, the conditions under which they should be revised, and the consequences that would count as failure.</w:t>
      </w:r>
    </w:p>
    <w:p>
      <w:pPr>
        <w:pStyle w:val="BodyText"/>
        <w:numPr>
          <w:ilvl w:val="0"/>
          <w:numId w:val="94"/>
        </w:numPr>
        <w:tabs>
          <w:tab w:val="clear" w:pos="720"/>
          <w:tab w:val="left" w:pos="0" w:leader="none"/>
        </w:tabs>
        <w:spacing w:before="0" w:after="200"/>
        <w:ind w:hanging="283" w:left="709"/>
        <w:rPr/>
      </w:pPr>
      <w:r>
        <w:rPr>
          <w:rStyle w:val="Strong"/>
        </w:rPr>
        <w:t>Add explicit hypothesis provenance.</w:t>
      </w:r>
      <w:r>
        <w:rPr/>
        <w:t xml:space="preserve"> Each causal or moral claim could record who proposed it, what evidence supports it, what alternatives were considered, and what observations could challenge it.</w:t>
      </w:r>
    </w:p>
    <w:p>
      <w:pPr>
        <w:pStyle w:val="BodyText"/>
        <w:numPr>
          <w:ilvl w:val="0"/>
          <w:numId w:val="94"/>
        </w:numPr>
        <w:tabs>
          <w:tab w:val="clear" w:pos="720"/>
          <w:tab w:val="left" w:pos="0" w:leader="none"/>
        </w:tabs>
        <w:spacing w:before="0" w:after="200"/>
        <w:ind w:hanging="283" w:left="709"/>
        <w:rPr/>
      </w:pPr>
      <w:r>
        <w:rPr>
          <w:rStyle w:val="Strong"/>
        </w:rPr>
        <w:t>Use abductive generation of alternatives.</w:t>
      </w:r>
      <w:r>
        <w:rPr/>
        <w:t xml:space="preserve"> The framework should generate multiple plausible explanations and interventions before narrowing the action set.</w:t>
      </w:r>
    </w:p>
    <w:p>
      <w:pPr>
        <w:pStyle w:val="BodyText"/>
        <w:numPr>
          <w:ilvl w:val="0"/>
          <w:numId w:val="94"/>
        </w:numPr>
        <w:tabs>
          <w:tab w:val="clear" w:pos="720"/>
          <w:tab w:val="left" w:pos="0" w:leader="none"/>
        </w:tabs>
        <w:spacing w:before="0" w:after="200"/>
        <w:ind w:hanging="283" w:left="709"/>
        <w:rPr/>
      </w:pPr>
      <w:r>
        <w:rPr>
          <w:rStyle w:val="Strong"/>
        </w:rPr>
        <w:t>Prefer staged and reversible interventions.</w:t>
      </w:r>
      <w:r>
        <w:rPr/>
        <w:t xml:space="preserve"> Where uncertainty is substantial, pilots and bounded experiments can create information while limiting irreversible harm.</w:t>
      </w:r>
    </w:p>
    <w:p>
      <w:pPr>
        <w:pStyle w:val="BodyText"/>
        <w:numPr>
          <w:ilvl w:val="0"/>
          <w:numId w:val="94"/>
        </w:numPr>
        <w:tabs>
          <w:tab w:val="clear" w:pos="720"/>
          <w:tab w:val="left" w:pos="0" w:leader="none"/>
        </w:tabs>
        <w:spacing w:before="0" w:after="200"/>
        <w:ind w:hanging="283" w:left="709"/>
        <w:rPr/>
      </w:pPr>
      <w:r>
        <w:rPr>
          <w:rStyle w:val="Strong"/>
        </w:rPr>
        <w:t>Require monitoring plans.</w:t>
      </w:r>
      <w:r>
        <w:rPr/>
        <w:t xml:space="preserve"> An approved action should specify which outcomes will be observed, when they will be reviewed, and who is responsible for responding to unexpected effects.</w:t>
      </w:r>
    </w:p>
    <w:p>
      <w:pPr>
        <w:pStyle w:val="BodyText"/>
        <w:numPr>
          <w:ilvl w:val="0"/>
          <w:numId w:val="94"/>
        </w:numPr>
        <w:tabs>
          <w:tab w:val="clear" w:pos="720"/>
          <w:tab w:val="left" w:pos="0" w:leader="none"/>
        </w:tabs>
        <w:spacing w:before="0" w:after="200"/>
        <w:ind w:hanging="283" w:left="709"/>
        <w:rPr/>
      </w:pPr>
      <w:r>
        <w:rPr>
          <w:rStyle w:val="Strong"/>
        </w:rPr>
        <w:t>Define stop, continue, and revision criteria.</w:t>
      </w:r>
      <w:r>
        <w:rPr/>
        <w:t xml:space="preserve"> Decision-makers should establish thresholds before implementation where possible, reducing the risk that institutional commitment will override adverse evidence.</w:t>
      </w:r>
    </w:p>
    <w:p>
      <w:pPr>
        <w:pStyle w:val="BodyText"/>
        <w:numPr>
          <w:ilvl w:val="0"/>
          <w:numId w:val="94"/>
        </w:numPr>
        <w:tabs>
          <w:tab w:val="clear" w:pos="720"/>
          <w:tab w:val="left" w:pos="0" w:leader="none"/>
        </w:tabs>
        <w:spacing w:before="0" w:after="200"/>
        <w:ind w:hanging="283" w:left="709"/>
        <w:rPr/>
      </w:pPr>
      <w:r>
        <w:rPr>
          <w:rStyle w:val="Strong"/>
        </w:rPr>
        <w:t>Compare predicted and actual transitions.</w:t>
      </w:r>
      <w:r>
        <w:rPr/>
        <w:t xml:space="preserve"> Differences should update causal models, confidence levels, responsibility assessments, and future action policies.</w:t>
      </w:r>
    </w:p>
    <w:p>
      <w:pPr>
        <w:pStyle w:val="BodyText"/>
        <w:numPr>
          <w:ilvl w:val="0"/>
          <w:numId w:val="94"/>
        </w:numPr>
        <w:tabs>
          <w:tab w:val="clear" w:pos="720"/>
          <w:tab w:val="left" w:pos="0" w:leader="none"/>
        </w:tabs>
        <w:spacing w:before="0" w:after="200"/>
        <w:ind w:hanging="283" w:left="709"/>
        <w:rPr/>
      </w:pPr>
      <w:r>
        <w:rPr>
          <w:rStyle w:val="Strong"/>
        </w:rPr>
        <w:t>Add affected-public participation.</w:t>
      </w:r>
      <w:r>
        <w:rPr/>
        <w:t xml:space="preserve"> Entities experiencing a policy’s effects should be included in problem definition, evidence gathering, evaluation, and revision.</w:t>
      </w:r>
    </w:p>
    <w:p>
      <w:pPr>
        <w:pStyle w:val="BodyText"/>
        <w:numPr>
          <w:ilvl w:val="0"/>
          <w:numId w:val="94"/>
        </w:numPr>
        <w:tabs>
          <w:tab w:val="clear" w:pos="720"/>
          <w:tab w:val="left" w:pos="0" w:leader="none"/>
        </w:tabs>
        <w:spacing w:before="0" w:after="200"/>
        <w:ind w:hanging="283" w:left="709"/>
        <w:rPr/>
      </w:pPr>
      <w:r>
        <w:rPr>
          <w:rStyle w:val="Strong"/>
        </w:rPr>
        <w:t>Create communities of inquiry.</w:t>
      </w:r>
      <w:r>
        <w:rPr/>
        <w:t xml:space="preserve"> Assessments should include relevant technical experts, ethical experts, affected parties, implementation personnel, and independent critics.</w:t>
      </w:r>
    </w:p>
    <w:p>
      <w:pPr>
        <w:pStyle w:val="BodyText"/>
        <w:numPr>
          <w:ilvl w:val="0"/>
          <w:numId w:val="94"/>
        </w:numPr>
        <w:tabs>
          <w:tab w:val="clear" w:pos="720"/>
          <w:tab w:val="left" w:pos="0" w:leader="none"/>
        </w:tabs>
        <w:spacing w:before="0" w:after="200"/>
        <w:ind w:hanging="283" w:left="709"/>
        <w:rPr/>
      </w:pPr>
      <w:r>
        <w:rPr>
          <w:rStyle w:val="Strong"/>
        </w:rPr>
        <w:t>Preserve structured dissent.</w:t>
      </w:r>
      <w:r>
        <w:rPr/>
        <w:t xml:space="preserve"> Minority findings and unresolved objections should remain attached to the assessment rather than disappearing when a decision is reached.</w:t>
      </w:r>
    </w:p>
    <w:p>
      <w:pPr>
        <w:pStyle w:val="BodyText"/>
        <w:numPr>
          <w:ilvl w:val="0"/>
          <w:numId w:val="94"/>
        </w:numPr>
        <w:tabs>
          <w:tab w:val="clear" w:pos="720"/>
          <w:tab w:val="left" w:pos="0" w:leader="none"/>
        </w:tabs>
        <w:spacing w:before="0" w:after="200"/>
        <w:ind w:hanging="283" w:left="709"/>
        <w:rPr/>
      </w:pPr>
      <w:r>
        <w:rPr>
          <w:rStyle w:val="Strong"/>
        </w:rPr>
        <w:t>Evaluate habits and institutional routines.</w:t>
      </w:r>
      <w:r>
        <w:rPr/>
        <w:t xml:space="preserve"> The framework should ask not only whether a particular action is acceptable but what recurring policy the action establishes.</w:t>
      </w:r>
    </w:p>
    <w:p>
      <w:pPr>
        <w:pStyle w:val="BodyText"/>
        <w:numPr>
          <w:ilvl w:val="0"/>
          <w:numId w:val="94"/>
        </w:numPr>
        <w:tabs>
          <w:tab w:val="clear" w:pos="720"/>
          <w:tab w:val="left" w:pos="0" w:leader="none"/>
        </w:tabs>
        <w:spacing w:before="0" w:after="200"/>
        <w:ind w:hanging="283" w:left="709"/>
        <w:rPr/>
      </w:pPr>
      <w:r>
        <w:rPr>
          <w:rStyle w:val="Strong"/>
        </w:rPr>
        <w:t>Reassess means and ends together.</w:t>
      </w:r>
      <w:r>
        <w:rPr/>
        <w:t xml:space="preserve"> If the means undermine the original objective, alter the affected entities, or create new dependencies, the objective itself should be reconsidered.</w:t>
      </w:r>
    </w:p>
    <w:p>
      <w:pPr>
        <w:pStyle w:val="BodyText"/>
        <w:numPr>
          <w:ilvl w:val="0"/>
          <w:numId w:val="94"/>
        </w:numPr>
        <w:tabs>
          <w:tab w:val="clear" w:pos="720"/>
          <w:tab w:val="left" w:pos="0" w:leader="none"/>
        </w:tabs>
        <w:spacing w:before="0" w:after="200"/>
        <w:ind w:hanging="283" w:left="709"/>
        <w:rPr/>
      </w:pPr>
      <w:r>
        <w:rPr>
          <w:rStyle w:val="Strong"/>
        </w:rPr>
        <w:t>Include qualitative experience.</w:t>
      </w:r>
      <w:r>
        <w:rPr/>
        <w:t xml:space="preserve"> Testimony, narrative, observation, and lived experience should supplement numerical metrics where they reveal consequences not otherwise represented.</w:t>
      </w:r>
    </w:p>
    <w:p>
      <w:pPr>
        <w:pStyle w:val="BodyText"/>
        <w:numPr>
          <w:ilvl w:val="0"/>
          <w:numId w:val="94"/>
        </w:numPr>
        <w:tabs>
          <w:tab w:val="clear" w:pos="720"/>
          <w:tab w:val="left" w:pos="0" w:leader="none"/>
        </w:tabs>
        <w:spacing w:before="0" w:after="200"/>
        <w:ind w:hanging="283" w:left="709"/>
        <w:rPr/>
      </w:pPr>
      <w:r>
        <w:rPr>
          <w:rStyle w:val="Strong"/>
        </w:rPr>
        <w:t>Version ethical models and definitions.</w:t>
      </w:r>
      <w:r>
        <w:rPr/>
        <w:t xml:space="preserve"> Changes to assumptions, categories, thresholds, and weights should be documented so that learning does not erase accountability.</w:t>
      </w:r>
    </w:p>
    <w:p>
      <w:pPr>
        <w:pStyle w:val="BodyText"/>
        <w:numPr>
          <w:ilvl w:val="0"/>
          <w:numId w:val="94"/>
        </w:numPr>
        <w:tabs>
          <w:tab w:val="clear" w:pos="720"/>
          <w:tab w:val="left" w:pos="0" w:leader="none"/>
        </w:tabs>
        <w:spacing w:before="0" w:after="200"/>
        <w:ind w:hanging="283" w:left="709"/>
        <w:rPr/>
      </w:pPr>
      <w:r>
        <w:rPr>
          <w:rStyle w:val="Strong"/>
        </w:rPr>
        <w:t>Add an epistemic-debt record.</w:t>
      </w:r>
      <w:r>
        <w:rPr/>
        <w:t xml:space="preserve"> Decisions made under time pressure or inadequate information should identify unresolved questions requiring later investigation.</w:t>
      </w:r>
    </w:p>
    <w:p>
      <w:pPr>
        <w:pStyle w:val="BodyText"/>
        <w:numPr>
          <w:ilvl w:val="0"/>
          <w:numId w:val="94"/>
        </w:numPr>
        <w:tabs>
          <w:tab w:val="clear" w:pos="720"/>
          <w:tab w:val="left" w:pos="0" w:leader="none"/>
        </w:tabs>
        <w:spacing w:before="0" w:after="200"/>
        <w:ind w:hanging="283" w:left="709"/>
        <w:rPr/>
      </w:pPr>
      <w:r>
        <w:rPr>
          <w:rStyle w:val="Strong"/>
        </w:rPr>
        <w:t>Assess the cost of inquiry.</w:t>
      </w:r>
      <w:r>
        <w:rPr/>
        <w:t xml:space="preserve"> Additional research is not always costless. Delay, experimentation, and information collection can themselves create harms that must be evaluated.</w:t>
      </w:r>
    </w:p>
    <w:p>
      <w:pPr>
        <w:pStyle w:val="BodyText"/>
        <w:numPr>
          <w:ilvl w:val="0"/>
          <w:numId w:val="94"/>
        </w:numPr>
        <w:tabs>
          <w:tab w:val="clear" w:pos="720"/>
          <w:tab w:val="left" w:pos="0" w:leader="none"/>
        </w:tabs>
        <w:spacing w:before="0" w:after="200"/>
        <w:ind w:hanging="283" w:left="709"/>
        <w:rPr/>
      </w:pPr>
      <w:r>
        <w:rPr>
          <w:rStyle w:val="Strong"/>
        </w:rPr>
        <w:t>Use plural success criteria.</w:t>
      </w:r>
      <w:r>
        <w:rPr/>
        <w:t xml:space="preserve"> A policy should not be declared successful based on a single metric when it affects multiple dimensions of flourishing.</w:t>
      </w:r>
    </w:p>
    <w:p>
      <w:pPr>
        <w:pStyle w:val="BodyText"/>
        <w:numPr>
          <w:ilvl w:val="0"/>
          <w:numId w:val="94"/>
        </w:numPr>
        <w:tabs>
          <w:tab w:val="clear" w:pos="720"/>
          <w:tab w:val="left" w:pos="0" w:leader="none"/>
        </w:tabs>
        <w:spacing w:before="0" w:after="200"/>
        <w:ind w:hanging="283" w:left="709"/>
        <w:rPr/>
      </w:pPr>
      <w:r>
        <w:rPr>
          <w:rStyle w:val="Strong"/>
        </w:rPr>
        <w:t>Add democratic-legitimacy indicators.</w:t>
      </w:r>
      <w:r>
        <w:rPr/>
        <w:t xml:space="preserve"> Relevant questions include who participated, whose knowledge was excluded, how disagreement was handled, and whether affected parties can seek revision.</w:t>
      </w:r>
    </w:p>
    <w:p>
      <w:pPr>
        <w:pStyle w:val="BodyText"/>
        <w:numPr>
          <w:ilvl w:val="0"/>
          <w:numId w:val="94"/>
        </w:numPr>
        <w:tabs>
          <w:tab w:val="clear" w:pos="720"/>
          <w:tab w:val="left" w:pos="0" w:leader="none"/>
        </w:tabs>
        <w:spacing w:before="0" w:after="200"/>
        <w:ind w:hanging="283" w:left="709"/>
        <w:rPr/>
      </w:pPr>
      <w:r>
        <w:rPr>
          <w:rStyle w:val="Strong"/>
        </w:rPr>
        <w:t>Treat the Foundational Axiom as stable but interpretable.</w:t>
      </w:r>
      <w:r>
        <w:rPr/>
        <w:t xml:space="preserve"> Its core commitment may remain fixed while definitions, operational measures, entity classifications, and applications remain open to pragmatic revision.</w:t>
      </w:r>
    </w:p>
    <w:p>
      <w:pPr>
        <w:pStyle w:val="BodyText"/>
        <w:numPr>
          <w:ilvl w:val="0"/>
          <w:numId w:val="94"/>
        </w:numPr>
        <w:tabs>
          <w:tab w:val="clear" w:pos="720"/>
          <w:tab w:val="left" w:pos="0" w:leader="none"/>
        </w:tabs>
        <w:spacing w:before="0" w:after="200"/>
        <w:ind w:hanging="283" w:left="709"/>
        <w:rPr/>
      </w:pPr>
      <w:r>
        <w:rPr>
          <w:rStyle w:val="Strong"/>
        </w:rPr>
        <w:t>Prevent “whatever works” reasoning.</w:t>
      </w:r>
      <w:r>
        <w:rPr/>
        <w:t xml:space="preserve"> Practical success should remain constrained by rights, legitimacy, nondiscrimination, protected minimums, and the distribution of benefits and burdens.</w:t>
      </w:r>
    </w:p>
    <w:p>
      <w:pPr>
        <w:pStyle w:val="BodyText"/>
        <w:numPr>
          <w:ilvl w:val="0"/>
          <w:numId w:val="94"/>
        </w:numPr>
        <w:tabs>
          <w:tab w:val="clear" w:pos="720"/>
          <w:tab w:val="left" w:pos="0" w:leader="none"/>
        </w:tabs>
        <w:spacing w:before="0" w:after="200"/>
        <w:ind w:hanging="283" w:left="709"/>
        <w:rPr/>
      </w:pPr>
      <w:r>
        <w:rPr>
          <w:rStyle w:val="Strong"/>
        </w:rPr>
        <w:t>Add institutional learning requirements.</w:t>
      </w:r>
      <w:r>
        <w:rPr/>
        <w:t xml:space="preserve"> Organizations should demonstrate how observed failures change procedures, training, authority, and future decision policies.</w:t>
      </w:r>
    </w:p>
    <w:p>
      <w:pPr>
        <w:pStyle w:val="BodyText"/>
        <w:numPr>
          <w:ilvl w:val="0"/>
          <w:numId w:val="94"/>
        </w:numPr>
        <w:tabs>
          <w:tab w:val="clear" w:pos="720"/>
          <w:tab w:val="left" w:pos="0" w:leader="none"/>
        </w:tabs>
        <w:spacing w:before="0" w:after="200"/>
        <w:ind w:hanging="283" w:left="709"/>
        <w:rPr/>
      </w:pPr>
      <w:r>
        <w:rPr>
          <w:rStyle w:val="Strong"/>
        </w:rPr>
        <w:t>Empirically validate Distributed Policy Effects.</w:t>
      </w:r>
      <w:r>
        <w:rPr/>
        <w:t xml:space="preserve"> The framework should compare predicted changes in habits and institutions with observed behavior over time.</w:t>
      </w:r>
    </w:p>
    <w:p>
      <w:pPr>
        <w:pStyle w:val="BodyText"/>
        <w:numPr>
          <w:ilvl w:val="0"/>
          <w:numId w:val="94"/>
        </w:numPr>
        <w:tabs>
          <w:tab w:val="clear" w:pos="720"/>
          <w:tab w:val="left" w:pos="0" w:leader="none"/>
        </w:tabs>
        <w:spacing w:before="0" w:after="200"/>
        <w:ind w:hanging="283" w:left="709"/>
        <w:rPr/>
      </w:pPr>
      <w:r>
        <w:rPr>
          <w:rStyle w:val="Strong"/>
        </w:rPr>
        <w:t>Produce a separate inquiry-quality finding.</w:t>
      </w:r>
      <w:r>
        <w:rPr/>
        <w:t xml:space="preserve"> Each assessment could report:</w:t>
      </w:r>
    </w:p>
    <w:p>
      <w:pPr>
        <w:pStyle w:val="BodyText"/>
        <w:numPr>
          <w:ilvl w:val="0"/>
          <w:numId w:val="95"/>
        </w:numPr>
        <w:tabs>
          <w:tab w:val="clear" w:pos="720"/>
          <w:tab w:val="left" w:pos="0" w:leader="none"/>
        </w:tabs>
        <w:spacing w:before="0" w:after="200"/>
        <w:ind w:hanging="283" w:left="709"/>
        <w:rPr/>
      </w:pPr>
      <w:r>
        <w:rPr/>
        <w:t>Whether the problem was adequately defined;</w:t>
      </w:r>
    </w:p>
    <w:p>
      <w:pPr>
        <w:pStyle w:val="BodyText"/>
        <w:numPr>
          <w:ilvl w:val="0"/>
          <w:numId w:val="95"/>
        </w:numPr>
        <w:tabs>
          <w:tab w:val="clear" w:pos="720"/>
          <w:tab w:val="left" w:pos="0" w:leader="none"/>
        </w:tabs>
        <w:spacing w:before="0" w:after="200"/>
        <w:ind w:hanging="283" w:left="709"/>
        <w:rPr/>
      </w:pPr>
      <w:r>
        <w:rPr/>
        <w:t>Which perspectives participated;</w:t>
      </w:r>
    </w:p>
    <w:p>
      <w:pPr>
        <w:pStyle w:val="BodyText"/>
        <w:numPr>
          <w:ilvl w:val="0"/>
          <w:numId w:val="95"/>
        </w:numPr>
        <w:tabs>
          <w:tab w:val="clear" w:pos="720"/>
          <w:tab w:val="left" w:pos="0" w:leader="none"/>
        </w:tabs>
        <w:spacing w:before="0" w:after="200"/>
        <w:ind w:hanging="283" w:left="709"/>
        <w:rPr/>
      </w:pPr>
      <w:r>
        <w:rPr/>
        <w:t>What hypotheses and alternatives were considered;</w:t>
      </w:r>
    </w:p>
    <w:p>
      <w:pPr>
        <w:pStyle w:val="BodyText"/>
        <w:numPr>
          <w:ilvl w:val="0"/>
          <w:numId w:val="95"/>
        </w:numPr>
        <w:tabs>
          <w:tab w:val="clear" w:pos="720"/>
          <w:tab w:val="left" w:pos="0" w:leader="none"/>
        </w:tabs>
        <w:spacing w:before="0" w:after="200"/>
        <w:ind w:hanging="283" w:left="709"/>
        <w:rPr/>
      </w:pPr>
      <w:r>
        <w:rPr/>
        <w:t>What evidence was available;</w:t>
      </w:r>
    </w:p>
    <w:p>
      <w:pPr>
        <w:pStyle w:val="BodyText"/>
        <w:numPr>
          <w:ilvl w:val="0"/>
          <w:numId w:val="95"/>
        </w:numPr>
        <w:tabs>
          <w:tab w:val="clear" w:pos="720"/>
          <w:tab w:val="left" w:pos="0" w:leader="none"/>
        </w:tabs>
        <w:spacing w:before="0" w:after="200"/>
        <w:ind w:hanging="283" w:left="709"/>
        <w:rPr/>
      </w:pPr>
      <w:r>
        <w:rPr/>
        <w:t>Which assumptions remain uncertain;</w:t>
      </w:r>
    </w:p>
    <w:p>
      <w:pPr>
        <w:pStyle w:val="BodyText"/>
        <w:numPr>
          <w:ilvl w:val="0"/>
          <w:numId w:val="95"/>
        </w:numPr>
        <w:tabs>
          <w:tab w:val="clear" w:pos="720"/>
          <w:tab w:val="left" w:pos="0" w:leader="none"/>
        </w:tabs>
        <w:spacing w:before="0" w:after="200"/>
        <w:ind w:hanging="283" w:left="709"/>
        <w:rPr/>
      </w:pPr>
      <w:r>
        <w:rPr/>
        <w:t>Whether the proposed action is reversible;</w:t>
      </w:r>
    </w:p>
    <w:p>
      <w:pPr>
        <w:pStyle w:val="BodyText"/>
        <w:numPr>
          <w:ilvl w:val="0"/>
          <w:numId w:val="95"/>
        </w:numPr>
        <w:tabs>
          <w:tab w:val="clear" w:pos="720"/>
          <w:tab w:val="left" w:pos="0" w:leader="none"/>
        </w:tabs>
        <w:spacing w:before="0" w:after="200"/>
        <w:ind w:hanging="283" w:left="709"/>
        <w:rPr/>
      </w:pPr>
      <w:r>
        <w:rPr/>
        <w:t>How consequences will be observed;</w:t>
      </w:r>
    </w:p>
    <w:p>
      <w:pPr>
        <w:pStyle w:val="BodyText"/>
        <w:numPr>
          <w:ilvl w:val="0"/>
          <w:numId w:val="95"/>
        </w:numPr>
        <w:tabs>
          <w:tab w:val="clear" w:pos="720"/>
          <w:tab w:val="left" w:pos="0" w:leader="none"/>
        </w:tabs>
        <w:spacing w:before="0" w:after="200"/>
        <w:ind w:hanging="283" w:left="709"/>
        <w:rPr/>
      </w:pPr>
      <w:r>
        <w:rPr/>
        <w:t>What would trigger revision;</w:t>
      </w:r>
    </w:p>
    <w:p>
      <w:pPr>
        <w:pStyle w:val="BodyText"/>
        <w:numPr>
          <w:ilvl w:val="0"/>
          <w:numId w:val="95"/>
        </w:numPr>
        <w:tabs>
          <w:tab w:val="clear" w:pos="720"/>
          <w:tab w:val="left" w:pos="0" w:leader="none"/>
        </w:tabs>
        <w:spacing w:before="0" w:after="200"/>
        <w:ind w:hanging="283" w:left="709"/>
        <w:rPr/>
      </w:pPr>
      <w:r>
        <w:rPr/>
        <w:t>Whether dissent was preserved; and</w:t>
      </w:r>
    </w:p>
    <w:p>
      <w:pPr>
        <w:pStyle w:val="BodyText"/>
        <w:numPr>
          <w:ilvl w:val="0"/>
          <w:numId w:val="95"/>
        </w:numPr>
        <w:tabs>
          <w:tab w:val="clear" w:pos="720"/>
          <w:tab w:val="left" w:pos="0" w:leader="none"/>
        </w:tabs>
        <w:spacing w:before="0" w:after="200"/>
        <w:ind w:hanging="283" w:left="709"/>
        <w:rPr/>
      </w:pPr>
      <w:r>
        <w:rPr/>
        <w:t>How the inquiry will continue after implementation.</w:t>
      </w:r>
    </w:p>
    <w:p>
      <w:pPr>
        <w:pStyle w:val="BodyText"/>
        <w:spacing w:before="0" w:after="200"/>
        <w:rPr/>
      </w:pPr>
      <w:r>
        <w:rPr/>
        <w:t>Pragmatism could make this framework more adaptive, participatory, and empirically self-correcting. The framework could provide Pragmatism with a stable normative boundary: practical success is ethically meaningful only when it promotes compatible Long-Term Flourishing rather than merely achieving the objectives of the most powerful actor.</w:t>
      </w:r>
    </w:p>
    <w:p>
      <w:pPr>
        <w:pStyle w:val="Heading2"/>
        <w:rPr/>
      </w:pPr>
      <w:r>
        <w:rPr/>
        <w:t>Contractarianism / Social Contract Theory</w:t>
      </w:r>
    </w:p>
    <w:p>
      <w:pPr>
        <w:pStyle w:val="BodyText"/>
        <w:spacing w:before="0" w:after="200"/>
        <w:rPr/>
      </w:pPr>
      <w:r>
        <w:rPr/>
        <w:t xml:space="preserve">Social Contract Theory is a family of moral and political theories that justifies rules, institutions, duties, or political authority by reference to agreement among persons. The agreement may be historical, actual, tacit, hypothetical, or constructed through an idealized decision procedure. Its central question is whether persons subject to a rule or institution have adequate reason to endorse it and comply with it. </w:t>
      </w:r>
      <w:hyperlink r:id="rId66">
        <w:r>
          <w:rPr>
            <w:rStyle w:val="Hyperlink"/>
          </w:rPr>
          <w:t>Stanford Encyclopedia of Philosophy</w:t>
        </w:r>
      </w:hyperlink>
    </w:p>
    <w:p>
      <w:pPr>
        <w:pStyle w:val="BodyText"/>
        <w:spacing w:before="0" w:after="200"/>
        <w:rPr/>
      </w:pPr>
      <w:r>
        <w:rPr/>
        <w:t>Several related traditions should be distinguished:</w:t>
      </w:r>
    </w:p>
    <w:p>
      <w:pPr>
        <w:pStyle w:val="BodyText"/>
        <w:numPr>
          <w:ilvl w:val="0"/>
          <w:numId w:val="102"/>
        </w:numPr>
        <w:tabs>
          <w:tab w:val="clear" w:pos="720"/>
          <w:tab w:val="left" w:pos="0" w:leader="none"/>
        </w:tabs>
        <w:spacing w:before="0" w:after="200"/>
        <w:ind w:hanging="283" w:left="709"/>
        <w:rPr/>
      </w:pPr>
      <w:r>
        <w:rPr>
          <w:rStyle w:val="Strong"/>
        </w:rPr>
        <w:t>Political social-contract theory</w:t>
      </w:r>
      <w:r>
        <w:rPr/>
        <w:t xml:space="preserve"> asks what makes government and political authority legitimate.</w:t>
      </w:r>
    </w:p>
    <w:p>
      <w:pPr>
        <w:pStyle w:val="BodyText"/>
        <w:numPr>
          <w:ilvl w:val="0"/>
          <w:numId w:val="102"/>
        </w:numPr>
        <w:tabs>
          <w:tab w:val="clear" w:pos="720"/>
          <w:tab w:val="left" w:pos="0" w:leader="none"/>
        </w:tabs>
        <w:spacing w:before="0" w:after="200"/>
        <w:ind w:hanging="283" w:left="709"/>
        <w:rPr/>
      </w:pPr>
      <w:r>
        <w:rPr>
          <w:rStyle w:val="Strong"/>
        </w:rPr>
        <w:t>Contractarianism</w:t>
      </w:r>
      <w:r>
        <w:rPr/>
        <w:t xml:space="preserve"> commonly derives moral constraints from the agreement of rational agents seeking mutual advantage.</w:t>
      </w:r>
    </w:p>
    <w:p>
      <w:pPr>
        <w:pStyle w:val="BodyText"/>
        <w:numPr>
          <w:ilvl w:val="0"/>
          <w:numId w:val="102"/>
        </w:numPr>
        <w:tabs>
          <w:tab w:val="clear" w:pos="720"/>
          <w:tab w:val="left" w:pos="0" w:leader="none"/>
        </w:tabs>
        <w:spacing w:before="0" w:after="200"/>
        <w:ind w:hanging="283" w:left="709"/>
        <w:rPr/>
      </w:pPr>
      <w:r>
        <w:rPr>
          <w:rStyle w:val="Strong"/>
        </w:rPr>
        <w:t>Rawlsian social-contract theory</w:t>
      </w:r>
      <w:r>
        <w:rPr/>
        <w:t xml:space="preserve"> uses a hypothetical original position to identify fair principles for society’s basic structure.</w:t>
      </w:r>
    </w:p>
    <w:p>
      <w:pPr>
        <w:pStyle w:val="BodyText"/>
        <w:numPr>
          <w:ilvl w:val="0"/>
          <w:numId w:val="102"/>
        </w:numPr>
        <w:tabs>
          <w:tab w:val="clear" w:pos="720"/>
          <w:tab w:val="left" w:pos="0" w:leader="none"/>
        </w:tabs>
        <w:spacing w:before="0" w:after="200"/>
        <w:ind w:hanging="283" w:left="709"/>
        <w:rPr/>
      </w:pPr>
      <w:r>
        <w:rPr>
          <w:rStyle w:val="Strong"/>
        </w:rPr>
        <w:t>Contractualism</w:t>
      </w:r>
      <w:r>
        <w:rPr/>
        <w:t>, particularly T. M. Scanlon’s version, asks whether a principle could be reasonably rejected by persons seeking principles that others similarly motivated could accept.</w:t>
      </w:r>
    </w:p>
    <w:p>
      <w:pPr>
        <w:pStyle w:val="BodyText"/>
        <w:spacing w:before="0" w:after="200"/>
        <w:rPr/>
      </w:pPr>
      <w:r>
        <w:rPr/>
        <w:t>These traditions all use agreement or justifiability, but they differ concerning who participates, what motivates the parties, what information they possess, and what makes the resulting agreement morally authoritative.</w:t>
      </w:r>
    </w:p>
    <w:p>
      <w:pPr>
        <w:pStyle w:val="Heading3"/>
        <w:spacing w:before="0" w:after="200"/>
        <w:ind w:hanging="0" w:left="0"/>
        <w:rPr>
          <w:rFonts w:ascii="Aptos" w:hAnsi="Aptos"/>
          <w:color w:val="auto"/>
        </w:rPr>
      </w:pPr>
      <w:r>
        <w:rPr>
          <w:rFonts w:ascii="Aptos" w:hAnsi="Aptos"/>
          <w:color w:val="auto"/>
        </w:rPr>
        <w:t>Primary Experts</w:t>
      </w:r>
    </w:p>
    <w:tbl>
      <w:tblPr>
        <w:tblW w:w="8640" w:type="dxa"/>
        <w:jc w:val="left"/>
        <w:tblInd w:w="28" w:type="dxa"/>
        <w:tblLayout w:type="fixed"/>
        <w:tblCellMar>
          <w:top w:w="28" w:type="dxa"/>
          <w:left w:w="28" w:type="dxa"/>
          <w:bottom w:w="28" w:type="dxa"/>
          <w:right w:w="28" w:type="dxa"/>
        </w:tblCellMar>
      </w:tblPr>
      <w:tblGrid>
        <w:gridCol w:w="1545"/>
        <w:gridCol w:w="740"/>
        <w:gridCol w:w="2056"/>
        <w:gridCol w:w="4299"/>
      </w:tblGrid>
      <w:tr>
        <w:trPr>
          <w:tblHeader w:val="true"/>
        </w:trPr>
        <w:tc>
          <w:tcPr>
            <w:tcW w:w="1545" w:type="dxa"/>
            <w:tcBorders/>
            <w:vAlign w:val="center"/>
          </w:tcPr>
          <w:p>
            <w:pPr>
              <w:pStyle w:val="TableHeading"/>
              <w:suppressLineNumbers/>
              <w:spacing w:before="0" w:after="200"/>
              <w:jc w:val="center"/>
              <w:rPr/>
            </w:pPr>
            <w:r>
              <w:rPr/>
              <w:t>Expert</w:t>
            </w:r>
          </w:p>
        </w:tc>
        <w:tc>
          <w:tcPr>
            <w:tcW w:w="740" w:type="dxa"/>
            <w:tcBorders/>
            <w:vAlign w:val="center"/>
          </w:tcPr>
          <w:p>
            <w:pPr>
              <w:pStyle w:val="TableHeading"/>
              <w:spacing w:before="0" w:after="200"/>
              <w:jc w:val="right"/>
              <w:rPr/>
            </w:pPr>
            <w:r>
              <w:rPr/>
              <w:t>Years</w:t>
            </w:r>
          </w:p>
        </w:tc>
        <w:tc>
          <w:tcPr>
            <w:tcW w:w="2056" w:type="dxa"/>
            <w:tcBorders/>
            <w:vAlign w:val="center"/>
          </w:tcPr>
          <w:p>
            <w:pPr>
              <w:pStyle w:val="TableHeading"/>
              <w:suppressLineNumbers/>
              <w:spacing w:before="0" w:after="200"/>
              <w:jc w:val="center"/>
              <w:rPr/>
            </w:pPr>
            <w:r>
              <w:rPr/>
              <w:t>Associated institution or setting</w:t>
            </w:r>
          </w:p>
        </w:tc>
        <w:tc>
          <w:tcPr>
            <w:tcW w:w="4299" w:type="dxa"/>
            <w:tcBorders/>
            <w:vAlign w:val="center"/>
          </w:tcPr>
          <w:p>
            <w:pPr>
              <w:pStyle w:val="TableHeading"/>
              <w:suppressLineNumbers/>
              <w:spacing w:before="0" w:after="200"/>
              <w:jc w:val="center"/>
              <w:rPr/>
            </w:pPr>
            <w:r>
              <w:rPr/>
              <w:t>Principal contribution</w:t>
            </w:r>
          </w:p>
        </w:tc>
      </w:tr>
      <w:tr>
        <w:trPr/>
        <w:tc>
          <w:tcPr>
            <w:tcW w:w="1545" w:type="dxa"/>
            <w:tcBorders/>
            <w:vAlign w:val="center"/>
          </w:tcPr>
          <w:p>
            <w:pPr>
              <w:pStyle w:val="TableContents"/>
              <w:widowControl w:val="false"/>
              <w:suppressLineNumbers/>
              <w:spacing w:before="0" w:after="200"/>
              <w:rPr/>
            </w:pPr>
            <w:r>
              <w:rPr>
                <w:rStyle w:val="Strong"/>
              </w:rPr>
              <w:t>Thomas Hobbes</w:t>
            </w:r>
          </w:p>
        </w:tc>
        <w:tc>
          <w:tcPr>
            <w:tcW w:w="740" w:type="dxa"/>
            <w:tcBorders/>
            <w:vAlign w:val="center"/>
          </w:tcPr>
          <w:p>
            <w:pPr>
              <w:pStyle w:val="TableContents"/>
              <w:spacing w:before="0" w:after="200"/>
              <w:jc w:val="right"/>
              <w:rPr/>
            </w:pPr>
            <w:r>
              <w:rPr/>
              <w:t>1588–1679</w:t>
            </w:r>
          </w:p>
        </w:tc>
        <w:tc>
          <w:tcPr>
            <w:tcW w:w="2056" w:type="dxa"/>
            <w:tcBorders/>
            <w:vAlign w:val="center"/>
          </w:tcPr>
          <w:p>
            <w:pPr>
              <w:pStyle w:val="TableContents"/>
              <w:widowControl w:val="false"/>
              <w:suppressLineNumbers/>
              <w:spacing w:before="0" w:after="200"/>
              <w:rPr/>
            </w:pPr>
            <w:r>
              <w:rPr/>
              <w:t>Magdalen Hall, Oxford; Cavendish household</w:t>
            </w:r>
          </w:p>
        </w:tc>
        <w:tc>
          <w:tcPr>
            <w:tcW w:w="4299" w:type="dxa"/>
            <w:tcBorders/>
            <w:vAlign w:val="center"/>
          </w:tcPr>
          <w:p>
            <w:pPr>
              <w:pStyle w:val="TableContents"/>
              <w:widowControl w:val="false"/>
              <w:suppressLineNumbers/>
              <w:spacing w:before="0" w:after="200"/>
              <w:rPr/>
            </w:pPr>
            <w:r>
              <w:rPr/>
              <w:t xml:space="preserve">Developed one of the first comprehensive modern social-contract theories. Hobbes argued that rational persons have reason to authorize a powerful sovereign to secure peace and escape the insecurity of a condition without common authority. </w:t>
            </w:r>
            <w:hyperlink r:id="rId67">
              <w:r>
                <w:rPr>
                  <w:rStyle w:val="Hyperlink"/>
                </w:rPr>
                <w:t>Stanford Encyclopedia of Philosophy</w:t>
              </w:r>
            </w:hyperlink>
          </w:p>
        </w:tc>
      </w:tr>
      <w:tr>
        <w:trPr/>
        <w:tc>
          <w:tcPr>
            <w:tcW w:w="1545" w:type="dxa"/>
            <w:tcBorders/>
            <w:vAlign w:val="center"/>
          </w:tcPr>
          <w:p>
            <w:pPr>
              <w:pStyle w:val="TableContents"/>
              <w:widowControl w:val="false"/>
              <w:suppressLineNumbers/>
              <w:spacing w:before="0" w:after="200"/>
              <w:rPr/>
            </w:pPr>
            <w:r>
              <w:rPr>
                <w:rStyle w:val="Strong"/>
              </w:rPr>
              <w:t>John Locke</w:t>
            </w:r>
          </w:p>
        </w:tc>
        <w:tc>
          <w:tcPr>
            <w:tcW w:w="740" w:type="dxa"/>
            <w:tcBorders/>
            <w:vAlign w:val="center"/>
          </w:tcPr>
          <w:p>
            <w:pPr>
              <w:pStyle w:val="TableContents"/>
              <w:spacing w:before="0" w:after="200"/>
              <w:jc w:val="right"/>
              <w:rPr/>
            </w:pPr>
            <w:r>
              <w:rPr/>
              <w:t>1632–1704</w:t>
            </w:r>
          </w:p>
        </w:tc>
        <w:tc>
          <w:tcPr>
            <w:tcW w:w="2056" w:type="dxa"/>
            <w:tcBorders/>
            <w:vAlign w:val="center"/>
          </w:tcPr>
          <w:p>
            <w:pPr>
              <w:pStyle w:val="TableContents"/>
              <w:widowControl w:val="false"/>
              <w:suppressLineNumbers/>
              <w:spacing w:before="0" w:after="200"/>
              <w:rPr/>
            </w:pPr>
            <w:r>
              <w:rPr/>
              <w:t>Christ Church, University of Oxford</w:t>
            </w:r>
          </w:p>
        </w:tc>
        <w:tc>
          <w:tcPr>
            <w:tcW w:w="4299" w:type="dxa"/>
            <w:tcBorders/>
            <w:vAlign w:val="center"/>
          </w:tcPr>
          <w:p>
            <w:pPr>
              <w:pStyle w:val="TableContents"/>
              <w:widowControl w:val="false"/>
              <w:suppressLineNumbers/>
              <w:spacing w:before="0" w:after="200"/>
              <w:rPr/>
            </w:pPr>
            <w:r>
              <w:rPr/>
              <w:t xml:space="preserve">Grounded legitimate political authority in the consent of free persons who possess natural rights. Government is limited by its purpose of protecting life, liberty, and property and can forfeit legitimacy when it systematically violates that trust. </w:t>
            </w:r>
            <w:hyperlink r:id="rId68">
              <w:r>
                <w:rPr>
                  <w:rStyle w:val="Hyperlink"/>
                </w:rPr>
                <w:t>Stanford Encyclopedia of Philosophy</w:t>
              </w:r>
            </w:hyperlink>
          </w:p>
        </w:tc>
      </w:tr>
      <w:tr>
        <w:trPr/>
        <w:tc>
          <w:tcPr>
            <w:tcW w:w="1545" w:type="dxa"/>
            <w:tcBorders/>
            <w:vAlign w:val="center"/>
          </w:tcPr>
          <w:p>
            <w:pPr>
              <w:pStyle w:val="TableContents"/>
              <w:widowControl w:val="false"/>
              <w:suppressLineNumbers/>
              <w:spacing w:before="0" w:after="200"/>
              <w:rPr/>
            </w:pPr>
            <w:r>
              <w:rPr>
                <w:rStyle w:val="Strong"/>
              </w:rPr>
              <w:t>Jean-Jacques Rousseau</w:t>
            </w:r>
          </w:p>
        </w:tc>
        <w:tc>
          <w:tcPr>
            <w:tcW w:w="740" w:type="dxa"/>
            <w:tcBorders/>
            <w:vAlign w:val="center"/>
          </w:tcPr>
          <w:p>
            <w:pPr>
              <w:pStyle w:val="TableContents"/>
              <w:spacing w:before="0" w:after="200"/>
              <w:jc w:val="right"/>
              <w:rPr/>
            </w:pPr>
            <w:r>
              <w:rPr/>
              <w:t>1712–1778</w:t>
            </w:r>
          </w:p>
        </w:tc>
        <w:tc>
          <w:tcPr>
            <w:tcW w:w="2056" w:type="dxa"/>
            <w:tcBorders/>
            <w:vAlign w:val="center"/>
          </w:tcPr>
          <w:p>
            <w:pPr>
              <w:pStyle w:val="TableContents"/>
              <w:widowControl w:val="false"/>
              <w:suppressLineNumbers/>
              <w:spacing w:before="0" w:after="200"/>
              <w:rPr/>
            </w:pPr>
            <w:r>
              <w:rPr/>
              <w:t>Republic of Geneva; independent philosophical and literary practice</w:t>
            </w:r>
          </w:p>
        </w:tc>
        <w:tc>
          <w:tcPr>
            <w:tcW w:w="4299" w:type="dxa"/>
            <w:tcBorders/>
            <w:vAlign w:val="center"/>
          </w:tcPr>
          <w:p>
            <w:pPr>
              <w:pStyle w:val="TableContents"/>
              <w:widowControl w:val="false"/>
              <w:suppressLineNumbers/>
              <w:spacing w:before="0" w:after="200"/>
              <w:rPr/>
            </w:pPr>
            <w:r>
              <w:rPr/>
              <w:t xml:space="preserve">Sought a social contract under which persons remain free while subject to a common political order. He developed the concept of the general will as the shared civic standpoint from which citizens legislate for the common good. </w:t>
            </w:r>
            <w:hyperlink r:id="rId69">
              <w:r>
                <w:rPr>
                  <w:rStyle w:val="Hyperlink"/>
                </w:rPr>
                <w:t>Stanford Encyclopedia of Philosophy</w:t>
              </w:r>
            </w:hyperlink>
          </w:p>
        </w:tc>
      </w:tr>
      <w:tr>
        <w:trPr/>
        <w:tc>
          <w:tcPr>
            <w:tcW w:w="1545" w:type="dxa"/>
            <w:tcBorders/>
            <w:vAlign w:val="center"/>
          </w:tcPr>
          <w:p>
            <w:pPr>
              <w:pStyle w:val="TableContents"/>
              <w:widowControl w:val="false"/>
              <w:suppressLineNumbers/>
              <w:spacing w:before="0" w:after="200"/>
              <w:rPr/>
            </w:pPr>
            <w:r>
              <w:rPr>
                <w:rStyle w:val="Strong"/>
              </w:rPr>
              <w:t>John Rawls</w:t>
            </w:r>
          </w:p>
        </w:tc>
        <w:tc>
          <w:tcPr>
            <w:tcW w:w="740" w:type="dxa"/>
            <w:tcBorders/>
            <w:vAlign w:val="center"/>
          </w:tcPr>
          <w:p>
            <w:pPr>
              <w:pStyle w:val="TableContents"/>
              <w:spacing w:before="0" w:after="200"/>
              <w:jc w:val="right"/>
              <w:rPr/>
            </w:pPr>
            <w:r>
              <w:rPr/>
              <w:t>1921–2002</w:t>
            </w:r>
          </w:p>
        </w:tc>
        <w:tc>
          <w:tcPr>
            <w:tcW w:w="2056" w:type="dxa"/>
            <w:tcBorders/>
            <w:vAlign w:val="center"/>
          </w:tcPr>
          <w:p>
            <w:pPr>
              <w:pStyle w:val="TableContents"/>
              <w:widowControl w:val="false"/>
              <w:suppressLineNumbers/>
              <w:spacing w:before="0" w:after="200"/>
              <w:rPr/>
            </w:pPr>
            <w:r>
              <w:rPr/>
              <w:t>Harvard University, James Bryant Conant University Professor</w:t>
            </w:r>
          </w:p>
        </w:tc>
        <w:tc>
          <w:tcPr>
            <w:tcW w:w="4299" w:type="dxa"/>
            <w:tcBorders/>
            <w:vAlign w:val="center"/>
          </w:tcPr>
          <w:p>
            <w:pPr>
              <w:pStyle w:val="TableContents"/>
              <w:widowControl w:val="false"/>
              <w:suppressLineNumbers/>
              <w:spacing w:before="0" w:after="200"/>
              <w:rPr/>
            </w:pPr>
            <w:r>
              <w:rPr/>
              <w:t xml:space="preserve">Revived social-contract theory through “justice as fairness.” His original position and veil of ignorance model fair agreement on principles for society’s basic structure by preventing parties from designing institutions around arbitrary knowledge of their own social position. </w:t>
            </w:r>
            <w:hyperlink r:id="rId70">
              <w:r>
                <w:rPr>
                  <w:rStyle w:val="Hyperlink"/>
                </w:rPr>
                <w:t>Harvard University</w:t>
              </w:r>
            </w:hyperlink>
            <w:r>
              <w:rPr/>
              <w:t xml:space="preserve">, </w:t>
            </w:r>
            <w:hyperlink r:id="rId71">
              <w:r>
                <w:rPr>
                  <w:rStyle w:val="Hyperlink"/>
                </w:rPr>
                <w:t>Stanford Encyclopedia of Philosophy</w:t>
              </w:r>
            </w:hyperlink>
          </w:p>
        </w:tc>
      </w:tr>
      <w:tr>
        <w:trPr/>
        <w:tc>
          <w:tcPr>
            <w:tcW w:w="1545" w:type="dxa"/>
            <w:tcBorders/>
            <w:vAlign w:val="center"/>
          </w:tcPr>
          <w:p>
            <w:pPr>
              <w:pStyle w:val="TableContents"/>
              <w:widowControl w:val="false"/>
              <w:suppressLineNumbers/>
              <w:spacing w:before="0" w:after="200"/>
              <w:rPr/>
            </w:pPr>
            <w:r>
              <w:rPr>
                <w:rStyle w:val="Strong"/>
              </w:rPr>
              <w:t>David Gauthier</w:t>
            </w:r>
          </w:p>
        </w:tc>
        <w:tc>
          <w:tcPr>
            <w:tcW w:w="740" w:type="dxa"/>
            <w:tcBorders/>
            <w:vAlign w:val="center"/>
          </w:tcPr>
          <w:p>
            <w:pPr>
              <w:pStyle w:val="TableContents"/>
              <w:spacing w:before="0" w:after="200"/>
              <w:jc w:val="right"/>
              <w:rPr/>
            </w:pPr>
            <w:r>
              <w:rPr/>
              <w:t>1932–2023</w:t>
            </w:r>
          </w:p>
        </w:tc>
        <w:tc>
          <w:tcPr>
            <w:tcW w:w="2056" w:type="dxa"/>
            <w:tcBorders/>
            <w:vAlign w:val="center"/>
          </w:tcPr>
          <w:p>
            <w:pPr>
              <w:pStyle w:val="TableContents"/>
              <w:widowControl w:val="false"/>
              <w:suppressLineNumbers/>
              <w:spacing w:before="0" w:after="200"/>
              <w:rPr/>
            </w:pPr>
            <w:r>
              <w:rPr/>
              <w:t>University of Pittsburgh</w:t>
            </w:r>
          </w:p>
        </w:tc>
        <w:tc>
          <w:tcPr>
            <w:tcW w:w="4299" w:type="dxa"/>
            <w:tcBorders/>
            <w:vAlign w:val="center"/>
          </w:tcPr>
          <w:p>
            <w:pPr>
              <w:pStyle w:val="TableContents"/>
              <w:widowControl w:val="false"/>
              <w:suppressLineNumbers/>
              <w:spacing w:before="0" w:after="200"/>
              <w:rPr/>
            </w:pPr>
            <w:r>
              <w:rPr/>
              <w:t xml:space="preserve">Developed a modern mutual-advantage contractarianism grounded in rational-choice and game-theoretic reasoning. His concept of constrained maximization explains why rational agents may adopt stable dispositions to comply with mutually beneficial agreements rather than maximize immediate advantage in every interaction. </w:t>
            </w:r>
            <w:hyperlink r:id="rId72">
              <w:r>
                <w:rPr>
                  <w:rStyle w:val="Hyperlink"/>
                </w:rPr>
                <w:t>University of Pittsburgh</w:t>
              </w:r>
            </w:hyperlink>
          </w:p>
        </w:tc>
      </w:tr>
      <w:tr>
        <w:trPr/>
        <w:tc>
          <w:tcPr>
            <w:tcW w:w="1545" w:type="dxa"/>
            <w:tcBorders/>
            <w:vAlign w:val="center"/>
          </w:tcPr>
          <w:p>
            <w:pPr>
              <w:pStyle w:val="TableContents"/>
              <w:widowControl w:val="false"/>
              <w:suppressLineNumbers/>
              <w:spacing w:before="0" w:after="200"/>
              <w:rPr/>
            </w:pPr>
            <w:r>
              <w:rPr>
                <w:rStyle w:val="Strong"/>
              </w:rPr>
              <w:t>T. M. Scanlon</w:t>
            </w:r>
          </w:p>
        </w:tc>
        <w:tc>
          <w:tcPr>
            <w:tcW w:w="740" w:type="dxa"/>
            <w:tcBorders/>
            <w:vAlign w:val="center"/>
          </w:tcPr>
          <w:p>
            <w:pPr>
              <w:pStyle w:val="TableContents"/>
              <w:spacing w:before="0" w:after="200"/>
              <w:jc w:val="right"/>
              <w:rPr/>
            </w:pPr>
            <w:r>
              <w:rPr/>
              <w:t>1940–</w:t>
            </w:r>
          </w:p>
        </w:tc>
        <w:tc>
          <w:tcPr>
            <w:tcW w:w="2056" w:type="dxa"/>
            <w:tcBorders/>
            <w:vAlign w:val="center"/>
          </w:tcPr>
          <w:p>
            <w:pPr>
              <w:pStyle w:val="TableContents"/>
              <w:widowControl w:val="false"/>
              <w:suppressLineNumbers/>
              <w:spacing w:before="0" w:after="200"/>
              <w:rPr/>
            </w:pPr>
            <w:r>
              <w:rPr/>
              <w:t>Harvard University, Alford Professor of Natural Religion, Moral Philosophy, and Civil Polity, Emeritus</w:t>
            </w:r>
          </w:p>
        </w:tc>
        <w:tc>
          <w:tcPr>
            <w:tcW w:w="4299" w:type="dxa"/>
            <w:tcBorders/>
            <w:vAlign w:val="center"/>
          </w:tcPr>
          <w:p>
            <w:pPr>
              <w:pStyle w:val="TableContents"/>
              <w:widowControl w:val="false"/>
              <w:suppressLineNumbers/>
              <w:spacing w:before="0" w:after="200"/>
              <w:rPr/>
            </w:pPr>
            <w:r>
              <w:rPr/>
              <w:t xml:space="preserve">Developed a form of moral contractualism in which an act is wrong when it would be disallowed by principles that persons could reasonably reject as a basis for informed, unforced general agreement. </w:t>
            </w:r>
            <w:hyperlink r:id="rId73">
              <w:r>
                <w:rPr>
                  <w:rStyle w:val="Hyperlink"/>
                </w:rPr>
                <w:t>Harvard University</w:t>
              </w:r>
            </w:hyperlink>
            <w:r>
              <w:rPr/>
              <w:t xml:space="preserve">, </w:t>
            </w:r>
            <w:hyperlink r:id="rId74">
              <w:r>
                <w:rPr>
                  <w:rStyle w:val="Hyperlink"/>
                </w:rPr>
                <w:t>Stanford Encyclopedia of Philosophy</w:t>
              </w:r>
            </w:hyperlink>
          </w:p>
        </w:tc>
      </w:tr>
    </w:tbl>
    <w:p>
      <w:pPr>
        <w:pStyle w:val="Heading3"/>
        <w:spacing w:before="0" w:after="200"/>
        <w:ind w:hanging="0" w:left="0"/>
        <w:rPr>
          <w:rFonts w:ascii="Aptos" w:hAnsi="Aptos"/>
          <w:color w:val="auto"/>
        </w:rPr>
      </w:pPr>
      <w:r>
        <w:rPr>
          <w:rFonts w:ascii="Aptos" w:hAnsi="Aptos"/>
          <w:color w:val="auto"/>
        </w:rPr>
        <w:t>Core Assumptions</w:t>
      </w:r>
    </w:p>
    <w:p>
      <w:pPr>
        <w:pStyle w:val="BodyText"/>
        <w:spacing w:before="0" w:after="200"/>
        <w:rPr/>
      </w:pPr>
      <w:r>
        <w:rPr/>
        <w:t>Contractarian and social-contract theories differ substantially, but their recurring assumptions include the following:</w:t>
      </w:r>
    </w:p>
    <w:p>
      <w:pPr>
        <w:pStyle w:val="BodyText"/>
        <w:numPr>
          <w:ilvl w:val="0"/>
          <w:numId w:val="103"/>
        </w:numPr>
        <w:tabs>
          <w:tab w:val="clear" w:pos="720"/>
          <w:tab w:val="left" w:pos="0" w:leader="none"/>
        </w:tabs>
        <w:spacing w:before="0" w:after="200"/>
        <w:ind w:hanging="283" w:left="709"/>
        <w:rPr/>
      </w:pPr>
      <w:r>
        <w:rPr>
          <w:rStyle w:val="Strong"/>
        </w:rPr>
        <w:t>Social cooperation requires rules.</w:t>
      </w:r>
      <w:r>
        <w:rPr/>
        <w:t xml:space="preserve"> Interaction creates benefits, conflicts, dependencies, coordination problems, and opportunities for exploitation.</w:t>
      </w:r>
    </w:p>
    <w:p>
      <w:pPr>
        <w:pStyle w:val="BodyText"/>
        <w:numPr>
          <w:ilvl w:val="0"/>
          <w:numId w:val="103"/>
        </w:numPr>
        <w:tabs>
          <w:tab w:val="clear" w:pos="720"/>
          <w:tab w:val="left" w:pos="0" w:leader="none"/>
        </w:tabs>
        <w:spacing w:before="0" w:after="200"/>
        <w:ind w:hanging="283" w:left="709"/>
        <w:rPr/>
      </w:pPr>
      <w:r>
        <w:rPr>
          <w:rStyle w:val="Strong"/>
        </w:rPr>
        <w:t>Rules affecting persons require justification.</w:t>
      </w:r>
      <w:r>
        <w:rPr/>
        <w:t xml:space="preserve"> Authority should not rest solely on force, tradition, inheritance, or the preferences of those who possess power.</w:t>
      </w:r>
    </w:p>
    <w:p>
      <w:pPr>
        <w:pStyle w:val="BodyText"/>
        <w:numPr>
          <w:ilvl w:val="0"/>
          <w:numId w:val="103"/>
        </w:numPr>
        <w:tabs>
          <w:tab w:val="clear" w:pos="720"/>
          <w:tab w:val="left" w:pos="0" w:leader="none"/>
        </w:tabs>
        <w:spacing w:before="0" w:after="200"/>
        <w:ind w:hanging="283" w:left="709"/>
        <w:rPr/>
      </w:pPr>
      <w:r>
        <w:rPr>
          <w:rStyle w:val="Strong"/>
        </w:rPr>
        <w:t>Agreement can provide a basis of legitimacy.</w:t>
      </w:r>
      <w:r>
        <w:rPr/>
        <w:t xml:space="preserve"> A rule gains normative authority when it can be connected to the valid consent or rational endorsement of those subject to it.</w:t>
      </w:r>
    </w:p>
    <w:p>
      <w:pPr>
        <w:pStyle w:val="BodyText"/>
        <w:numPr>
          <w:ilvl w:val="0"/>
          <w:numId w:val="103"/>
        </w:numPr>
        <w:tabs>
          <w:tab w:val="clear" w:pos="720"/>
          <w:tab w:val="left" w:pos="0" w:leader="none"/>
        </w:tabs>
        <w:spacing w:before="0" w:after="200"/>
        <w:ind w:hanging="283" w:left="709"/>
        <w:rPr/>
      </w:pPr>
      <w:r>
        <w:rPr>
          <w:rStyle w:val="Strong"/>
        </w:rPr>
        <w:t>The social contract is often hypothetical.</w:t>
      </w:r>
      <w:r>
        <w:rPr/>
        <w:t xml:space="preserve"> Most social-contract theories do not claim that every society was created through a single historical agreement. The contract is commonly a model for asking what suitably situated persons would agree to.</w:t>
      </w:r>
    </w:p>
    <w:p>
      <w:pPr>
        <w:pStyle w:val="BodyText"/>
        <w:numPr>
          <w:ilvl w:val="0"/>
          <w:numId w:val="103"/>
        </w:numPr>
        <w:tabs>
          <w:tab w:val="clear" w:pos="720"/>
          <w:tab w:val="left" w:pos="0" w:leader="none"/>
        </w:tabs>
        <w:spacing w:before="0" w:after="200"/>
        <w:ind w:hanging="283" w:left="709"/>
        <w:rPr/>
      </w:pPr>
      <w:r>
        <w:rPr>
          <w:rStyle w:val="Strong"/>
        </w:rPr>
        <w:t>The conditions of agreement matter.</w:t>
      </w:r>
      <w:r>
        <w:rPr/>
        <w:t xml:space="preserve"> Coercion, deception, severe dependency, unequal bargaining power, and lack of alternatives can undermine the legitimacy of an apparent contract.</w:t>
      </w:r>
    </w:p>
    <w:p>
      <w:pPr>
        <w:pStyle w:val="BodyText"/>
        <w:numPr>
          <w:ilvl w:val="0"/>
          <w:numId w:val="103"/>
        </w:numPr>
        <w:tabs>
          <w:tab w:val="clear" w:pos="720"/>
          <w:tab w:val="left" w:pos="0" w:leader="none"/>
        </w:tabs>
        <w:spacing w:before="0" w:after="200"/>
        <w:ind w:hanging="283" w:left="709"/>
        <w:rPr/>
      </w:pPr>
      <w:r>
        <w:rPr>
          <w:rStyle w:val="Strong"/>
        </w:rPr>
        <w:t>Parties are commonly modeled as free and equal.</w:t>
      </w:r>
      <w:r>
        <w:rPr/>
        <w:t xml:space="preserve"> The contract should not allow arbitrary status, inherited privilege, or brute power to determine the terms of cooperation.</w:t>
      </w:r>
    </w:p>
    <w:p>
      <w:pPr>
        <w:pStyle w:val="BodyText"/>
        <w:numPr>
          <w:ilvl w:val="0"/>
          <w:numId w:val="103"/>
        </w:numPr>
        <w:tabs>
          <w:tab w:val="clear" w:pos="720"/>
          <w:tab w:val="left" w:pos="0" w:leader="none"/>
        </w:tabs>
        <w:spacing w:before="0" w:after="200"/>
        <w:ind w:hanging="283" w:left="709"/>
        <w:rPr/>
      </w:pPr>
      <w:r>
        <w:rPr>
          <w:rStyle w:val="Strong"/>
        </w:rPr>
        <w:t>The parties are assumed to possess some form of rational agency.</w:t>
      </w:r>
      <w:r>
        <w:rPr/>
        <w:t xml:space="preserve"> They can identify interests, understand proposed rules, compare alternatives, and recognize reasons for compliance.</w:t>
      </w:r>
    </w:p>
    <w:p>
      <w:pPr>
        <w:pStyle w:val="BodyText"/>
        <w:numPr>
          <w:ilvl w:val="0"/>
          <w:numId w:val="103"/>
        </w:numPr>
        <w:tabs>
          <w:tab w:val="clear" w:pos="720"/>
          <w:tab w:val="left" w:pos="0" w:leader="none"/>
        </w:tabs>
        <w:spacing w:before="0" w:after="200"/>
        <w:ind w:hanging="283" w:left="709"/>
        <w:rPr/>
      </w:pPr>
      <w:r>
        <w:rPr>
          <w:rStyle w:val="Strong"/>
        </w:rPr>
        <w:t>The baseline affects the bargain.</w:t>
      </w:r>
      <w:r>
        <w:rPr/>
        <w:t xml:space="preserve"> The conditions from which parties negotiate—the state of nature, current institutions, equal standing, or some other baseline—strongly influence what agreement appears rational.</w:t>
      </w:r>
    </w:p>
    <w:p>
      <w:pPr>
        <w:pStyle w:val="BodyText"/>
        <w:numPr>
          <w:ilvl w:val="0"/>
          <w:numId w:val="103"/>
        </w:numPr>
        <w:tabs>
          <w:tab w:val="clear" w:pos="720"/>
          <w:tab w:val="left" w:pos="0" w:leader="none"/>
        </w:tabs>
        <w:spacing w:before="0" w:after="200"/>
        <w:ind w:hanging="283" w:left="709"/>
        <w:rPr/>
      </w:pPr>
      <w:r>
        <w:rPr>
          <w:rStyle w:val="Strong"/>
        </w:rPr>
        <w:t>Mutual advantage can motivate restraint.</w:t>
      </w:r>
      <w:r>
        <w:rPr/>
        <w:t xml:space="preserve"> In contractarian accounts, agents accept constraints because stable cooperation provides greater expected benefit than unrestrained individual maximization.</w:t>
      </w:r>
    </w:p>
    <w:p>
      <w:pPr>
        <w:pStyle w:val="BodyText"/>
        <w:numPr>
          <w:ilvl w:val="0"/>
          <w:numId w:val="103"/>
        </w:numPr>
        <w:tabs>
          <w:tab w:val="clear" w:pos="720"/>
          <w:tab w:val="left" w:pos="0" w:leader="none"/>
        </w:tabs>
        <w:spacing w:before="0" w:after="200"/>
        <w:ind w:hanging="283" w:left="709"/>
        <w:rPr/>
      </w:pPr>
      <w:r>
        <w:rPr>
          <w:rStyle w:val="Strong"/>
        </w:rPr>
        <w:t>Fairness may require informational restrictions.</w:t>
      </w:r>
      <w:r>
        <w:rPr/>
        <w:t xml:space="preserve"> Rawls’s veil of ignorance prevents parties from tailoring principles to their known race, class, gender, talents, social position, or particular conception of the good.</w:t>
      </w:r>
    </w:p>
    <w:p>
      <w:pPr>
        <w:pStyle w:val="BodyText"/>
        <w:numPr>
          <w:ilvl w:val="0"/>
          <w:numId w:val="103"/>
        </w:numPr>
        <w:tabs>
          <w:tab w:val="clear" w:pos="720"/>
          <w:tab w:val="left" w:pos="0" w:leader="none"/>
        </w:tabs>
        <w:spacing w:before="0" w:after="200"/>
        <w:ind w:hanging="283" w:left="709"/>
        <w:rPr/>
      </w:pPr>
      <w:r>
        <w:rPr>
          <w:rStyle w:val="Strong"/>
        </w:rPr>
        <w:t>Public justification is central.</w:t>
      </w:r>
      <w:r>
        <w:rPr/>
        <w:t xml:space="preserve"> Rules should be explainable to those whose freedom, opportunities, or obligations they govern.</w:t>
      </w:r>
    </w:p>
    <w:p>
      <w:pPr>
        <w:pStyle w:val="BodyText"/>
        <w:numPr>
          <w:ilvl w:val="0"/>
          <w:numId w:val="103"/>
        </w:numPr>
        <w:tabs>
          <w:tab w:val="clear" w:pos="720"/>
          <w:tab w:val="left" w:pos="0" w:leader="none"/>
        </w:tabs>
        <w:spacing w:before="0" w:after="200"/>
        <w:ind w:hanging="283" w:left="709"/>
        <w:rPr/>
      </w:pPr>
      <w:r>
        <w:rPr>
          <w:rStyle w:val="Strong"/>
        </w:rPr>
        <w:t>Agreement does not necessarily mean preference aggregation.</w:t>
      </w:r>
      <w:r>
        <w:rPr/>
        <w:t xml:space="preserve"> Rousseau’s general will and Scanlon’s reasonable-rejection test are not simple majority votes or sums of individual preferences.</w:t>
      </w:r>
    </w:p>
    <w:p>
      <w:pPr>
        <w:pStyle w:val="BodyText"/>
        <w:numPr>
          <w:ilvl w:val="0"/>
          <w:numId w:val="103"/>
        </w:numPr>
        <w:tabs>
          <w:tab w:val="clear" w:pos="720"/>
          <w:tab w:val="left" w:pos="0" w:leader="none"/>
        </w:tabs>
        <w:spacing w:before="0" w:after="200"/>
        <w:ind w:hanging="283" w:left="709"/>
        <w:rPr/>
      </w:pPr>
      <w:r>
        <w:rPr>
          <w:rStyle w:val="Strong"/>
        </w:rPr>
        <w:t>Reciprocity supports stable cooperation.</w:t>
      </w:r>
      <w:r>
        <w:rPr/>
        <w:t xml:space="preserve"> Participants should receive fair benefits from a system whose burdens they are expected to bear.</w:t>
      </w:r>
    </w:p>
    <w:p>
      <w:pPr>
        <w:pStyle w:val="BodyText"/>
        <w:numPr>
          <w:ilvl w:val="0"/>
          <w:numId w:val="103"/>
        </w:numPr>
        <w:tabs>
          <w:tab w:val="clear" w:pos="720"/>
          <w:tab w:val="left" w:pos="0" w:leader="none"/>
        </w:tabs>
        <w:spacing w:before="0" w:after="200"/>
        <w:ind w:hanging="283" w:left="709"/>
        <w:rPr/>
      </w:pPr>
      <w:r>
        <w:rPr>
          <w:rStyle w:val="Strong"/>
        </w:rPr>
        <w:t>Compliance requires assurance.</w:t>
      </w:r>
      <w:r>
        <w:rPr/>
        <w:t xml:space="preserve"> Agents are more willing to comply when they have reason to believe that others will also comply and that violations will be addressed.</w:t>
      </w:r>
    </w:p>
    <w:p>
      <w:pPr>
        <w:pStyle w:val="BodyText"/>
        <w:numPr>
          <w:ilvl w:val="0"/>
          <w:numId w:val="103"/>
        </w:numPr>
        <w:tabs>
          <w:tab w:val="clear" w:pos="720"/>
          <w:tab w:val="left" w:pos="0" w:leader="none"/>
        </w:tabs>
        <w:spacing w:before="0" w:after="200"/>
        <w:ind w:hanging="283" w:left="709"/>
        <w:rPr/>
      </w:pPr>
      <w:r>
        <w:rPr>
          <w:rStyle w:val="Strong"/>
        </w:rPr>
        <w:t>Institutions are necessary for complex agreements.</w:t>
      </w:r>
      <w:r>
        <w:rPr/>
        <w:t xml:space="preserve"> Laws, procedures, monitoring, adjudication, enforcement, and dispute resolution stabilize expectations.</w:t>
      </w:r>
    </w:p>
    <w:p>
      <w:pPr>
        <w:pStyle w:val="BodyText"/>
        <w:numPr>
          <w:ilvl w:val="0"/>
          <w:numId w:val="103"/>
        </w:numPr>
        <w:tabs>
          <w:tab w:val="clear" w:pos="720"/>
          <w:tab w:val="left" w:pos="0" w:leader="none"/>
        </w:tabs>
        <w:spacing w:before="0" w:after="200"/>
        <w:ind w:hanging="283" w:left="709"/>
        <w:rPr/>
      </w:pPr>
      <w:r>
        <w:rPr>
          <w:rStyle w:val="Strong"/>
        </w:rPr>
        <w:t>Political authority is conditional.</w:t>
      </w:r>
      <w:r>
        <w:rPr/>
        <w:t xml:space="preserve"> Its legitimacy depends on the theory: maintenance of peace for Hobbes, protection of rights for Locke, conformity to the general will for Rousseau, or public justification under fair terms for later theories.</w:t>
      </w:r>
    </w:p>
    <w:p>
      <w:pPr>
        <w:pStyle w:val="BodyText"/>
        <w:numPr>
          <w:ilvl w:val="0"/>
          <w:numId w:val="103"/>
        </w:numPr>
        <w:tabs>
          <w:tab w:val="clear" w:pos="720"/>
          <w:tab w:val="left" w:pos="0" w:leader="none"/>
        </w:tabs>
        <w:spacing w:before="0" w:after="200"/>
        <w:ind w:hanging="283" w:left="709"/>
        <w:rPr/>
      </w:pPr>
      <w:r>
        <w:rPr>
          <w:rStyle w:val="Strong"/>
        </w:rPr>
        <w:t>Pluralism must be managed.</w:t>
      </w:r>
      <w:r>
        <w:rPr/>
        <w:t xml:space="preserve"> Persons may hold conflicting religious, moral, cultural, and political views while still endorsing common institutional principles.</w:t>
      </w:r>
    </w:p>
    <w:p>
      <w:pPr>
        <w:pStyle w:val="BodyText"/>
        <w:numPr>
          <w:ilvl w:val="0"/>
          <w:numId w:val="103"/>
        </w:numPr>
        <w:tabs>
          <w:tab w:val="clear" w:pos="720"/>
          <w:tab w:val="left" w:pos="0" w:leader="none"/>
        </w:tabs>
        <w:spacing w:before="0" w:after="200"/>
        <w:ind w:hanging="283" w:left="709"/>
        <w:rPr/>
      </w:pPr>
      <w:r>
        <w:rPr>
          <w:rStyle w:val="Strong"/>
        </w:rPr>
        <w:t>A legitimate agreement must address dissent.</w:t>
      </w:r>
      <w:r>
        <w:rPr/>
        <w:t xml:space="preserve"> Exit, voice, appeal, amendment, civil disobedience, and resistance become important when parties believe the contract has been breached.</w:t>
      </w:r>
    </w:p>
    <w:p>
      <w:pPr>
        <w:pStyle w:val="BodyText"/>
        <w:numPr>
          <w:ilvl w:val="0"/>
          <w:numId w:val="103"/>
        </w:numPr>
        <w:tabs>
          <w:tab w:val="clear" w:pos="720"/>
          <w:tab w:val="left" w:pos="0" w:leader="none"/>
        </w:tabs>
        <w:spacing w:before="0" w:after="200"/>
        <w:ind w:hanging="283" w:left="709"/>
        <w:rPr/>
      </w:pPr>
      <w:r>
        <w:rPr>
          <w:rStyle w:val="Strong"/>
        </w:rPr>
        <w:t>Rules must remain stable enough to guide conduct.</w:t>
      </w:r>
      <w:r>
        <w:rPr/>
        <w:t xml:space="preserve"> An agreement that changes unpredictably cannot create reliable expectations or sustained cooperation.</w:t>
      </w:r>
    </w:p>
    <w:p>
      <w:pPr>
        <w:pStyle w:val="BodyText"/>
        <w:numPr>
          <w:ilvl w:val="0"/>
          <w:numId w:val="103"/>
        </w:numPr>
        <w:tabs>
          <w:tab w:val="clear" w:pos="720"/>
          <w:tab w:val="left" w:pos="0" w:leader="none"/>
        </w:tabs>
        <w:spacing w:before="0" w:after="200"/>
        <w:ind w:hanging="283" w:left="709"/>
        <w:rPr/>
      </w:pPr>
      <w:r>
        <w:rPr>
          <w:rStyle w:val="Strong"/>
        </w:rPr>
        <w:t>The boundaries of membership matter.</w:t>
      </w:r>
      <w:r>
        <w:rPr/>
        <w:t xml:space="preserve"> Every contract must identify who is included as a party, who is represented, and who is affected without being represented.</w:t>
      </w:r>
    </w:p>
    <w:p>
      <w:pPr>
        <w:pStyle w:val="BodyText"/>
        <w:numPr>
          <w:ilvl w:val="0"/>
          <w:numId w:val="103"/>
        </w:numPr>
        <w:tabs>
          <w:tab w:val="clear" w:pos="720"/>
          <w:tab w:val="left" w:pos="0" w:leader="none"/>
        </w:tabs>
        <w:spacing w:before="0" w:after="200"/>
        <w:ind w:hanging="283" w:left="709"/>
        <w:rPr/>
      </w:pPr>
      <w:r>
        <w:rPr>
          <w:rStyle w:val="Strong"/>
        </w:rPr>
        <w:t>Hypothetical consent does not automatically equal actual consent.</w:t>
      </w:r>
      <w:r>
        <w:rPr/>
        <w:t xml:space="preserve"> A theory must explain why the imagined agreement has authority over actual persons who never expressly accepted it.</w:t>
      </w:r>
    </w:p>
    <w:p>
      <w:pPr>
        <w:pStyle w:val="Heading3"/>
        <w:spacing w:before="0" w:after="200"/>
        <w:ind w:hanging="0" w:left="0"/>
        <w:rPr>
          <w:rFonts w:ascii="Aptos" w:hAnsi="Aptos"/>
          <w:color w:val="auto"/>
        </w:rPr>
      </w:pPr>
      <w:r>
        <w:rPr>
          <w:rFonts w:ascii="Aptos" w:hAnsi="Aptos"/>
          <w:color w:val="auto"/>
        </w:rPr>
        <w:t>Relationship to This Framework</w:t>
      </w:r>
    </w:p>
    <w:p>
      <w:pPr>
        <w:pStyle w:val="BodyText"/>
        <w:spacing w:before="0" w:after="200"/>
        <w:rPr/>
      </w:pPr>
      <w:r>
        <w:rPr/>
        <w:t>Contractarianism has a strong structural relationship to this framework. The framework represents Objects, Associations, roles, authority, constraints, information, institutions, and future possibilities. A social contract can therefore be modeled as a structured Association among parties that establishes rights, duties, powers, procedures, and expectations.</w:t>
      </w:r>
    </w:p>
    <w:p>
      <w:pPr>
        <w:pStyle w:val="BodyText"/>
        <w:spacing w:before="0" w:after="200"/>
        <w:rPr/>
      </w:pPr>
      <w:r>
        <w:rPr/>
        <w:t>The framework’s World Context Transition can also compare the conditions before and after adoption of a proposed contract or institution. It can evaluate:</w:t>
      </w:r>
    </w:p>
    <w:p>
      <w:pPr>
        <w:pStyle w:val="BodyText"/>
        <w:numPr>
          <w:ilvl w:val="0"/>
          <w:numId w:val="104"/>
        </w:numPr>
        <w:tabs>
          <w:tab w:val="clear" w:pos="720"/>
          <w:tab w:val="left" w:pos="0" w:leader="none"/>
        </w:tabs>
        <w:spacing w:before="0" w:after="200"/>
        <w:ind w:hanging="283" w:left="709"/>
        <w:rPr/>
      </w:pPr>
      <w:r>
        <w:rPr/>
        <w:t>Improvements in security and coordination;</w:t>
      </w:r>
    </w:p>
    <w:p>
      <w:pPr>
        <w:pStyle w:val="BodyText"/>
        <w:numPr>
          <w:ilvl w:val="0"/>
          <w:numId w:val="104"/>
        </w:numPr>
        <w:tabs>
          <w:tab w:val="clear" w:pos="720"/>
          <w:tab w:val="left" w:pos="0" w:leader="none"/>
        </w:tabs>
        <w:spacing w:before="0" w:after="200"/>
        <w:ind w:hanging="283" w:left="709"/>
        <w:rPr/>
      </w:pPr>
      <w:r>
        <w:rPr/>
        <w:t>Distribution of benefits and burdens;</w:t>
      </w:r>
    </w:p>
    <w:p>
      <w:pPr>
        <w:pStyle w:val="BodyText"/>
        <w:numPr>
          <w:ilvl w:val="0"/>
          <w:numId w:val="104"/>
        </w:numPr>
        <w:tabs>
          <w:tab w:val="clear" w:pos="720"/>
          <w:tab w:val="left" w:pos="0" w:leader="none"/>
        </w:tabs>
        <w:spacing w:before="0" w:after="200"/>
        <w:ind w:hanging="283" w:left="709"/>
        <w:rPr/>
      </w:pPr>
      <w:r>
        <w:rPr/>
        <w:t>Changes in authority and freedom;</w:t>
      </w:r>
    </w:p>
    <w:p>
      <w:pPr>
        <w:pStyle w:val="BodyText"/>
        <w:numPr>
          <w:ilvl w:val="0"/>
          <w:numId w:val="104"/>
        </w:numPr>
        <w:tabs>
          <w:tab w:val="clear" w:pos="720"/>
          <w:tab w:val="left" w:pos="0" w:leader="none"/>
        </w:tabs>
        <w:spacing w:before="0" w:after="200"/>
        <w:ind w:hanging="283" w:left="709"/>
        <w:rPr/>
      </w:pPr>
      <w:r>
        <w:rPr/>
        <w:t>Protection or loss of future options;</w:t>
      </w:r>
    </w:p>
    <w:p>
      <w:pPr>
        <w:pStyle w:val="BodyText"/>
        <w:numPr>
          <w:ilvl w:val="0"/>
          <w:numId w:val="104"/>
        </w:numPr>
        <w:tabs>
          <w:tab w:val="clear" w:pos="720"/>
          <w:tab w:val="left" w:pos="0" w:leader="none"/>
        </w:tabs>
        <w:spacing w:before="0" w:after="200"/>
        <w:ind w:hanging="283" w:left="709"/>
        <w:rPr/>
      </w:pPr>
      <w:r>
        <w:rPr/>
        <w:t>Effects on trust and compliance;</w:t>
      </w:r>
    </w:p>
    <w:p>
      <w:pPr>
        <w:pStyle w:val="BodyText"/>
        <w:numPr>
          <w:ilvl w:val="0"/>
          <w:numId w:val="104"/>
        </w:numPr>
        <w:tabs>
          <w:tab w:val="clear" w:pos="720"/>
          <w:tab w:val="left" w:pos="0" w:leader="none"/>
        </w:tabs>
        <w:spacing w:before="0" w:after="200"/>
        <w:ind w:hanging="283" w:left="709"/>
        <w:rPr/>
      </w:pPr>
      <w:r>
        <w:rPr/>
        <w:t>Creation of enforcement institutions;</w:t>
      </w:r>
    </w:p>
    <w:p>
      <w:pPr>
        <w:pStyle w:val="BodyText"/>
        <w:numPr>
          <w:ilvl w:val="0"/>
          <w:numId w:val="104"/>
        </w:numPr>
        <w:tabs>
          <w:tab w:val="clear" w:pos="720"/>
          <w:tab w:val="left" w:pos="0" w:leader="none"/>
        </w:tabs>
        <w:spacing w:before="0" w:after="200"/>
        <w:ind w:hanging="283" w:left="709"/>
        <w:rPr/>
      </w:pPr>
      <w:r>
        <w:rPr/>
        <w:t>Risks of exploitation or exclusion;</w:t>
      </w:r>
    </w:p>
    <w:p>
      <w:pPr>
        <w:pStyle w:val="BodyText"/>
        <w:numPr>
          <w:ilvl w:val="0"/>
          <w:numId w:val="104"/>
        </w:numPr>
        <w:tabs>
          <w:tab w:val="clear" w:pos="720"/>
          <w:tab w:val="left" w:pos="0" w:leader="none"/>
        </w:tabs>
        <w:spacing w:before="0" w:after="200"/>
        <w:ind w:hanging="283" w:left="709"/>
        <w:rPr/>
      </w:pPr>
      <w:r>
        <w:rPr/>
        <w:t>Effects on entities outside the agreement; and</w:t>
      </w:r>
    </w:p>
    <w:p>
      <w:pPr>
        <w:pStyle w:val="BodyText"/>
        <w:numPr>
          <w:ilvl w:val="0"/>
          <w:numId w:val="104"/>
        </w:numPr>
        <w:tabs>
          <w:tab w:val="clear" w:pos="720"/>
          <w:tab w:val="left" w:pos="0" w:leader="none"/>
        </w:tabs>
        <w:spacing w:before="0" w:after="200"/>
        <w:ind w:hanging="283" w:left="709"/>
        <w:rPr/>
      </w:pPr>
      <w:r>
        <w:rPr/>
        <w:t>Long-term institutional stability.</w:t>
      </w:r>
    </w:p>
    <w:p>
      <w:pPr>
        <w:pStyle w:val="BodyText"/>
        <w:spacing w:before="0" w:after="200"/>
        <w:rPr/>
      </w:pPr>
      <w:r>
        <w:rPr/>
        <w:t>The Foundational Axiom provides a reason for supporting agreements that facilitate compatible Long-Term Flourishing. Stable social cooperation can protect entities, reduce destructive conflict, enable specialization, preserve trust, and expand beneficial future state space.</w:t>
      </w:r>
    </w:p>
    <w:p>
      <w:pPr>
        <w:pStyle w:val="BodyText"/>
        <w:spacing w:before="0" w:after="200"/>
        <w:rPr/>
      </w:pPr>
      <w:r>
        <w:rPr/>
        <w:t>The framework’s treatment of authority and legitimacy also overlaps with social-contract theory. A role does not automatically create valid authority. The framework can ask whether authority was established through consent, justified procedure, institutional necessity, fair representation, or another legitimate source.</w:t>
      </w:r>
    </w:p>
    <w:p>
      <w:pPr>
        <w:pStyle w:val="BodyText"/>
        <w:spacing w:before="0" w:after="200"/>
        <w:rPr/>
      </w:pPr>
      <w:r>
        <w:rPr/>
        <w:t>Distributed Policy Effects are particularly important. A well-designed agreement can establish expectations of reciprocity and compliance. An imposed or routinely violated agreement may teach participants that cooperation is naïve, enforcement is selective, or power determines outcomes.</w:t>
      </w:r>
    </w:p>
    <w:p>
      <w:pPr>
        <w:pStyle w:val="BodyText"/>
        <w:spacing w:before="0" w:after="200"/>
        <w:rPr/>
      </w:pPr>
      <w:r>
        <w:rPr/>
        <w:t>This framework is not itself contractarian, however. Its Foundational Axiom is not derived solely from actual or hypothetical agreement. An action may be unethical even if all powerful contracting parties approve it, particularly when the agreement harms vulnerable nonparties or excludes entities unable to bargain.</w:t>
      </w:r>
    </w:p>
    <w:p>
      <w:pPr>
        <w:pStyle w:val="BodyText"/>
        <w:spacing w:before="0" w:after="200"/>
        <w:rPr/>
      </w:pPr>
      <w:r>
        <w:rPr/>
        <w:t>The framework may also recognize morally relevant entities that cannot participate in a contract, including children, persons with limited decision-making capacity, nonhuman organisms, ecosystems, future generations, and possibly artificial or collective entities. Their moral significance cannot depend entirely on whether they can offer reciprocal benefits.</w:t>
      </w:r>
    </w:p>
    <w:p>
      <w:pPr>
        <w:pStyle w:val="BodyText"/>
        <w:spacing w:before="0" w:after="200"/>
        <w:rPr/>
      </w:pPr>
      <w:r>
        <w:rPr/>
        <w:t>Agreement is therefore one important source of obligation and legitimacy within the framework, but it is not the exclusive source of moral value.</w:t>
      </w:r>
    </w:p>
    <w:p>
      <w:pPr>
        <w:pStyle w:val="Heading3"/>
        <w:spacing w:before="0" w:after="200"/>
        <w:ind w:hanging="0" w:left="0"/>
        <w:rPr>
          <w:rFonts w:ascii="Aptos" w:hAnsi="Aptos"/>
          <w:color w:val="auto"/>
        </w:rPr>
      </w:pPr>
      <w:r>
        <w:rPr>
          <w:rFonts w:ascii="Aptos" w:hAnsi="Aptos"/>
          <w:color w:val="auto"/>
        </w:rPr>
        <w:t>Concepts Adopted or Adapted by This Framework</w:t>
      </w:r>
    </w:p>
    <w:tbl>
      <w:tblPr>
        <w:tblW w:w="8640" w:type="dxa"/>
        <w:jc w:val="left"/>
        <w:tblInd w:w="28" w:type="dxa"/>
        <w:tblLayout w:type="fixed"/>
        <w:tblCellMar>
          <w:top w:w="28" w:type="dxa"/>
          <w:left w:w="28" w:type="dxa"/>
          <w:bottom w:w="28" w:type="dxa"/>
          <w:right w:w="28" w:type="dxa"/>
        </w:tblCellMar>
      </w:tblPr>
      <w:tblGrid>
        <w:gridCol w:w="2172"/>
        <w:gridCol w:w="6468"/>
      </w:tblGrid>
      <w:tr>
        <w:trPr>
          <w:tblHeader w:val="true"/>
        </w:trPr>
        <w:tc>
          <w:tcPr>
            <w:tcW w:w="2172" w:type="dxa"/>
            <w:tcBorders/>
            <w:vAlign w:val="center"/>
          </w:tcPr>
          <w:p>
            <w:pPr>
              <w:pStyle w:val="TableHeading"/>
              <w:suppressLineNumbers/>
              <w:spacing w:before="0" w:after="200"/>
              <w:jc w:val="center"/>
              <w:rPr/>
            </w:pPr>
            <w:r>
              <w:rPr/>
              <w:t>Social-contract concept</w:t>
            </w:r>
          </w:p>
        </w:tc>
        <w:tc>
          <w:tcPr>
            <w:tcW w:w="6468" w:type="dxa"/>
            <w:tcBorders/>
            <w:vAlign w:val="center"/>
          </w:tcPr>
          <w:p>
            <w:pPr>
              <w:pStyle w:val="TableHeading"/>
              <w:suppressLineNumbers/>
              <w:spacing w:before="0" w:after="200"/>
              <w:jc w:val="center"/>
              <w:rPr/>
            </w:pPr>
            <w:r>
              <w:rPr/>
              <w:t>Adoption or adaptation within this framework</w:t>
            </w:r>
          </w:p>
        </w:tc>
      </w:tr>
      <w:tr>
        <w:trPr/>
        <w:tc>
          <w:tcPr>
            <w:tcW w:w="2172" w:type="dxa"/>
            <w:tcBorders/>
            <w:vAlign w:val="center"/>
          </w:tcPr>
          <w:p>
            <w:pPr>
              <w:pStyle w:val="TableContents"/>
              <w:widowControl w:val="false"/>
              <w:suppressLineNumbers/>
              <w:spacing w:before="0" w:after="200"/>
              <w:rPr/>
            </w:pPr>
            <w:r>
              <w:rPr>
                <w:rStyle w:val="Strong"/>
              </w:rPr>
              <w:t>State-of-nature baseline</w:t>
            </w:r>
          </w:p>
        </w:tc>
        <w:tc>
          <w:tcPr>
            <w:tcW w:w="6468" w:type="dxa"/>
            <w:tcBorders/>
            <w:vAlign w:val="center"/>
          </w:tcPr>
          <w:p>
            <w:pPr>
              <w:pStyle w:val="TableContents"/>
              <w:widowControl w:val="false"/>
              <w:suppressLineNumbers/>
              <w:spacing w:before="0" w:after="200"/>
              <w:rPr/>
            </w:pPr>
            <w:r>
              <w:rPr/>
              <w:t>Adaptable as a counterfactual World Context in which the proposed rule, institution, or authority is absent.</w:t>
            </w:r>
          </w:p>
        </w:tc>
      </w:tr>
      <w:tr>
        <w:trPr/>
        <w:tc>
          <w:tcPr>
            <w:tcW w:w="2172" w:type="dxa"/>
            <w:tcBorders/>
            <w:vAlign w:val="center"/>
          </w:tcPr>
          <w:p>
            <w:pPr>
              <w:pStyle w:val="TableContents"/>
              <w:widowControl w:val="false"/>
              <w:suppressLineNumbers/>
              <w:spacing w:before="0" w:after="200"/>
              <w:rPr/>
            </w:pPr>
            <w:r>
              <w:rPr>
                <w:rStyle w:val="Strong"/>
              </w:rPr>
              <w:t>Consent</w:t>
            </w:r>
          </w:p>
        </w:tc>
        <w:tc>
          <w:tcPr>
            <w:tcW w:w="6468" w:type="dxa"/>
            <w:tcBorders/>
            <w:vAlign w:val="center"/>
          </w:tcPr>
          <w:p>
            <w:pPr>
              <w:pStyle w:val="TableContents"/>
              <w:widowControl w:val="false"/>
              <w:suppressLineNumbers/>
              <w:spacing w:before="0" w:after="200"/>
              <w:rPr/>
            </w:pPr>
            <w:r>
              <w:rPr/>
              <w:t>Representable as a voluntary change in Associations, rights, duties, permissions, and expectations.</w:t>
            </w:r>
          </w:p>
        </w:tc>
      </w:tr>
      <w:tr>
        <w:trPr/>
        <w:tc>
          <w:tcPr>
            <w:tcW w:w="2172" w:type="dxa"/>
            <w:tcBorders/>
            <w:vAlign w:val="center"/>
          </w:tcPr>
          <w:p>
            <w:pPr>
              <w:pStyle w:val="TableContents"/>
              <w:widowControl w:val="false"/>
              <w:suppressLineNumbers/>
              <w:spacing w:before="0" w:after="200"/>
              <w:rPr/>
            </w:pPr>
            <w:r>
              <w:rPr>
                <w:rStyle w:val="Strong"/>
              </w:rPr>
              <w:t>Hypothetical consent</w:t>
            </w:r>
          </w:p>
        </w:tc>
        <w:tc>
          <w:tcPr>
            <w:tcW w:w="6468" w:type="dxa"/>
            <w:tcBorders/>
            <w:vAlign w:val="center"/>
          </w:tcPr>
          <w:p>
            <w:pPr>
              <w:pStyle w:val="TableContents"/>
              <w:widowControl w:val="false"/>
              <w:suppressLineNumbers/>
              <w:spacing w:before="0" w:after="200"/>
              <w:rPr/>
            </w:pPr>
            <w:r>
              <w:rPr/>
              <w:t>Adaptable as a counterfactual test of what agents would choose under specified informational and bargaining conditions.</w:t>
            </w:r>
          </w:p>
        </w:tc>
      </w:tr>
      <w:tr>
        <w:trPr/>
        <w:tc>
          <w:tcPr>
            <w:tcW w:w="2172" w:type="dxa"/>
            <w:tcBorders/>
            <w:vAlign w:val="center"/>
          </w:tcPr>
          <w:p>
            <w:pPr>
              <w:pStyle w:val="TableContents"/>
              <w:widowControl w:val="false"/>
              <w:suppressLineNumbers/>
              <w:spacing w:before="0" w:after="200"/>
              <w:rPr/>
            </w:pPr>
            <w:r>
              <w:rPr>
                <w:rStyle w:val="Strong"/>
              </w:rPr>
              <w:t>Mutual advantage</w:t>
            </w:r>
          </w:p>
        </w:tc>
        <w:tc>
          <w:tcPr>
            <w:tcW w:w="6468" w:type="dxa"/>
            <w:tcBorders/>
            <w:vAlign w:val="center"/>
          </w:tcPr>
          <w:p>
            <w:pPr>
              <w:pStyle w:val="TableContents"/>
              <w:widowControl w:val="false"/>
              <w:suppressLineNumbers/>
              <w:spacing w:before="0" w:after="200"/>
              <w:rPr/>
            </w:pPr>
            <w:r>
              <w:rPr/>
              <w:t>Representable through the distribution of expected benefits, burdens, risks, and opportunities among cooperating entities.</w:t>
            </w:r>
          </w:p>
        </w:tc>
      </w:tr>
      <w:tr>
        <w:trPr/>
        <w:tc>
          <w:tcPr>
            <w:tcW w:w="2172" w:type="dxa"/>
            <w:tcBorders/>
            <w:vAlign w:val="center"/>
          </w:tcPr>
          <w:p>
            <w:pPr>
              <w:pStyle w:val="TableContents"/>
              <w:widowControl w:val="false"/>
              <w:suppressLineNumbers/>
              <w:spacing w:before="0" w:after="200"/>
              <w:rPr/>
            </w:pPr>
            <w:r>
              <w:rPr>
                <w:rStyle w:val="Strong"/>
              </w:rPr>
              <w:t>Reciprocity</w:t>
            </w:r>
          </w:p>
        </w:tc>
        <w:tc>
          <w:tcPr>
            <w:tcW w:w="6468" w:type="dxa"/>
            <w:tcBorders/>
            <w:vAlign w:val="center"/>
          </w:tcPr>
          <w:p>
            <w:pPr>
              <w:pStyle w:val="TableContents"/>
              <w:widowControl w:val="false"/>
              <w:suppressLineNumbers/>
              <w:spacing w:before="0" w:after="200"/>
              <w:rPr/>
            </w:pPr>
            <w:r>
              <w:rPr/>
              <w:t>Adaptable as an ongoing relationship between contribution, compliance, protection, and benefit.</w:t>
            </w:r>
          </w:p>
        </w:tc>
      </w:tr>
      <w:tr>
        <w:trPr/>
        <w:tc>
          <w:tcPr>
            <w:tcW w:w="2172" w:type="dxa"/>
            <w:tcBorders/>
            <w:vAlign w:val="center"/>
          </w:tcPr>
          <w:p>
            <w:pPr>
              <w:pStyle w:val="TableContents"/>
              <w:widowControl w:val="false"/>
              <w:suppressLineNumbers/>
              <w:spacing w:before="0" w:after="200"/>
              <w:rPr/>
            </w:pPr>
            <w:r>
              <w:rPr>
                <w:rStyle w:val="Strong"/>
              </w:rPr>
              <w:t>Original position</w:t>
            </w:r>
          </w:p>
        </w:tc>
        <w:tc>
          <w:tcPr>
            <w:tcW w:w="6468" w:type="dxa"/>
            <w:tcBorders/>
            <w:vAlign w:val="center"/>
          </w:tcPr>
          <w:p>
            <w:pPr>
              <w:pStyle w:val="TableContents"/>
              <w:widowControl w:val="false"/>
              <w:suppressLineNumbers/>
              <w:spacing w:before="0" w:after="200"/>
              <w:rPr/>
            </w:pPr>
            <w:r>
              <w:rPr/>
              <w:t>Adaptable as a fairness simulation in which decision-makers lack knowledge of which social position they will occupy.</w:t>
            </w:r>
          </w:p>
        </w:tc>
      </w:tr>
      <w:tr>
        <w:trPr/>
        <w:tc>
          <w:tcPr>
            <w:tcW w:w="2172" w:type="dxa"/>
            <w:tcBorders/>
            <w:vAlign w:val="center"/>
          </w:tcPr>
          <w:p>
            <w:pPr>
              <w:pStyle w:val="TableContents"/>
              <w:widowControl w:val="false"/>
              <w:suppressLineNumbers/>
              <w:spacing w:before="0" w:after="200"/>
              <w:rPr/>
            </w:pPr>
            <w:r>
              <w:rPr>
                <w:rStyle w:val="Strong"/>
              </w:rPr>
              <w:t>Veil of ignorance</w:t>
            </w:r>
          </w:p>
        </w:tc>
        <w:tc>
          <w:tcPr>
            <w:tcW w:w="6468" w:type="dxa"/>
            <w:tcBorders/>
            <w:vAlign w:val="center"/>
          </w:tcPr>
          <w:p>
            <w:pPr>
              <w:pStyle w:val="TableContents"/>
              <w:widowControl w:val="false"/>
              <w:suppressLineNumbers/>
              <w:spacing w:before="0" w:after="200"/>
              <w:rPr/>
            </w:pPr>
            <w:r>
              <w:rPr/>
              <w:t>Implementable by masking morally arbitrary attributes when testing institutional principles.</w:t>
            </w:r>
          </w:p>
        </w:tc>
      </w:tr>
      <w:tr>
        <w:trPr/>
        <w:tc>
          <w:tcPr>
            <w:tcW w:w="2172" w:type="dxa"/>
            <w:tcBorders/>
            <w:vAlign w:val="center"/>
          </w:tcPr>
          <w:p>
            <w:pPr>
              <w:pStyle w:val="TableContents"/>
              <w:widowControl w:val="false"/>
              <w:suppressLineNumbers/>
              <w:spacing w:before="0" w:after="200"/>
              <w:rPr/>
            </w:pPr>
            <w:r>
              <w:rPr>
                <w:rStyle w:val="Strong"/>
              </w:rPr>
              <w:t>General will</w:t>
            </w:r>
          </w:p>
        </w:tc>
        <w:tc>
          <w:tcPr>
            <w:tcW w:w="6468" w:type="dxa"/>
            <w:tcBorders/>
            <w:vAlign w:val="center"/>
          </w:tcPr>
          <w:p>
            <w:pPr>
              <w:pStyle w:val="TableContents"/>
              <w:widowControl w:val="false"/>
              <w:suppressLineNumbers/>
              <w:spacing w:before="0" w:after="200"/>
              <w:rPr/>
            </w:pPr>
            <w:r>
              <w:rPr/>
              <w:t>Adaptable as a collective objective directed toward common conditions of cooperation rather than the aggregate preferences of powerful factions.</w:t>
            </w:r>
          </w:p>
        </w:tc>
      </w:tr>
      <w:tr>
        <w:trPr/>
        <w:tc>
          <w:tcPr>
            <w:tcW w:w="2172" w:type="dxa"/>
            <w:tcBorders/>
            <w:vAlign w:val="center"/>
          </w:tcPr>
          <w:p>
            <w:pPr>
              <w:pStyle w:val="TableContents"/>
              <w:widowControl w:val="false"/>
              <w:suppressLineNumbers/>
              <w:spacing w:before="0" w:after="200"/>
              <w:rPr/>
            </w:pPr>
            <w:r>
              <w:rPr>
                <w:rStyle w:val="Strong"/>
              </w:rPr>
              <w:t>Reasonable rejectability</w:t>
            </w:r>
          </w:p>
        </w:tc>
        <w:tc>
          <w:tcPr>
            <w:tcW w:w="6468" w:type="dxa"/>
            <w:tcBorders/>
            <w:vAlign w:val="center"/>
          </w:tcPr>
          <w:p>
            <w:pPr>
              <w:pStyle w:val="TableContents"/>
              <w:widowControl w:val="false"/>
              <w:suppressLineNumbers/>
              <w:spacing w:before="0" w:after="200"/>
              <w:rPr/>
            </w:pPr>
            <w:r>
              <w:rPr/>
              <w:t>Adaptable as a test of whether any affected entity has a sufficiently strong reason to reject the proposed principle.</w:t>
            </w:r>
          </w:p>
        </w:tc>
      </w:tr>
      <w:tr>
        <w:trPr/>
        <w:tc>
          <w:tcPr>
            <w:tcW w:w="2172" w:type="dxa"/>
            <w:tcBorders/>
            <w:vAlign w:val="center"/>
          </w:tcPr>
          <w:p>
            <w:pPr>
              <w:pStyle w:val="TableContents"/>
              <w:widowControl w:val="false"/>
              <w:suppressLineNumbers/>
              <w:spacing w:before="0" w:after="200"/>
              <w:rPr/>
            </w:pPr>
            <w:r>
              <w:rPr>
                <w:rStyle w:val="Strong"/>
              </w:rPr>
              <w:t>Constrained maximization</w:t>
            </w:r>
          </w:p>
        </w:tc>
        <w:tc>
          <w:tcPr>
            <w:tcW w:w="6468" w:type="dxa"/>
            <w:tcBorders/>
            <w:vAlign w:val="center"/>
          </w:tcPr>
          <w:p>
            <w:pPr>
              <w:pStyle w:val="TableContents"/>
              <w:widowControl w:val="false"/>
              <w:suppressLineNumbers/>
              <w:spacing w:before="0" w:after="200"/>
              <w:rPr/>
            </w:pPr>
            <w:r>
              <w:rPr/>
              <w:t>Representable as a stable policy of complying with mutually beneficial rules rather than maximizing advantage in each isolated interaction.</w:t>
            </w:r>
          </w:p>
        </w:tc>
      </w:tr>
      <w:tr>
        <w:trPr/>
        <w:tc>
          <w:tcPr>
            <w:tcW w:w="2172" w:type="dxa"/>
            <w:tcBorders/>
            <w:vAlign w:val="center"/>
          </w:tcPr>
          <w:p>
            <w:pPr>
              <w:pStyle w:val="TableContents"/>
              <w:widowControl w:val="false"/>
              <w:suppressLineNumbers/>
              <w:spacing w:before="0" w:after="200"/>
              <w:rPr/>
            </w:pPr>
            <w:r>
              <w:rPr>
                <w:rStyle w:val="Strong"/>
              </w:rPr>
              <w:t>Public justification</w:t>
            </w:r>
          </w:p>
        </w:tc>
        <w:tc>
          <w:tcPr>
            <w:tcW w:w="6468" w:type="dxa"/>
            <w:tcBorders/>
            <w:vAlign w:val="center"/>
          </w:tcPr>
          <w:p>
            <w:pPr>
              <w:pStyle w:val="TableContents"/>
              <w:widowControl w:val="false"/>
              <w:suppressLineNumbers/>
              <w:spacing w:before="0" w:after="200"/>
              <w:rPr/>
            </w:pPr>
            <w:r>
              <w:rPr/>
              <w:t>Reflected in explainability requirements and the need to disclose assumptions, evidence, authority, and expected effects.</w:t>
            </w:r>
          </w:p>
        </w:tc>
      </w:tr>
      <w:tr>
        <w:trPr/>
        <w:tc>
          <w:tcPr>
            <w:tcW w:w="2172" w:type="dxa"/>
            <w:tcBorders/>
            <w:vAlign w:val="center"/>
          </w:tcPr>
          <w:p>
            <w:pPr>
              <w:pStyle w:val="TableContents"/>
              <w:widowControl w:val="false"/>
              <w:suppressLineNumbers/>
              <w:spacing w:before="0" w:after="200"/>
              <w:rPr/>
            </w:pPr>
            <w:r>
              <w:rPr>
                <w:rStyle w:val="Strong"/>
              </w:rPr>
              <w:t>Legitimate authority</w:t>
            </w:r>
          </w:p>
        </w:tc>
        <w:tc>
          <w:tcPr>
            <w:tcW w:w="6468" w:type="dxa"/>
            <w:tcBorders/>
            <w:vAlign w:val="center"/>
          </w:tcPr>
          <w:p>
            <w:pPr>
              <w:pStyle w:val="TableContents"/>
              <w:widowControl w:val="false"/>
              <w:suppressLineNumbers/>
              <w:spacing w:before="0" w:after="200"/>
              <w:rPr/>
            </w:pPr>
            <w:r>
              <w:rPr/>
              <w:t>Representable through roles, consent, institutional procedures, jurisdiction, and constraints on the exercise of power.</w:t>
            </w:r>
          </w:p>
        </w:tc>
      </w:tr>
      <w:tr>
        <w:trPr/>
        <w:tc>
          <w:tcPr>
            <w:tcW w:w="2172" w:type="dxa"/>
            <w:tcBorders/>
            <w:vAlign w:val="center"/>
          </w:tcPr>
          <w:p>
            <w:pPr>
              <w:pStyle w:val="TableContents"/>
              <w:widowControl w:val="false"/>
              <w:suppressLineNumbers/>
              <w:spacing w:before="0" w:after="200"/>
              <w:rPr/>
            </w:pPr>
            <w:r>
              <w:rPr>
                <w:rStyle w:val="Strong"/>
              </w:rPr>
              <w:t>Basic structure</w:t>
            </w:r>
          </w:p>
        </w:tc>
        <w:tc>
          <w:tcPr>
            <w:tcW w:w="6468" w:type="dxa"/>
            <w:tcBorders/>
            <w:vAlign w:val="center"/>
          </w:tcPr>
          <w:p>
            <w:pPr>
              <w:pStyle w:val="TableContents"/>
              <w:widowControl w:val="false"/>
              <w:suppressLineNumbers/>
              <w:spacing w:before="0" w:after="200"/>
              <w:rPr/>
            </w:pPr>
            <w:r>
              <w:rPr/>
              <w:t>Adaptable as the network of institutions that allocates rights, opportunities, resources, burdens, and authority.</w:t>
            </w:r>
          </w:p>
        </w:tc>
      </w:tr>
      <w:tr>
        <w:trPr/>
        <w:tc>
          <w:tcPr>
            <w:tcW w:w="2172" w:type="dxa"/>
            <w:tcBorders/>
            <w:vAlign w:val="center"/>
          </w:tcPr>
          <w:p>
            <w:pPr>
              <w:pStyle w:val="TableContents"/>
              <w:widowControl w:val="false"/>
              <w:suppressLineNumbers/>
              <w:spacing w:before="0" w:after="200"/>
              <w:rPr/>
            </w:pPr>
            <w:r>
              <w:rPr>
                <w:rStyle w:val="Strong"/>
              </w:rPr>
              <w:t>Assurance</w:t>
            </w:r>
          </w:p>
        </w:tc>
        <w:tc>
          <w:tcPr>
            <w:tcW w:w="6468" w:type="dxa"/>
            <w:tcBorders/>
            <w:vAlign w:val="center"/>
          </w:tcPr>
          <w:p>
            <w:pPr>
              <w:pStyle w:val="TableContents"/>
              <w:widowControl w:val="false"/>
              <w:suppressLineNumbers/>
              <w:spacing w:before="0" w:after="200"/>
              <w:rPr/>
            </w:pPr>
            <w:r>
              <w:rPr/>
              <w:t>Representable through expectations of compliance, monitoring, enforcement, reputation, and institutional reliability.</w:t>
            </w:r>
          </w:p>
        </w:tc>
      </w:tr>
      <w:tr>
        <w:trPr/>
        <w:tc>
          <w:tcPr>
            <w:tcW w:w="2172" w:type="dxa"/>
            <w:tcBorders/>
            <w:vAlign w:val="center"/>
          </w:tcPr>
          <w:p>
            <w:pPr>
              <w:pStyle w:val="TableContents"/>
              <w:widowControl w:val="false"/>
              <w:suppressLineNumbers/>
              <w:spacing w:before="0" w:after="200"/>
              <w:rPr/>
            </w:pPr>
            <w:r>
              <w:rPr>
                <w:rStyle w:val="Strong"/>
              </w:rPr>
              <w:t>Exit and voice</w:t>
            </w:r>
          </w:p>
        </w:tc>
        <w:tc>
          <w:tcPr>
            <w:tcW w:w="6468" w:type="dxa"/>
            <w:tcBorders/>
            <w:vAlign w:val="center"/>
          </w:tcPr>
          <w:p>
            <w:pPr>
              <w:pStyle w:val="TableContents"/>
              <w:widowControl w:val="false"/>
              <w:suppressLineNumbers/>
              <w:spacing w:before="0" w:after="200"/>
              <w:rPr/>
            </w:pPr>
            <w:r>
              <w:rPr/>
              <w:t>Reflected in preservation of alternatives, participation, appeal, dissent, and the ability to seek revision.</w:t>
            </w:r>
          </w:p>
        </w:tc>
      </w:tr>
      <w:tr>
        <w:trPr/>
        <w:tc>
          <w:tcPr>
            <w:tcW w:w="2172" w:type="dxa"/>
            <w:tcBorders/>
            <w:vAlign w:val="center"/>
          </w:tcPr>
          <w:p>
            <w:pPr>
              <w:pStyle w:val="TableContents"/>
              <w:widowControl w:val="false"/>
              <w:suppressLineNumbers/>
              <w:spacing w:before="0" w:after="200"/>
              <w:rPr/>
            </w:pPr>
            <w:r>
              <w:rPr>
                <w:rStyle w:val="Strong"/>
              </w:rPr>
              <w:t>Breach and remedy</w:t>
            </w:r>
          </w:p>
        </w:tc>
        <w:tc>
          <w:tcPr>
            <w:tcW w:w="6468" w:type="dxa"/>
            <w:tcBorders/>
            <w:vAlign w:val="center"/>
          </w:tcPr>
          <w:p>
            <w:pPr>
              <w:pStyle w:val="TableContents"/>
              <w:widowControl w:val="false"/>
              <w:suppressLineNumbers/>
              <w:spacing w:before="0" w:after="200"/>
              <w:rPr/>
            </w:pPr>
            <w:r>
              <w:rPr/>
              <w:t>Representable as a violation of an Association that activates enforcement, restitution, repair, or renegotiation.</w:t>
            </w:r>
          </w:p>
        </w:tc>
      </w:tr>
      <w:tr>
        <w:trPr/>
        <w:tc>
          <w:tcPr>
            <w:tcW w:w="2172" w:type="dxa"/>
            <w:tcBorders/>
            <w:vAlign w:val="center"/>
          </w:tcPr>
          <w:p>
            <w:pPr>
              <w:pStyle w:val="TableContents"/>
              <w:widowControl w:val="false"/>
              <w:suppressLineNumbers/>
              <w:spacing w:before="0" w:after="200"/>
              <w:rPr/>
            </w:pPr>
            <w:r>
              <w:rPr>
                <w:rStyle w:val="Strong"/>
              </w:rPr>
              <w:t>Reflective equilibrium</w:t>
            </w:r>
          </w:p>
        </w:tc>
        <w:tc>
          <w:tcPr>
            <w:tcW w:w="6468" w:type="dxa"/>
            <w:tcBorders/>
            <w:vAlign w:val="center"/>
          </w:tcPr>
          <w:p>
            <w:pPr>
              <w:pStyle w:val="TableContents"/>
              <w:widowControl w:val="false"/>
              <w:suppressLineNumbers/>
              <w:spacing w:before="0" w:after="200"/>
              <w:rPr/>
            </w:pPr>
            <w:r>
              <w:rPr/>
              <w:t>Adaptable as iterative revision between general principles and judgments about particular World Context Transitions.</w:t>
            </w:r>
          </w:p>
        </w:tc>
      </w:tr>
      <w:tr>
        <w:trPr/>
        <w:tc>
          <w:tcPr>
            <w:tcW w:w="2172" w:type="dxa"/>
            <w:tcBorders/>
            <w:vAlign w:val="center"/>
          </w:tcPr>
          <w:p>
            <w:pPr>
              <w:pStyle w:val="TableContents"/>
              <w:widowControl w:val="false"/>
              <w:suppressLineNumbers/>
              <w:spacing w:before="0" w:after="200"/>
              <w:rPr/>
            </w:pPr>
            <w:r>
              <w:rPr>
                <w:rStyle w:val="Strong"/>
              </w:rPr>
              <w:t>Overlapping consensus</w:t>
            </w:r>
          </w:p>
        </w:tc>
        <w:tc>
          <w:tcPr>
            <w:tcW w:w="6468" w:type="dxa"/>
            <w:tcBorders/>
            <w:vAlign w:val="center"/>
          </w:tcPr>
          <w:p>
            <w:pPr>
              <w:pStyle w:val="TableContents"/>
              <w:widowControl w:val="false"/>
              <w:suppressLineNumbers/>
              <w:spacing w:before="0" w:after="200"/>
              <w:rPr/>
            </w:pPr>
            <w:r>
              <w:rPr/>
              <w:t>Adaptable as agreement on shared institutional rules among entities holding different comprehensive moral views.</w:t>
            </w:r>
          </w:p>
        </w:tc>
      </w:tr>
      <w:tr>
        <w:trPr/>
        <w:tc>
          <w:tcPr>
            <w:tcW w:w="2172" w:type="dxa"/>
            <w:tcBorders/>
            <w:vAlign w:val="center"/>
          </w:tcPr>
          <w:p>
            <w:pPr>
              <w:pStyle w:val="TableContents"/>
              <w:widowControl w:val="false"/>
              <w:suppressLineNumbers/>
              <w:spacing w:before="0" w:after="200"/>
              <w:rPr/>
            </w:pPr>
            <w:r>
              <w:rPr>
                <w:rStyle w:val="Strong"/>
              </w:rPr>
              <w:t>Membership</w:t>
            </w:r>
          </w:p>
        </w:tc>
        <w:tc>
          <w:tcPr>
            <w:tcW w:w="6468" w:type="dxa"/>
            <w:tcBorders/>
            <w:vAlign w:val="center"/>
          </w:tcPr>
          <w:p>
            <w:pPr>
              <w:pStyle w:val="TableContents"/>
              <w:widowControl w:val="false"/>
              <w:suppressLineNumbers/>
              <w:spacing w:before="0" w:after="200"/>
              <w:rPr/>
            </w:pPr>
            <w:r>
              <w:rPr/>
              <w:t>Representable through explicit criteria identifying parties, beneficiaries, represented nonparties, and excluded entities.</w:t>
            </w:r>
          </w:p>
        </w:tc>
      </w:tr>
    </w:tbl>
    <w:p>
      <w:pPr>
        <w:pStyle w:val="Heading3"/>
        <w:spacing w:before="0" w:after="200"/>
        <w:ind w:hanging="0" w:left="0"/>
        <w:rPr>
          <w:rFonts w:ascii="Aptos" w:hAnsi="Aptos"/>
          <w:color w:val="auto"/>
        </w:rPr>
      </w:pPr>
      <w:r>
        <w:rPr>
          <w:rFonts w:ascii="Aptos" w:hAnsi="Aptos"/>
          <w:color w:val="auto"/>
        </w:rPr>
        <w:t>Similarities</w:t>
      </w:r>
    </w:p>
    <w:p>
      <w:pPr>
        <w:pStyle w:val="BodyText"/>
        <w:spacing w:before="0" w:after="200"/>
        <w:rPr/>
      </w:pPr>
      <w:r>
        <w:rPr/>
        <w:t>Contractarianism and this framework share several important commitments:</w:t>
      </w:r>
    </w:p>
    <w:p>
      <w:pPr>
        <w:pStyle w:val="BodyText"/>
        <w:numPr>
          <w:ilvl w:val="0"/>
          <w:numId w:val="105"/>
        </w:numPr>
        <w:tabs>
          <w:tab w:val="clear" w:pos="720"/>
          <w:tab w:val="left" w:pos="0" w:leader="none"/>
        </w:tabs>
        <w:spacing w:before="0" w:after="200"/>
        <w:ind w:hanging="283" w:left="709"/>
        <w:rPr/>
      </w:pPr>
      <w:r>
        <w:rPr/>
        <w:t>Both recognize that moral agents act within relationships and institutions.</w:t>
      </w:r>
    </w:p>
    <w:p>
      <w:pPr>
        <w:pStyle w:val="BodyText"/>
        <w:numPr>
          <w:ilvl w:val="0"/>
          <w:numId w:val="105"/>
        </w:numPr>
        <w:tabs>
          <w:tab w:val="clear" w:pos="720"/>
          <w:tab w:val="left" w:pos="0" w:leader="none"/>
        </w:tabs>
        <w:spacing w:before="0" w:after="200"/>
        <w:ind w:hanging="283" w:left="709"/>
        <w:rPr/>
      </w:pPr>
      <w:r>
        <w:rPr/>
        <w:t>Both examine how rules structure cooperation over time.</w:t>
      </w:r>
    </w:p>
    <w:p>
      <w:pPr>
        <w:pStyle w:val="BodyText"/>
        <w:numPr>
          <w:ilvl w:val="0"/>
          <w:numId w:val="105"/>
        </w:numPr>
        <w:tabs>
          <w:tab w:val="clear" w:pos="720"/>
          <w:tab w:val="left" w:pos="0" w:leader="none"/>
        </w:tabs>
        <w:spacing w:before="0" w:after="200"/>
        <w:ind w:hanging="283" w:left="709"/>
        <w:rPr/>
      </w:pPr>
      <w:r>
        <w:rPr/>
        <w:t>Both distinguish legitimate authority from mere possession of power.</w:t>
      </w:r>
    </w:p>
    <w:p>
      <w:pPr>
        <w:pStyle w:val="BodyText"/>
        <w:numPr>
          <w:ilvl w:val="0"/>
          <w:numId w:val="105"/>
        </w:numPr>
        <w:tabs>
          <w:tab w:val="clear" w:pos="720"/>
          <w:tab w:val="left" w:pos="0" w:leader="none"/>
        </w:tabs>
        <w:spacing w:before="0" w:after="200"/>
        <w:ind w:hanging="283" w:left="709"/>
        <w:rPr/>
      </w:pPr>
      <w:r>
        <w:rPr/>
        <w:t>Both recognize consent, voluntariness, and information as ethically relevant.</w:t>
      </w:r>
    </w:p>
    <w:p>
      <w:pPr>
        <w:pStyle w:val="BodyText"/>
        <w:numPr>
          <w:ilvl w:val="0"/>
          <w:numId w:val="105"/>
        </w:numPr>
        <w:tabs>
          <w:tab w:val="clear" w:pos="720"/>
          <w:tab w:val="left" w:pos="0" w:leader="none"/>
        </w:tabs>
        <w:spacing w:before="0" w:after="200"/>
        <w:ind w:hanging="283" w:left="709"/>
        <w:rPr/>
      </w:pPr>
      <w:r>
        <w:rPr/>
        <w:t>Both can model reciprocal duties and role-based obligations.</w:t>
      </w:r>
    </w:p>
    <w:p>
      <w:pPr>
        <w:pStyle w:val="BodyText"/>
        <w:numPr>
          <w:ilvl w:val="0"/>
          <w:numId w:val="105"/>
        </w:numPr>
        <w:tabs>
          <w:tab w:val="clear" w:pos="720"/>
          <w:tab w:val="left" w:pos="0" w:leader="none"/>
        </w:tabs>
        <w:spacing w:before="0" w:after="200"/>
        <w:ind w:hanging="283" w:left="709"/>
        <w:rPr/>
      </w:pPr>
      <w:r>
        <w:rPr/>
        <w:t>Both consider the distribution of benefits and burdens.</w:t>
      </w:r>
    </w:p>
    <w:p>
      <w:pPr>
        <w:pStyle w:val="BodyText"/>
        <w:numPr>
          <w:ilvl w:val="0"/>
          <w:numId w:val="105"/>
        </w:numPr>
        <w:tabs>
          <w:tab w:val="clear" w:pos="720"/>
          <w:tab w:val="left" w:pos="0" w:leader="none"/>
        </w:tabs>
        <w:spacing w:before="0" w:after="200"/>
        <w:ind w:hanging="283" w:left="709"/>
        <w:rPr/>
      </w:pPr>
      <w:r>
        <w:rPr/>
        <w:t>Both recognize that stable cooperation depends on trust and expectations of compliance.</w:t>
      </w:r>
    </w:p>
    <w:p>
      <w:pPr>
        <w:pStyle w:val="BodyText"/>
        <w:numPr>
          <w:ilvl w:val="0"/>
          <w:numId w:val="105"/>
        </w:numPr>
        <w:tabs>
          <w:tab w:val="clear" w:pos="720"/>
          <w:tab w:val="left" w:pos="0" w:leader="none"/>
        </w:tabs>
        <w:spacing w:before="0" w:after="200"/>
        <w:ind w:hanging="283" w:left="709"/>
        <w:rPr/>
      </w:pPr>
      <w:r>
        <w:rPr/>
        <w:t>Both support explicit and publicly explainable rules.</w:t>
      </w:r>
    </w:p>
    <w:p>
      <w:pPr>
        <w:pStyle w:val="BodyText"/>
        <w:numPr>
          <w:ilvl w:val="0"/>
          <w:numId w:val="105"/>
        </w:numPr>
        <w:tabs>
          <w:tab w:val="clear" w:pos="720"/>
          <w:tab w:val="left" w:pos="0" w:leader="none"/>
        </w:tabs>
        <w:spacing w:before="0" w:after="200"/>
        <w:ind w:hanging="283" w:left="709"/>
        <w:rPr/>
      </w:pPr>
      <w:r>
        <w:rPr/>
        <w:t>Both can compare existing arrangements with counterfactual alternatives.</w:t>
      </w:r>
    </w:p>
    <w:p>
      <w:pPr>
        <w:pStyle w:val="BodyText"/>
        <w:numPr>
          <w:ilvl w:val="0"/>
          <w:numId w:val="105"/>
        </w:numPr>
        <w:tabs>
          <w:tab w:val="clear" w:pos="720"/>
          <w:tab w:val="left" w:pos="0" w:leader="none"/>
        </w:tabs>
        <w:spacing w:before="0" w:after="200"/>
        <w:ind w:hanging="283" w:left="709"/>
        <w:rPr/>
      </w:pPr>
      <w:r>
        <w:rPr/>
        <w:t>Both recognize that institutions alter the future policies of participating agents.</w:t>
      </w:r>
    </w:p>
    <w:p>
      <w:pPr>
        <w:pStyle w:val="BodyText"/>
        <w:numPr>
          <w:ilvl w:val="0"/>
          <w:numId w:val="105"/>
        </w:numPr>
        <w:tabs>
          <w:tab w:val="clear" w:pos="720"/>
          <w:tab w:val="left" w:pos="0" w:leader="none"/>
        </w:tabs>
        <w:spacing w:before="0" w:after="200"/>
        <w:ind w:hanging="283" w:left="709"/>
        <w:rPr/>
      </w:pPr>
      <w:r>
        <w:rPr/>
        <w:t>Both can examine how unequal power affects agreements.</w:t>
      </w:r>
    </w:p>
    <w:p>
      <w:pPr>
        <w:pStyle w:val="BodyText"/>
        <w:numPr>
          <w:ilvl w:val="0"/>
          <w:numId w:val="105"/>
        </w:numPr>
        <w:tabs>
          <w:tab w:val="clear" w:pos="720"/>
          <w:tab w:val="left" w:pos="0" w:leader="none"/>
        </w:tabs>
        <w:spacing w:before="0" w:after="200"/>
        <w:ind w:hanging="283" w:left="709"/>
        <w:rPr/>
      </w:pPr>
      <w:r>
        <w:rPr/>
        <w:t>Both support mechanisms for dispute resolution and corrective action.</w:t>
      </w:r>
    </w:p>
    <w:p>
      <w:pPr>
        <w:pStyle w:val="BodyText"/>
        <w:numPr>
          <w:ilvl w:val="0"/>
          <w:numId w:val="105"/>
        </w:numPr>
        <w:tabs>
          <w:tab w:val="clear" w:pos="720"/>
          <w:tab w:val="left" w:pos="0" w:leader="none"/>
        </w:tabs>
        <w:spacing w:before="0" w:after="200"/>
        <w:ind w:hanging="283" w:left="709"/>
        <w:rPr/>
      </w:pPr>
      <w:r>
        <w:rPr/>
        <w:t>Both recognize the importance of long-term stability rather than isolated transactions.</w:t>
      </w:r>
    </w:p>
    <w:p>
      <w:pPr>
        <w:pStyle w:val="BodyText"/>
        <w:numPr>
          <w:ilvl w:val="0"/>
          <w:numId w:val="105"/>
        </w:numPr>
        <w:tabs>
          <w:tab w:val="clear" w:pos="720"/>
          <w:tab w:val="left" w:pos="0" w:leader="none"/>
        </w:tabs>
        <w:spacing w:before="0" w:after="200"/>
        <w:ind w:hanging="283" w:left="709"/>
        <w:rPr/>
      </w:pPr>
      <w:r>
        <w:rPr/>
        <w:t>Both can represent plural objectives within a shared institutional structure.</w:t>
      </w:r>
    </w:p>
    <w:p>
      <w:pPr>
        <w:pStyle w:val="BodyText"/>
        <w:numPr>
          <w:ilvl w:val="0"/>
          <w:numId w:val="105"/>
        </w:numPr>
        <w:tabs>
          <w:tab w:val="clear" w:pos="720"/>
          <w:tab w:val="left" w:pos="0" w:leader="none"/>
        </w:tabs>
        <w:spacing w:before="0" w:after="200"/>
        <w:ind w:hanging="283" w:left="709"/>
        <w:rPr/>
      </w:pPr>
      <w:r>
        <w:rPr/>
        <w:t>Both distinguish the interests of individual actors from the conditions necessary for sustainable cooperation.</w:t>
      </w:r>
    </w:p>
    <w:p>
      <w:pPr>
        <w:pStyle w:val="BodyText"/>
        <w:numPr>
          <w:ilvl w:val="0"/>
          <w:numId w:val="105"/>
        </w:numPr>
        <w:tabs>
          <w:tab w:val="clear" w:pos="720"/>
          <w:tab w:val="left" w:pos="0" w:leader="none"/>
        </w:tabs>
        <w:spacing w:before="0" w:after="200"/>
        <w:ind w:hanging="283" w:left="709"/>
        <w:rPr/>
      </w:pPr>
      <w:r>
        <w:rPr/>
        <w:t>Both recognize that legitimacy can change when an institution violates the purpose for which its authority was established.</w:t>
      </w:r>
    </w:p>
    <w:p>
      <w:pPr>
        <w:pStyle w:val="Heading3"/>
        <w:spacing w:before="0" w:after="200"/>
        <w:ind w:hanging="0" w:left="0"/>
        <w:rPr>
          <w:rFonts w:ascii="Aptos" w:hAnsi="Aptos"/>
          <w:color w:val="auto"/>
        </w:rPr>
      </w:pPr>
      <w:r>
        <w:rPr>
          <w:rFonts w:ascii="Aptos" w:hAnsi="Aptos"/>
          <w:color w:val="auto"/>
        </w:rPr>
        <w:t>Differences</w:t>
      </w:r>
    </w:p>
    <w:tbl>
      <w:tblPr>
        <w:tblW w:w="8640" w:type="dxa"/>
        <w:jc w:val="left"/>
        <w:tblInd w:w="28" w:type="dxa"/>
        <w:tblLayout w:type="fixed"/>
        <w:tblCellMar>
          <w:top w:w="28" w:type="dxa"/>
          <w:left w:w="28" w:type="dxa"/>
          <w:bottom w:w="28" w:type="dxa"/>
          <w:right w:w="28" w:type="dxa"/>
        </w:tblCellMar>
      </w:tblPr>
      <w:tblGrid>
        <w:gridCol w:w="1761"/>
        <w:gridCol w:w="3391"/>
        <w:gridCol w:w="3488"/>
      </w:tblGrid>
      <w:tr>
        <w:trPr>
          <w:tblHeader w:val="true"/>
        </w:trPr>
        <w:tc>
          <w:tcPr>
            <w:tcW w:w="1761" w:type="dxa"/>
            <w:tcBorders/>
            <w:vAlign w:val="center"/>
          </w:tcPr>
          <w:p>
            <w:pPr>
              <w:pStyle w:val="TableHeading"/>
              <w:suppressLineNumbers/>
              <w:spacing w:before="0" w:after="200"/>
              <w:jc w:val="center"/>
              <w:rPr/>
            </w:pPr>
            <w:r>
              <w:rPr/>
              <w:t>Dimension</w:t>
            </w:r>
          </w:p>
        </w:tc>
        <w:tc>
          <w:tcPr>
            <w:tcW w:w="3391" w:type="dxa"/>
            <w:tcBorders/>
            <w:vAlign w:val="center"/>
          </w:tcPr>
          <w:p>
            <w:pPr>
              <w:pStyle w:val="TableHeading"/>
              <w:suppressLineNumbers/>
              <w:spacing w:before="0" w:after="200"/>
              <w:jc w:val="center"/>
              <w:rPr/>
            </w:pPr>
            <w:r>
              <w:rPr/>
              <w:t>Contractarianism / Social Contract Theory</w:t>
            </w:r>
          </w:p>
        </w:tc>
        <w:tc>
          <w:tcPr>
            <w:tcW w:w="3488" w:type="dxa"/>
            <w:tcBorders/>
            <w:vAlign w:val="center"/>
          </w:tcPr>
          <w:p>
            <w:pPr>
              <w:pStyle w:val="TableHeading"/>
              <w:suppressLineNumbers/>
              <w:spacing w:before="0" w:after="200"/>
              <w:jc w:val="center"/>
              <w:rPr/>
            </w:pPr>
            <w:r>
              <w:rPr/>
              <w:t>This framework</w:t>
            </w:r>
          </w:p>
        </w:tc>
      </w:tr>
      <w:tr>
        <w:trPr/>
        <w:tc>
          <w:tcPr>
            <w:tcW w:w="1761" w:type="dxa"/>
            <w:tcBorders/>
            <w:vAlign w:val="center"/>
          </w:tcPr>
          <w:p>
            <w:pPr>
              <w:pStyle w:val="TableContents"/>
              <w:widowControl w:val="false"/>
              <w:suppressLineNumbers/>
              <w:spacing w:before="0" w:after="200"/>
              <w:rPr/>
            </w:pPr>
            <w:r>
              <w:rPr>
                <w:rStyle w:val="Strong"/>
              </w:rPr>
              <w:t>Primary normative question</w:t>
            </w:r>
          </w:p>
        </w:tc>
        <w:tc>
          <w:tcPr>
            <w:tcW w:w="3391" w:type="dxa"/>
            <w:tcBorders/>
            <w:vAlign w:val="center"/>
          </w:tcPr>
          <w:p>
            <w:pPr>
              <w:pStyle w:val="TableContents"/>
              <w:widowControl w:val="false"/>
              <w:suppressLineNumbers/>
              <w:spacing w:before="0" w:after="200"/>
              <w:rPr/>
            </w:pPr>
            <w:r>
              <w:rPr/>
              <w:t>What rules or institutions would relevant persons agree to or have reason to endorse?</w:t>
            </w:r>
          </w:p>
        </w:tc>
        <w:tc>
          <w:tcPr>
            <w:tcW w:w="3488" w:type="dxa"/>
            <w:tcBorders/>
            <w:vAlign w:val="center"/>
          </w:tcPr>
          <w:p>
            <w:pPr>
              <w:pStyle w:val="TableContents"/>
              <w:widowControl w:val="false"/>
              <w:suppressLineNumbers/>
              <w:spacing w:before="0" w:after="200"/>
              <w:rPr/>
            </w:pPr>
            <w:r>
              <w:rPr/>
              <w:t>What World Context Transition best satisfies the Foundational Axiom?</w:t>
            </w:r>
          </w:p>
        </w:tc>
      </w:tr>
      <w:tr>
        <w:trPr/>
        <w:tc>
          <w:tcPr>
            <w:tcW w:w="1761" w:type="dxa"/>
            <w:tcBorders/>
            <w:vAlign w:val="center"/>
          </w:tcPr>
          <w:p>
            <w:pPr>
              <w:pStyle w:val="TableContents"/>
              <w:widowControl w:val="false"/>
              <w:suppressLineNumbers/>
              <w:spacing w:before="0" w:after="200"/>
              <w:rPr/>
            </w:pPr>
            <w:r>
              <w:rPr>
                <w:rStyle w:val="Strong"/>
              </w:rPr>
              <w:t>Source of obligation</w:t>
            </w:r>
          </w:p>
        </w:tc>
        <w:tc>
          <w:tcPr>
            <w:tcW w:w="3391" w:type="dxa"/>
            <w:tcBorders/>
            <w:vAlign w:val="center"/>
          </w:tcPr>
          <w:p>
            <w:pPr>
              <w:pStyle w:val="TableContents"/>
              <w:widowControl w:val="false"/>
              <w:suppressLineNumbers/>
              <w:spacing w:before="0" w:after="200"/>
              <w:rPr/>
            </w:pPr>
            <w:r>
              <w:rPr/>
              <w:t>Agreement, rational endorsement, reciprocity, or reasonable non-rejectability</w:t>
            </w:r>
          </w:p>
        </w:tc>
        <w:tc>
          <w:tcPr>
            <w:tcW w:w="3488" w:type="dxa"/>
            <w:tcBorders/>
            <w:vAlign w:val="center"/>
          </w:tcPr>
          <w:p>
            <w:pPr>
              <w:pStyle w:val="TableContents"/>
              <w:widowControl w:val="false"/>
              <w:suppressLineNumbers/>
              <w:spacing w:before="0" w:after="200"/>
              <w:rPr/>
            </w:pPr>
            <w:r>
              <w:rPr/>
              <w:t>Effects on compatible Long-Term Flourishing, supplemented by relationships, constraints, authority, and responsibility</w:t>
            </w:r>
          </w:p>
        </w:tc>
      </w:tr>
      <w:tr>
        <w:trPr/>
        <w:tc>
          <w:tcPr>
            <w:tcW w:w="1761" w:type="dxa"/>
            <w:tcBorders/>
            <w:vAlign w:val="center"/>
          </w:tcPr>
          <w:p>
            <w:pPr>
              <w:pStyle w:val="TableContents"/>
              <w:widowControl w:val="false"/>
              <w:suppressLineNumbers/>
              <w:spacing w:before="0" w:after="200"/>
              <w:rPr/>
            </w:pPr>
            <w:r>
              <w:rPr>
                <w:rStyle w:val="Strong"/>
              </w:rPr>
              <w:t>Primary unit</w:t>
            </w:r>
          </w:p>
        </w:tc>
        <w:tc>
          <w:tcPr>
            <w:tcW w:w="3391" w:type="dxa"/>
            <w:tcBorders/>
            <w:vAlign w:val="center"/>
          </w:tcPr>
          <w:p>
            <w:pPr>
              <w:pStyle w:val="TableContents"/>
              <w:widowControl w:val="false"/>
              <w:suppressLineNumbers/>
              <w:spacing w:before="0" w:after="200"/>
              <w:rPr/>
            </w:pPr>
            <w:r>
              <w:rPr/>
              <w:t>Parties to a contract and the principles governing their cooperation</w:t>
            </w:r>
          </w:p>
        </w:tc>
        <w:tc>
          <w:tcPr>
            <w:tcW w:w="3488" w:type="dxa"/>
            <w:tcBorders/>
            <w:vAlign w:val="center"/>
          </w:tcPr>
          <w:p>
            <w:pPr>
              <w:pStyle w:val="TableContents"/>
              <w:widowControl w:val="false"/>
              <w:suppressLineNumbers/>
              <w:spacing w:before="0" w:after="200"/>
              <w:rPr/>
            </w:pPr>
            <w:r>
              <w:rPr/>
              <w:t>All relevant Objects, Associations, institutions, and future possibilities</w:t>
            </w:r>
          </w:p>
        </w:tc>
      </w:tr>
      <w:tr>
        <w:trPr/>
        <w:tc>
          <w:tcPr>
            <w:tcW w:w="1761" w:type="dxa"/>
            <w:tcBorders/>
            <w:vAlign w:val="center"/>
          </w:tcPr>
          <w:p>
            <w:pPr>
              <w:pStyle w:val="TableContents"/>
              <w:widowControl w:val="false"/>
              <w:suppressLineNumbers/>
              <w:spacing w:before="0" w:after="200"/>
              <w:rPr/>
            </w:pPr>
            <w:r>
              <w:rPr>
                <w:rStyle w:val="Strong"/>
              </w:rPr>
              <w:t>Moral standing</w:t>
            </w:r>
          </w:p>
        </w:tc>
        <w:tc>
          <w:tcPr>
            <w:tcW w:w="3391" w:type="dxa"/>
            <w:tcBorders/>
            <w:vAlign w:val="center"/>
          </w:tcPr>
          <w:p>
            <w:pPr>
              <w:pStyle w:val="TableContents"/>
              <w:widowControl w:val="false"/>
              <w:suppressLineNumbers/>
              <w:spacing w:before="0" w:after="200"/>
              <w:rPr/>
            </w:pPr>
            <w:r>
              <w:rPr/>
              <w:t>Often begins with rational agents capable of bargaining or justification</w:t>
            </w:r>
          </w:p>
        </w:tc>
        <w:tc>
          <w:tcPr>
            <w:tcW w:w="3488" w:type="dxa"/>
            <w:tcBorders/>
            <w:vAlign w:val="center"/>
          </w:tcPr>
          <w:p>
            <w:pPr>
              <w:pStyle w:val="TableContents"/>
              <w:widowControl w:val="false"/>
              <w:suppressLineNumbers/>
              <w:spacing w:before="0" w:after="200"/>
              <w:rPr/>
            </w:pPr>
            <w:r>
              <w:rPr/>
              <w:t>Potentially includes entities unable to consent, bargain, or reciprocate</w:t>
            </w:r>
          </w:p>
        </w:tc>
      </w:tr>
      <w:tr>
        <w:trPr/>
        <w:tc>
          <w:tcPr>
            <w:tcW w:w="1761" w:type="dxa"/>
            <w:tcBorders/>
            <w:vAlign w:val="center"/>
          </w:tcPr>
          <w:p>
            <w:pPr>
              <w:pStyle w:val="TableContents"/>
              <w:widowControl w:val="false"/>
              <w:suppressLineNumbers/>
              <w:spacing w:before="0" w:after="200"/>
              <w:rPr/>
            </w:pPr>
            <w:r>
              <w:rPr>
                <w:rStyle w:val="Strong"/>
              </w:rPr>
              <w:t>Role of consent</w:t>
            </w:r>
          </w:p>
        </w:tc>
        <w:tc>
          <w:tcPr>
            <w:tcW w:w="3391" w:type="dxa"/>
            <w:tcBorders/>
            <w:vAlign w:val="center"/>
          </w:tcPr>
          <w:p>
            <w:pPr>
              <w:pStyle w:val="TableContents"/>
              <w:widowControl w:val="false"/>
              <w:suppressLineNumbers/>
              <w:spacing w:before="0" w:after="200"/>
              <w:rPr/>
            </w:pPr>
            <w:r>
              <w:rPr/>
              <w:t>Frequently foundational to legitimacy</w:t>
            </w:r>
          </w:p>
        </w:tc>
        <w:tc>
          <w:tcPr>
            <w:tcW w:w="3488" w:type="dxa"/>
            <w:tcBorders/>
            <w:vAlign w:val="center"/>
          </w:tcPr>
          <w:p>
            <w:pPr>
              <w:pStyle w:val="TableContents"/>
              <w:widowControl w:val="false"/>
              <w:suppressLineNumbers/>
              <w:spacing w:before="0" w:after="200"/>
              <w:rPr/>
            </w:pPr>
            <w:r>
              <w:rPr/>
              <w:t>Important but not always sufficient or necessary for moral standing</w:t>
            </w:r>
          </w:p>
        </w:tc>
      </w:tr>
      <w:tr>
        <w:trPr/>
        <w:tc>
          <w:tcPr>
            <w:tcW w:w="1761" w:type="dxa"/>
            <w:tcBorders/>
            <w:vAlign w:val="center"/>
          </w:tcPr>
          <w:p>
            <w:pPr>
              <w:pStyle w:val="TableContents"/>
              <w:widowControl w:val="false"/>
              <w:suppressLineNumbers/>
              <w:spacing w:before="0" w:after="200"/>
              <w:rPr/>
            </w:pPr>
            <w:r>
              <w:rPr>
                <w:rStyle w:val="Strong"/>
              </w:rPr>
              <w:t>Baseline</w:t>
            </w:r>
          </w:p>
        </w:tc>
        <w:tc>
          <w:tcPr>
            <w:tcW w:w="3391" w:type="dxa"/>
            <w:tcBorders/>
            <w:vAlign w:val="center"/>
          </w:tcPr>
          <w:p>
            <w:pPr>
              <w:pStyle w:val="TableContents"/>
              <w:widowControl w:val="false"/>
              <w:suppressLineNumbers/>
              <w:spacing w:before="0" w:after="200"/>
              <w:rPr/>
            </w:pPr>
            <w:r>
              <w:rPr/>
              <w:t>State of nature, status quo, equal standing, or original position</w:t>
            </w:r>
          </w:p>
        </w:tc>
        <w:tc>
          <w:tcPr>
            <w:tcW w:w="3488" w:type="dxa"/>
            <w:tcBorders/>
            <w:vAlign w:val="center"/>
          </w:tcPr>
          <w:p>
            <w:pPr>
              <w:pStyle w:val="TableContents"/>
              <w:widowControl w:val="false"/>
              <w:suppressLineNumbers/>
              <w:spacing w:before="0" w:after="200"/>
              <w:rPr/>
            </w:pPr>
            <w:r>
              <w:rPr/>
              <w:t>Explicit initial World Context selected for the Assessed Action</w:t>
            </w:r>
          </w:p>
        </w:tc>
      </w:tr>
      <w:tr>
        <w:trPr/>
        <w:tc>
          <w:tcPr>
            <w:tcW w:w="1761" w:type="dxa"/>
            <w:tcBorders/>
            <w:vAlign w:val="center"/>
          </w:tcPr>
          <w:p>
            <w:pPr>
              <w:pStyle w:val="TableContents"/>
              <w:widowControl w:val="false"/>
              <w:suppressLineNumbers/>
              <w:spacing w:before="0" w:after="200"/>
              <w:rPr/>
            </w:pPr>
            <w:r>
              <w:rPr>
                <w:rStyle w:val="Strong"/>
              </w:rPr>
              <w:t>Motivation</w:t>
            </w:r>
          </w:p>
        </w:tc>
        <w:tc>
          <w:tcPr>
            <w:tcW w:w="3391" w:type="dxa"/>
            <w:tcBorders/>
            <w:vAlign w:val="center"/>
          </w:tcPr>
          <w:p>
            <w:pPr>
              <w:pStyle w:val="TableContents"/>
              <w:widowControl w:val="false"/>
              <w:suppressLineNumbers/>
              <w:spacing w:before="0" w:after="200"/>
              <w:rPr/>
            </w:pPr>
            <w:r>
              <w:rPr/>
              <w:t>May rely on self-interest, mutual advantage, fairness, or respect for others</w:t>
            </w:r>
          </w:p>
        </w:tc>
        <w:tc>
          <w:tcPr>
            <w:tcW w:w="3488" w:type="dxa"/>
            <w:tcBorders/>
            <w:vAlign w:val="center"/>
          </w:tcPr>
          <w:p>
            <w:pPr>
              <w:pStyle w:val="TableContents"/>
              <w:widowControl w:val="false"/>
              <w:suppressLineNumbers/>
              <w:spacing w:before="0" w:after="200"/>
              <w:rPr/>
            </w:pPr>
            <w:r>
              <w:rPr/>
              <w:t>Does not assume a single motivational structure</w:t>
            </w:r>
          </w:p>
        </w:tc>
      </w:tr>
      <w:tr>
        <w:trPr/>
        <w:tc>
          <w:tcPr>
            <w:tcW w:w="1761" w:type="dxa"/>
            <w:tcBorders/>
            <w:vAlign w:val="center"/>
          </w:tcPr>
          <w:p>
            <w:pPr>
              <w:pStyle w:val="TableContents"/>
              <w:widowControl w:val="false"/>
              <w:suppressLineNumbers/>
              <w:spacing w:before="0" w:after="200"/>
              <w:rPr/>
            </w:pPr>
            <w:r>
              <w:rPr>
                <w:rStyle w:val="Strong"/>
              </w:rPr>
              <w:t>Decision test</w:t>
            </w:r>
          </w:p>
        </w:tc>
        <w:tc>
          <w:tcPr>
            <w:tcW w:w="3391" w:type="dxa"/>
            <w:tcBorders/>
            <w:vAlign w:val="center"/>
          </w:tcPr>
          <w:p>
            <w:pPr>
              <w:pStyle w:val="TableContents"/>
              <w:widowControl w:val="false"/>
              <w:suppressLineNumbers/>
              <w:spacing w:before="0" w:after="200"/>
              <w:rPr/>
            </w:pPr>
            <w:r>
              <w:rPr/>
              <w:t>Actual agreement, hypothetical agreement, fair choice, or reasonable rejectability</w:t>
            </w:r>
          </w:p>
        </w:tc>
        <w:tc>
          <w:tcPr>
            <w:tcW w:w="3488" w:type="dxa"/>
            <w:tcBorders/>
            <w:vAlign w:val="center"/>
          </w:tcPr>
          <w:p>
            <w:pPr>
              <w:pStyle w:val="TableContents"/>
              <w:widowControl w:val="false"/>
              <w:suppressLineNumbers/>
              <w:spacing w:before="0" w:after="200"/>
              <w:rPr/>
            </w:pPr>
            <w:r>
              <w:rPr/>
              <w:t>Comparative assessment of predicted transitions under evidence and uncertainty</w:t>
            </w:r>
          </w:p>
        </w:tc>
      </w:tr>
      <w:tr>
        <w:trPr/>
        <w:tc>
          <w:tcPr>
            <w:tcW w:w="1761" w:type="dxa"/>
            <w:tcBorders/>
            <w:vAlign w:val="center"/>
          </w:tcPr>
          <w:p>
            <w:pPr>
              <w:pStyle w:val="TableContents"/>
              <w:widowControl w:val="false"/>
              <w:suppressLineNumbers/>
              <w:spacing w:before="0" w:after="200"/>
              <w:rPr/>
            </w:pPr>
            <w:r>
              <w:rPr>
                <w:rStyle w:val="Strong"/>
              </w:rPr>
              <w:t>Aggregation</w:t>
            </w:r>
          </w:p>
        </w:tc>
        <w:tc>
          <w:tcPr>
            <w:tcW w:w="3391" w:type="dxa"/>
            <w:tcBorders/>
            <w:vAlign w:val="center"/>
          </w:tcPr>
          <w:p>
            <w:pPr>
              <w:pStyle w:val="TableContents"/>
              <w:widowControl w:val="false"/>
              <w:suppressLineNumbers/>
              <w:spacing w:before="0" w:after="200"/>
              <w:rPr/>
            </w:pPr>
            <w:r>
              <w:rPr/>
              <w:t>Varies by theory; contractualism often resists interpersonal aggregation</w:t>
            </w:r>
          </w:p>
        </w:tc>
        <w:tc>
          <w:tcPr>
            <w:tcW w:w="3488" w:type="dxa"/>
            <w:tcBorders/>
            <w:vAlign w:val="center"/>
          </w:tcPr>
          <w:p>
            <w:pPr>
              <w:pStyle w:val="TableContents"/>
              <w:widowControl w:val="false"/>
              <w:suppressLineNumbers/>
              <w:spacing w:before="0" w:after="200"/>
              <w:rPr/>
            </w:pPr>
            <w:r>
              <w:rPr/>
              <w:t>Aggregate metrics inform but do not replace the complete transition</w:t>
            </w:r>
          </w:p>
        </w:tc>
      </w:tr>
      <w:tr>
        <w:trPr/>
        <w:tc>
          <w:tcPr>
            <w:tcW w:w="1761" w:type="dxa"/>
            <w:tcBorders/>
            <w:vAlign w:val="center"/>
          </w:tcPr>
          <w:p>
            <w:pPr>
              <w:pStyle w:val="TableContents"/>
              <w:widowControl w:val="false"/>
              <w:suppressLineNumbers/>
              <w:spacing w:before="0" w:after="200"/>
              <w:rPr/>
            </w:pPr>
            <w:r>
              <w:rPr>
                <w:rStyle w:val="Strong"/>
              </w:rPr>
              <w:t>Nonparties</w:t>
            </w:r>
          </w:p>
        </w:tc>
        <w:tc>
          <w:tcPr>
            <w:tcW w:w="3391" w:type="dxa"/>
            <w:tcBorders/>
            <w:vAlign w:val="center"/>
          </w:tcPr>
          <w:p>
            <w:pPr>
              <w:pStyle w:val="TableContents"/>
              <w:widowControl w:val="false"/>
              <w:suppressLineNumbers/>
              <w:spacing w:before="0" w:after="200"/>
              <w:rPr/>
            </w:pPr>
            <w:r>
              <w:rPr/>
              <w:t>May be excluded unless represented within the contract procedure</w:t>
            </w:r>
          </w:p>
        </w:tc>
        <w:tc>
          <w:tcPr>
            <w:tcW w:w="3488" w:type="dxa"/>
            <w:tcBorders/>
            <w:vAlign w:val="center"/>
          </w:tcPr>
          <w:p>
            <w:pPr>
              <w:pStyle w:val="TableContents"/>
              <w:widowControl w:val="false"/>
              <w:suppressLineNumbers/>
              <w:spacing w:before="0" w:after="200"/>
              <w:rPr/>
            </w:pPr>
            <w:r>
              <w:rPr/>
              <w:t>Remain relevant when materially affected by the action</w:t>
            </w:r>
          </w:p>
        </w:tc>
      </w:tr>
      <w:tr>
        <w:trPr/>
        <w:tc>
          <w:tcPr>
            <w:tcW w:w="1761" w:type="dxa"/>
            <w:tcBorders/>
            <w:vAlign w:val="center"/>
          </w:tcPr>
          <w:p>
            <w:pPr>
              <w:pStyle w:val="TableContents"/>
              <w:widowControl w:val="false"/>
              <w:suppressLineNumbers/>
              <w:spacing w:before="0" w:after="200"/>
              <w:rPr/>
            </w:pPr>
            <w:r>
              <w:rPr>
                <w:rStyle w:val="Strong"/>
              </w:rPr>
              <w:t>Legitimacy</w:t>
            </w:r>
          </w:p>
        </w:tc>
        <w:tc>
          <w:tcPr>
            <w:tcW w:w="3391" w:type="dxa"/>
            <w:tcBorders/>
            <w:vAlign w:val="center"/>
          </w:tcPr>
          <w:p>
            <w:pPr>
              <w:pStyle w:val="TableContents"/>
              <w:widowControl w:val="false"/>
              <w:suppressLineNumbers/>
              <w:spacing w:before="0" w:after="200"/>
              <w:rPr/>
            </w:pPr>
            <w:r>
              <w:rPr/>
              <w:t>Derived through justified agreement or public reason</w:t>
            </w:r>
          </w:p>
        </w:tc>
        <w:tc>
          <w:tcPr>
            <w:tcW w:w="3488" w:type="dxa"/>
            <w:tcBorders/>
            <w:vAlign w:val="center"/>
          </w:tcPr>
          <w:p>
            <w:pPr>
              <w:pStyle w:val="TableContents"/>
              <w:widowControl w:val="false"/>
              <w:suppressLineNumbers/>
              <w:spacing w:before="0" w:after="200"/>
              <w:rPr/>
            </w:pPr>
            <w:r>
              <w:rPr/>
              <w:t>Evaluated through consent, authority, effects, constraints, and compatibility of flourishing</w:t>
            </w:r>
          </w:p>
        </w:tc>
      </w:tr>
      <w:tr>
        <w:trPr/>
        <w:tc>
          <w:tcPr>
            <w:tcW w:w="1761" w:type="dxa"/>
            <w:tcBorders/>
            <w:vAlign w:val="center"/>
          </w:tcPr>
          <w:p>
            <w:pPr>
              <w:pStyle w:val="TableContents"/>
              <w:widowControl w:val="false"/>
              <w:suppressLineNumbers/>
              <w:spacing w:before="0" w:after="200"/>
              <w:rPr/>
            </w:pPr>
            <w:r>
              <w:rPr>
                <w:rStyle w:val="Strong"/>
              </w:rPr>
              <w:t>Institutional focus</w:t>
            </w:r>
          </w:p>
        </w:tc>
        <w:tc>
          <w:tcPr>
            <w:tcW w:w="3391" w:type="dxa"/>
            <w:tcBorders/>
            <w:vAlign w:val="center"/>
          </w:tcPr>
          <w:p>
            <w:pPr>
              <w:pStyle w:val="TableContents"/>
              <w:widowControl w:val="false"/>
              <w:suppressLineNumbers/>
              <w:spacing w:before="0" w:after="200"/>
              <w:rPr/>
            </w:pPr>
            <w:r>
              <w:rPr/>
              <w:t>Often centered on political society or interpersonal rules</w:t>
            </w:r>
          </w:p>
        </w:tc>
        <w:tc>
          <w:tcPr>
            <w:tcW w:w="3488" w:type="dxa"/>
            <w:tcBorders/>
            <w:vAlign w:val="center"/>
          </w:tcPr>
          <w:p>
            <w:pPr>
              <w:pStyle w:val="TableContents"/>
              <w:widowControl w:val="false"/>
              <w:suppressLineNumbers/>
              <w:spacing w:before="0" w:after="200"/>
              <w:rPr/>
            </w:pPr>
            <w:r>
              <w:rPr/>
              <w:t>Applies to any action, institution, artificial system, or relevant context</w:t>
            </w:r>
          </w:p>
        </w:tc>
      </w:tr>
      <w:tr>
        <w:trPr/>
        <w:tc>
          <w:tcPr>
            <w:tcW w:w="1761" w:type="dxa"/>
            <w:tcBorders/>
            <w:vAlign w:val="center"/>
          </w:tcPr>
          <w:p>
            <w:pPr>
              <w:pStyle w:val="TableContents"/>
              <w:widowControl w:val="false"/>
              <w:suppressLineNumbers/>
              <w:spacing w:before="0" w:after="200"/>
              <w:rPr/>
            </w:pPr>
            <w:r>
              <w:rPr>
                <w:rStyle w:val="Strong"/>
              </w:rPr>
              <w:t>Stability</w:t>
            </w:r>
          </w:p>
        </w:tc>
        <w:tc>
          <w:tcPr>
            <w:tcW w:w="3391" w:type="dxa"/>
            <w:tcBorders/>
            <w:vAlign w:val="center"/>
          </w:tcPr>
          <w:p>
            <w:pPr>
              <w:pStyle w:val="TableContents"/>
              <w:widowControl w:val="false"/>
              <w:suppressLineNumbers/>
              <w:spacing w:before="0" w:after="200"/>
              <w:rPr/>
            </w:pPr>
            <w:r>
              <w:rPr/>
              <w:t>Depends on compliance, reciprocity, enforcement, and perceived fairness</w:t>
            </w:r>
          </w:p>
        </w:tc>
        <w:tc>
          <w:tcPr>
            <w:tcW w:w="3488" w:type="dxa"/>
            <w:tcBorders/>
            <w:vAlign w:val="center"/>
          </w:tcPr>
          <w:p>
            <w:pPr>
              <w:pStyle w:val="TableContents"/>
              <w:widowControl w:val="false"/>
              <w:suppressLineNumbers/>
              <w:spacing w:before="0" w:after="200"/>
              <w:rPr/>
            </w:pPr>
            <w:r>
              <w:rPr/>
              <w:t>Also includes ecological, technological, informational, and long-term systemic stability</w:t>
            </w:r>
          </w:p>
        </w:tc>
      </w:tr>
      <w:tr>
        <w:trPr/>
        <w:tc>
          <w:tcPr>
            <w:tcW w:w="1761" w:type="dxa"/>
            <w:tcBorders/>
            <w:vAlign w:val="center"/>
          </w:tcPr>
          <w:p>
            <w:pPr>
              <w:pStyle w:val="TableContents"/>
              <w:widowControl w:val="false"/>
              <w:suppressLineNumbers/>
              <w:spacing w:before="0" w:after="200"/>
              <w:rPr/>
            </w:pPr>
            <w:r>
              <w:rPr>
                <w:rStyle w:val="Strong"/>
              </w:rPr>
              <w:t>Idealization</w:t>
            </w:r>
          </w:p>
        </w:tc>
        <w:tc>
          <w:tcPr>
            <w:tcW w:w="3391" w:type="dxa"/>
            <w:tcBorders/>
            <w:vAlign w:val="center"/>
          </w:tcPr>
          <w:p>
            <w:pPr>
              <w:pStyle w:val="TableContents"/>
              <w:widowControl w:val="false"/>
              <w:suppressLineNumbers/>
              <w:spacing w:before="0" w:after="200"/>
              <w:rPr/>
            </w:pPr>
            <w:r>
              <w:rPr/>
              <w:t>Frequently uses hypothetical idealized parties</w:t>
            </w:r>
          </w:p>
        </w:tc>
        <w:tc>
          <w:tcPr>
            <w:tcW w:w="3488" w:type="dxa"/>
            <w:tcBorders/>
            <w:vAlign w:val="center"/>
          </w:tcPr>
          <w:p>
            <w:pPr>
              <w:pStyle w:val="TableContents"/>
              <w:widowControl w:val="false"/>
              <w:suppressLineNumbers/>
              <w:spacing w:before="0" w:after="200"/>
              <w:rPr/>
            </w:pPr>
            <w:r>
              <w:rPr/>
              <w:t>Can use counterfactual models but remains tied to the evidence in the actual Situational Context</w:t>
            </w:r>
          </w:p>
        </w:tc>
      </w:tr>
      <w:tr>
        <w:trPr/>
        <w:tc>
          <w:tcPr>
            <w:tcW w:w="1761" w:type="dxa"/>
            <w:tcBorders/>
            <w:vAlign w:val="center"/>
          </w:tcPr>
          <w:p>
            <w:pPr>
              <w:pStyle w:val="TableContents"/>
              <w:widowControl w:val="false"/>
              <w:suppressLineNumbers/>
              <w:spacing w:before="0" w:after="200"/>
              <w:rPr/>
            </w:pPr>
            <w:r>
              <w:rPr>
                <w:rStyle w:val="Strong"/>
              </w:rPr>
              <w:t>Failure mode</w:t>
            </w:r>
          </w:p>
        </w:tc>
        <w:tc>
          <w:tcPr>
            <w:tcW w:w="3391" w:type="dxa"/>
            <w:tcBorders/>
            <w:vAlign w:val="center"/>
          </w:tcPr>
          <w:p>
            <w:pPr>
              <w:pStyle w:val="TableContents"/>
              <w:widowControl w:val="false"/>
              <w:suppressLineNumbers/>
              <w:spacing w:before="0" w:after="200"/>
              <w:rPr/>
            </w:pPr>
            <w:r>
              <w:rPr/>
              <w:t>Unfair bargaining, unreasonable rejection, breach, illegitimate authority, or unstable compliance</w:t>
            </w:r>
          </w:p>
        </w:tc>
        <w:tc>
          <w:tcPr>
            <w:tcW w:w="3488" w:type="dxa"/>
            <w:tcBorders/>
            <w:vAlign w:val="center"/>
          </w:tcPr>
          <w:p>
            <w:pPr>
              <w:pStyle w:val="TableContents"/>
              <w:widowControl w:val="false"/>
              <w:suppressLineNumbers/>
              <w:spacing w:before="0" w:after="200"/>
              <w:rPr/>
            </w:pPr>
            <w:r>
              <w:rPr/>
              <w:t>An unjustified transition that diminishes relevant Long-Term Flourishing</w:t>
            </w:r>
          </w:p>
        </w:tc>
      </w:tr>
      <w:tr>
        <w:trPr/>
        <w:tc>
          <w:tcPr>
            <w:tcW w:w="1761" w:type="dxa"/>
            <w:tcBorders/>
            <w:vAlign w:val="center"/>
          </w:tcPr>
          <w:p>
            <w:pPr>
              <w:pStyle w:val="TableContents"/>
              <w:widowControl w:val="false"/>
              <w:suppressLineNumbers/>
              <w:spacing w:before="0" w:after="200"/>
              <w:rPr/>
            </w:pPr>
            <w:r>
              <w:rPr>
                <w:rStyle w:val="Strong"/>
              </w:rPr>
              <w:t>Moral remainder</w:t>
            </w:r>
          </w:p>
        </w:tc>
        <w:tc>
          <w:tcPr>
            <w:tcW w:w="3391" w:type="dxa"/>
            <w:tcBorders/>
            <w:vAlign w:val="center"/>
          </w:tcPr>
          <w:p>
            <w:pPr>
              <w:pStyle w:val="TableContents"/>
              <w:widowControl w:val="false"/>
              <w:suppressLineNumbers/>
              <w:spacing w:before="0" w:after="200"/>
              <w:rPr/>
            </w:pPr>
            <w:r>
              <w:rPr/>
              <w:t>Agreement may settle the governing principle</w:t>
            </w:r>
          </w:p>
        </w:tc>
        <w:tc>
          <w:tcPr>
            <w:tcW w:w="3488" w:type="dxa"/>
            <w:tcBorders/>
            <w:vAlign w:val="center"/>
          </w:tcPr>
          <w:p>
            <w:pPr>
              <w:pStyle w:val="TableContents"/>
              <w:widowControl w:val="false"/>
              <w:suppressLineNumbers/>
              <w:spacing w:before="0" w:after="200"/>
              <w:rPr/>
            </w:pPr>
            <w:r>
              <w:rPr/>
              <w:t>An agreement can remain ethically defective because of its effects on nonparties or the wider World Context</w:t>
            </w:r>
          </w:p>
        </w:tc>
      </w:tr>
    </w:tbl>
    <w:p>
      <w:pPr>
        <w:pStyle w:val="Heading3"/>
        <w:spacing w:before="0" w:after="200"/>
        <w:ind w:hanging="0" w:left="0"/>
        <w:rPr>
          <w:rFonts w:ascii="Aptos" w:hAnsi="Aptos"/>
          <w:color w:val="auto"/>
        </w:rPr>
      </w:pPr>
      <w:r>
        <w:rPr>
          <w:rFonts w:ascii="Aptos" w:hAnsi="Aptos"/>
          <w:color w:val="auto"/>
        </w:rPr>
        <w:t>Potential Integration Opportunities</w:t>
      </w:r>
    </w:p>
    <w:p>
      <w:pPr>
        <w:pStyle w:val="BodyText"/>
        <w:spacing w:before="0" w:after="200"/>
        <w:rPr/>
      </w:pPr>
      <w:r>
        <w:rPr/>
        <w:t>The framework could integrate social-contract reasoning more explicitly through the following extensions:</w:t>
      </w:r>
    </w:p>
    <w:p>
      <w:pPr>
        <w:pStyle w:val="BodyText"/>
        <w:numPr>
          <w:ilvl w:val="0"/>
          <w:numId w:val="106"/>
        </w:numPr>
        <w:tabs>
          <w:tab w:val="clear" w:pos="720"/>
          <w:tab w:val="left" w:pos="0" w:leader="none"/>
        </w:tabs>
        <w:spacing w:before="0" w:after="200"/>
        <w:ind w:hanging="283" w:left="709"/>
        <w:rPr/>
      </w:pPr>
      <w:r>
        <w:rPr>
          <w:rStyle w:val="Strong"/>
        </w:rPr>
        <w:t>Add a formal agreement ontology.</w:t>
      </w:r>
      <w:r>
        <w:rPr/>
        <w:t xml:space="preserve"> Each contract or institutional arrangement could identify:</w:t>
      </w:r>
    </w:p>
    <w:p>
      <w:pPr>
        <w:pStyle w:val="BodyText"/>
        <w:numPr>
          <w:ilvl w:val="1"/>
          <w:numId w:val="106"/>
        </w:numPr>
        <w:tabs>
          <w:tab w:val="clear" w:pos="720"/>
          <w:tab w:val="left" w:pos="0" w:leader="none"/>
        </w:tabs>
        <w:spacing w:before="0" w:after="200"/>
        <w:ind w:hanging="283" w:left="1418"/>
        <w:rPr/>
      </w:pPr>
      <w:r>
        <w:rPr/>
        <w:t>Parties;</w:t>
      </w:r>
    </w:p>
    <w:p>
      <w:pPr>
        <w:pStyle w:val="BodyText"/>
        <w:numPr>
          <w:ilvl w:val="1"/>
          <w:numId w:val="106"/>
        </w:numPr>
        <w:tabs>
          <w:tab w:val="clear" w:pos="720"/>
          <w:tab w:val="left" w:pos="0" w:leader="none"/>
        </w:tabs>
        <w:spacing w:before="0" w:after="200"/>
        <w:ind w:hanging="283" w:left="1418"/>
        <w:rPr/>
      </w:pPr>
      <w:r>
        <w:rPr/>
        <w:t>Represented nonparties;</w:t>
      </w:r>
    </w:p>
    <w:p>
      <w:pPr>
        <w:pStyle w:val="BodyText"/>
        <w:numPr>
          <w:ilvl w:val="1"/>
          <w:numId w:val="106"/>
        </w:numPr>
        <w:tabs>
          <w:tab w:val="clear" w:pos="720"/>
          <w:tab w:val="left" w:pos="0" w:leader="none"/>
        </w:tabs>
        <w:spacing w:before="0" w:after="200"/>
        <w:ind w:hanging="283" w:left="1418"/>
        <w:rPr/>
      </w:pPr>
      <w:r>
        <w:rPr/>
        <w:t>Affected outsiders;</w:t>
      </w:r>
    </w:p>
    <w:p>
      <w:pPr>
        <w:pStyle w:val="BodyText"/>
        <w:numPr>
          <w:ilvl w:val="1"/>
          <w:numId w:val="106"/>
        </w:numPr>
        <w:tabs>
          <w:tab w:val="clear" w:pos="720"/>
          <w:tab w:val="left" w:pos="0" w:leader="none"/>
        </w:tabs>
        <w:spacing w:before="0" w:after="200"/>
        <w:ind w:hanging="283" w:left="1418"/>
        <w:rPr/>
      </w:pPr>
      <w:r>
        <w:rPr/>
        <w:t>Rights and duties;</w:t>
      </w:r>
    </w:p>
    <w:p>
      <w:pPr>
        <w:pStyle w:val="BodyText"/>
        <w:numPr>
          <w:ilvl w:val="1"/>
          <w:numId w:val="106"/>
        </w:numPr>
        <w:tabs>
          <w:tab w:val="clear" w:pos="720"/>
          <w:tab w:val="left" w:pos="0" w:leader="none"/>
        </w:tabs>
        <w:spacing w:before="0" w:after="200"/>
        <w:ind w:hanging="283" w:left="1418"/>
        <w:rPr/>
      </w:pPr>
      <w:r>
        <w:rPr/>
        <w:t>Powers and immunities;</w:t>
      </w:r>
    </w:p>
    <w:p>
      <w:pPr>
        <w:pStyle w:val="BodyText"/>
        <w:numPr>
          <w:ilvl w:val="1"/>
          <w:numId w:val="106"/>
        </w:numPr>
        <w:tabs>
          <w:tab w:val="clear" w:pos="720"/>
          <w:tab w:val="left" w:pos="0" w:leader="none"/>
        </w:tabs>
        <w:spacing w:before="0" w:after="200"/>
        <w:ind w:hanging="283" w:left="1418"/>
        <w:rPr/>
      </w:pPr>
      <w:r>
        <w:rPr/>
        <w:t>Benefits and burdens;</w:t>
      </w:r>
    </w:p>
    <w:p>
      <w:pPr>
        <w:pStyle w:val="BodyText"/>
        <w:numPr>
          <w:ilvl w:val="1"/>
          <w:numId w:val="106"/>
        </w:numPr>
        <w:tabs>
          <w:tab w:val="clear" w:pos="720"/>
          <w:tab w:val="left" w:pos="0" w:leader="none"/>
        </w:tabs>
        <w:spacing w:before="0" w:after="200"/>
        <w:ind w:hanging="283" w:left="1418"/>
        <w:rPr/>
      </w:pPr>
      <w:r>
        <w:rPr/>
        <w:t>Duration;</w:t>
      </w:r>
    </w:p>
    <w:p>
      <w:pPr>
        <w:pStyle w:val="BodyText"/>
        <w:numPr>
          <w:ilvl w:val="1"/>
          <w:numId w:val="106"/>
        </w:numPr>
        <w:tabs>
          <w:tab w:val="clear" w:pos="720"/>
          <w:tab w:val="left" w:pos="0" w:leader="none"/>
        </w:tabs>
        <w:spacing w:before="0" w:after="200"/>
        <w:ind w:hanging="283" w:left="1418"/>
        <w:rPr/>
      </w:pPr>
      <w:r>
        <w:rPr/>
        <w:t>Jurisdiction;</w:t>
      </w:r>
    </w:p>
    <w:p>
      <w:pPr>
        <w:pStyle w:val="BodyText"/>
        <w:numPr>
          <w:ilvl w:val="1"/>
          <w:numId w:val="106"/>
        </w:numPr>
        <w:tabs>
          <w:tab w:val="clear" w:pos="720"/>
          <w:tab w:val="left" w:pos="0" w:leader="none"/>
        </w:tabs>
        <w:spacing w:before="0" w:after="200"/>
        <w:ind w:hanging="283" w:left="1418"/>
        <w:rPr/>
      </w:pPr>
      <w:r>
        <w:rPr/>
        <w:t>Enforcement procedures;</w:t>
      </w:r>
    </w:p>
    <w:p>
      <w:pPr>
        <w:pStyle w:val="BodyText"/>
        <w:numPr>
          <w:ilvl w:val="1"/>
          <w:numId w:val="106"/>
        </w:numPr>
        <w:tabs>
          <w:tab w:val="clear" w:pos="720"/>
          <w:tab w:val="left" w:pos="0" w:leader="none"/>
        </w:tabs>
        <w:spacing w:before="0" w:after="200"/>
        <w:ind w:hanging="283" w:left="1418"/>
        <w:rPr/>
      </w:pPr>
      <w:r>
        <w:rPr/>
        <w:t>Exit conditions;</w:t>
      </w:r>
    </w:p>
    <w:p>
      <w:pPr>
        <w:pStyle w:val="BodyText"/>
        <w:numPr>
          <w:ilvl w:val="1"/>
          <w:numId w:val="106"/>
        </w:numPr>
        <w:tabs>
          <w:tab w:val="clear" w:pos="720"/>
          <w:tab w:val="left" w:pos="0" w:leader="none"/>
        </w:tabs>
        <w:spacing w:before="0" w:after="200"/>
        <w:ind w:hanging="283" w:left="1418"/>
        <w:rPr/>
      </w:pPr>
      <w:r>
        <w:rPr/>
        <w:t>Amendment procedures; and</w:t>
      </w:r>
    </w:p>
    <w:p>
      <w:pPr>
        <w:pStyle w:val="BodyText"/>
        <w:numPr>
          <w:ilvl w:val="1"/>
          <w:numId w:val="106"/>
        </w:numPr>
        <w:tabs>
          <w:tab w:val="clear" w:pos="720"/>
          <w:tab w:val="left" w:pos="0" w:leader="none"/>
        </w:tabs>
        <w:spacing w:before="0" w:after="200"/>
        <w:ind w:hanging="283" w:left="1418"/>
        <w:rPr/>
      </w:pPr>
      <w:r>
        <w:rPr/>
        <w:t>Remedies for breach.</w:t>
      </w:r>
    </w:p>
    <w:p>
      <w:pPr>
        <w:pStyle w:val="BodyText"/>
        <w:numPr>
          <w:ilvl w:val="0"/>
          <w:numId w:val="106"/>
        </w:numPr>
        <w:tabs>
          <w:tab w:val="clear" w:pos="720"/>
          <w:tab w:val="left" w:pos="0" w:leader="none"/>
        </w:tabs>
        <w:spacing w:before="0" w:after="200"/>
        <w:ind w:hanging="283" w:left="709"/>
        <w:rPr/>
      </w:pPr>
      <w:r>
        <w:rPr>
          <w:rStyle w:val="Strong"/>
        </w:rPr>
        <w:t>Distinguish forms of consent.</w:t>
      </w:r>
      <w:r>
        <w:rPr/>
        <w:t xml:space="preserve"> The system should separately represent express consent, informed consent, tacit consent, hypothetical consent, presumed consent, and coerced acquiescence.</w:t>
      </w:r>
    </w:p>
    <w:p>
      <w:pPr>
        <w:pStyle w:val="BodyText"/>
        <w:numPr>
          <w:ilvl w:val="0"/>
          <w:numId w:val="106"/>
        </w:numPr>
        <w:tabs>
          <w:tab w:val="clear" w:pos="720"/>
          <w:tab w:val="left" w:pos="0" w:leader="none"/>
        </w:tabs>
        <w:spacing w:before="0" w:after="200"/>
        <w:ind w:hanging="283" w:left="709"/>
        <w:rPr/>
      </w:pPr>
      <w:r>
        <w:rPr>
          <w:rStyle w:val="Strong"/>
        </w:rPr>
        <w:t>Add a voluntariness assessment.</w:t>
      </w:r>
      <w:r>
        <w:rPr/>
        <w:t xml:space="preserve"> Consent should be tested for adequate information, competence, freedom from coercion, viable alternatives, power imbalance, and ability to withdraw.</w:t>
      </w:r>
    </w:p>
    <w:p>
      <w:pPr>
        <w:pStyle w:val="BodyText"/>
        <w:numPr>
          <w:ilvl w:val="0"/>
          <w:numId w:val="106"/>
        </w:numPr>
        <w:tabs>
          <w:tab w:val="clear" w:pos="720"/>
          <w:tab w:val="left" w:pos="0" w:leader="none"/>
        </w:tabs>
        <w:spacing w:before="0" w:after="200"/>
        <w:ind w:hanging="283" w:left="709"/>
        <w:rPr/>
      </w:pPr>
      <w:r>
        <w:rPr>
          <w:rStyle w:val="Strong"/>
        </w:rPr>
        <w:t>Model the no-agreement baseline.</w:t>
      </w:r>
      <w:r>
        <w:rPr/>
        <w:t xml:space="preserve"> Every proposed agreement should be compared with a clearly specified World Context in which the agreement does not exist.</w:t>
      </w:r>
    </w:p>
    <w:p>
      <w:pPr>
        <w:pStyle w:val="BodyText"/>
        <w:numPr>
          <w:ilvl w:val="0"/>
          <w:numId w:val="106"/>
        </w:numPr>
        <w:tabs>
          <w:tab w:val="clear" w:pos="720"/>
          <w:tab w:val="left" w:pos="0" w:leader="none"/>
        </w:tabs>
        <w:spacing w:before="0" w:after="200"/>
        <w:ind w:hanging="283" w:left="709"/>
        <w:rPr/>
      </w:pPr>
      <w:r>
        <w:rPr>
          <w:rStyle w:val="Strong"/>
        </w:rPr>
        <w:t>Audit baseline fairness.</w:t>
      </w:r>
      <w:r>
        <w:rPr/>
        <w:t xml:space="preserve"> A contract should not be treated as fair merely because every party benefits relative to an unjust or coercive starting position.</w:t>
      </w:r>
    </w:p>
    <w:p>
      <w:pPr>
        <w:pStyle w:val="BodyText"/>
        <w:numPr>
          <w:ilvl w:val="0"/>
          <w:numId w:val="106"/>
        </w:numPr>
        <w:tabs>
          <w:tab w:val="clear" w:pos="720"/>
          <w:tab w:val="left" w:pos="0" w:leader="none"/>
        </w:tabs>
        <w:spacing w:before="0" w:after="200"/>
        <w:ind w:hanging="283" w:left="709"/>
        <w:rPr/>
      </w:pPr>
      <w:r>
        <w:rPr>
          <w:rStyle w:val="Strong"/>
        </w:rPr>
        <w:t>Add a mutual-advantage test.</w:t>
      </w:r>
      <w:r>
        <w:rPr/>
        <w:t xml:space="preserve"> The framework could identify whether every party benefits, whether some parties merely avoid threatened harm, and whether gains are distributed proportionately.</w:t>
      </w:r>
    </w:p>
    <w:p>
      <w:pPr>
        <w:pStyle w:val="BodyText"/>
        <w:numPr>
          <w:ilvl w:val="0"/>
          <w:numId w:val="106"/>
        </w:numPr>
        <w:tabs>
          <w:tab w:val="clear" w:pos="720"/>
          <w:tab w:val="left" w:pos="0" w:leader="none"/>
        </w:tabs>
        <w:spacing w:before="0" w:after="200"/>
        <w:ind w:hanging="283" w:left="709"/>
        <w:rPr/>
      </w:pPr>
      <w:r>
        <w:rPr>
          <w:rStyle w:val="Strong"/>
        </w:rPr>
        <w:t>Implement a veil-of-ignorance simulation.</w:t>
      </w:r>
      <w:r>
        <w:rPr/>
        <w:t xml:space="preserve"> Decision-makers could reassess institutional rules without knowing which affected position they would occupy.</w:t>
      </w:r>
    </w:p>
    <w:p>
      <w:pPr>
        <w:pStyle w:val="BodyText"/>
        <w:numPr>
          <w:ilvl w:val="0"/>
          <w:numId w:val="106"/>
        </w:numPr>
        <w:tabs>
          <w:tab w:val="clear" w:pos="720"/>
          <w:tab w:val="left" w:pos="0" w:leader="none"/>
        </w:tabs>
        <w:spacing w:before="0" w:after="200"/>
        <w:ind w:hanging="283" w:left="709"/>
        <w:rPr/>
      </w:pPr>
      <w:r>
        <w:rPr>
          <w:rStyle w:val="Strong"/>
        </w:rPr>
        <w:t>Add a reasonable-rejection test.</w:t>
      </w:r>
      <w:r>
        <w:rPr/>
        <w:t xml:space="preserve"> The system should identify the strongest individual objections rather than relying solely on aggregate benefit.</w:t>
      </w:r>
    </w:p>
    <w:p>
      <w:pPr>
        <w:pStyle w:val="BodyText"/>
        <w:numPr>
          <w:ilvl w:val="0"/>
          <w:numId w:val="106"/>
        </w:numPr>
        <w:tabs>
          <w:tab w:val="clear" w:pos="720"/>
          <w:tab w:val="left" w:pos="0" w:leader="none"/>
        </w:tabs>
        <w:spacing w:before="0" w:after="200"/>
        <w:ind w:hanging="283" w:left="709"/>
        <w:rPr/>
      </w:pPr>
      <w:r>
        <w:rPr>
          <w:rStyle w:val="Strong"/>
        </w:rPr>
        <w:t>Separate unanimous acceptability from majority preference.</w:t>
      </w:r>
      <w:r>
        <w:rPr/>
        <w:t xml:space="preserve"> A policy favored by most parties may still impose an unreasonable burden on a minority.</w:t>
      </w:r>
    </w:p>
    <w:p>
      <w:pPr>
        <w:pStyle w:val="BodyText"/>
        <w:numPr>
          <w:ilvl w:val="0"/>
          <w:numId w:val="106"/>
        </w:numPr>
        <w:tabs>
          <w:tab w:val="clear" w:pos="720"/>
          <w:tab w:val="left" w:pos="0" w:leader="none"/>
        </w:tabs>
        <w:spacing w:before="0" w:after="200"/>
        <w:ind w:hanging="283" w:left="709"/>
        <w:rPr/>
      </w:pPr>
      <w:r>
        <w:rPr>
          <w:rStyle w:val="Strong"/>
        </w:rPr>
        <w:t>Represent bargaining power explicitly.</w:t>
      </w:r>
      <w:r>
        <w:rPr/>
        <w:t xml:space="preserve"> Wealth, information, authority, dependency, urgency, monopoly, and ability to exit should be included in the assessment.</w:t>
      </w:r>
    </w:p>
    <w:p>
      <w:pPr>
        <w:pStyle w:val="BodyText"/>
        <w:numPr>
          <w:ilvl w:val="0"/>
          <w:numId w:val="106"/>
        </w:numPr>
        <w:tabs>
          <w:tab w:val="clear" w:pos="720"/>
          <w:tab w:val="left" w:pos="0" w:leader="none"/>
        </w:tabs>
        <w:spacing w:before="0" w:after="200"/>
        <w:ind w:hanging="283" w:left="709"/>
        <w:rPr/>
      </w:pPr>
      <w:r>
        <w:rPr>
          <w:rStyle w:val="Strong"/>
        </w:rPr>
        <w:t>Add nonparty impact review.</w:t>
      </w:r>
      <w:r>
        <w:rPr/>
        <w:t xml:space="preserve"> Agreements should be tested for harms transferred to entities that did not participate in or benefit from the bargain.</w:t>
      </w:r>
    </w:p>
    <w:p>
      <w:pPr>
        <w:pStyle w:val="BodyText"/>
        <w:numPr>
          <w:ilvl w:val="0"/>
          <w:numId w:val="106"/>
        </w:numPr>
        <w:tabs>
          <w:tab w:val="clear" w:pos="720"/>
          <w:tab w:val="left" w:pos="0" w:leader="none"/>
        </w:tabs>
        <w:spacing w:before="0" w:after="200"/>
        <w:ind w:hanging="283" w:left="709"/>
        <w:rPr/>
      </w:pPr>
      <w:r>
        <w:rPr>
          <w:rStyle w:val="Strong"/>
        </w:rPr>
        <w:t>Create representation mechanisms.</w:t>
      </w:r>
      <w:r>
        <w:rPr/>
        <w:t xml:space="preserve"> Children, future generations, nonhuman entities, and others unable to bargain should receive designated representation or protected minimums.</w:t>
      </w:r>
    </w:p>
    <w:p>
      <w:pPr>
        <w:pStyle w:val="BodyText"/>
        <w:numPr>
          <w:ilvl w:val="0"/>
          <w:numId w:val="106"/>
        </w:numPr>
        <w:tabs>
          <w:tab w:val="clear" w:pos="720"/>
          <w:tab w:val="left" w:pos="0" w:leader="none"/>
        </w:tabs>
        <w:spacing w:before="0" w:after="200"/>
        <w:ind w:hanging="283" w:left="709"/>
        <w:rPr/>
      </w:pPr>
      <w:r>
        <w:rPr>
          <w:rStyle w:val="Strong"/>
        </w:rPr>
        <w:t>Add public-justification requirements.</w:t>
      </w:r>
      <w:r>
        <w:rPr/>
        <w:t xml:space="preserve"> Rules should be stated in terms that affected entities can access, understand, contest, and evaluate.</w:t>
      </w:r>
    </w:p>
    <w:p>
      <w:pPr>
        <w:pStyle w:val="BodyText"/>
        <w:numPr>
          <w:ilvl w:val="0"/>
          <w:numId w:val="106"/>
        </w:numPr>
        <w:tabs>
          <w:tab w:val="clear" w:pos="720"/>
          <w:tab w:val="left" w:pos="0" w:leader="none"/>
        </w:tabs>
        <w:spacing w:before="0" w:after="200"/>
        <w:ind w:hanging="283" w:left="709"/>
        <w:rPr/>
      </w:pPr>
      <w:r>
        <w:rPr>
          <w:rStyle w:val="Strong"/>
        </w:rPr>
        <w:t>Model assurance and compliance.</w:t>
      </w:r>
      <w:r>
        <w:rPr/>
        <w:t xml:space="preserve"> The framework could assess whether parties have sufficient reason to expect reciprocal compliance and fair enforcement.</w:t>
      </w:r>
    </w:p>
    <w:p>
      <w:pPr>
        <w:pStyle w:val="BodyText"/>
        <w:numPr>
          <w:ilvl w:val="0"/>
          <w:numId w:val="106"/>
        </w:numPr>
        <w:tabs>
          <w:tab w:val="clear" w:pos="720"/>
          <w:tab w:val="left" w:pos="0" w:leader="none"/>
        </w:tabs>
        <w:spacing w:before="0" w:after="200"/>
        <w:ind w:hanging="283" w:left="709"/>
        <w:rPr/>
      </w:pPr>
      <w:r>
        <w:rPr>
          <w:rStyle w:val="Strong"/>
        </w:rPr>
        <w:t>Evaluate enforcement legitimacy.</w:t>
      </w:r>
      <w:r>
        <w:rPr/>
        <w:t xml:space="preserve"> Sanctions should be authorized, proportionate, consistently applied, and subject to review.</w:t>
      </w:r>
    </w:p>
    <w:p>
      <w:pPr>
        <w:pStyle w:val="BodyText"/>
        <w:numPr>
          <w:ilvl w:val="0"/>
          <w:numId w:val="106"/>
        </w:numPr>
        <w:tabs>
          <w:tab w:val="clear" w:pos="720"/>
          <w:tab w:val="left" w:pos="0" w:leader="none"/>
        </w:tabs>
        <w:spacing w:before="0" w:after="200"/>
        <w:ind w:hanging="283" w:left="709"/>
        <w:rPr/>
      </w:pPr>
      <w:r>
        <w:rPr>
          <w:rStyle w:val="Strong"/>
        </w:rPr>
        <w:t>Add breach-and-remedy procedures.</w:t>
      </w:r>
      <w:r>
        <w:rPr/>
        <w:t xml:space="preserve"> Violations should activate specified processes for investigation, restitution, compensation, institutional repair, or renegotiation.</w:t>
      </w:r>
    </w:p>
    <w:p>
      <w:pPr>
        <w:pStyle w:val="BodyText"/>
        <w:numPr>
          <w:ilvl w:val="0"/>
          <w:numId w:val="106"/>
        </w:numPr>
        <w:tabs>
          <w:tab w:val="clear" w:pos="720"/>
          <w:tab w:val="left" w:pos="0" w:leader="none"/>
        </w:tabs>
        <w:spacing w:before="0" w:after="200"/>
        <w:ind w:hanging="283" w:left="709"/>
        <w:rPr/>
      </w:pPr>
      <w:r>
        <w:rPr>
          <w:rStyle w:val="Strong"/>
        </w:rPr>
        <w:t>Protect exit and voice.</w:t>
      </w:r>
      <w:r>
        <w:rPr/>
        <w:t xml:space="preserve"> Long-term agreements should include meaningful mechanisms for dissent, appeal, withdrawal, amendment, and transfer of obligations.</w:t>
      </w:r>
    </w:p>
    <w:p>
      <w:pPr>
        <w:pStyle w:val="BodyText"/>
        <w:numPr>
          <w:ilvl w:val="0"/>
          <w:numId w:val="106"/>
        </w:numPr>
        <w:tabs>
          <w:tab w:val="clear" w:pos="720"/>
          <w:tab w:val="left" w:pos="0" w:leader="none"/>
        </w:tabs>
        <w:spacing w:before="0" w:after="200"/>
        <w:ind w:hanging="283" w:left="709"/>
        <w:rPr/>
      </w:pPr>
      <w:r>
        <w:rPr>
          <w:rStyle w:val="Strong"/>
        </w:rPr>
        <w:t>Add renegotiation triggers.</w:t>
      </w:r>
      <w:r>
        <w:rPr/>
        <w:t xml:space="preserve"> Material changes in evidence, capability, risk, membership, or burden distribution should reopen the agreement.</w:t>
      </w:r>
    </w:p>
    <w:p>
      <w:pPr>
        <w:pStyle w:val="BodyText"/>
        <w:numPr>
          <w:ilvl w:val="0"/>
          <w:numId w:val="106"/>
        </w:numPr>
        <w:tabs>
          <w:tab w:val="clear" w:pos="720"/>
          <w:tab w:val="left" w:pos="0" w:leader="none"/>
        </w:tabs>
        <w:spacing w:before="0" w:after="200"/>
        <w:ind w:hanging="283" w:left="709"/>
        <w:rPr/>
      </w:pPr>
      <w:r>
        <w:rPr>
          <w:rStyle w:val="Strong"/>
        </w:rPr>
        <w:t>Evaluate the basic structure.</w:t>
      </w:r>
      <w:r>
        <w:rPr/>
        <w:t xml:space="preserve"> Individual contracts should be assessed within the wider institutions that determine bargaining power, opportunity, and dependency.</w:t>
      </w:r>
    </w:p>
    <w:p>
      <w:pPr>
        <w:pStyle w:val="BodyText"/>
        <w:numPr>
          <w:ilvl w:val="0"/>
          <w:numId w:val="106"/>
        </w:numPr>
        <w:tabs>
          <w:tab w:val="clear" w:pos="720"/>
          <w:tab w:val="left" w:pos="0" w:leader="none"/>
        </w:tabs>
        <w:spacing w:before="0" w:after="200"/>
        <w:ind w:hanging="283" w:left="709"/>
        <w:rPr/>
      </w:pPr>
      <w:r>
        <w:rPr>
          <w:rStyle w:val="Strong"/>
        </w:rPr>
        <w:t>Model overlapping consensus.</w:t>
      </w:r>
      <w:r>
        <w:rPr/>
        <w:t xml:space="preserve"> Shared rules could be supported by different moral, religious, cultural, or political reasons without requiring complete ideological agreement.</w:t>
      </w:r>
    </w:p>
    <w:p>
      <w:pPr>
        <w:pStyle w:val="BodyText"/>
        <w:numPr>
          <w:ilvl w:val="0"/>
          <w:numId w:val="106"/>
        </w:numPr>
        <w:tabs>
          <w:tab w:val="clear" w:pos="720"/>
          <w:tab w:val="left" w:pos="0" w:leader="none"/>
        </w:tabs>
        <w:spacing w:before="0" w:after="200"/>
        <w:ind w:hanging="283" w:left="709"/>
        <w:rPr/>
      </w:pPr>
      <w:r>
        <w:rPr>
          <w:rStyle w:val="Strong"/>
        </w:rPr>
        <w:t>Add anti-domination safeguards.</w:t>
      </w:r>
      <w:r>
        <w:rPr/>
        <w:t xml:space="preserve"> Even mutually beneficial agreements should be reviewed for arbitrary power, dependency, inability to exit, and control over essential resources.</w:t>
      </w:r>
    </w:p>
    <w:p>
      <w:pPr>
        <w:pStyle w:val="BodyText"/>
        <w:numPr>
          <w:ilvl w:val="0"/>
          <w:numId w:val="106"/>
        </w:numPr>
        <w:tabs>
          <w:tab w:val="clear" w:pos="720"/>
          <w:tab w:val="left" w:pos="0" w:leader="none"/>
        </w:tabs>
        <w:spacing w:before="0" w:after="200"/>
        <w:ind w:hanging="283" w:left="709"/>
        <w:rPr/>
      </w:pPr>
      <w:r>
        <w:rPr>
          <w:rStyle w:val="Strong"/>
        </w:rPr>
        <w:t>Represent emergency authority.</w:t>
      </w:r>
      <w:r>
        <w:rPr/>
        <w:t xml:space="preserve"> Temporary expansions of power should include necessity, duration, oversight, renewal, and termination conditions.</w:t>
      </w:r>
    </w:p>
    <w:p>
      <w:pPr>
        <w:pStyle w:val="BodyText"/>
        <w:numPr>
          <w:ilvl w:val="0"/>
          <w:numId w:val="106"/>
        </w:numPr>
        <w:tabs>
          <w:tab w:val="clear" w:pos="720"/>
          <w:tab w:val="left" w:pos="0" w:leader="none"/>
        </w:tabs>
        <w:spacing w:before="0" w:after="200"/>
        <w:ind w:hanging="283" w:left="709"/>
        <w:rPr/>
      </w:pPr>
      <w:r>
        <w:rPr>
          <w:rStyle w:val="Strong"/>
        </w:rPr>
        <w:t>Add succession and intergenerational review.</w:t>
      </w:r>
      <w:r>
        <w:rPr/>
        <w:t xml:space="preserve"> Long-term contracts should specify whether and why later entities inherit obligations they did not personally accept.</w:t>
      </w:r>
    </w:p>
    <w:p>
      <w:pPr>
        <w:pStyle w:val="BodyText"/>
        <w:numPr>
          <w:ilvl w:val="0"/>
          <w:numId w:val="106"/>
        </w:numPr>
        <w:tabs>
          <w:tab w:val="clear" w:pos="720"/>
          <w:tab w:val="left" w:pos="0" w:leader="none"/>
        </w:tabs>
        <w:spacing w:before="0" w:after="200"/>
        <w:ind w:hanging="283" w:left="709"/>
        <w:rPr/>
      </w:pPr>
      <w:r>
        <w:rPr>
          <w:rStyle w:val="Strong"/>
        </w:rPr>
        <w:t>Evaluate artificial-agent agreements.</w:t>
      </w:r>
      <w:r>
        <w:rPr/>
        <w:t xml:space="preserve"> Contracts involving artificial systems should identify who can authorize the system, what constitutes consent, how commitments persist through updates, and who bears responsibility for breach.</w:t>
      </w:r>
    </w:p>
    <w:p>
      <w:pPr>
        <w:pStyle w:val="BodyText"/>
        <w:numPr>
          <w:ilvl w:val="0"/>
          <w:numId w:val="106"/>
        </w:numPr>
        <w:tabs>
          <w:tab w:val="clear" w:pos="720"/>
          <w:tab w:val="left" w:pos="0" w:leader="none"/>
        </w:tabs>
        <w:spacing w:before="0" w:after="200"/>
        <w:ind w:hanging="283" w:left="709"/>
        <w:rPr/>
      </w:pPr>
      <w:r>
        <w:rPr>
          <w:rStyle w:val="Strong"/>
        </w:rPr>
        <w:t>Produce a separate social-contract finding.</w:t>
      </w:r>
      <w:r>
        <w:rPr/>
        <w:t xml:space="preserve"> Each relevant assessment could report:</w:t>
      </w:r>
    </w:p>
    <w:p>
      <w:pPr>
        <w:pStyle w:val="BodyText"/>
        <w:numPr>
          <w:ilvl w:val="0"/>
          <w:numId w:val="107"/>
        </w:numPr>
        <w:tabs>
          <w:tab w:val="clear" w:pos="720"/>
          <w:tab w:val="left" w:pos="0" w:leader="none"/>
        </w:tabs>
        <w:spacing w:before="0" w:after="200"/>
        <w:ind w:hanging="283" w:left="709"/>
        <w:rPr/>
      </w:pPr>
      <w:r>
        <w:rPr/>
        <w:t>Who is included and excluded;</w:t>
      </w:r>
    </w:p>
    <w:p>
      <w:pPr>
        <w:pStyle w:val="BodyText"/>
        <w:numPr>
          <w:ilvl w:val="0"/>
          <w:numId w:val="107"/>
        </w:numPr>
        <w:tabs>
          <w:tab w:val="clear" w:pos="720"/>
          <w:tab w:val="left" w:pos="0" w:leader="none"/>
        </w:tabs>
        <w:spacing w:before="0" w:after="200"/>
        <w:ind w:hanging="283" w:left="709"/>
        <w:rPr/>
      </w:pPr>
      <w:r>
        <w:rPr/>
        <w:t>What form of consent applies;</w:t>
      </w:r>
    </w:p>
    <w:p>
      <w:pPr>
        <w:pStyle w:val="BodyText"/>
        <w:numPr>
          <w:ilvl w:val="0"/>
          <w:numId w:val="107"/>
        </w:numPr>
        <w:tabs>
          <w:tab w:val="clear" w:pos="720"/>
          <w:tab w:val="left" w:pos="0" w:leader="none"/>
        </w:tabs>
        <w:spacing w:before="0" w:after="200"/>
        <w:ind w:hanging="283" w:left="709"/>
        <w:rPr/>
      </w:pPr>
      <w:r>
        <w:rPr/>
        <w:t>Whether bargaining conditions are fair;</w:t>
      </w:r>
    </w:p>
    <w:p>
      <w:pPr>
        <w:pStyle w:val="BodyText"/>
        <w:numPr>
          <w:ilvl w:val="0"/>
          <w:numId w:val="107"/>
        </w:numPr>
        <w:tabs>
          <w:tab w:val="clear" w:pos="720"/>
          <w:tab w:val="left" w:pos="0" w:leader="none"/>
        </w:tabs>
        <w:spacing w:before="0" w:after="200"/>
        <w:ind w:hanging="283" w:left="709"/>
        <w:rPr/>
      </w:pPr>
      <w:r>
        <w:rPr/>
        <w:t>Whether each party benefits;</w:t>
      </w:r>
    </w:p>
    <w:p>
      <w:pPr>
        <w:pStyle w:val="BodyText"/>
        <w:numPr>
          <w:ilvl w:val="0"/>
          <w:numId w:val="107"/>
        </w:numPr>
        <w:tabs>
          <w:tab w:val="clear" w:pos="720"/>
          <w:tab w:val="left" w:pos="0" w:leader="none"/>
        </w:tabs>
        <w:spacing w:before="0" w:after="200"/>
        <w:ind w:hanging="283" w:left="709"/>
        <w:rPr/>
      </w:pPr>
      <w:r>
        <w:rPr/>
        <w:t>The strongest grounds for rejection;</w:t>
      </w:r>
    </w:p>
    <w:p>
      <w:pPr>
        <w:pStyle w:val="BodyText"/>
        <w:numPr>
          <w:ilvl w:val="0"/>
          <w:numId w:val="107"/>
        </w:numPr>
        <w:tabs>
          <w:tab w:val="clear" w:pos="720"/>
          <w:tab w:val="left" w:pos="0" w:leader="none"/>
        </w:tabs>
        <w:spacing w:before="0" w:after="200"/>
        <w:ind w:hanging="283" w:left="709"/>
        <w:rPr/>
      </w:pPr>
      <w:r>
        <w:rPr/>
        <w:t>Effects on nonparties;</w:t>
      </w:r>
    </w:p>
    <w:p>
      <w:pPr>
        <w:pStyle w:val="BodyText"/>
        <w:numPr>
          <w:ilvl w:val="0"/>
          <w:numId w:val="107"/>
        </w:numPr>
        <w:tabs>
          <w:tab w:val="clear" w:pos="720"/>
          <w:tab w:val="left" w:pos="0" w:leader="none"/>
        </w:tabs>
        <w:spacing w:before="0" w:after="200"/>
        <w:ind w:hanging="283" w:left="709"/>
        <w:rPr/>
      </w:pPr>
      <w:r>
        <w:rPr/>
        <w:t>Authority and enforcement;</w:t>
      </w:r>
    </w:p>
    <w:p>
      <w:pPr>
        <w:pStyle w:val="BodyText"/>
        <w:numPr>
          <w:ilvl w:val="0"/>
          <w:numId w:val="107"/>
        </w:numPr>
        <w:tabs>
          <w:tab w:val="clear" w:pos="720"/>
          <w:tab w:val="left" w:pos="0" w:leader="none"/>
        </w:tabs>
        <w:spacing w:before="0" w:after="200"/>
        <w:ind w:hanging="283" w:left="709"/>
        <w:rPr/>
      </w:pPr>
      <w:r>
        <w:rPr/>
        <w:t>Exit, appeal, and amendment procedures;</w:t>
      </w:r>
    </w:p>
    <w:p>
      <w:pPr>
        <w:pStyle w:val="BodyText"/>
        <w:numPr>
          <w:ilvl w:val="0"/>
          <w:numId w:val="107"/>
        </w:numPr>
        <w:tabs>
          <w:tab w:val="clear" w:pos="720"/>
          <w:tab w:val="left" w:pos="0" w:leader="none"/>
        </w:tabs>
        <w:spacing w:before="0" w:after="200"/>
        <w:ind w:hanging="283" w:left="709"/>
        <w:rPr/>
      </w:pPr>
      <w:r>
        <w:rPr/>
        <w:t>Expected compliance and trust effects; and</w:t>
      </w:r>
    </w:p>
    <w:p>
      <w:pPr>
        <w:pStyle w:val="BodyText"/>
        <w:numPr>
          <w:ilvl w:val="0"/>
          <w:numId w:val="107"/>
        </w:numPr>
        <w:tabs>
          <w:tab w:val="clear" w:pos="720"/>
          <w:tab w:val="left" w:pos="0" w:leader="none"/>
        </w:tabs>
        <w:spacing w:before="0" w:after="200"/>
        <w:ind w:hanging="283" w:left="709"/>
        <w:rPr/>
      </w:pPr>
      <w:r>
        <w:rPr/>
        <w:t>Whether the agreement remains compatible with Long-Term Flourishing.</w:t>
      </w:r>
    </w:p>
    <w:p>
      <w:pPr>
        <w:pStyle w:val="BodyText"/>
        <w:numPr>
          <w:ilvl w:val="0"/>
          <w:numId w:val="108"/>
        </w:numPr>
        <w:tabs>
          <w:tab w:val="clear" w:pos="720"/>
          <w:tab w:val="left" w:pos="0" w:leader="none"/>
        </w:tabs>
        <w:spacing w:before="0" w:after="200"/>
        <w:ind w:hanging="283" w:left="709"/>
        <w:rPr/>
      </w:pPr>
      <w:r>
        <w:rPr>
          <w:rStyle w:val="Strong"/>
        </w:rPr>
        <w:t>Use a dual conclusion.</w:t>
      </w:r>
      <w:r>
        <w:rPr/>
        <w:t xml:space="preserve"> An assessment should separately determine:</w:t>
      </w:r>
    </w:p>
    <w:p>
      <w:pPr>
        <w:pStyle w:val="BodyText"/>
        <w:numPr>
          <w:ilvl w:val="0"/>
          <w:numId w:val="109"/>
        </w:numPr>
        <w:tabs>
          <w:tab w:val="clear" w:pos="720"/>
          <w:tab w:val="left" w:pos="0" w:leader="none"/>
        </w:tabs>
        <w:spacing w:before="0" w:after="200"/>
        <w:ind w:hanging="283" w:left="709"/>
        <w:rPr/>
      </w:pPr>
      <w:r>
        <w:rPr/>
        <w:t>Whether a rule or institution is acceptable under the selected social-contract test; and</w:t>
      </w:r>
    </w:p>
    <w:p>
      <w:pPr>
        <w:pStyle w:val="BodyText"/>
        <w:numPr>
          <w:ilvl w:val="0"/>
          <w:numId w:val="109"/>
        </w:numPr>
        <w:tabs>
          <w:tab w:val="clear" w:pos="720"/>
          <w:tab w:val="left" w:pos="0" w:leader="none"/>
        </w:tabs>
        <w:spacing w:before="0" w:after="200"/>
        <w:ind w:hanging="283" w:left="709"/>
        <w:rPr/>
      </w:pPr>
      <w:r>
        <w:rPr/>
        <w:t>Whether its complete World Context Transition satisfies the Foundational Axiom.</w:t>
      </w:r>
    </w:p>
    <w:p>
      <w:pPr>
        <w:pStyle w:val="BodyText"/>
        <w:spacing w:before="0" w:after="200"/>
        <w:rPr/>
      </w:pPr>
      <w:r>
        <w:rPr/>
        <w:t>This integration would preserve the social-contract emphasis on consent, reciprocity, legitimacy, and public justification while preventing agreement among powerful parties from exhausting the ethical analysis. A contract would be treated as morally significant but not morally self-validating: its legitimacy would also depend on the fairness of its formation, the treatment of nonparties, the availability of revision, and its compatibility with the Long-Term Flourishing of all relevant entities.</w:t>
      </w:r>
    </w:p>
    <w:p>
      <w:pPr>
        <w:pStyle w:val="Normal"/>
        <w:widowControl/>
        <w:bidi w:val="0"/>
        <w:spacing w:lineRule="auto" w:line="276"/>
        <w:jc w:val="left"/>
        <w:rPr/>
      </w:pPr>
      <w:r>
        <w:rPr/>
      </w:r>
    </w:p>
    <w:p>
      <w:pPr>
        <w:pStyle w:val="Heading2"/>
        <w:rPr/>
      </w:pPr>
      <w:r>
        <w:rPr/>
        <w:t>Natural Law</w:t>
      </w:r>
    </w:p>
    <w:p>
      <w:pPr>
        <w:pStyle w:val="BodyText"/>
        <w:spacing w:before="0" w:after="200"/>
        <w:rPr/>
      </w:pPr>
      <w:r>
        <w:rPr/>
        <w:t>Natural Law is a family of ethical, political, and legal theories holding that objective principles of right action can be identified through reasoned reflection on nature, human capacities, basic forms of good, and the conditions of individual and communal flourishing. “Natural” in this context does not mean merely instinctive, biologically common, or scientifically inevitable. It refers to an intelligible moral order that is not created solely by preference, convention, governmental enactment, or institutional power.</w:t>
      </w:r>
    </w:p>
    <w:p>
      <w:pPr>
        <w:pStyle w:val="BodyText"/>
        <w:spacing w:before="0" w:after="200"/>
        <w:rPr/>
      </w:pPr>
      <w:r>
        <w:rPr/>
        <w:t xml:space="preserve">Classical Natural Law is closely associated with theological accounts of creation and purpose, especially in Thomas Aquinas. Natural Law need not be presented exclusively as a religious theory, however. Cicero, Grotius, and contemporary theorists such as John Finnis defend versions in which reason can identify moral goods and practical principles that are accessible across differing religious commitments. </w:t>
      </w:r>
      <w:hyperlink r:id="rId75">
        <w:r>
          <w:rPr>
            <w:rStyle w:val="Hyperlink"/>
          </w:rPr>
          <w:t>Stanford Encyclopedia of Philosophy</w:t>
        </w:r>
      </w:hyperlink>
    </w:p>
    <w:p>
      <w:pPr>
        <w:pStyle w:val="Heading3"/>
        <w:spacing w:before="0" w:after="200"/>
        <w:ind w:hanging="0" w:left="0"/>
        <w:rPr>
          <w:rFonts w:ascii="Aptos" w:hAnsi="Aptos"/>
          <w:color w:val="auto"/>
        </w:rPr>
      </w:pPr>
      <w:r>
        <w:rPr>
          <w:rFonts w:ascii="Aptos" w:hAnsi="Aptos"/>
          <w:color w:val="auto"/>
        </w:rPr>
        <w:t>Primary Experts</w:t>
      </w:r>
    </w:p>
    <w:tbl>
      <w:tblPr>
        <w:tblW w:w="8640" w:type="dxa"/>
        <w:jc w:val="left"/>
        <w:tblInd w:w="28" w:type="dxa"/>
        <w:tblLayout w:type="fixed"/>
        <w:tblCellMar>
          <w:top w:w="28" w:type="dxa"/>
          <w:left w:w="28" w:type="dxa"/>
          <w:bottom w:w="28" w:type="dxa"/>
          <w:right w:w="28" w:type="dxa"/>
        </w:tblCellMar>
      </w:tblPr>
      <w:tblGrid>
        <w:gridCol w:w="1171"/>
        <w:gridCol w:w="764"/>
        <w:gridCol w:w="2016"/>
        <w:gridCol w:w="4689"/>
      </w:tblGrid>
      <w:tr>
        <w:trPr>
          <w:tblHeader w:val="true"/>
        </w:trPr>
        <w:tc>
          <w:tcPr>
            <w:tcW w:w="1171" w:type="dxa"/>
            <w:tcBorders/>
            <w:vAlign w:val="center"/>
          </w:tcPr>
          <w:p>
            <w:pPr>
              <w:pStyle w:val="TableHeading"/>
              <w:suppressLineNumbers/>
              <w:spacing w:before="0" w:after="200"/>
              <w:jc w:val="center"/>
              <w:rPr/>
            </w:pPr>
            <w:r>
              <w:rPr/>
              <w:t>Expert</w:t>
            </w:r>
          </w:p>
        </w:tc>
        <w:tc>
          <w:tcPr>
            <w:tcW w:w="764" w:type="dxa"/>
            <w:tcBorders/>
            <w:vAlign w:val="center"/>
          </w:tcPr>
          <w:p>
            <w:pPr>
              <w:pStyle w:val="TableHeading"/>
              <w:spacing w:before="0" w:after="200"/>
              <w:jc w:val="right"/>
              <w:rPr/>
            </w:pPr>
            <w:r>
              <w:rPr/>
              <w:t>Years</w:t>
            </w:r>
          </w:p>
        </w:tc>
        <w:tc>
          <w:tcPr>
            <w:tcW w:w="2016" w:type="dxa"/>
            <w:tcBorders/>
            <w:vAlign w:val="center"/>
          </w:tcPr>
          <w:p>
            <w:pPr>
              <w:pStyle w:val="TableHeading"/>
              <w:suppressLineNumbers/>
              <w:spacing w:before="0" w:after="200"/>
              <w:jc w:val="center"/>
              <w:rPr/>
            </w:pPr>
            <w:r>
              <w:rPr/>
              <w:t>Associated institution or setting</w:t>
            </w:r>
          </w:p>
        </w:tc>
        <w:tc>
          <w:tcPr>
            <w:tcW w:w="4689" w:type="dxa"/>
            <w:tcBorders/>
            <w:vAlign w:val="center"/>
          </w:tcPr>
          <w:p>
            <w:pPr>
              <w:pStyle w:val="TableHeading"/>
              <w:suppressLineNumbers/>
              <w:spacing w:before="0" w:after="200"/>
              <w:jc w:val="center"/>
              <w:rPr/>
            </w:pPr>
            <w:r>
              <w:rPr/>
              <w:t>Principal contribution</w:t>
            </w:r>
          </w:p>
        </w:tc>
      </w:tr>
      <w:tr>
        <w:trPr/>
        <w:tc>
          <w:tcPr>
            <w:tcW w:w="1171" w:type="dxa"/>
            <w:tcBorders/>
            <w:vAlign w:val="center"/>
          </w:tcPr>
          <w:p>
            <w:pPr>
              <w:pStyle w:val="TableContents"/>
              <w:widowControl w:val="false"/>
              <w:suppressLineNumbers/>
              <w:spacing w:before="0" w:after="200"/>
              <w:rPr/>
            </w:pPr>
            <w:r>
              <w:rPr>
                <w:rStyle w:val="Strong"/>
              </w:rPr>
              <w:t>Aristotle</w:t>
            </w:r>
          </w:p>
        </w:tc>
        <w:tc>
          <w:tcPr>
            <w:tcW w:w="764" w:type="dxa"/>
            <w:tcBorders/>
            <w:vAlign w:val="center"/>
          </w:tcPr>
          <w:p>
            <w:pPr>
              <w:pStyle w:val="TableContents"/>
              <w:spacing w:before="0" w:after="200"/>
              <w:jc w:val="right"/>
              <w:rPr/>
            </w:pPr>
            <w:r>
              <w:rPr/>
              <w:t>384–322 BCE</w:t>
            </w:r>
          </w:p>
        </w:tc>
        <w:tc>
          <w:tcPr>
            <w:tcW w:w="2016" w:type="dxa"/>
            <w:tcBorders/>
            <w:vAlign w:val="center"/>
          </w:tcPr>
          <w:p>
            <w:pPr>
              <w:pStyle w:val="TableContents"/>
              <w:widowControl w:val="false"/>
              <w:suppressLineNumbers/>
              <w:spacing w:before="0" w:after="200"/>
              <w:rPr/>
            </w:pPr>
            <w:r>
              <w:rPr/>
              <w:t>Plato’s Academy; founder of the Lyceum in Athens</w:t>
            </w:r>
          </w:p>
        </w:tc>
        <w:tc>
          <w:tcPr>
            <w:tcW w:w="4689" w:type="dxa"/>
            <w:tcBorders/>
            <w:vAlign w:val="center"/>
          </w:tcPr>
          <w:p>
            <w:pPr>
              <w:pStyle w:val="TableContents"/>
              <w:widowControl w:val="false"/>
              <w:suppressLineNumbers/>
              <w:spacing w:before="0" w:after="200"/>
              <w:rPr/>
            </w:pPr>
            <w:r>
              <w:rPr/>
              <w:t>An important precursor rather than a fully developed Natural Law theorist. His accounts of nature, teleology, virtue, practical wisdom, human function, political community, and natural justice supplied concepts later incorporated into Natural Law traditions.</w:t>
            </w:r>
          </w:p>
        </w:tc>
      </w:tr>
      <w:tr>
        <w:trPr/>
        <w:tc>
          <w:tcPr>
            <w:tcW w:w="1171" w:type="dxa"/>
            <w:tcBorders/>
            <w:vAlign w:val="center"/>
          </w:tcPr>
          <w:p>
            <w:pPr>
              <w:pStyle w:val="TableContents"/>
              <w:widowControl w:val="false"/>
              <w:suppressLineNumbers/>
              <w:spacing w:before="0" w:after="200"/>
              <w:rPr/>
            </w:pPr>
            <w:r>
              <w:rPr>
                <w:rStyle w:val="Strong"/>
              </w:rPr>
              <w:t>Marcus Tullius Cicero</w:t>
            </w:r>
          </w:p>
        </w:tc>
        <w:tc>
          <w:tcPr>
            <w:tcW w:w="764" w:type="dxa"/>
            <w:tcBorders/>
            <w:vAlign w:val="center"/>
          </w:tcPr>
          <w:p>
            <w:pPr>
              <w:pStyle w:val="TableContents"/>
              <w:spacing w:before="0" w:after="200"/>
              <w:jc w:val="right"/>
              <w:rPr/>
            </w:pPr>
            <w:r>
              <w:rPr/>
              <w:t>106–43 BCE</w:t>
            </w:r>
          </w:p>
        </w:tc>
        <w:tc>
          <w:tcPr>
            <w:tcW w:w="2016" w:type="dxa"/>
            <w:tcBorders/>
            <w:vAlign w:val="center"/>
          </w:tcPr>
          <w:p>
            <w:pPr>
              <w:pStyle w:val="TableContents"/>
              <w:widowControl w:val="false"/>
              <w:suppressLineNumbers/>
              <w:spacing w:before="0" w:after="200"/>
              <w:rPr/>
            </w:pPr>
            <w:r>
              <w:rPr/>
              <w:t>Roman Senate and the political and legal institutions of the Roman Republic</w:t>
            </w:r>
          </w:p>
        </w:tc>
        <w:tc>
          <w:tcPr>
            <w:tcW w:w="4689" w:type="dxa"/>
            <w:tcBorders/>
            <w:vAlign w:val="center"/>
          </w:tcPr>
          <w:p>
            <w:pPr>
              <w:pStyle w:val="TableContents"/>
              <w:widowControl w:val="false"/>
              <w:suppressLineNumbers/>
              <w:spacing w:before="0" w:after="200"/>
              <w:rPr/>
            </w:pPr>
            <w:r>
              <w:rPr/>
              <w:t xml:space="preserve">Articulated an influential account of universal law grounded in right reason and nature. He connected natural justice, political authority, civic duty, and the idea of a law applicable across particular political communities. </w:t>
            </w:r>
            <w:hyperlink r:id="rId76">
              <w:r>
                <w:rPr>
                  <w:rStyle w:val="Hyperlink"/>
                </w:rPr>
                <w:t>Stanford Encyclopedia of Philosophy</w:t>
              </w:r>
            </w:hyperlink>
          </w:p>
        </w:tc>
      </w:tr>
      <w:tr>
        <w:trPr/>
        <w:tc>
          <w:tcPr>
            <w:tcW w:w="1171" w:type="dxa"/>
            <w:tcBorders/>
            <w:vAlign w:val="center"/>
          </w:tcPr>
          <w:p>
            <w:pPr>
              <w:pStyle w:val="TableContents"/>
              <w:widowControl w:val="false"/>
              <w:suppressLineNumbers/>
              <w:spacing w:before="0" w:after="200"/>
              <w:rPr/>
            </w:pPr>
            <w:r>
              <w:rPr>
                <w:rStyle w:val="Strong"/>
              </w:rPr>
              <w:t>Thomas Aquinas</w:t>
            </w:r>
          </w:p>
        </w:tc>
        <w:tc>
          <w:tcPr>
            <w:tcW w:w="764" w:type="dxa"/>
            <w:tcBorders/>
            <w:vAlign w:val="center"/>
          </w:tcPr>
          <w:p>
            <w:pPr>
              <w:pStyle w:val="TableContents"/>
              <w:spacing w:before="0" w:after="200"/>
              <w:jc w:val="right"/>
              <w:rPr/>
            </w:pPr>
            <w:r>
              <w:rPr/>
              <w:t>c. 1225–1274</w:t>
            </w:r>
          </w:p>
        </w:tc>
        <w:tc>
          <w:tcPr>
            <w:tcW w:w="2016" w:type="dxa"/>
            <w:tcBorders/>
            <w:vAlign w:val="center"/>
          </w:tcPr>
          <w:p>
            <w:pPr>
              <w:pStyle w:val="TableContents"/>
              <w:widowControl w:val="false"/>
              <w:suppressLineNumbers/>
              <w:spacing w:before="0" w:after="200"/>
              <w:rPr/>
            </w:pPr>
            <w:r>
              <w:rPr/>
              <w:t>Dominican Order; University of Paris; Dominican educational institutions at Paris, Rome, and Naples</w:t>
            </w:r>
          </w:p>
        </w:tc>
        <w:tc>
          <w:tcPr>
            <w:tcW w:w="4689" w:type="dxa"/>
            <w:tcBorders/>
            <w:vAlign w:val="center"/>
          </w:tcPr>
          <w:p>
            <w:pPr>
              <w:pStyle w:val="TableContents"/>
              <w:widowControl w:val="false"/>
              <w:suppressLineNumbers/>
              <w:spacing w:before="0" w:after="200"/>
              <w:rPr/>
            </w:pPr>
            <w:r>
              <w:rPr/>
              <w:t xml:space="preserve">Developed the classical systematic account of Natural Law. Natural Law is rational participation in the wider order of eternal law, beginning with the principle that good is to be pursued and evil avoided and extending through principles directing human agents toward intelligible goods. </w:t>
            </w:r>
            <w:hyperlink r:id="rId77">
              <w:r>
                <w:rPr>
                  <w:rStyle w:val="Hyperlink"/>
                </w:rPr>
                <w:t>Stanford Encyclopedia of Philosophy</w:t>
              </w:r>
            </w:hyperlink>
            <w:r>
              <w:rPr/>
              <w:t xml:space="preserve">, </w:t>
            </w:r>
            <w:hyperlink r:id="rId78">
              <w:r>
                <w:rPr>
                  <w:rStyle w:val="Hyperlink"/>
                </w:rPr>
                <w:t>Aquinas’s moral, political, and legal philosophy</w:t>
              </w:r>
            </w:hyperlink>
          </w:p>
        </w:tc>
      </w:tr>
      <w:tr>
        <w:trPr/>
        <w:tc>
          <w:tcPr>
            <w:tcW w:w="1171" w:type="dxa"/>
            <w:tcBorders/>
            <w:vAlign w:val="center"/>
          </w:tcPr>
          <w:p>
            <w:pPr>
              <w:pStyle w:val="TableContents"/>
              <w:widowControl w:val="false"/>
              <w:suppressLineNumbers/>
              <w:spacing w:before="0" w:after="200"/>
              <w:rPr/>
            </w:pPr>
            <w:r>
              <w:rPr>
                <w:rStyle w:val="Strong"/>
              </w:rPr>
              <w:t>Hugo Grotius</w:t>
            </w:r>
          </w:p>
        </w:tc>
        <w:tc>
          <w:tcPr>
            <w:tcW w:w="764" w:type="dxa"/>
            <w:tcBorders/>
            <w:vAlign w:val="center"/>
          </w:tcPr>
          <w:p>
            <w:pPr>
              <w:pStyle w:val="TableContents"/>
              <w:spacing w:before="0" w:after="200"/>
              <w:jc w:val="right"/>
              <w:rPr/>
            </w:pPr>
            <w:r>
              <w:rPr/>
              <w:t>1583–1645</w:t>
            </w:r>
          </w:p>
        </w:tc>
        <w:tc>
          <w:tcPr>
            <w:tcW w:w="2016" w:type="dxa"/>
            <w:tcBorders/>
            <w:vAlign w:val="center"/>
          </w:tcPr>
          <w:p>
            <w:pPr>
              <w:pStyle w:val="TableContents"/>
              <w:widowControl w:val="false"/>
              <w:suppressLineNumbers/>
              <w:spacing w:before="0" w:after="200"/>
              <w:rPr/>
            </w:pPr>
            <w:r>
              <w:rPr/>
              <w:t>Leiden University; Dutch legal and diplomatic service</w:t>
            </w:r>
          </w:p>
        </w:tc>
        <w:tc>
          <w:tcPr>
            <w:tcW w:w="4689" w:type="dxa"/>
            <w:tcBorders/>
            <w:vAlign w:val="center"/>
          </w:tcPr>
          <w:p>
            <w:pPr>
              <w:pStyle w:val="TableContents"/>
              <w:widowControl w:val="false"/>
              <w:suppressLineNumbers/>
              <w:spacing w:before="0" w:after="200"/>
              <w:rPr/>
            </w:pPr>
            <w:r>
              <w:rPr/>
              <w:t xml:space="preserve">Developed an early modern theory of natural law and natural rights with major influence on international law, sovereignty, commerce, and the ethics of war. He emphasized human rationality and sociability as foundations of legal and moral obligation. </w:t>
            </w:r>
            <w:hyperlink r:id="rId79">
              <w:r>
                <w:rPr>
                  <w:rStyle w:val="Hyperlink"/>
                </w:rPr>
                <w:t>Stanford Encyclopedia of Philosophy</w:t>
              </w:r>
            </w:hyperlink>
          </w:p>
        </w:tc>
      </w:tr>
      <w:tr>
        <w:trPr/>
        <w:tc>
          <w:tcPr>
            <w:tcW w:w="1171" w:type="dxa"/>
            <w:tcBorders/>
            <w:vAlign w:val="center"/>
          </w:tcPr>
          <w:p>
            <w:pPr>
              <w:pStyle w:val="TableContents"/>
              <w:widowControl w:val="false"/>
              <w:suppressLineNumbers/>
              <w:spacing w:before="0" w:after="200"/>
              <w:rPr/>
            </w:pPr>
            <w:r>
              <w:rPr>
                <w:rStyle w:val="Strong"/>
              </w:rPr>
              <w:t>John M. Finnis</w:t>
            </w:r>
          </w:p>
        </w:tc>
        <w:tc>
          <w:tcPr>
            <w:tcW w:w="764" w:type="dxa"/>
            <w:tcBorders/>
            <w:vAlign w:val="center"/>
          </w:tcPr>
          <w:p>
            <w:pPr>
              <w:pStyle w:val="TableContents"/>
              <w:spacing w:before="0" w:after="200"/>
              <w:jc w:val="right"/>
              <w:rPr/>
            </w:pPr>
            <w:r>
              <w:rPr/>
              <w:t>1940–</w:t>
            </w:r>
          </w:p>
        </w:tc>
        <w:tc>
          <w:tcPr>
            <w:tcW w:w="2016" w:type="dxa"/>
            <w:tcBorders/>
            <w:vAlign w:val="center"/>
          </w:tcPr>
          <w:p>
            <w:pPr>
              <w:pStyle w:val="TableContents"/>
              <w:widowControl w:val="false"/>
              <w:suppressLineNumbers/>
              <w:spacing w:before="0" w:after="200"/>
              <w:rPr/>
            </w:pPr>
            <w:r>
              <w:rPr/>
              <w:t>University of Oxford; University of Notre Dame Law School</w:t>
            </w:r>
          </w:p>
        </w:tc>
        <w:tc>
          <w:tcPr>
            <w:tcW w:w="4689" w:type="dxa"/>
            <w:tcBorders/>
            <w:vAlign w:val="center"/>
          </w:tcPr>
          <w:p>
            <w:pPr>
              <w:pStyle w:val="TableContents"/>
              <w:widowControl w:val="false"/>
              <w:suppressLineNumbers/>
              <w:spacing w:before="0" w:after="200"/>
              <w:rPr/>
            </w:pPr>
            <w:r>
              <w:rPr/>
              <w:t xml:space="preserve">Developed a contemporary “New Natural Law” account centered on basic forms of human good and requirements of practical reasonableness. His work connects ethics, law, authority, rights, and the common good without requiring moral principles to be derived directly from biological facts. </w:t>
            </w:r>
            <w:hyperlink r:id="rId80">
              <w:r>
                <w:rPr>
                  <w:rStyle w:val="Hyperlink"/>
                </w:rPr>
                <w:t>University of Notre Dame</w:t>
              </w:r>
            </w:hyperlink>
            <w:r>
              <w:rPr/>
              <w:t xml:space="preserve">, </w:t>
            </w:r>
            <w:hyperlink r:id="rId81">
              <w:r>
                <w:rPr>
                  <w:rStyle w:val="Hyperlink"/>
                </w:rPr>
                <w:t>Stanford Encyclopedia of Philosophy</w:t>
              </w:r>
            </w:hyperlink>
          </w:p>
        </w:tc>
      </w:tr>
    </w:tbl>
    <w:p>
      <w:pPr>
        <w:pStyle w:val="Heading3"/>
        <w:spacing w:before="0" w:after="200"/>
        <w:ind w:hanging="0" w:left="0"/>
        <w:rPr>
          <w:rFonts w:ascii="Aptos" w:hAnsi="Aptos"/>
          <w:color w:val="auto"/>
        </w:rPr>
      </w:pPr>
      <w:r>
        <w:rPr>
          <w:rFonts w:ascii="Aptos" w:hAnsi="Aptos"/>
          <w:color w:val="auto"/>
        </w:rPr>
        <w:t>Core Assumptions</w:t>
      </w:r>
    </w:p>
    <w:p>
      <w:pPr>
        <w:pStyle w:val="BodyText"/>
        <w:spacing w:before="0" w:after="200"/>
        <w:rPr/>
      </w:pPr>
      <w:r>
        <w:rPr/>
        <w:t>Natural Law theories vary in their metaphysics, theology, and specific moral conclusions. Their recurring assumptions generally include the following:</w:t>
      </w:r>
    </w:p>
    <w:p>
      <w:pPr>
        <w:pStyle w:val="BodyText"/>
        <w:numPr>
          <w:ilvl w:val="0"/>
          <w:numId w:val="116"/>
        </w:numPr>
        <w:tabs>
          <w:tab w:val="clear" w:pos="720"/>
          <w:tab w:val="left" w:pos="0" w:leader="none"/>
        </w:tabs>
        <w:spacing w:before="0" w:after="200"/>
        <w:ind w:hanging="283" w:left="709"/>
        <w:rPr/>
      </w:pPr>
      <w:r>
        <w:rPr>
          <w:rStyle w:val="Strong"/>
        </w:rPr>
        <w:t>There are objective moral reasons.</w:t>
      </w:r>
      <w:r>
        <w:rPr/>
        <w:t xml:space="preserve"> Moral truth is not created solely by individual desire, social convention, political authority, or majority preference.</w:t>
      </w:r>
    </w:p>
    <w:p>
      <w:pPr>
        <w:pStyle w:val="BodyText"/>
        <w:numPr>
          <w:ilvl w:val="0"/>
          <w:numId w:val="116"/>
        </w:numPr>
        <w:tabs>
          <w:tab w:val="clear" w:pos="720"/>
          <w:tab w:val="left" w:pos="0" w:leader="none"/>
        </w:tabs>
        <w:spacing w:before="0" w:after="200"/>
        <w:ind w:hanging="283" w:left="709"/>
        <w:rPr/>
      </w:pPr>
      <w:r>
        <w:rPr>
          <w:rStyle w:val="Strong"/>
        </w:rPr>
        <w:t>Practical reason can identify genuine goods.</w:t>
      </w:r>
      <w:r>
        <w:rPr/>
        <w:t xml:space="preserve"> Human agents can recognize certain activities, relationships, and states as worthwhile in themselves rather than merely as instruments for satisfying other desires.</w:t>
      </w:r>
    </w:p>
    <w:p>
      <w:pPr>
        <w:pStyle w:val="BodyText"/>
        <w:numPr>
          <w:ilvl w:val="0"/>
          <w:numId w:val="116"/>
        </w:numPr>
        <w:tabs>
          <w:tab w:val="clear" w:pos="720"/>
          <w:tab w:val="left" w:pos="0" w:leader="none"/>
        </w:tabs>
        <w:spacing w:before="0" w:after="200"/>
        <w:ind w:hanging="283" w:left="709"/>
        <w:rPr/>
      </w:pPr>
      <w:r>
        <w:rPr>
          <w:rStyle w:val="Strong"/>
        </w:rPr>
        <w:t>Good is to be pursued and evil avoided.</w:t>
      </w:r>
      <w:r>
        <w:rPr/>
        <w:t xml:space="preserve"> In Aquinas’s account, this is the first and most general principle of practical reason.</w:t>
      </w:r>
    </w:p>
    <w:p>
      <w:pPr>
        <w:pStyle w:val="BodyText"/>
        <w:numPr>
          <w:ilvl w:val="0"/>
          <w:numId w:val="116"/>
        </w:numPr>
        <w:tabs>
          <w:tab w:val="clear" w:pos="720"/>
          <w:tab w:val="left" w:pos="0" w:leader="none"/>
        </w:tabs>
        <w:spacing w:before="0" w:after="200"/>
        <w:ind w:hanging="283" w:left="709"/>
        <w:rPr/>
      </w:pPr>
      <w:r>
        <w:rPr>
          <w:rStyle w:val="Strong"/>
        </w:rPr>
        <w:t>Human nature has normative significance.</w:t>
      </w:r>
      <w:r>
        <w:rPr/>
        <w:t xml:space="preserve"> Human capacities, vulnerabilities, sociality, embodiment, rationality, and characteristic forms of development inform judgments about flourishing.</w:t>
      </w:r>
    </w:p>
    <w:p>
      <w:pPr>
        <w:pStyle w:val="BodyText"/>
        <w:numPr>
          <w:ilvl w:val="0"/>
          <w:numId w:val="116"/>
        </w:numPr>
        <w:tabs>
          <w:tab w:val="clear" w:pos="720"/>
          <w:tab w:val="left" w:pos="0" w:leader="none"/>
        </w:tabs>
        <w:spacing w:before="0" w:after="200"/>
        <w:ind w:hanging="283" w:left="709"/>
        <w:rPr/>
      </w:pPr>
      <w:r>
        <w:rPr>
          <w:rStyle w:val="Strong"/>
        </w:rPr>
        <w:t>Natural Law is not simply an inference from biological facts.</w:t>
      </w:r>
      <w:r>
        <w:rPr/>
        <w:t xml:space="preserve"> A natural inclination does not automatically generate a moral obligation. Inclinations and capacities must be interpreted and ordered through practical reason.</w:t>
      </w:r>
    </w:p>
    <w:p>
      <w:pPr>
        <w:pStyle w:val="BodyText"/>
        <w:numPr>
          <w:ilvl w:val="0"/>
          <w:numId w:val="116"/>
        </w:numPr>
        <w:tabs>
          <w:tab w:val="clear" w:pos="720"/>
          <w:tab w:val="left" w:pos="0" w:leader="none"/>
        </w:tabs>
        <w:spacing w:before="0" w:after="200"/>
        <w:ind w:hanging="283" w:left="709"/>
        <w:rPr/>
      </w:pPr>
      <w:r>
        <w:rPr>
          <w:rStyle w:val="Strong"/>
        </w:rPr>
        <w:t>Human flourishing is multidimensional.</w:t>
      </w:r>
      <w:r>
        <w:rPr/>
        <w:t xml:space="preserve"> Classical and contemporary Natural Law accounts recognize multiple forms of good rather than reducing well-being to pleasure, preference satisfaction, or material possession.</w:t>
      </w:r>
    </w:p>
    <w:p>
      <w:pPr>
        <w:pStyle w:val="BodyText"/>
        <w:numPr>
          <w:ilvl w:val="0"/>
          <w:numId w:val="116"/>
        </w:numPr>
        <w:tabs>
          <w:tab w:val="clear" w:pos="720"/>
          <w:tab w:val="left" w:pos="0" w:leader="none"/>
        </w:tabs>
        <w:spacing w:before="0" w:after="200"/>
        <w:ind w:hanging="283" w:left="709"/>
        <w:rPr/>
      </w:pPr>
      <w:r>
        <w:rPr>
          <w:rStyle w:val="Strong"/>
        </w:rPr>
        <w:t>Basic goods are intrinsically valuable.</w:t>
      </w:r>
      <w:r>
        <w:rPr/>
        <w:t xml:space="preserve"> Aquinas discusses goods such as life, procreation, social life, knowledge, and rational conduct. Finnis identifies life, knowledge, play, aesthetic experience, friendship or sociability, practical reasonableness, and religion or engagement with ultimate questions. </w:t>
      </w:r>
      <w:hyperlink r:id="rId82">
        <w:r>
          <w:rPr>
            <w:rStyle w:val="Hyperlink"/>
          </w:rPr>
          <w:t>Stanford Encyclopedia of Philosophy</w:t>
        </w:r>
      </w:hyperlink>
    </w:p>
    <w:p>
      <w:pPr>
        <w:pStyle w:val="BodyText"/>
        <w:numPr>
          <w:ilvl w:val="0"/>
          <w:numId w:val="116"/>
        </w:numPr>
        <w:tabs>
          <w:tab w:val="clear" w:pos="720"/>
          <w:tab w:val="left" w:pos="0" w:leader="none"/>
        </w:tabs>
        <w:spacing w:before="0" w:after="200"/>
        <w:ind w:hanging="283" w:left="709"/>
        <w:rPr/>
      </w:pPr>
      <w:r>
        <w:rPr>
          <w:rStyle w:val="Strong"/>
        </w:rPr>
        <w:t>Basic goods are plural.</w:t>
      </w:r>
      <w:r>
        <w:rPr/>
        <w:t xml:space="preserve"> They cannot always be reduced to a single common measurement without losing morally relevant differences.</w:t>
      </w:r>
    </w:p>
    <w:p>
      <w:pPr>
        <w:pStyle w:val="BodyText"/>
        <w:numPr>
          <w:ilvl w:val="0"/>
          <w:numId w:val="116"/>
        </w:numPr>
        <w:tabs>
          <w:tab w:val="clear" w:pos="720"/>
          <w:tab w:val="left" w:pos="0" w:leader="none"/>
        </w:tabs>
        <w:spacing w:before="0" w:after="200"/>
        <w:ind w:hanging="283" w:left="709"/>
        <w:rPr/>
      </w:pPr>
      <w:r>
        <w:rPr>
          <w:rStyle w:val="Strong"/>
        </w:rPr>
        <w:t>Practical reason orders participation in goods.</w:t>
      </w:r>
      <w:r>
        <w:rPr/>
        <w:t xml:space="preserve"> Agents must develop coherent plans, avoid arbitrary favoritism, respect others’ participation in goods, and direct action toward individual and common flourishing.</w:t>
      </w:r>
    </w:p>
    <w:p>
      <w:pPr>
        <w:pStyle w:val="BodyText"/>
        <w:numPr>
          <w:ilvl w:val="0"/>
          <w:numId w:val="116"/>
        </w:numPr>
        <w:tabs>
          <w:tab w:val="clear" w:pos="720"/>
          <w:tab w:val="left" w:pos="0" w:leader="none"/>
        </w:tabs>
        <w:spacing w:before="0" w:after="200"/>
        <w:ind w:hanging="283" w:left="709"/>
        <w:rPr/>
      </w:pPr>
      <w:r>
        <w:rPr>
          <w:rStyle w:val="Strong"/>
        </w:rPr>
        <w:t>The common good is morally significant.</w:t>
      </w:r>
      <w:r>
        <w:rPr/>
        <w:t xml:space="preserve"> Social institutions should create conditions in which members of a community can participate in basic goods.</w:t>
      </w:r>
    </w:p>
    <w:p>
      <w:pPr>
        <w:pStyle w:val="BodyText"/>
        <w:numPr>
          <w:ilvl w:val="0"/>
          <w:numId w:val="116"/>
        </w:numPr>
        <w:tabs>
          <w:tab w:val="clear" w:pos="720"/>
          <w:tab w:val="left" w:pos="0" w:leader="none"/>
        </w:tabs>
        <w:spacing w:before="0" w:after="200"/>
        <w:ind w:hanging="283" w:left="709"/>
        <w:rPr/>
      </w:pPr>
      <w:r>
        <w:rPr>
          <w:rStyle w:val="Strong"/>
        </w:rPr>
        <w:t>Persons are naturally social.</w:t>
      </w:r>
      <w:r>
        <w:rPr/>
        <w:t xml:space="preserve"> Relationships, families, associations, institutions, and political communities are not merely accidental constraints on otherwise isolated individuals.</w:t>
      </w:r>
    </w:p>
    <w:p>
      <w:pPr>
        <w:pStyle w:val="BodyText"/>
        <w:numPr>
          <w:ilvl w:val="0"/>
          <w:numId w:val="116"/>
        </w:numPr>
        <w:tabs>
          <w:tab w:val="clear" w:pos="720"/>
          <w:tab w:val="left" w:pos="0" w:leader="none"/>
        </w:tabs>
        <w:spacing w:before="0" w:after="200"/>
        <w:ind w:hanging="283" w:left="709"/>
        <w:rPr/>
      </w:pPr>
      <w:r>
        <w:rPr>
          <w:rStyle w:val="Strong"/>
        </w:rPr>
        <w:t>Virtue supports reliable participation in the good.</w:t>
      </w:r>
      <w:r>
        <w:rPr/>
        <w:t xml:space="preserve"> Knowledge of moral principles is insufficient without stable dispositions such as justice, courage, moderation, and practical wisdom.</w:t>
      </w:r>
    </w:p>
    <w:p>
      <w:pPr>
        <w:pStyle w:val="BodyText"/>
        <w:numPr>
          <w:ilvl w:val="0"/>
          <w:numId w:val="116"/>
        </w:numPr>
        <w:tabs>
          <w:tab w:val="clear" w:pos="720"/>
          <w:tab w:val="left" w:pos="0" w:leader="none"/>
        </w:tabs>
        <w:spacing w:before="0" w:after="200"/>
        <w:ind w:hanging="283" w:left="709"/>
        <w:rPr/>
      </w:pPr>
      <w:r>
        <w:rPr>
          <w:rStyle w:val="Strong"/>
        </w:rPr>
        <w:t>The object, intention, and circumstances of action matter.</w:t>
      </w:r>
      <w:r>
        <w:rPr/>
        <w:t xml:space="preserve"> An action is not evaluated only by its expected consequences. What the agent chooses as a means and why the agent chooses it can affect its moral character.</w:t>
      </w:r>
    </w:p>
    <w:p>
      <w:pPr>
        <w:pStyle w:val="BodyText"/>
        <w:numPr>
          <w:ilvl w:val="0"/>
          <w:numId w:val="116"/>
        </w:numPr>
        <w:tabs>
          <w:tab w:val="clear" w:pos="720"/>
          <w:tab w:val="left" w:pos="0" w:leader="none"/>
        </w:tabs>
        <w:spacing w:before="0" w:after="200"/>
        <w:ind w:hanging="283" w:left="709"/>
        <w:rPr/>
      </w:pPr>
      <w:r>
        <w:rPr>
          <w:rStyle w:val="Strong"/>
        </w:rPr>
        <w:t>Some actions may be intrinsically or categorically wrong.</w:t>
      </w:r>
      <w:r>
        <w:rPr/>
        <w:t xml:space="preserve"> Many Natural Law theories hold that particular choices directly attacking basic goods cannot be justified solely by aggregate benefit.</w:t>
      </w:r>
    </w:p>
    <w:p>
      <w:pPr>
        <w:pStyle w:val="BodyText"/>
        <w:numPr>
          <w:ilvl w:val="0"/>
          <w:numId w:val="116"/>
        </w:numPr>
        <w:tabs>
          <w:tab w:val="clear" w:pos="720"/>
          <w:tab w:val="left" w:pos="0" w:leader="none"/>
        </w:tabs>
        <w:spacing w:before="0" w:after="200"/>
        <w:ind w:hanging="283" w:left="709"/>
        <w:rPr/>
      </w:pPr>
      <w:r>
        <w:rPr>
          <w:rStyle w:val="Strong"/>
        </w:rPr>
        <w:t>Foreseen harm is not always intended harm.</w:t>
      </w:r>
      <w:r>
        <w:rPr/>
        <w:t xml:space="preserve"> The principle commonly called double effect distinguishes between harm selected as a means or end and harm foreseen as a side effect, subject to strict conditions.</w:t>
      </w:r>
    </w:p>
    <w:p>
      <w:pPr>
        <w:pStyle w:val="BodyText"/>
        <w:numPr>
          <w:ilvl w:val="0"/>
          <w:numId w:val="116"/>
        </w:numPr>
        <w:tabs>
          <w:tab w:val="clear" w:pos="720"/>
          <w:tab w:val="left" w:pos="0" w:leader="none"/>
        </w:tabs>
        <w:spacing w:before="0" w:after="200"/>
        <w:ind w:hanging="283" w:left="709"/>
        <w:rPr/>
      </w:pPr>
      <w:r>
        <w:rPr>
          <w:rStyle w:val="Strong"/>
        </w:rPr>
        <w:t>Human law should serve the common good.</w:t>
      </w:r>
      <w:r>
        <w:rPr/>
        <w:t xml:space="preserve"> Aquinas characterizes law as an ordinance of reason directed toward the common good, made by legitimate authority, and promulgated to those governed by it.</w:t>
      </w:r>
    </w:p>
    <w:p>
      <w:pPr>
        <w:pStyle w:val="BodyText"/>
        <w:numPr>
          <w:ilvl w:val="0"/>
          <w:numId w:val="116"/>
        </w:numPr>
        <w:tabs>
          <w:tab w:val="clear" w:pos="720"/>
          <w:tab w:val="left" w:pos="0" w:leader="none"/>
        </w:tabs>
        <w:spacing w:before="0" w:after="200"/>
        <w:ind w:hanging="283" w:left="709"/>
        <w:rPr/>
      </w:pPr>
      <w:r>
        <w:rPr>
          <w:rStyle w:val="Strong"/>
        </w:rPr>
        <w:t>Positive law specifies general principles.</w:t>
      </w:r>
      <w:r>
        <w:rPr/>
        <w:t xml:space="preserve"> Natural Law does not provide a detailed rule for every situation. Legislators and institutions must make context-dependent determinations concerning coordination, procedure, and enforcement.</w:t>
      </w:r>
    </w:p>
    <w:p>
      <w:pPr>
        <w:pStyle w:val="BodyText"/>
        <w:numPr>
          <w:ilvl w:val="0"/>
          <w:numId w:val="116"/>
        </w:numPr>
        <w:tabs>
          <w:tab w:val="clear" w:pos="720"/>
          <w:tab w:val="left" w:pos="0" w:leader="none"/>
        </w:tabs>
        <w:spacing w:before="0" w:after="200"/>
        <w:ind w:hanging="283" w:left="709"/>
        <w:rPr/>
      </w:pPr>
      <w:r>
        <w:rPr>
          <w:rStyle w:val="Strong"/>
        </w:rPr>
        <w:t>Enacted law and moral law are distinguishable.</w:t>
      </w:r>
      <w:r>
        <w:rPr/>
        <w:t xml:space="preserve"> A rule may exist as a social fact while lacking full moral authority because it is unjust. Natural Law theory need not deny that unjust rules are enforced as law; it questions their normative claim to obedience. </w:t>
      </w:r>
      <w:hyperlink r:id="rId83">
        <w:r>
          <w:rPr>
            <w:rStyle w:val="Hyperlink"/>
          </w:rPr>
          <w:t>Stanford Encyclopedia of Philosophy</w:t>
        </w:r>
      </w:hyperlink>
    </w:p>
    <w:p>
      <w:pPr>
        <w:pStyle w:val="BodyText"/>
        <w:numPr>
          <w:ilvl w:val="0"/>
          <w:numId w:val="116"/>
        </w:numPr>
        <w:tabs>
          <w:tab w:val="clear" w:pos="720"/>
          <w:tab w:val="left" w:pos="0" w:leader="none"/>
        </w:tabs>
        <w:spacing w:before="0" w:after="200"/>
        <w:ind w:hanging="283" w:left="709"/>
        <w:rPr/>
      </w:pPr>
      <w:r>
        <w:rPr>
          <w:rStyle w:val="Strong"/>
        </w:rPr>
        <w:t>Authority is not self-validating.</w:t>
      </w:r>
      <w:r>
        <w:rPr/>
        <w:t xml:space="preserve"> Governments and institutions remain subject to moral standards that do not arise solely from their own enactments.</w:t>
      </w:r>
    </w:p>
    <w:p>
      <w:pPr>
        <w:pStyle w:val="BodyText"/>
        <w:numPr>
          <w:ilvl w:val="0"/>
          <w:numId w:val="116"/>
        </w:numPr>
        <w:tabs>
          <w:tab w:val="clear" w:pos="720"/>
          <w:tab w:val="left" w:pos="0" w:leader="none"/>
        </w:tabs>
        <w:spacing w:before="0" w:after="200"/>
        <w:ind w:hanging="283" w:left="709"/>
        <w:rPr/>
      </w:pPr>
      <w:r>
        <w:rPr>
          <w:rStyle w:val="Strong"/>
        </w:rPr>
        <w:t>Moral principles are generally universal, while applications are contextual.</w:t>
      </w:r>
      <w:r>
        <w:rPr/>
        <w:t xml:space="preserve"> The same basic goods may be relevant across societies even though their institutional specification varies.</w:t>
      </w:r>
    </w:p>
    <w:p>
      <w:pPr>
        <w:pStyle w:val="Heading3"/>
        <w:spacing w:before="0" w:after="200"/>
        <w:ind w:hanging="0" w:left="0"/>
        <w:rPr>
          <w:rFonts w:ascii="Aptos" w:hAnsi="Aptos"/>
          <w:color w:val="auto"/>
        </w:rPr>
      </w:pPr>
      <w:r>
        <w:rPr>
          <w:rFonts w:ascii="Aptos" w:hAnsi="Aptos"/>
          <w:color w:val="auto"/>
        </w:rPr>
        <w:t>Relationship to This Framework</w:t>
      </w:r>
    </w:p>
    <w:p>
      <w:pPr>
        <w:pStyle w:val="BodyText"/>
        <w:spacing w:before="0" w:after="200"/>
        <w:rPr/>
      </w:pPr>
      <w:r>
        <w:rPr/>
        <w:t>Natural Law and this framework share a commitment to objective moral evaluation. Neither treats an actor’s preference, institutional objective, legal authorization, or cultural convention as sufficient to establish that an action is ethical.</w:t>
      </w:r>
    </w:p>
    <w:p>
      <w:pPr>
        <w:pStyle w:val="BodyText"/>
        <w:spacing w:before="0" w:after="200"/>
        <w:rPr/>
      </w:pPr>
      <w:r>
        <w:rPr/>
        <w:t>The Foundational Axiom’s emphasis on Long-Term Flourishing has significant affinities with Natural Law. Both approaches understand flourishing as multidimensional and connected to the development of entities across time. Life, knowledge, relationships, rational agency, social participation, and the capacity to pursue meaningful future possibilities can all be represented within the framework’s flourishing state vector.</w:t>
      </w:r>
    </w:p>
    <w:p>
      <w:pPr>
        <w:pStyle w:val="BodyText"/>
        <w:spacing w:before="0" w:after="200"/>
        <w:rPr/>
      </w:pPr>
      <w:r>
        <w:rPr/>
        <w:t>Natural Law’s common good also parallels the framework’s requirement that one entity’s flourishing be compatible with and contribute to the flourishing of the relevant World Context. In both approaches, social order should not merely aggregate private interests; it should establish conditions that enable entities to develop and participate in valuable forms of activity.</w:t>
      </w:r>
    </w:p>
    <w:p>
      <w:pPr>
        <w:pStyle w:val="BodyText"/>
        <w:spacing w:before="0" w:after="200"/>
        <w:rPr/>
      </w:pPr>
      <w:r>
        <w:rPr/>
        <w:t>The framework’s attention to authority and legitimacy resembles Natural Law’s distinction between enacted rules and morally authoritative law. A government or institution may possess causal power and legal jurisdiction while using that power in ways inconsistent with the flourishing of affected entities.</w:t>
      </w:r>
    </w:p>
    <w:p>
      <w:pPr>
        <w:pStyle w:val="BodyText"/>
        <w:spacing w:before="0" w:after="200"/>
        <w:rPr/>
      </w:pPr>
      <w:r>
        <w:rPr/>
        <w:t>The framework can also represent the Natural Law distinction among:</w:t>
      </w:r>
    </w:p>
    <w:p>
      <w:pPr>
        <w:pStyle w:val="BodyText"/>
        <w:numPr>
          <w:ilvl w:val="0"/>
          <w:numId w:val="117"/>
        </w:numPr>
        <w:tabs>
          <w:tab w:val="clear" w:pos="720"/>
          <w:tab w:val="left" w:pos="0" w:leader="none"/>
        </w:tabs>
        <w:spacing w:before="0" w:after="200"/>
        <w:ind w:hanging="283" w:left="709"/>
        <w:rPr/>
      </w:pPr>
      <w:r>
        <w:rPr/>
        <w:t>The action selected;</w:t>
      </w:r>
    </w:p>
    <w:p>
      <w:pPr>
        <w:pStyle w:val="BodyText"/>
        <w:numPr>
          <w:ilvl w:val="0"/>
          <w:numId w:val="117"/>
        </w:numPr>
        <w:tabs>
          <w:tab w:val="clear" w:pos="720"/>
          <w:tab w:val="left" w:pos="0" w:leader="none"/>
        </w:tabs>
        <w:spacing w:before="0" w:after="200"/>
        <w:ind w:hanging="283" w:left="709"/>
        <w:rPr/>
      </w:pPr>
      <w:r>
        <w:rPr/>
        <w:t>The actor’s objective;</w:t>
      </w:r>
    </w:p>
    <w:p>
      <w:pPr>
        <w:pStyle w:val="BodyText"/>
        <w:numPr>
          <w:ilvl w:val="0"/>
          <w:numId w:val="117"/>
        </w:numPr>
        <w:tabs>
          <w:tab w:val="clear" w:pos="720"/>
          <w:tab w:val="left" w:pos="0" w:leader="none"/>
        </w:tabs>
        <w:spacing w:before="0" w:after="200"/>
        <w:ind w:hanging="283" w:left="709"/>
        <w:rPr/>
      </w:pPr>
      <w:r>
        <w:rPr/>
        <w:t>The means used;</w:t>
      </w:r>
    </w:p>
    <w:p>
      <w:pPr>
        <w:pStyle w:val="BodyText"/>
        <w:numPr>
          <w:ilvl w:val="0"/>
          <w:numId w:val="117"/>
        </w:numPr>
        <w:tabs>
          <w:tab w:val="clear" w:pos="720"/>
          <w:tab w:val="left" w:pos="0" w:leader="none"/>
        </w:tabs>
        <w:spacing w:before="0" w:after="200"/>
        <w:ind w:hanging="283" w:left="709"/>
        <w:rPr/>
      </w:pPr>
      <w:r>
        <w:rPr/>
        <w:t>Intended effects;</w:t>
      </w:r>
    </w:p>
    <w:p>
      <w:pPr>
        <w:pStyle w:val="BodyText"/>
        <w:numPr>
          <w:ilvl w:val="0"/>
          <w:numId w:val="117"/>
        </w:numPr>
        <w:tabs>
          <w:tab w:val="clear" w:pos="720"/>
          <w:tab w:val="left" w:pos="0" w:leader="none"/>
        </w:tabs>
        <w:spacing w:before="0" w:after="200"/>
        <w:ind w:hanging="283" w:left="709"/>
        <w:rPr/>
      </w:pPr>
      <w:r>
        <w:rPr/>
        <w:t>Foreseen side effects;</w:t>
      </w:r>
    </w:p>
    <w:p>
      <w:pPr>
        <w:pStyle w:val="BodyText"/>
        <w:numPr>
          <w:ilvl w:val="0"/>
          <w:numId w:val="117"/>
        </w:numPr>
        <w:tabs>
          <w:tab w:val="clear" w:pos="720"/>
          <w:tab w:val="left" w:pos="0" w:leader="none"/>
        </w:tabs>
        <w:spacing w:before="0" w:after="200"/>
        <w:ind w:hanging="283" w:left="709"/>
        <w:rPr/>
      </w:pPr>
      <w:r>
        <w:rPr/>
        <w:t>Relevant circumstances;</w:t>
      </w:r>
    </w:p>
    <w:p>
      <w:pPr>
        <w:pStyle w:val="BodyText"/>
        <w:numPr>
          <w:ilvl w:val="0"/>
          <w:numId w:val="117"/>
        </w:numPr>
        <w:tabs>
          <w:tab w:val="clear" w:pos="720"/>
          <w:tab w:val="left" w:pos="0" w:leader="none"/>
        </w:tabs>
        <w:spacing w:before="0" w:after="200"/>
        <w:ind w:hanging="283" w:left="709"/>
        <w:rPr/>
      </w:pPr>
      <w:r>
        <w:rPr/>
        <w:t>Available alternatives; and</w:t>
      </w:r>
    </w:p>
    <w:p>
      <w:pPr>
        <w:pStyle w:val="BodyText"/>
        <w:numPr>
          <w:ilvl w:val="0"/>
          <w:numId w:val="117"/>
        </w:numPr>
        <w:tabs>
          <w:tab w:val="clear" w:pos="720"/>
          <w:tab w:val="left" w:pos="0" w:leader="none"/>
        </w:tabs>
        <w:spacing w:before="0" w:after="200"/>
        <w:ind w:hanging="283" w:left="709"/>
        <w:rPr/>
      </w:pPr>
      <w:r>
        <w:rPr/>
        <w:t>The actor’s responsibility.</w:t>
      </w:r>
    </w:p>
    <w:p>
      <w:pPr>
        <w:pStyle w:val="BodyText"/>
        <w:spacing w:before="0" w:after="200"/>
        <w:rPr/>
      </w:pPr>
      <w:r>
        <w:rPr/>
        <w:t>Significant differences remain. Natural Law generally begins with an account of objective goods rooted in human nature and practical reason. This framework begins with a Foundational Axiom applying to a potentially broader class of persistent adaptive and autopoietic entities.</w:t>
      </w:r>
    </w:p>
    <w:p>
      <w:pPr>
        <w:pStyle w:val="BodyText"/>
        <w:spacing w:before="0" w:after="200"/>
        <w:rPr/>
      </w:pPr>
      <w:r>
        <w:rPr/>
        <w:t>Natural Law also commonly treats certain choices as impermissible independently of favorable consequences. This framework is strongly transition-oriented and may require explicit hard constraints before it can reproduce Natural Law’s categorical prohibitions.</w:t>
      </w:r>
    </w:p>
    <w:p>
      <w:pPr>
        <w:pStyle w:val="BodyText"/>
        <w:spacing w:before="0" w:after="200"/>
        <w:rPr/>
      </w:pPr>
      <w:r>
        <w:rPr/>
        <w:t>Finally, classical Natural Law often assumes a teleological or theological order of nature. This framework is implementation-neutral and does not require belief in divine law, cosmic purpose, or fixed biological essences.</w:t>
      </w:r>
    </w:p>
    <w:p>
      <w:pPr>
        <w:pStyle w:val="Heading3"/>
        <w:spacing w:before="0" w:after="200"/>
        <w:ind w:hanging="0" w:left="0"/>
        <w:rPr>
          <w:rFonts w:ascii="Aptos" w:hAnsi="Aptos"/>
          <w:color w:val="auto"/>
        </w:rPr>
      </w:pPr>
      <w:r>
        <w:rPr>
          <w:rFonts w:ascii="Aptos" w:hAnsi="Aptos"/>
          <w:color w:val="auto"/>
        </w:rPr>
        <w:t>Concepts Adopted or Adapted by This Framework</w:t>
      </w:r>
    </w:p>
    <w:tbl>
      <w:tblPr>
        <w:tblW w:w="8640" w:type="dxa"/>
        <w:jc w:val="left"/>
        <w:tblInd w:w="28" w:type="dxa"/>
        <w:tblLayout w:type="fixed"/>
        <w:tblCellMar>
          <w:top w:w="28" w:type="dxa"/>
          <w:left w:w="28" w:type="dxa"/>
          <w:bottom w:w="28" w:type="dxa"/>
          <w:right w:w="28" w:type="dxa"/>
        </w:tblCellMar>
      </w:tblPr>
      <w:tblGrid>
        <w:gridCol w:w="2630"/>
        <w:gridCol w:w="6010"/>
      </w:tblGrid>
      <w:tr>
        <w:trPr>
          <w:tblHeader w:val="true"/>
        </w:trPr>
        <w:tc>
          <w:tcPr>
            <w:tcW w:w="2630" w:type="dxa"/>
            <w:tcBorders/>
            <w:vAlign w:val="center"/>
          </w:tcPr>
          <w:p>
            <w:pPr>
              <w:pStyle w:val="TableHeading"/>
              <w:suppressLineNumbers/>
              <w:spacing w:before="0" w:after="200"/>
              <w:jc w:val="center"/>
              <w:rPr/>
            </w:pPr>
            <w:r>
              <w:rPr/>
              <w:t>Natural Law concept</w:t>
            </w:r>
          </w:p>
        </w:tc>
        <w:tc>
          <w:tcPr>
            <w:tcW w:w="6010" w:type="dxa"/>
            <w:tcBorders/>
            <w:vAlign w:val="center"/>
          </w:tcPr>
          <w:p>
            <w:pPr>
              <w:pStyle w:val="TableHeading"/>
              <w:suppressLineNumbers/>
              <w:spacing w:before="0" w:after="200"/>
              <w:jc w:val="center"/>
              <w:rPr/>
            </w:pPr>
            <w:r>
              <w:rPr/>
              <w:t>Adoption or adaptation within this framework</w:t>
            </w:r>
          </w:p>
        </w:tc>
      </w:tr>
      <w:tr>
        <w:trPr/>
        <w:tc>
          <w:tcPr>
            <w:tcW w:w="2630" w:type="dxa"/>
            <w:tcBorders/>
            <w:vAlign w:val="center"/>
          </w:tcPr>
          <w:p>
            <w:pPr>
              <w:pStyle w:val="TableContents"/>
              <w:widowControl w:val="false"/>
              <w:suppressLineNumbers/>
              <w:spacing w:before="0" w:after="200"/>
              <w:rPr/>
            </w:pPr>
            <w:r>
              <w:rPr>
                <w:rStyle w:val="Strong"/>
              </w:rPr>
              <w:t>Objective moral order</w:t>
            </w:r>
          </w:p>
        </w:tc>
        <w:tc>
          <w:tcPr>
            <w:tcW w:w="6010" w:type="dxa"/>
            <w:tcBorders/>
            <w:vAlign w:val="center"/>
          </w:tcPr>
          <w:p>
            <w:pPr>
              <w:pStyle w:val="TableContents"/>
              <w:widowControl w:val="false"/>
              <w:suppressLineNumbers/>
              <w:spacing w:before="0" w:after="200"/>
              <w:rPr/>
            </w:pPr>
            <w:r>
              <w:rPr/>
              <w:t>Reflected in the claim that actions can be evaluated independently of the actor’s preferences or legal authority.</w:t>
            </w:r>
          </w:p>
        </w:tc>
      </w:tr>
      <w:tr>
        <w:trPr/>
        <w:tc>
          <w:tcPr>
            <w:tcW w:w="2630" w:type="dxa"/>
            <w:tcBorders/>
            <w:vAlign w:val="center"/>
          </w:tcPr>
          <w:p>
            <w:pPr>
              <w:pStyle w:val="TableContents"/>
              <w:widowControl w:val="false"/>
              <w:suppressLineNumbers/>
              <w:spacing w:before="0" w:after="200"/>
              <w:rPr/>
            </w:pPr>
            <w:r>
              <w:rPr>
                <w:rStyle w:val="Strong"/>
              </w:rPr>
              <w:t>Basic goods</w:t>
            </w:r>
          </w:p>
        </w:tc>
        <w:tc>
          <w:tcPr>
            <w:tcW w:w="6010" w:type="dxa"/>
            <w:tcBorders/>
            <w:vAlign w:val="center"/>
          </w:tcPr>
          <w:p>
            <w:pPr>
              <w:pStyle w:val="TableContents"/>
              <w:widowControl w:val="false"/>
              <w:suppressLineNumbers/>
              <w:spacing w:before="0" w:after="200"/>
              <w:rPr/>
            </w:pPr>
            <w:r>
              <w:rPr/>
              <w:t>Adaptable as distinct dimensions of Long-Term Flourishing that should not be reduced to a single aggregate measure.</w:t>
            </w:r>
          </w:p>
        </w:tc>
      </w:tr>
      <w:tr>
        <w:trPr/>
        <w:tc>
          <w:tcPr>
            <w:tcW w:w="2630" w:type="dxa"/>
            <w:tcBorders/>
            <w:vAlign w:val="center"/>
          </w:tcPr>
          <w:p>
            <w:pPr>
              <w:pStyle w:val="TableContents"/>
              <w:widowControl w:val="false"/>
              <w:suppressLineNumbers/>
              <w:spacing w:before="0" w:after="200"/>
              <w:rPr/>
            </w:pPr>
            <w:r>
              <w:rPr>
                <w:rStyle w:val="Strong"/>
              </w:rPr>
              <w:t>Life and health</w:t>
            </w:r>
          </w:p>
        </w:tc>
        <w:tc>
          <w:tcPr>
            <w:tcW w:w="6010" w:type="dxa"/>
            <w:tcBorders/>
            <w:vAlign w:val="center"/>
          </w:tcPr>
          <w:p>
            <w:pPr>
              <w:pStyle w:val="TableContents"/>
              <w:widowControl w:val="false"/>
              <w:suppressLineNumbers/>
              <w:spacing w:before="0" w:after="200"/>
              <w:rPr/>
            </w:pPr>
            <w:r>
              <w:rPr/>
              <w:t>Representable through entity persistence, integrity, adaptive capacity, and future state space.</w:t>
            </w:r>
          </w:p>
        </w:tc>
      </w:tr>
      <w:tr>
        <w:trPr/>
        <w:tc>
          <w:tcPr>
            <w:tcW w:w="2630" w:type="dxa"/>
            <w:tcBorders/>
            <w:vAlign w:val="center"/>
          </w:tcPr>
          <w:p>
            <w:pPr>
              <w:pStyle w:val="TableContents"/>
              <w:widowControl w:val="false"/>
              <w:suppressLineNumbers/>
              <w:spacing w:before="0" w:after="200"/>
              <w:rPr/>
            </w:pPr>
            <w:r>
              <w:rPr>
                <w:rStyle w:val="Strong"/>
              </w:rPr>
              <w:t>Knowledge</w:t>
            </w:r>
          </w:p>
        </w:tc>
        <w:tc>
          <w:tcPr>
            <w:tcW w:w="6010" w:type="dxa"/>
            <w:tcBorders/>
            <w:vAlign w:val="center"/>
          </w:tcPr>
          <w:p>
            <w:pPr>
              <w:pStyle w:val="TableContents"/>
              <w:widowControl w:val="false"/>
              <w:suppressLineNumbers/>
              <w:spacing w:before="0" w:after="200"/>
              <w:rPr/>
            </w:pPr>
            <w:r>
              <w:rPr/>
              <w:t>Representable as an intrinsic capability and as information required for moral agency and responsible action.</w:t>
            </w:r>
          </w:p>
        </w:tc>
      </w:tr>
      <w:tr>
        <w:trPr/>
        <w:tc>
          <w:tcPr>
            <w:tcW w:w="2630" w:type="dxa"/>
            <w:tcBorders/>
            <w:vAlign w:val="center"/>
          </w:tcPr>
          <w:p>
            <w:pPr>
              <w:pStyle w:val="TableContents"/>
              <w:widowControl w:val="false"/>
              <w:suppressLineNumbers/>
              <w:spacing w:before="0" w:after="200"/>
              <w:rPr/>
            </w:pPr>
            <w:r>
              <w:rPr>
                <w:rStyle w:val="Strong"/>
              </w:rPr>
              <w:t>Sociability and friendship</w:t>
            </w:r>
          </w:p>
        </w:tc>
        <w:tc>
          <w:tcPr>
            <w:tcW w:w="6010" w:type="dxa"/>
            <w:tcBorders/>
            <w:vAlign w:val="center"/>
          </w:tcPr>
          <w:p>
            <w:pPr>
              <w:pStyle w:val="TableContents"/>
              <w:widowControl w:val="false"/>
              <w:suppressLineNumbers/>
              <w:spacing w:before="0" w:after="200"/>
              <w:rPr/>
            </w:pPr>
            <w:r>
              <w:rPr/>
              <w:t>Reflected in Associations, trust, cooperation, belonging, and institutional participation.</w:t>
            </w:r>
          </w:p>
        </w:tc>
      </w:tr>
      <w:tr>
        <w:trPr/>
        <w:tc>
          <w:tcPr>
            <w:tcW w:w="2630" w:type="dxa"/>
            <w:tcBorders/>
            <w:vAlign w:val="center"/>
          </w:tcPr>
          <w:p>
            <w:pPr>
              <w:pStyle w:val="TableContents"/>
              <w:widowControl w:val="false"/>
              <w:suppressLineNumbers/>
              <w:spacing w:before="0" w:after="200"/>
              <w:rPr/>
            </w:pPr>
            <w:r>
              <w:rPr>
                <w:rStyle w:val="Strong"/>
              </w:rPr>
              <w:t>Practical reasonableness</w:t>
            </w:r>
          </w:p>
        </w:tc>
        <w:tc>
          <w:tcPr>
            <w:tcW w:w="6010" w:type="dxa"/>
            <w:tcBorders/>
            <w:vAlign w:val="center"/>
          </w:tcPr>
          <w:p>
            <w:pPr>
              <w:pStyle w:val="TableContents"/>
              <w:widowControl w:val="false"/>
              <w:suppressLineNumbers/>
              <w:spacing w:before="0" w:after="200"/>
              <w:rPr/>
            </w:pPr>
            <w:r>
              <w:rPr/>
              <w:t>Related to evidence-based deliberation, consistency, explicit assumptions, proportionality, and consideration of other entities.</w:t>
            </w:r>
          </w:p>
        </w:tc>
      </w:tr>
      <w:tr>
        <w:trPr/>
        <w:tc>
          <w:tcPr>
            <w:tcW w:w="2630" w:type="dxa"/>
            <w:tcBorders/>
            <w:vAlign w:val="center"/>
          </w:tcPr>
          <w:p>
            <w:pPr>
              <w:pStyle w:val="TableContents"/>
              <w:widowControl w:val="false"/>
              <w:suppressLineNumbers/>
              <w:spacing w:before="0" w:after="200"/>
              <w:rPr/>
            </w:pPr>
            <w:r>
              <w:rPr>
                <w:rStyle w:val="Strong"/>
              </w:rPr>
              <w:t>Common good</w:t>
            </w:r>
          </w:p>
        </w:tc>
        <w:tc>
          <w:tcPr>
            <w:tcW w:w="6010" w:type="dxa"/>
            <w:tcBorders/>
            <w:vAlign w:val="center"/>
          </w:tcPr>
          <w:p>
            <w:pPr>
              <w:pStyle w:val="TableContents"/>
              <w:widowControl w:val="false"/>
              <w:suppressLineNumbers/>
              <w:spacing w:before="0" w:after="200"/>
              <w:rPr/>
            </w:pPr>
            <w:r>
              <w:rPr/>
              <w:t>Adaptable as the conditions of the World Context that enable compatible flourishing among relevant entities.</w:t>
            </w:r>
          </w:p>
        </w:tc>
      </w:tr>
      <w:tr>
        <w:trPr/>
        <w:tc>
          <w:tcPr>
            <w:tcW w:w="2630" w:type="dxa"/>
            <w:tcBorders/>
            <w:vAlign w:val="center"/>
          </w:tcPr>
          <w:p>
            <w:pPr>
              <w:pStyle w:val="TableContents"/>
              <w:widowControl w:val="false"/>
              <w:suppressLineNumbers/>
              <w:spacing w:before="0" w:after="200"/>
              <w:rPr/>
            </w:pPr>
            <w:r>
              <w:rPr>
                <w:rStyle w:val="Strong"/>
              </w:rPr>
              <w:t>Natural inclinations and capacities</w:t>
            </w:r>
          </w:p>
        </w:tc>
        <w:tc>
          <w:tcPr>
            <w:tcW w:w="6010" w:type="dxa"/>
            <w:tcBorders/>
            <w:vAlign w:val="center"/>
          </w:tcPr>
          <w:p>
            <w:pPr>
              <w:pStyle w:val="TableContents"/>
              <w:widowControl w:val="false"/>
              <w:suppressLineNumbers/>
              <w:spacing w:before="0" w:after="200"/>
              <w:rPr/>
            </w:pPr>
            <w:r>
              <w:rPr/>
              <w:t>Representable as entity-specific capabilities, dependencies, vulnerabilities, developmental tendencies, and characteristic needs.</w:t>
            </w:r>
          </w:p>
        </w:tc>
      </w:tr>
      <w:tr>
        <w:trPr/>
        <w:tc>
          <w:tcPr>
            <w:tcW w:w="2630" w:type="dxa"/>
            <w:tcBorders/>
            <w:vAlign w:val="center"/>
          </w:tcPr>
          <w:p>
            <w:pPr>
              <w:pStyle w:val="TableContents"/>
              <w:widowControl w:val="false"/>
              <w:suppressLineNumbers/>
              <w:spacing w:before="0" w:after="200"/>
              <w:rPr/>
            </w:pPr>
            <w:r>
              <w:rPr>
                <w:rStyle w:val="Strong"/>
              </w:rPr>
              <w:t>Teleology</w:t>
            </w:r>
          </w:p>
        </w:tc>
        <w:tc>
          <w:tcPr>
            <w:tcW w:w="6010" w:type="dxa"/>
            <w:tcBorders/>
            <w:vAlign w:val="center"/>
          </w:tcPr>
          <w:p>
            <w:pPr>
              <w:pStyle w:val="TableContents"/>
              <w:widowControl w:val="false"/>
              <w:suppressLineNumbers/>
              <w:spacing w:before="0" w:after="200"/>
              <w:rPr/>
            </w:pPr>
            <w:r>
              <w:rPr/>
              <w:t>Adaptable as analysis of objectives and developmental trajectories without assuming a fixed cosmic purpose.</w:t>
            </w:r>
          </w:p>
        </w:tc>
      </w:tr>
      <w:tr>
        <w:trPr/>
        <w:tc>
          <w:tcPr>
            <w:tcW w:w="2630" w:type="dxa"/>
            <w:tcBorders/>
            <w:vAlign w:val="center"/>
          </w:tcPr>
          <w:p>
            <w:pPr>
              <w:pStyle w:val="TableContents"/>
              <w:widowControl w:val="false"/>
              <w:suppressLineNumbers/>
              <w:spacing w:before="0" w:after="200"/>
              <w:rPr/>
            </w:pPr>
            <w:r>
              <w:rPr>
                <w:rStyle w:val="Strong"/>
              </w:rPr>
              <w:t>Virtue</w:t>
            </w:r>
          </w:p>
        </w:tc>
        <w:tc>
          <w:tcPr>
            <w:tcW w:w="6010" w:type="dxa"/>
            <w:tcBorders/>
            <w:vAlign w:val="center"/>
          </w:tcPr>
          <w:p>
            <w:pPr>
              <w:pStyle w:val="TableContents"/>
              <w:widowControl w:val="false"/>
              <w:suppressLineNumbers/>
              <w:spacing w:before="0" w:after="200"/>
              <w:rPr/>
            </w:pPr>
            <w:r>
              <w:rPr/>
              <w:t>Representable as stable moral-agent policies supporting reliable judgment and appropriate action.</w:t>
            </w:r>
          </w:p>
        </w:tc>
      </w:tr>
      <w:tr>
        <w:trPr/>
        <w:tc>
          <w:tcPr>
            <w:tcW w:w="2630" w:type="dxa"/>
            <w:tcBorders/>
            <w:vAlign w:val="center"/>
          </w:tcPr>
          <w:p>
            <w:pPr>
              <w:pStyle w:val="TableContents"/>
              <w:widowControl w:val="false"/>
              <w:suppressLineNumbers/>
              <w:spacing w:before="0" w:after="200"/>
              <w:rPr/>
            </w:pPr>
            <w:r>
              <w:rPr>
                <w:rStyle w:val="Strong"/>
              </w:rPr>
              <w:t>Authority directed to common good</w:t>
            </w:r>
          </w:p>
        </w:tc>
        <w:tc>
          <w:tcPr>
            <w:tcW w:w="6010" w:type="dxa"/>
            <w:tcBorders/>
            <w:vAlign w:val="center"/>
          </w:tcPr>
          <w:p>
            <w:pPr>
              <w:pStyle w:val="TableContents"/>
              <w:widowControl w:val="false"/>
              <w:suppressLineNumbers/>
              <w:spacing w:before="0" w:after="200"/>
              <w:rPr/>
            </w:pPr>
            <w:r>
              <w:rPr/>
              <w:t>Reflected in evaluation of roles, legitimacy, jurisdiction, institutional purpose, and effects on affected entities.</w:t>
            </w:r>
          </w:p>
        </w:tc>
      </w:tr>
      <w:tr>
        <w:trPr/>
        <w:tc>
          <w:tcPr>
            <w:tcW w:w="2630" w:type="dxa"/>
            <w:tcBorders/>
            <w:vAlign w:val="center"/>
          </w:tcPr>
          <w:p>
            <w:pPr>
              <w:pStyle w:val="TableContents"/>
              <w:widowControl w:val="false"/>
              <w:suppressLineNumbers/>
              <w:spacing w:before="0" w:after="200"/>
              <w:rPr/>
            </w:pPr>
            <w:r>
              <w:rPr>
                <w:rStyle w:val="Strong"/>
              </w:rPr>
              <w:t>Positive law as specification</w:t>
            </w:r>
          </w:p>
        </w:tc>
        <w:tc>
          <w:tcPr>
            <w:tcW w:w="6010" w:type="dxa"/>
            <w:tcBorders/>
            <w:vAlign w:val="center"/>
          </w:tcPr>
          <w:p>
            <w:pPr>
              <w:pStyle w:val="TableContents"/>
              <w:widowControl w:val="false"/>
              <w:suppressLineNumbers/>
              <w:spacing w:before="0" w:after="200"/>
              <w:rPr/>
            </w:pPr>
            <w:r>
              <w:rPr/>
              <w:t>Adaptable as context-specific rules that operationalize broader ethical principles.</w:t>
            </w:r>
          </w:p>
        </w:tc>
      </w:tr>
      <w:tr>
        <w:trPr/>
        <w:tc>
          <w:tcPr>
            <w:tcW w:w="2630" w:type="dxa"/>
            <w:tcBorders/>
            <w:vAlign w:val="center"/>
          </w:tcPr>
          <w:p>
            <w:pPr>
              <w:pStyle w:val="TableContents"/>
              <w:widowControl w:val="false"/>
              <w:suppressLineNumbers/>
              <w:spacing w:before="0" w:after="200"/>
              <w:rPr/>
            </w:pPr>
            <w:r>
              <w:rPr>
                <w:rStyle w:val="Strong"/>
              </w:rPr>
              <w:t>Unjust law</w:t>
            </w:r>
          </w:p>
        </w:tc>
        <w:tc>
          <w:tcPr>
            <w:tcW w:w="6010" w:type="dxa"/>
            <w:tcBorders/>
            <w:vAlign w:val="center"/>
          </w:tcPr>
          <w:p>
            <w:pPr>
              <w:pStyle w:val="TableContents"/>
              <w:widowControl w:val="false"/>
              <w:suppressLineNumbers/>
              <w:spacing w:before="0" w:after="200"/>
              <w:rPr/>
            </w:pPr>
            <w:r>
              <w:rPr/>
              <w:t>Representable as a legally operative rule whose World Context Transition and moral justification are defective.</w:t>
            </w:r>
          </w:p>
        </w:tc>
      </w:tr>
      <w:tr>
        <w:trPr/>
        <w:tc>
          <w:tcPr>
            <w:tcW w:w="2630" w:type="dxa"/>
            <w:tcBorders/>
            <w:vAlign w:val="center"/>
          </w:tcPr>
          <w:p>
            <w:pPr>
              <w:pStyle w:val="TableContents"/>
              <w:widowControl w:val="false"/>
              <w:suppressLineNumbers/>
              <w:spacing w:before="0" w:after="200"/>
              <w:rPr/>
            </w:pPr>
            <w:r>
              <w:rPr>
                <w:rStyle w:val="Strong"/>
              </w:rPr>
              <w:t>Object, intention, and circumstances</w:t>
            </w:r>
          </w:p>
        </w:tc>
        <w:tc>
          <w:tcPr>
            <w:tcW w:w="6010" w:type="dxa"/>
            <w:tcBorders/>
            <w:vAlign w:val="center"/>
          </w:tcPr>
          <w:p>
            <w:pPr>
              <w:pStyle w:val="TableContents"/>
              <w:widowControl w:val="false"/>
              <w:suppressLineNumbers/>
              <w:spacing w:before="0" w:after="200"/>
              <w:rPr/>
            </w:pPr>
            <w:r>
              <w:rPr/>
              <w:t>Adaptable as separate fields in the evaluation of an Assessed Action.</w:t>
            </w:r>
          </w:p>
        </w:tc>
      </w:tr>
      <w:tr>
        <w:trPr/>
        <w:tc>
          <w:tcPr>
            <w:tcW w:w="2630" w:type="dxa"/>
            <w:tcBorders/>
            <w:vAlign w:val="center"/>
          </w:tcPr>
          <w:p>
            <w:pPr>
              <w:pStyle w:val="TableContents"/>
              <w:widowControl w:val="false"/>
              <w:suppressLineNumbers/>
              <w:spacing w:before="0" w:after="200"/>
              <w:rPr/>
            </w:pPr>
            <w:r>
              <w:rPr>
                <w:rStyle w:val="Strong"/>
              </w:rPr>
              <w:t>Double effect</w:t>
            </w:r>
          </w:p>
        </w:tc>
        <w:tc>
          <w:tcPr>
            <w:tcW w:w="6010" w:type="dxa"/>
            <w:tcBorders/>
            <w:vAlign w:val="center"/>
          </w:tcPr>
          <w:p>
            <w:pPr>
              <w:pStyle w:val="TableContents"/>
              <w:widowControl w:val="false"/>
              <w:suppressLineNumbers/>
              <w:spacing w:before="0" w:after="200"/>
              <w:rPr/>
            </w:pPr>
            <w:r>
              <w:rPr/>
              <w:t>Adaptable through distinctions among intended outcomes, selected means, foreseen side effects, necessity, and proportionality.</w:t>
            </w:r>
          </w:p>
        </w:tc>
      </w:tr>
      <w:tr>
        <w:trPr/>
        <w:tc>
          <w:tcPr>
            <w:tcW w:w="2630" w:type="dxa"/>
            <w:tcBorders/>
            <w:vAlign w:val="center"/>
          </w:tcPr>
          <w:p>
            <w:pPr>
              <w:pStyle w:val="TableContents"/>
              <w:widowControl w:val="false"/>
              <w:suppressLineNumbers/>
              <w:spacing w:before="0" w:after="200"/>
              <w:rPr/>
            </w:pPr>
            <w:r>
              <w:rPr>
                <w:rStyle w:val="Strong"/>
              </w:rPr>
              <w:t>Categorical moral constraints</w:t>
            </w:r>
          </w:p>
        </w:tc>
        <w:tc>
          <w:tcPr>
            <w:tcW w:w="6010" w:type="dxa"/>
            <w:tcBorders/>
            <w:vAlign w:val="center"/>
          </w:tcPr>
          <w:p>
            <w:pPr>
              <w:pStyle w:val="TableContents"/>
              <w:widowControl w:val="false"/>
              <w:suppressLineNumbers/>
              <w:spacing w:before="0" w:after="200"/>
              <w:rPr/>
            </w:pPr>
            <w:r>
              <w:rPr/>
              <w:t>Implementable as hard constraints against specified forms of direct attack on protected goods.</w:t>
            </w:r>
          </w:p>
        </w:tc>
      </w:tr>
      <w:tr>
        <w:trPr/>
        <w:tc>
          <w:tcPr>
            <w:tcW w:w="2630" w:type="dxa"/>
            <w:tcBorders/>
            <w:vAlign w:val="center"/>
          </w:tcPr>
          <w:p>
            <w:pPr>
              <w:pStyle w:val="TableContents"/>
              <w:widowControl w:val="false"/>
              <w:suppressLineNumbers/>
              <w:spacing w:before="0" w:after="200"/>
              <w:rPr/>
            </w:pPr>
            <w:r>
              <w:rPr>
                <w:rStyle w:val="Strong"/>
              </w:rPr>
              <w:t>Natural rights</w:t>
            </w:r>
          </w:p>
        </w:tc>
        <w:tc>
          <w:tcPr>
            <w:tcW w:w="6010" w:type="dxa"/>
            <w:tcBorders/>
            <w:vAlign w:val="center"/>
          </w:tcPr>
          <w:p>
            <w:pPr>
              <w:pStyle w:val="TableContents"/>
              <w:widowControl w:val="false"/>
              <w:suppressLineNumbers/>
              <w:spacing w:before="0" w:after="200"/>
              <w:rPr/>
            </w:pPr>
            <w:r>
              <w:rPr/>
              <w:t>Adaptable through rights-based Associations protecting the conditions necessary for participation in basic goods.</w:t>
            </w:r>
          </w:p>
        </w:tc>
      </w:tr>
      <w:tr>
        <w:trPr/>
        <w:tc>
          <w:tcPr>
            <w:tcW w:w="2630" w:type="dxa"/>
            <w:tcBorders/>
            <w:vAlign w:val="center"/>
          </w:tcPr>
          <w:p>
            <w:pPr>
              <w:pStyle w:val="TableContents"/>
              <w:widowControl w:val="false"/>
              <w:suppressLineNumbers/>
              <w:spacing w:before="0" w:after="200"/>
              <w:rPr/>
            </w:pPr>
            <w:r>
              <w:rPr>
                <w:rStyle w:val="Strong"/>
              </w:rPr>
              <w:t>Integral fulfillment</w:t>
            </w:r>
          </w:p>
        </w:tc>
        <w:tc>
          <w:tcPr>
            <w:tcW w:w="6010" w:type="dxa"/>
            <w:tcBorders/>
            <w:vAlign w:val="center"/>
          </w:tcPr>
          <w:p>
            <w:pPr>
              <w:pStyle w:val="TableContents"/>
              <w:widowControl w:val="false"/>
              <w:suppressLineNumbers/>
              <w:spacing w:before="0" w:after="200"/>
              <w:rPr/>
            </w:pPr>
            <w:r>
              <w:rPr/>
              <w:t>Related to the framework’s concern that one entity’s flourishing remain compatible with the flourishing of the wider context.</w:t>
            </w:r>
          </w:p>
        </w:tc>
      </w:tr>
    </w:tbl>
    <w:p>
      <w:pPr>
        <w:pStyle w:val="Heading3"/>
        <w:spacing w:before="0" w:after="200"/>
        <w:ind w:hanging="0" w:left="0"/>
        <w:rPr>
          <w:rFonts w:ascii="Aptos" w:hAnsi="Aptos"/>
          <w:color w:val="auto"/>
        </w:rPr>
      </w:pPr>
      <w:r>
        <w:rPr>
          <w:rFonts w:ascii="Aptos" w:hAnsi="Aptos"/>
          <w:color w:val="auto"/>
        </w:rPr>
        <w:t>Similarities</w:t>
      </w:r>
    </w:p>
    <w:p>
      <w:pPr>
        <w:pStyle w:val="BodyText"/>
        <w:spacing w:before="0" w:after="200"/>
        <w:rPr/>
      </w:pPr>
      <w:r>
        <w:rPr/>
        <w:t>Natural Law and this framework share several important commitments:</w:t>
      </w:r>
    </w:p>
    <w:p>
      <w:pPr>
        <w:pStyle w:val="BodyText"/>
        <w:numPr>
          <w:ilvl w:val="0"/>
          <w:numId w:val="118"/>
        </w:numPr>
        <w:tabs>
          <w:tab w:val="clear" w:pos="720"/>
          <w:tab w:val="left" w:pos="0" w:leader="none"/>
        </w:tabs>
        <w:spacing w:before="0" w:after="200"/>
        <w:ind w:hanging="283" w:left="709"/>
        <w:rPr/>
      </w:pPr>
      <w:r>
        <w:rPr/>
        <w:t>Both hold that ethical validity is not determined solely by preference, convention, or political power.</w:t>
      </w:r>
    </w:p>
    <w:p>
      <w:pPr>
        <w:pStyle w:val="BodyText"/>
        <w:numPr>
          <w:ilvl w:val="0"/>
          <w:numId w:val="118"/>
        </w:numPr>
        <w:tabs>
          <w:tab w:val="clear" w:pos="720"/>
          <w:tab w:val="left" w:pos="0" w:leader="none"/>
        </w:tabs>
        <w:spacing w:before="0" w:after="200"/>
        <w:ind w:hanging="283" w:left="709"/>
        <w:rPr/>
      </w:pPr>
      <w:r>
        <w:rPr/>
        <w:t>Both use flourishing as a central moral concept.</w:t>
      </w:r>
    </w:p>
    <w:p>
      <w:pPr>
        <w:pStyle w:val="BodyText"/>
        <w:numPr>
          <w:ilvl w:val="0"/>
          <w:numId w:val="118"/>
        </w:numPr>
        <w:tabs>
          <w:tab w:val="clear" w:pos="720"/>
          <w:tab w:val="left" w:pos="0" w:leader="none"/>
        </w:tabs>
        <w:spacing w:before="0" w:after="200"/>
        <w:ind w:hanging="283" w:left="709"/>
        <w:rPr/>
      </w:pPr>
      <w:r>
        <w:rPr/>
        <w:t>Both treat flourishing as multidimensional.</w:t>
      </w:r>
    </w:p>
    <w:p>
      <w:pPr>
        <w:pStyle w:val="BodyText"/>
        <w:numPr>
          <w:ilvl w:val="0"/>
          <w:numId w:val="118"/>
        </w:numPr>
        <w:tabs>
          <w:tab w:val="clear" w:pos="720"/>
          <w:tab w:val="left" w:pos="0" w:leader="none"/>
        </w:tabs>
        <w:spacing w:before="0" w:after="200"/>
        <w:ind w:hanging="283" w:left="709"/>
        <w:rPr/>
      </w:pPr>
      <w:r>
        <w:rPr/>
        <w:t>Both recognize life, knowledge, agency, relationships, and social participation as ethically significant.</w:t>
      </w:r>
    </w:p>
    <w:p>
      <w:pPr>
        <w:pStyle w:val="BodyText"/>
        <w:numPr>
          <w:ilvl w:val="0"/>
          <w:numId w:val="118"/>
        </w:numPr>
        <w:tabs>
          <w:tab w:val="clear" w:pos="720"/>
          <w:tab w:val="left" w:pos="0" w:leader="none"/>
        </w:tabs>
        <w:spacing w:before="0" w:after="200"/>
        <w:ind w:hanging="283" w:left="709"/>
        <w:rPr/>
      </w:pPr>
      <w:r>
        <w:rPr/>
        <w:t>Both connect individual flourishing with the conditions of a wider community or system.</w:t>
      </w:r>
    </w:p>
    <w:p>
      <w:pPr>
        <w:pStyle w:val="BodyText"/>
        <w:numPr>
          <w:ilvl w:val="0"/>
          <w:numId w:val="118"/>
        </w:numPr>
        <w:tabs>
          <w:tab w:val="clear" w:pos="720"/>
          <w:tab w:val="left" w:pos="0" w:leader="none"/>
        </w:tabs>
        <w:spacing w:before="0" w:after="200"/>
        <w:ind w:hanging="283" w:left="709"/>
        <w:rPr/>
      </w:pPr>
      <w:r>
        <w:rPr/>
        <w:t>Both recognize that legitimate institutions should serve more than the objectives of those who govern them.</w:t>
      </w:r>
    </w:p>
    <w:p>
      <w:pPr>
        <w:pStyle w:val="BodyText"/>
        <w:numPr>
          <w:ilvl w:val="0"/>
          <w:numId w:val="118"/>
        </w:numPr>
        <w:tabs>
          <w:tab w:val="clear" w:pos="720"/>
          <w:tab w:val="left" w:pos="0" w:leader="none"/>
        </w:tabs>
        <w:spacing w:before="0" w:after="200"/>
        <w:ind w:hanging="283" w:left="709"/>
        <w:rPr/>
      </w:pPr>
      <w:r>
        <w:rPr/>
        <w:t>Both distinguish legal authorization from moral justification.</w:t>
      </w:r>
    </w:p>
    <w:p>
      <w:pPr>
        <w:pStyle w:val="BodyText"/>
        <w:numPr>
          <w:ilvl w:val="0"/>
          <w:numId w:val="118"/>
        </w:numPr>
        <w:tabs>
          <w:tab w:val="clear" w:pos="720"/>
          <w:tab w:val="left" w:pos="0" w:leader="none"/>
        </w:tabs>
        <w:spacing w:before="0" w:after="200"/>
        <w:ind w:hanging="283" w:left="709"/>
        <w:rPr/>
      </w:pPr>
      <w:r>
        <w:rPr/>
        <w:t>Both consider the means used to pursue an objective.</w:t>
      </w:r>
    </w:p>
    <w:p>
      <w:pPr>
        <w:pStyle w:val="BodyText"/>
        <w:numPr>
          <w:ilvl w:val="0"/>
          <w:numId w:val="118"/>
        </w:numPr>
        <w:tabs>
          <w:tab w:val="clear" w:pos="720"/>
          <w:tab w:val="left" w:pos="0" w:leader="none"/>
        </w:tabs>
        <w:spacing w:before="0" w:after="200"/>
        <w:ind w:hanging="283" w:left="709"/>
        <w:rPr/>
      </w:pPr>
      <w:r>
        <w:rPr/>
        <w:t>Both recognize intention and circumstances as relevant to responsibility.</w:t>
      </w:r>
    </w:p>
    <w:p>
      <w:pPr>
        <w:pStyle w:val="BodyText"/>
        <w:numPr>
          <w:ilvl w:val="0"/>
          <w:numId w:val="118"/>
        </w:numPr>
        <w:tabs>
          <w:tab w:val="clear" w:pos="720"/>
          <w:tab w:val="left" w:pos="0" w:leader="none"/>
        </w:tabs>
        <w:spacing w:before="0" w:after="200"/>
        <w:ind w:hanging="283" w:left="709"/>
        <w:rPr/>
      </w:pPr>
      <w:r>
        <w:rPr/>
        <w:t>Both can treat some actions as constrained even when they produce desirable consequences.</w:t>
      </w:r>
    </w:p>
    <w:p>
      <w:pPr>
        <w:pStyle w:val="BodyText"/>
        <w:numPr>
          <w:ilvl w:val="0"/>
          <w:numId w:val="118"/>
        </w:numPr>
        <w:tabs>
          <w:tab w:val="clear" w:pos="720"/>
          <w:tab w:val="left" w:pos="0" w:leader="none"/>
        </w:tabs>
        <w:spacing w:before="0" w:after="200"/>
        <w:ind w:hanging="283" w:left="709"/>
        <w:rPr/>
      </w:pPr>
      <w:r>
        <w:rPr/>
        <w:t>Both recognize the ethical importance of stable moral-agent development.</w:t>
      </w:r>
    </w:p>
    <w:p>
      <w:pPr>
        <w:pStyle w:val="BodyText"/>
        <w:numPr>
          <w:ilvl w:val="0"/>
          <w:numId w:val="118"/>
        </w:numPr>
        <w:tabs>
          <w:tab w:val="clear" w:pos="720"/>
          <w:tab w:val="left" w:pos="0" w:leader="none"/>
        </w:tabs>
        <w:spacing w:before="0" w:after="200"/>
        <w:ind w:hanging="283" w:left="709"/>
        <w:rPr/>
      </w:pPr>
      <w:r>
        <w:rPr/>
        <w:t>Both support universal reasoning while allowing contextual application.</w:t>
      </w:r>
    </w:p>
    <w:p>
      <w:pPr>
        <w:pStyle w:val="BodyText"/>
        <w:numPr>
          <w:ilvl w:val="0"/>
          <w:numId w:val="118"/>
        </w:numPr>
        <w:tabs>
          <w:tab w:val="clear" w:pos="720"/>
          <w:tab w:val="left" w:pos="0" w:leader="none"/>
        </w:tabs>
        <w:spacing w:before="0" w:after="200"/>
        <w:ind w:hanging="283" w:left="709"/>
        <w:rPr/>
      </w:pPr>
      <w:r>
        <w:rPr/>
        <w:t>Both recognize that social institutions are necessary for coordination and the common good.</w:t>
      </w:r>
    </w:p>
    <w:p>
      <w:pPr>
        <w:pStyle w:val="BodyText"/>
        <w:numPr>
          <w:ilvl w:val="0"/>
          <w:numId w:val="118"/>
        </w:numPr>
        <w:tabs>
          <w:tab w:val="clear" w:pos="720"/>
          <w:tab w:val="left" w:pos="0" w:leader="none"/>
        </w:tabs>
        <w:spacing w:before="0" w:after="200"/>
        <w:ind w:hanging="283" w:left="709"/>
        <w:rPr/>
      </w:pPr>
      <w:r>
        <w:rPr/>
        <w:t>Both can evaluate whether policies preserve the conditions under which entities can pursue valuable activities.</w:t>
      </w:r>
    </w:p>
    <w:p>
      <w:pPr>
        <w:pStyle w:val="BodyText"/>
        <w:numPr>
          <w:ilvl w:val="0"/>
          <w:numId w:val="118"/>
        </w:numPr>
        <w:tabs>
          <w:tab w:val="clear" w:pos="720"/>
          <w:tab w:val="left" w:pos="0" w:leader="none"/>
        </w:tabs>
        <w:spacing w:before="0" w:after="200"/>
        <w:ind w:hanging="283" w:left="709"/>
        <w:rPr/>
      </w:pPr>
      <w:r>
        <w:rPr/>
        <w:t>Both resist reducing ethical judgment to a single aggregate metric.</w:t>
      </w:r>
    </w:p>
    <w:p>
      <w:pPr>
        <w:pStyle w:val="Heading3"/>
        <w:spacing w:before="0" w:after="200"/>
        <w:ind w:hanging="0" w:left="0"/>
        <w:rPr>
          <w:rFonts w:ascii="Aptos" w:hAnsi="Aptos"/>
          <w:color w:val="auto"/>
        </w:rPr>
      </w:pPr>
      <w:r>
        <w:rPr>
          <w:rFonts w:ascii="Aptos" w:hAnsi="Aptos"/>
          <w:color w:val="auto"/>
        </w:rPr>
        <w:t>Differences</w:t>
      </w:r>
    </w:p>
    <w:tbl>
      <w:tblPr>
        <w:tblW w:w="8640" w:type="dxa"/>
        <w:jc w:val="left"/>
        <w:tblInd w:w="28" w:type="dxa"/>
        <w:tblLayout w:type="fixed"/>
        <w:tblCellMar>
          <w:top w:w="28" w:type="dxa"/>
          <w:left w:w="28" w:type="dxa"/>
          <w:bottom w:w="28" w:type="dxa"/>
          <w:right w:w="28" w:type="dxa"/>
        </w:tblCellMar>
      </w:tblPr>
      <w:tblGrid>
        <w:gridCol w:w="1914"/>
        <w:gridCol w:w="3446"/>
        <w:gridCol w:w="3280"/>
      </w:tblGrid>
      <w:tr>
        <w:trPr>
          <w:tblHeader w:val="true"/>
        </w:trPr>
        <w:tc>
          <w:tcPr>
            <w:tcW w:w="1914" w:type="dxa"/>
            <w:tcBorders/>
            <w:vAlign w:val="center"/>
          </w:tcPr>
          <w:p>
            <w:pPr>
              <w:pStyle w:val="TableHeading"/>
              <w:suppressLineNumbers/>
              <w:spacing w:before="0" w:after="200"/>
              <w:jc w:val="center"/>
              <w:rPr/>
            </w:pPr>
            <w:r>
              <w:rPr/>
              <w:t>Dimension</w:t>
            </w:r>
          </w:p>
        </w:tc>
        <w:tc>
          <w:tcPr>
            <w:tcW w:w="3446" w:type="dxa"/>
            <w:tcBorders/>
            <w:vAlign w:val="center"/>
          </w:tcPr>
          <w:p>
            <w:pPr>
              <w:pStyle w:val="TableHeading"/>
              <w:suppressLineNumbers/>
              <w:spacing w:before="0" w:after="200"/>
              <w:jc w:val="center"/>
              <w:rPr/>
            </w:pPr>
            <w:r>
              <w:rPr/>
              <w:t>Natural Law</w:t>
            </w:r>
          </w:p>
        </w:tc>
        <w:tc>
          <w:tcPr>
            <w:tcW w:w="3280" w:type="dxa"/>
            <w:tcBorders/>
            <w:vAlign w:val="center"/>
          </w:tcPr>
          <w:p>
            <w:pPr>
              <w:pStyle w:val="TableHeading"/>
              <w:suppressLineNumbers/>
              <w:spacing w:before="0" w:after="200"/>
              <w:jc w:val="center"/>
              <w:rPr/>
            </w:pPr>
            <w:r>
              <w:rPr/>
              <w:t>This framework</w:t>
            </w:r>
          </w:p>
        </w:tc>
      </w:tr>
      <w:tr>
        <w:trPr/>
        <w:tc>
          <w:tcPr>
            <w:tcW w:w="1914" w:type="dxa"/>
            <w:tcBorders/>
            <w:vAlign w:val="center"/>
          </w:tcPr>
          <w:p>
            <w:pPr>
              <w:pStyle w:val="TableContents"/>
              <w:widowControl w:val="false"/>
              <w:suppressLineNumbers/>
              <w:spacing w:before="0" w:after="200"/>
              <w:rPr/>
            </w:pPr>
            <w:r>
              <w:rPr>
                <w:rStyle w:val="Strong"/>
              </w:rPr>
              <w:t>Normative foundation</w:t>
            </w:r>
          </w:p>
        </w:tc>
        <w:tc>
          <w:tcPr>
            <w:tcW w:w="3446" w:type="dxa"/>
            <w:tcBorders/>
            <w:vAlign w:val="center"/>
          </w:tcPr>
          <w:p>
            <w:pPr>
              <w:pStyle w:val="TableContents"/>
              <w:widowControl w:val="false"/>
              <w:suppressLineNumbers/>
              <w:spacing w:before="0" w:after="200"/>
              <w:rPr/>
            </w:pPr>
            <w:r>
              <w:rPr/>
              <w:t>Objective goods and practical principles grounded in nature, reason, and, in classical accounts, eternal law</w:t>
            </w:r>
          </w:p>
        </w:tc>
        <w:tc>
          <w:tcPr>
            <w:tcW w:w="3280" w:type="dxa"/>
            <w:tcBorders/>
            <w:vAlign w:val="center"/>
          </w:tcPr>
          <w:p>
            <w:pPr>
              <w:pStyle w:val="TableContents"/>
              <w:widowControl w:val="false"/>
              <w:suppressLineNumbers/>
              <w:spacing w:before="0" w:after="200"/>
              <w:rPr/>
            </w:pPr>
            <w:r>
              <w:rPr/>
              <w:t>Foundational Axiom concerning compatible Long-Term Flourishing</w:t>
            </w:r>
          </w:p>
        </w:tc>
      </w:tr>
      <w:tr>
        <w:trPr/>
        <w:tc>
          <w:tcPr>
            <w:tcW w:w="1914" w:type="dxa"/>
            <w:tcBorders/>
            <w:vAlign w:val="center"/>
          </w:tcPr>
          <w:p>
            <w:pPr>
              <w:pStyle w:val="TableContents"/>
              <w:widowControl w:val="false"/>
              <w:suppressLineNumbers/>
              <w:spacing w:before="0" w:after="200"/>
              <w:rPr/>
            </w:pPr>
            <w:r>
              <w:rPr>
                <w:rStyle w:val="Strong"/>
              </w:rPr>
              <w:t>Primary moral subject</w:t>
            </w:r>
          </w:p>
        </w:tc>
        <w:tc>
          <w:tcPr>
            <w:tcW w:w="3446" w:type="dxa"/>
            <w:tcBorders/>
            <w:vAlign w:val="center"/>
          </w:tcPr>
          <w:p>
            <w:pPr>
              <w:pStyle w:val="TableContents"/>
              <w:widowControl w:val="false"/>
              <w:suppressLineNumbers/>
              <w:spacing w:before="0" w:after="200"/>
              <w:rPr/>
            </w:pPr>
            <w:r>
              <w:rPr/>
              <w:t>Usually the human person as a rational and social being</w:t>
            </w:r>
          </w:p>
        </w:tc>
        <w:tc>
          <w:tcPr>
            <w:tcW w:w="3280" w:type="dxa"/>
            <w:tcBorders/>
            <w:vAlign w:val="center"/>
          </w:tcPr>
          <w:p>
            <w:pPr>
              <w:pStyle w:val="TableContents"/>
              <w:widowControl w:val="false"/>
              <w:suppressLineNumbers/>
              <w:spacing w:before="0" w:after="200"/>
              <w:rPr/>
            </w:pPr>
            <w:r>
              <w:rPr/>
              <w:t>Potentially any relevant persistent adaptive or autopoietic entity</w:t>
            </w:r>
          </w:p>
        </w:tc>
      </w:tr>
      <w:tr>
        <w:trPr/>
        <w:tc>
          <w:tcPr>
            <w:tcW w:w="1914" w:type="dxa"/>
            <w:tcBorders/>
            <w:vAlign w:val="center"/>
          </w:tcPr>
          <w:p>
            <w:pPr>
              <w:pStyle w:val="TableContents"/>
              <w:widowControl w:val="false"/>
              <w:suppressLineNumbers/>
              <w:spacing w:before="0" w:after="200"/>
              <w:rPr/>
            </w:pPr>
            <w:r>
              <w:rPr>
                <w:rStyle w:val="Strong"/>
              </w:rPr>
              <w:t>Meaning of nature</w:t>
            </w:r>
          </w:p>
        </w:tc>
        <w:tc>
          <w:tcPr>
            <w:tcW w:w="3446" w:type="dxa"/>
            <w:tcBorders/>
            <w:vAlign w:val="center"/>
          </w:tcPr>
          <w:p>
            <w:pPr>
              <w:pStyle w:val="TableContents"/>
              <w:widowControl w:val="false"/>
              <w:suppressLineNumbers/>
              <w:spacing w:before="0" w:after="200"/>
              <w:rPr/>
            </w:pPr>
            <w:r>
              <w:rPr/>
              <w:t>Human essence, capacities, inclinations, purposes, and characteristic fulfillment</w:t>
            </w:r>
          </w:p>
        </w:tc>
        <w:tc>
          <w:tcPr>
            <w:tcW w:w="3280" w:type="dxa"/>
            <w:tcBorders/>
            <w:vAlign w:val="center"/>
          </w:tcPr>
          <w:p>
            <w:pPr>
              <w:pStyle w:val="TableContents"/>
              <w:widowControl w:val="false"/>
              <w:suppressLineNumbers/>
              <w:spacing w:before="0" w:after="200"/>
              <w:rPr/>
            </w:pPr>
            <w:r>
              <w:rPr/>
              <w:t>The empirically represented World Context and characteristics of included entities</w:t>
            </w:r>
          </w:p>
        </w:tc>
      </w:tr>
      <w:tr>
        <w:trPr/>
        <w:tc>
          <w:tcPr>
            <w:tcW w:w="1914" w:type="dxa"/>
            <w:tcBorders/>
            <w:vAlign w:val="center"/>
          </w:tcPr>
          <w:p>
            <w:pPr>
              <w:pStyle w:val="TableContents"/>
              <w:widowControl w:val="false"/>
              <w:suppressLineNumbers/>
              <w:spacing w:before="0" w:after="200"/>
              <w:rPr/>
            </w:pPr>
            <w:r>
              <w:rPr>
                <w:rStyle w:val="Strong"/>
              </w:rPr>
              <w:t>Highest-order question</w:t>
            </w:r>
          </w:p>
        </w:tc>
        <w:tc>
          <w:tcPr>
            <w:tcW w:w="3446" w:type="dxa"/>
            <w:tcBorders/>
            <w:vAlign w:val="center"/>
          </w:tcPr>
          <w:p>
            <w:pPr>
              <w:pStyle w:val="TableContents"/>
              <w:widowControl w:val="false"/>
              <w:suppressLineNumbers/>
              <w:spacing w:before="0" w:after="200"/>
              <w:rPr/>
            </w:pPr>
            <w:r>
              <w:rPr/>
              <w:t>What choices accord with practical reason and participation in genuine goods?</w:t>
            </w:r>
          </w:p>
        </w:tc>
        <w:tc>
          <w:tcPr>
            <w:tcW w:w="3280" w:type="dxa"/>
            <w:tcBorders/>
            <w:vAlign w:val="center"/>
          </w:tcPr>
          <w:p>
            <w:pPr>
              <w:pStyle w:val="TableContents"/>
              <w:widowControl w:val="false"/>
              <w:suppressLineNumbers/>
              <w:spacing w:before="0" w:after="200"/>
              <w:rPr/>
            </w:pPr>
            <w:r>
              <w:rPr/>
              <w:t>What World Context Transition preserves and promotes compatible Long-Term Flourishing?</w:t>
            </w:r>
          </w:p>
        </w:tc>
      </w:tr>
      <w:tr>
        <w:trPr/>
        <w:tc>
          <w:tcPr>
            <w:tcW w:w="1914" w:type="dxa"/>
            <w:tcBorders/>
            <w:vAlign w:val="center"/>
          </w:tcPr>
          <w:p>
            <w:pPr>
              <w:pStyle w:val="TableContents"/>
              <w:widowControl w:val="false"/>
              <w:suppressLineNumbers/>
              <w:spacing w:before="0" w:after="200"/>
              <w:rPr/>
            </w:pPr>
            <w:r>
              <w:rPr>
                <w:rStyle w:val="Strong"/>
              </w:rPr>
              <w:t>Status of goods</w:t>
            </w:r>
          </w:p>
        </w:tc>
        <w:tc>
          <w:tcPr>
            <w:tcW w:w="3446" w:type="dxa"/>
            <w:tcBorders/>
            <w:vAlign w:val="center"/>
          </w:tcPr>
          <w:p>
            <w:pPr>
              <w:pStyle w:val="TableContents"/>
              <w:widowControl w:val="false"/>
              <w:suppressLineNumbers/>
              <w:spacing w:before="0" w:after="200"/>
              <w:rPr/>
            </w:pPr>
            <w:r>
              <w:rPr/>
              <w:t>Basic goods are intrinsically valuable and often incommensurable</w:t>
            </w:r>
          </w:p>
        </w:tc>
        <w:tc>
          <w:tcPr>
            <w:tcW w:w="3280" w:type="dxa"/>
            <w:tcBorders/>
            <w:vAlign w:val="center"/>
          </w:tcPr>
          <w:p>
            <w:pPr>
              <w:pStyle w:val="TableContents"/>
              <w:widowControl w:val="false"/>
              <w:suppressLineNumbers/>
              <w:spacing w:before="0" w:after="200"/>
              <w:rPr/>
            </w:pPr>
            <w:r>
              <w:rPr/>
              <w:t>Flourishing dimensions form a relational state vector and may be comparatively evaluated</w:t>
            </w:r>
          </w:p>
        </w:tc>
      </w:tr>
      <w:tr>
        <w:trPr/>
        <w:tc>
          <w:tcPr>
            <w:tcW w:w="1914" w:type="dxa"/>
            <w:tcBorders/>
            <w:vAlign w:val="center"/>
          </w:tcPr>
          <w:p>
            <w:pPr>
              <w:pStyle w:val="TableContents"/>
              <w:widowControl w:val="false"/>
              <w:suppressLineNumbers/>
              <w:spacing w:before="0" w:after="200"/>
              <w:rPr/>
            </w:pPr>
            <w:r>
              <w:rPr>
                <w:rStyle w:val="Strong"/>
              </w:rPr>
              <w:t>Consequences</w:t>
            </w:r>
          </w:p>
        </w:tc>
        <w:tc>
          <w:tcPr>
            <w:tcW w:w="3446" w:type="dxa"/>
            <w:tcBorders/>
            <w:vAlign w:val="center"/>
          </w:tcPr>
          <w:p>
            <w:pPr>
              <w:pStyle w:val="TableContents"/>
              <w:widowControl w:val="false"/>
              <w:suppressLineNumbers/>
              <w:spacing w:before="0" w:after="200"/>
              <w:rPr/>
            </w:pPr>
            <w:r>
              <w:rPr/>
              <w:t>Important but not sufficient to justify every action</w:t>
            </w:r>
          </w:p>
        </w:tc>
        <w:tc>
          <w:tcPr>
            <w:tcW w:w="3280" w:type="dxa"/>
            <w:tcBorders/>
            <w:vAlign w:val="center"/>
          </w:tcPr>
          <w:p>
            <w:pPr>
              <w:pStyle w:val="TableContents"/>
              <w:widowControl w:val="false"/>
              <w:suppressLineNumbers/>
              <w:spacing w:before="0" w:after="200"/>
              <w:rPr/>
            </w:pPr>
            <w:r>
              <w:rPr/>
              <w:t>Central to evaluation of the complete transition</w:t>
            </w:r>
          </w:p>
        </w:tc>
      </w:tr>
      <w:tr>
        <w:trPr/>
        <w:tc>
          <w:tcPr>
            <w:tcW w:w="1914" w:type="dxa"/>
            <w:tcBorders/>
            <w:vAlign w:val="center"/>
          </w:tcPr>
          <w:p>
            <w:pPr>
              <w:pStyle w:val="TableContents"/>
              <w:widowControl w:val="false"/>
              <w:suppressLineNumbers/>
              <w:spacing w:before="0" w:after="200"/>
              <w:rPr/>
            </w:pPr>
            <w:r>
              <w:rPr>
                <w:rStyle w:val="Strong"/>
              </w:rPr>
              <w:t>Moral absolutes</w:t>
            </w:r>
          </w:p>
        </w:tc>
        <w:tc>
          <w:tcPr>
            <w:tcW w:w="3446" w:type="dxa"/>
            <w:tcBorders/>
            <w:vAlign w:val="center"/>
          </w:tcPr>
          <w:p>
            <w:pPr>
              <w:pStyle w:val="TableContents"/>
              <w:widowControl w:val="false"/>
              <w:suppressLineNumbers/>
              <w:spacing w:before="0" w:after="200"/>
              <w:rPr/>
            </w:pPr>
            <w:r>
              <w:rPr/>
              <w:t>Some actions may be categorically impermissible</w:t>
            </w:r>
          </w:p>
        </w:tc>
        <w:tc>
          <w:tcPr>
            <w:tcW w:w="3280" w:type="dxa"/>
            <w:tcBorders/>
            <w:vAlign w:val="center"/>
          </w:tcPr>
          <w:p>
            <w:pPr>
              <w:pStyle w:val="TableContents"/>
              <w:widowControl w:val="false"/>
              <w:suppressLineNumbers/>
              <w:spacing w:before="0" w:after="200"/>
              <w:rPr/>
            </w:pPr>
            <w:r>
              <w:rPr/>
              <w:t>Requires explicit hard constraints to produce categorical exclusions</w:t>
            </w:r>
          </w:p>
        </w:tc>
      </w:tr>
      <w:tr>
        <w:trPr/>
        <w:tc>
          <w:tcPr>
            <w:tcW w:w="1914" w:type="dxa"/>
            <w:tcBorders/>
            <w:vAlign w:val="center"/>
          </w:tcPr>
          <w:p>
            <w:pPr>
              <w:pStyle w:val="TableContents"/>
              <w:widowControl w:val="false"/>
              <w:suppressLineNumbers/>
              <w:spacing w:before="0" w:after="200"/>
              <w:rPr/>
            </w:pPr>
            <w:r>
              <w:rPr>
                <w:rStyle w:val="Strong"/>
              </w:rPr>
              <w:t>Action analysis</w:t>
            </w:r>
          </w:p>
        </w:tc>
        <w:tc>
          <w:tcPr>
            <w:tcW w:w="3446" w:type="dxa"/>
            <w:tcBorders/>
            <w:vAlign w:val="center"/>
          </w:tcPr>
          <w:p>
            <w:pPr>
              <w:pStyle w:val="TableContents"/>
              <w:widowControl w:val="false"/>
              <w:suppressLineNumbers/>
              <w:spacing w:before="0" w:after="200"/>
              <w:rPr/>
            </w:pPr>
            <w:r>
              <w:rPr/>
              <w:t>Object, intention, circumstances, and relation to basic goods</w:t>
            </w:r>
          </w:p>
        </w:tc>
        <w:tc>
          <w:tcPr>
            <w:tcW w:w="3280" w:type="dxa"/>
            <w:tcBorders/>
            <w:vAlign w:val="center"/>
          </w:tcPr>
          <w:p>
            <w:pPr>
              <w:pStyle w:val="TableContents"/>
              <w:widowControl w:val="false"/>
              <w:suppressLineNumbers/>
              <w:spacing w:before="0" w:after="200"/>
              <w:rPr/>
            </w:pPr>
            <w:r>
              <w:rPr/>
              <w:t>Objectives, means, effects, context, uncertainty, and responsibility</w:t>
            </w:r>
          </w:p>
        </w:tc>
      </w:tr>
      <w:tr>
        <w:trPr/>
        <w:tc>
          <w:tcPr>
            <w:tcW w:w="1914" w:type="dxa"/>
            <w:tcBorders/>
            <w:vAlign w:val="center"/>
          </w:tcPr>
          <w:p>
            <w:pPr>
              <w:pStyle w:val="TableContents"/>
              <w:widowControl w:val="false"/>
              <w:suppressLineNumbers/>
              <w:spacing w:before="0" w:after="200"/>
              <w:rPr/>
            </w:pPr>
            <w:r>
              <w:rPr>
                <w:rStyle w:val="Strong"/>
              </w:rPr>
              <w:t>Metaphysics</w:t>
            </w:r>
          </w:p>
        </w:tc>
        <w:tc>
          <w:tcPr>
            <w:tcW w:w="3446" w:type="dxa"/>
            <w:tcBorders/>
            <w:vAlign w:val="center"/>
          </w:tcPr>
          <w:p>
            <w:pPr>
              <w:pStyle w:val="TableContents"/>
              <w:widowControl w:val="false"/>
              <w:suppressLineNumbers/>
              <w:spacing w:before="0" w:after="200"/>
              <w:rPr/>
            </w:pPr>
            <w:r>
              <w:rPr/>
              <w:t>Often teleological and sometimes explicitly theological</w:t>
            </w:r>
          </w:p>
        </w:tc>
        <w:tc>
          <w:tcPr>
            <w:tcW w:w="3280" w:type="dxa"/>
            <w:tcBorders/>
            <w:vAlign w:val="center"/>
          </w:tcPr>
          <w:p>
            <w:pPr>
              <w:pStyle w:val="TableContents"/>
              <w:widowControl w:val="false"/>
              <w:suppressLineNumbers/>
              <w:spacing w:before="0" w:after="200"/>
              <w:rPr/>
            </w:pPr>
            <w:r>
              <w:rPr/>
              <w:t>Metaphysically and implementation neutral</w:t>
            </w:r>
          </w:p>
        </w:tc>
      </w:tr>
      <w:tr>
        <w:trPr/>
        <w:tc>
          <w:tcPr>
            <w:tcW w:w="1914" w:type="dxa"/>
            <w:tcBorders/>
            <w:vAlign w:val="center"/>
          </w:tcPr>
          <w:p>
            <w:pPr>
              <w:pStyle w:val="TableContents"/>
              <w:widowControl w:val="false"/>
              <w:suppressLineNumbers/>
              <w:spacing w:before="0" w:after="200"/>
              <w:rPr/>
            </w:pPr>
            <w:r>
              <w:rPr>
                <w:rStyle w:val="Strong"/>
              </w:rPr>
              <w:t>Knowledge of principles</w:t>
            </w:r>
          </w:p>
        </w:tc>
        <w:tc>
          <w:tcPr>
            <w:tcW w:w="3446" w:type="dxa"/>
            <w:tcBorders/>
            <w:vAlign w:val="center"/>
          </w:tcPr>
          <w:p>
            <w:pPr>
              <w:pStyle w:val="TableContents"/>
              <w:widowControl w:val="false"/>
              <w:suppressLineNumbers/>
              <w:spacing w:before="0" w:after="200"/>
              <w:rPr/>
            </w:pPr>
            <w:r>
              <w:rPr/>
              <w:t>First principles of practical reason may be treated as self-evident or naturally knowable</w:t>
            </w:r>
          </w:p>
        </w:tc>
        <w:tc>
          <w:tcPr>
            <w:tcW w:w="3280" w:type="dxa"/>
            <w:tcBorders/>
            <w:vAlign w:val="center"/>
          </w:tcPr>
          <w:p>
            <w:pPr>
              <w:pStyle w:val="TableContents"/>
              <w:widowControl w:val="false"/>
              <w:suppressLineNumbers/>
              <w:spacing w:before="0" w:after="200"/>
              <w:rPr/>
            </w:pPr>
            <w:r>
              <w:rPr/>
              <w:t>Ethical conclusions are derived from the Foundational Axiom and the best available contextual evidence</w:t>
            </w:r>
          </w:p>
        </w:tc>
      </w:tr>
      <w:tr>
        <w:trPr/>
        <w:tc>
          <w:tcPr>
            <w:tcW w:w="1914" w:type="dxa"/>
            <w:tcBorders/>
            <w:vAlign w:val="center"/>
          </w:tcPr>
          <w:p>
            <w:pPr>
              <w:pStyle w:val="TableContents"/>
              <w:widowControl w:val="false"/>
              <w:suppressLineNumbers/>
              <w:spacing w:before="0" w:after="200"/>
              <w:rPr/>
            </w:pPr>
            <w:r>
              <w:rPr>
                <w:rStyle w:val="Strong"/>
              </w:rPr>
              <w:t>Common good</w:t>
            </w:r>
          </w:p>
        </w:tc>
        <w:tc>
          <w:tcPr>
            <w:tcW w:w="3446" w:type="dxa"/>
            <w:tcBorders/>
            <w:vAlign w:val="center"/>
          </w:tcPr>
          <w:p>
            <w:pPr>
              <w:pStyle w:val="TableContents"/>
              <w:widowControl w:val="false"/>
              <w:suppressLineNumbers/>
              <w:spacing w:before="0" w:after="200"/>
              <w:rPr/>
            </w:pPr>
            <w:r>
              <w:rPr/>
              <w:t>Conditions enabling persons and communities to participate in basic human goods</w:t>
            </w:r>
          </w:p>
        </w:tc>
        <w:tc>
          <w:tcPr>
            <w:tcW w:w="3280" w:type="dxa"/>
            <w:tcBorders/>
            <w:vAlign w:val="center"/>
          </w:tcPr>
          <w:p>
            <w:pPr>
              <w:pStyle w:val="TableContents"/>
              <w:widowControl w:val="false"/>
              <w:suppressLineNumbers/>
              <w:spacing w:before="0" w:after="200"/>
              <w:rPr/>
            </w:pPr>
            <w:r>
              <w:rPr/>
              <w:t>Flourishing of the relevant World Context and its constituent entities</w:t>
            </w:r>
          </w:p>
        </w:tc>
      </w:tr>
      <w:tr>
        <w:trPr/>
        <w:tc>
          <w:tcPr>
            <w:tcW w:w="1914" w:type="dxa"/>
            <w:tcBorders/>
            <w:vAlign w:val="center"/>
          </w:tcPr>
          <w:p>
            <w:pPr>
              <w:pStyle w:val="TableContents"/>
              <w:widowControl w:val="false"/>
              <w:suppressLineNumbers/>
              <w:spacing w:before="0" w:after="200"/>
              <w:rPr/>
            </w:pPr>
            <w:r>
              <w:rPr>
                <w:rStyle w:val="Strong"/>
              </w:rPr>
              <w:t>Legal theory</w:t>
            </w:r>
          </w:p>
        </w:tc>
        <w:tc>
          <w:tcPr>
            <w:tcW w:w="3446" w:type="dxa"/>
            <w:tcBorders/>
            <w:vAlign w:val="center"/>
          </w:tcPr>
          <w:p>
            <w:pPr>
              <w:pStyle w:val="TableContents"/>
              <w:widowControl w:val="false"/>
              <w:suppressLineNumbers/>
              <w:spacing w:before="0" w:after="200"/>
              <w:rPr/>
            </w:pPr>
            <w:r>
              <w:rPr/>
              <w:t>Law’s moral authority depends on reason, common good, legitimate authority, and promulgation</w:t>
            </w:r>
          </w:p>
        </w:tc>
        <w:tc>
          <w:tcPr>
            <w:tcW w:w="3280" w:type="dxa"/>
            <w:tcBorders/>
            <w:vAlign w:val="center"/>
          </w:tcPr>
          <w:p>
            <w:pPr>
              <w:pStyle w:val="TableContents"/>
              <w:widowControl w:val="false"/>
              <w:suppressLineNumbers/>
              <w:spacing w:before="0" w:after="200"/>
              <w:rPr/>
            </w:pPr>
            <w:r>
              <w:rPr/>
              <w:t>Law is one institutional constraint whose ethical effects and legitimacy must be evaluated</w:t>
            </w:r>
          </w:p>
        </w:tc>
      </w:tr>
      <w:tr>
        <w:trPr/>
        <w:tc>
          <w:tcPr>
            <w:tcW w:w="1914" w:type="dxa"/>
            <w:tcBorders/>
            <w:vAlign w:val="center"/>
          </w:tcPr>
          <w:p>
            <w:pPr>
              <w:pStyle w:val="TableContents"/>
              <w:widowControl w:val="false"/>
              <w:suppressLineNumbers/>
              <w:spacing w:before="0" w:after="200"/>
              <w:rPr/>
            </w:pPr>
            <w:r>
              <w:rPr>
                <w:rStyle w:val="Strong"/>
              </w:rPr>
              <w:t>Moral scope beyond humanity</w:t>
            </w:r>
          </w:p>
        </w:tc>
        <w:tc>
          <w:tcPr>
            <w:tcW w:w="3446" w:type="dxa"/>
            <w:tcBorders/>
            <w:vAlign w:val="center"/>
          </w:tcPr>
          <w:p>
            <w:pPr>
              <w:pStyle w:val="TableContents"/>
              <w:widowControl w:val="false"/>
              <w:suppressLineNumbers/>
              <w:spacing w:before="0" w:after="200"/>
              <w:rPr/>
            </w:pPr>
            <w:r>
              <w:rPr/>
              <w:t>Traditionally human-centered, although extensions are possible</w:t>
            </w:r>
          </w:p>
        </w:tc>
        <w:tc>
          <w:tcPr>
            <w:tcW w:w="3280" w:type="dxa"/>
            <w:tcBorders/>
            <w:vAlign w:val="center"/>
          </w:tcPr>
          <w:p>
            <w:pPr>
              <w:pStyle w:val="TableContents"/>
              <w:widowControl w:val="false"/>
              <w:suppressLineNumbers/>
              <w:spacing w:before="0" w:after="200"/>
              <w:rPr/>
            </w:pPr>
            <w:r>
              <w:rPr/>
              <w:t>Explicitly capable of including nonhuman, ecological, artificial, and collective entities</w:t>
            </w:r>
          </w:p>
        </w:tc>
      </w:tr>
      <w:tr>
        <w:trPr/>
        <w:tc>
          <w:tcPr>
            <w:tcW w:w="1914" w:type="dxa"/>
            <w:tcBorders/>
            <w:vAlign w:val="center"/>
          </w:tcPr>
          <w:p>
            <w:pPr>
              <w:pStyle w:val="TableContents"/>
              <w:widowControl w:val="false"/>
              <w:suppressLineNumbers/>
              <w:spacing w:before="0" w:after="200"/>
              <w:rPr/>
            </w:pPr>
            <w:r>
              <w:rPr>
                <w:rStyle w:val="Strong"/>
              </w:rPr>
              <w:t>Uncertainty</w:t>
            </w:r>
          </w:p>
        </w:tc>
        <w:tc>
          <w:tcPr>
            <w:tcW w:w="3446" w:type="dxa"/>
            <w:tcBorders/>
            <w:vAlign w:val="center"/>
          </w:tcPr>
          <w:p>
            <w:pPr>
              <w:pStyle w:val="TableContents"/>
              <w:widowControl w:val="false"/>
              <w:suppressLineNumbers/>
              <w:spacing w:before="0" w:after="200"/>
              <w:rPr/>
            </w:pPr>
            <w:r>
              <w:rPr/>
              <w:t>Practical wisdom applies general principles to uncertain circumstances</w:t>
            </w:r>
          </w:p>
        </w:tc>
        <w:tc>
          <w:tcPr>
            <w:tcW w:w="3280" w:type="dxa"/>
            <w:tcBorders/>
            <w:vAlign w:val="center"/>
          </w:tcPr>
          <w:p>
            <w:pPr>
              <w:pStyle w:val="TableContents"/>
              <w:widowControl w:val="false"/>
              <w:suppressLineNumbers/>
              <w:spacing w:before="0" w:after="200"/>
              <w:rPr/>
            </w:pPr>
            <w:r>
              <w:rPr/>
              <w:t>Probability and evidentiary uncertainty are explicit architectural components</w:t>
            </w:r>
          </w:p>
        </w:tc>
      </w:tr>
      <w:tr>
        <w:trPr/>
        <w:tc>
          <w:tcPr>
            <w:tcW w:w="1914" w:type="dxa"/>
            <w:tcBorders/>
            <w:vAlign w:val="center"/>
          </w:tcPr>
          <w:p>
            <w:pPr>
              <w:pStyle w:val="TableContents"/>
              <w:widowControl w:val="false"/>
              <w:suppressLineNumbers/>
              <w:spacing w:before="0" w:after="200"/>
              <w:rPr/>
            </w:pPr>
            <w:r>
              <w:rPr>
                <w:rStyle w:val="Strong"/>
              </w:rPr>
              <w:t>Adaptation</w:t>
            </w:r>
          </w:p>
        </w:tc>
        <w:tc>
          <w:tcPr>
            <w:tcW w:w="3446" w:type="dxa"/>
            <w:tcBorders/>
            <w:vAlign w:val="center"/>
          </w:tcPr>
          <w:p>
            <w:pPr>
              <w:pStyle w:val="TableContents"/>
              <w:widowControl w:val="false"/>
              <w:suppressLineNumbers/>
              <w:spacing w:before="0" w:after="200"/>
              <w:rPr/>
            </w:pPr>
            <w:r>
              <w:rPr/>
              <w:t>Human nature provides a relatively stable normative reference</w:t>
            </w:r>
          </w:p>
        </w:tc>
        <w:tc>
          <w:tcPr>
            <w:tcW w:w="3280" w:type="dxa"/>
            <w:tcBorders/>
            <w:vAlign w:val="center"/>
          </w:tcPr>
          <w:p>
            <w:pPr>
              <w:pStyle w:val="TableContents"/>
              <w:widowControl w:val="false"/>
              <w:suppressLineNumbers/>
              <w:spacing w:before="0" w:after="200"/>
              <w:rPr/>
            </w:pPr>
            <w:r>
              <w:rPr/>
              <w:t>Entities and moral agents may adapt and transform substantially over time</w:t>
            </w:r>
          </w:p>
        </w:tc>
      </w:tr>
      <w:tr>
        <w:trPr/>
        <w:tc>
          <w:tcPr>
            <w:tcW w:w="1914" w:type="dxa"/>
            <w:tcBorders/>
            <w:vAlign w:val="center"/>
          </w:tcPr>
          <w:p>
            <w:pPr>
              <w:pStyle w:val="TableContents"/>
              <w:widowControl w:val="false"/>
              <w:suppressLineNumbers/>
              <w:spacing w:before="0" w:after="200"/>
              <w:rPr/>
            </w:pPr>
            <w:r>
              <w:rPr>
                <w:rStyle w:val="Strong"/>
              </w:rPr>
              <w:t>Output</w:t>
            </w:r>
          </w:p>
        </w:tc>
        <w:tc>
          <w:tcPr>
            <w:tcW w:w="3446" w:type="dxa"/>
            <w:tcBorders/>
            <w:vAlign w:val="center"/>
          </w:tcPr>
          <w:p>
            <w:pPr>
              <w:pStyle w:val="TableContents"/>
              <w:widowControl w:val="false"/>
              <w:suppressLineNumbers/>
              <w:spacing w:before="0" w:after="200"/>
              <w:rPr/>
            </w:pPr>
            <w:r>
              <w:rPr/>
              <w:t>Right or wrong action, virtue, obligation, just law, or defective law</w:t>
            </w:r>
          </w:p>
        </w:tc>
        <w:tc>
          <w:tcPr>
            <w:tcW w:w="3280" w:type="dxa"/>
            <w:tcBorders/>
            <w:vAlign w:val="center"/>
          </w:tcPr>
          <w:p>
            <w:pPr>
              <w:pStyle w:val="TableContents"/>
              <w:widowControl w:val="false"/>
              <w:suppressLineNumbers/>
              <w:spacing w:before="0" w:after="200"/>
              <w:rPr/>
            </w:pPr>
            <w:r>
              <w:rPr/>
              <w:t>A broader assessment of transition quality, responsibility, constraints, and systemic effects</w:t>
            </w:r>
          </w:p>
        </w:tc>
      </w:tr>
    </w:tbl>
    <w:p>
      <w:pPr>
        <w:pStyle w:val="Heading3"/>
        <w:spacing w:before="0" w:after="200"/>
        <w:ind w:hanging="0" w:left="0"/>
        <w:rPr>
          <w:rFonts w:ascii="Aptos" w:hAnsi="Aptos"/>
          <w:color w:val="auto"/>
        </w:rPr>
      </w:pPr>
      <w:r>
        <w:rPr>
          <w:rFonts w:ascii="Aptos" w:hAnsi="Aptos"/>
          <w:color w:val="auto"/>
        </w:rPr>
        <w:t>Potential Integration Opportunities</w:t>
      </w:r>
    </w:p>
    <w:p>
      <w:pPr>
        <w:pStyle w:val="BodyText"/>
        <w:spacing w:before="0" w:after="200"/>
        <w:rPr/>
      </w:pPr>
      <w:r>
        <w:rPr/>
        <w:t>The framework could integrate Natural Law more explicitly through the following extensions:</w:t>
      </w:r>
    </w:p>
    <w:p>
      <w:pPr>
        <w:pStyle w:val="BodyText"/>
        <w:numPr>
          <w:ilvl w:val="0"/>
          <w:numId w:val="119"/>
        </w:numPr>
        <w:tabs>
          <w:tab w:val="clear" w:pos="720"/>
          <w:tab w:val="left" w:pos="0" w:leader="none"/>
        </w:tabs>
        <w:spacing w:before="0" w:after="200"/>
        <w:ind w:hanging="283" w:left="709"/>
        <w:rPr/>
      </w:pPr>
      <w:r>
        <w:rPr>
          <w:rStyle w:val="Strong"/>
        </w:rPr>
        <w:t>Add a formal basic-goods ontology.</w:t>
      </w:r>
      <w:r>
        <w:rPr/>
        <w:t xml:space="preserve"> The framework could distinguish life, health, knowledge, practical agency, sociability, aesthetic experience, play, meaning, and other candidate intrinsic goods.</w:t>
      </w:r>
    </w:p>
    <w:p>
      <w:pPr>
        <w:pStyle w:val="BodyText"/>
        <w:numPr>
          <w:ilvl w:val="0"/>
          <w:numId w:val="119"/>
        </w:numPr>
        <w:tabs>
          <w:tab w:val="clear" w:pos="720"/>
          <w:tab w:val="left" w:pos="0" w:leader="none"/>
        </w:tabs>
        <w:spacing w:before="0" w:after="200"/>
        <w:ind w:hanging="283" w:left="709"/>
        <w:rPr/>
      </w:pPr>
      <w:r>
        <w:rPr>
          <w:rStyle w:val="Strong"/>
        </w:rPr>
        <w:t>Separate intrinsic and instrumental value.</w:t>
      </w:r>
      <w:r>
        <w:rPr/>
        <w:t xml:space="preserve"> A condition could be identified as valuable in itself, valuable as a means, or both.</w:t>
      </w:r>
    </w:p>
    <w:p>
      <w:pPr>
        <w:pStyle w:val="BodyText"/>
        <w:numPr>
          <w:ilvl w:val="0"/>
          <w:numId w:val="119"/>
        </w:numPr>
        <w:tabs>
          <w:tab w:val="clear" w:pos="720"/>
          <w:tab w:val="left" w:pos="0" w:leader="none"/>
        </w:tabs>
        <w:spacing w:before="0" w:after="200"/>
        <w:ind w:hanging="283" w:left="709"/>
        <w:rPr/>
      </w:pPr>
      <w:r>
        <w:rPr>
          <w:rStyle w:val="Strong"/>
        </w:rPr>
        <w:t>Require a basic-goods impact assessment.</w:t>
      </w:r>
      <w:r>
        <w:rPr/>
        <w:t xml:space="preserve"> Each Assessed Action could identify which goods are promoted, protected, burdened, instrumentalized, or directly attacked.</w:t>
      </w:r>
    </w:p>
    <w:p>
      <w:pPr>
        <w:pStyle w:val="BodyText"/>
        <w:numPr>
          <w:ilvl w:val="0"/>
          <w:numId w:val="119"/>
        </w:numPr>
        <w:tabs>
          <w:tab w:val="clear" w:pos="720"/>
          <w:tab w:val="left" w:pos="0" w:leader="none"/>
        </w:tabs>
        <w:spacing w:before="0" w:after="200"/>
        <w:ind w:hanging="283" w:left="709"/>
        <w:rPr/>
      </w:pPr>
      <w:r>
        <w:rPr>
          <w:rStyle w:val="Strong"/>
        </w:rPr>
        <w:t>Preserve the plurality of goods.</w:t>
      </w:r>
      <w:r>
        <w:rPr/>
        <w:t xml:space="preserve"> The framework should avoid converting every good into a single interchangeable score.</w:t>
      </w:r>
    </w:p>
    <w:p>
      <w:pPr>
        <w:pStyle w:val="BodyText"/>
        <w:numPr>
          <w:ilvl w:val="0"/>
          <w:numId w:val="119"/>
        </w:numPr>
        <w:tabs>
          <w:tab w:val="clear" w:pos="720"/>
          <w:tab w:val="left" w:pos="0" w:leader="none"/>
        </w:tabs>
        <w:spacing w:before="0" w:after="200"/>
        <w:ind w:hanging="283" w:left="709"/>
        <w:rPr/>
      </w:pPr>
      <w:r>
        <w:rPr>
          <w:rStyle w:val="Strong"/>
        </w:rPr>
        <w:t>Add an action-object analysis.</w:t>
      </w:r>
      <w:r>
        <w:rPr/>
        <w:t xml:space="preserve"> The system should identify what the actor is actually choosing to do, not only the outcome the actor hopes to achieve.</w:t>
      </w:r>
    </w:p>
    <w:p>
      <w:pPr>
        <w:pStyle w:val="BodyText"/>
        <w:numPr>
          <w:ilvl w:val="0"/>
          <w:numId w:val="119"/>
        </w:numPr>
        <w:tabs>
          <w:tab w:val="clear" w:pos="720"/>
          <w:tab w:val="left" w:pos="0" w:leader="none"/>
        </w:tabs>
        <w:spacing w:before="0" w:after="200"/>
        <w:ind w:hanging="283" w:left="709"/>
        <w:rPr/>
      </w:pPr>
      <w:r>
        <w:rPr>
          <w:rStyle w:val="Strong"/>
        </w:rPr>
        <w:t>Separate object, intention, means, and circumstances.</w:t>
      </w:r>
      <w:r>
        <w:rPr/>
        <w:t xml:space="preserve"> This would prevent a beneficial objective from concealing an impermissible means.</w:t>
      </w:r>
    </w:p>
    <w:p>
      <w:pPr>
        <w:pStyle w:val="BodyText"/>
        <w:numPr>
          <w:ilvl w:val="0"/>
          <w:numId w:val="119"/>
        </w:numPr>
        <w:tabs>
          <w:tab w:val="clear" w:pos="720"/>
          <w:tab w:val="left" w:pos="0" w:leader="none"/>
        </w:tabs>
        <w:spacing w:before="0" w:after="200"/>
        <w:ind w:hanging="283" w:left="709"/>
        <w:rPr/>
      </w:pPr>
      <w:r>
        <w:rPr>
          <w:rStyle w:val="Strong"/>
        </w:rPr>
        <w:t>Add a direct-attack test.</w:t>
      </w:r>
      <w:r>
        <w:rPr/>
        <w:t xml:space="preserve"> The framework could ask whether harm to a protected good is selected as an end or means rather than merely foreseen.</w:t>
      </w:r>
    </w:p>
    <w:p>
      <w:pPr>
        <w:pStyle w:val="BodyText"/>
        <w:numPr>
          <w:ilvl w:val="0"/>
          <w:numId w:val="119"/>
        </w:numPr>
        <w:tabs>
          <w:tab w:val="clear" w:pos="720"/>
          <w:tab w:val="left" w:pos="0" w:leader="none"/>
        </w:tabs>
        <w:spacing w:before="0" w:after="200"/>
        <w:ind w:hanging="283" w:left="709"/>
        <w:rPr/>
      </w:pPr>
      <w:r>
        <w:rPr>
          <w:rStyle w:val="Strong"/>
        </w:rPr>
        <w:t>Formalize a double-effect assessment.</w:t>
      </w:r>
      <w:r>
        <w:rPr/>
        <w:t xml:space="preserve"> A proposed action involving harmful side effects could be evaluated for:</w:t>
      </w:r>
    </w:p>
    <w:p>
      <w:pPr>
        <w:pStyle w:val="BodyText"/>
        <w:numPr>
          <w:ilvl w:val="1"/>
          <w:numId w:val="119"/>
        </w:numPr>
        <w:tabs>
          <w:tab w:val="clear" w:pos="720"/>
          <w:tab w:val="left" w:pos="0" w:leader="none"/>
        </w:tabs>
        <w:spacing w:before="0" w:after="200"/>
        <w:ind w:hanging="283" w:left="1418"/>
        <w:rPr/>
      </w:pPr>
      <w:r>
        <w:rPr/>
        <w:t>The moral character of the selected action;</w:t>
      </w:r>
    </w:p>
    <w:p>
      <w:pPr>
        <w:pStyle w:val="BodyText"/>
        <w:numPr>
          <w:ilvl w:val="1"/>
          <w:numId w:val="119"/>
        </w:numPr>
        <w:tabs>
          <w:tab w:val="clear" w:pos="720"/>
          <w:tab w:val="left" w:pos="0" w:leader="none"/>
        </w:tabs>
        <w:spacing w:before="0" w:after="200"/>
        <w:ind w:hanging="283" w:left="1418"/>
        <w:rPr/>
      </w:pPr>
      <w:r>
        <w:rPr/>
        <w:t>Whether the harm is intended;</w:t>
      </w:r>
    </w:p>
    <w:p>
      <w:pPr>
        <w:pStyle w:val="BodyText"/>
        <w:numPr>
          <w:ilvl w:val="1"/>
          <w:numId w:val="119"/>
        </w:numPr>
        <w:tabs>
          <w:tab w:val="clear" w:pos="720"/>
          <w:tab w:val="left" w:pos="0" w:leader="none"/>
        </w:tabs>
        <w:spacing w:before="0" w:after="200"/>
        <w:ind w:hanging="283" w:left="1418"/>
        <w:rPr/>
      </w:pPr>
      <w:r>
        <w:rPr/>
        <w:t>Whether the harm is used as a means;</w:t>
      </w:r>
    </w:p>
    <w:p>
      <w:pPr>
        <w:pStyle w:val="BodyText"/>
        <w:numPr>
          <w:ilvl w:val="1"/>
          <w:numId w:val="119"/>
        </w:numPr>
        <w:tabs>
          <w:tab w:val="clear" w:pos="720"/>
          <w:tab w:val="left" w:pos="0" w:leader="none"/>
        </w:tabs>
        <w:spacing w:before="0" w:after="200"/>
        <w:ind w:hanging="283" w:left="1418"/>
        <w:rPr/>
      </w:pPr>
      <w:r>
        <w:rPr/>
        <w:t>The seriousness of the reason for acting;</w:t>
      </w:r>
    </w:p>
    <w:p>
      <w:pPr>
        <w:pStyle w:val="BodyText"/>
        <w:numPr>
          <w:ilvl w:val="1"/>
          <w:numId w:val="119"/>
        </w:numPr>
        <w:tabs>
          <w:tab w:val="clear" w:pos="720"/>
          <w:tab w:val="left" w:pos="0" w:leader="none"/>
        </w:tabs>
        <w:spacing w:before="0" w:after="200"/>
        <w:ind w:hanging="283" w:left="1418"/>
        <w:rPr/>
      </w:pPr>
      <w:r>
        <w:rPr/>
        <w:t>Proportionality;</w:t>
      </w:r>
    </w:p>
    <w:p>
      <w:pPr>
        <w:pStyle w:val="BodyText"/>
        <w:numPr>
          <w:ilvl w:val="1"/>
          <w:numId w:val="119"/>
        </w:numPr>
        <w:tabs>
          <w:tab w:val="clear" w:pos="720"/>
          <w:tab w:val="left" w:pos="0" w:leader="none"/>
        </w:tabs>
        <w:spacing w:before="0" w:after="200"/>
        <w:ind w:hanging="283" w:left="1418"/>
        <w:rPr/>
      </w:pPr>
      <w:r>
        <w:rPr/>
        <w:t>Availability of less harmful alternatives; and</w:t>
      </w:r>
    </w:p>
    <w:p>
      <w:pPr>
        <w:pStyle w:val="BodyText"/>
        <w:numPr>
          <w:ilvl w:val="1"/>
          <w:numId w:val="119"/>
        </w:numPr>
        <w:tabs>
          <w:tab w:val="clear" w:pos="720"/>
          <w:tab w:val="left" w:pos="0" w:leader="none"/>
        </w:tabs>
        <w:spacing w:before="0" w:after="200"/>
        <w:ind w:hanging="283" w:left="1418"/>
        <w:rPr/>
      </w:pPr>
      <w:r>
        <w:rPr/>
        <w:t>Efforts to minimize the side effect.</w:t>
      </w:r>
    </w:p>
    <w:p>
      <w:pPr>
        <w:pStyle w:val="BodyText"/>
        <w:numPr>
          <w:ilvl w:val="0"/>
          <w:numId w:val="119"/>
        </w:numPr>
        <w:tabs>
          <w:tab w:val="clear" w:pos="720"/>
          <w:tab w:val="left" w:pos="0" w:leader="none"/>
        </w:tabs>
        <w:spacing w:before="0" w:after="200"/>
        <w:ind w:hanging="283" w:left="709"/>
        <w:rPr/>
      </w:pPr>
      <w:r>
        <w:rPr>
          <w:rStyle w:val="Strong"/>
        </w:rPr>
        <w:t>Add hard and presumptive constraints.</w:t>
      </w:r>
      <w:r>
        <w:rPr/>
        <w:t xml:space="preserve"> The system could distinguish categorical prohibitions from strong but defeasible protections.</w:t>
      </w:r>
    </w:p>
    <w:p>
      <w:pPr>
        <w:pStyle w:val="BodyText"/>
        <w:numPr>
          <w:ilvl w:val="0"/>
          <w:numId w:val="119"/>
        </w:numPr>
        <w:tabs>
          <w:tab w:val="clear" w:pos="720"/>
          <w:tab w:val="left" w:pos="0" w:leader="none"/>
        </w:tabs>
        <w:spacing w:before="0" w:after="200"/>
        <w:ind w:hanging="283" w:left="709"/>
        <w:rPr/>
      </w:pPr>
      <w:r>
        <w:rPr>
          <w:rStyle w:val="Strong"/>
        </w:rPr>
        <w:t>Add practical-reasonableness criteria.</w:t>
      </w:r>
      <w:r>
        <w:rPr/>
        <w:t xml:space="preserve"> Assessments could examine coherence of the agent’s plan, arbitrary preference among persons, arbitrary neglect of goods, commitment, proportionality, efficiency, and consistency with the common good.</w:t>
      </w:r>
    </w:p>
    <w:p>
      <w:pPr>
        <w:pStyle w:val="BodyText"/>
        <w:numPr>
          <w:ilvl w:val="0"/>
          <w:numId w:val="119"/>
        </w:numPr>
        <w:tabs>
          <w:tab w:val="clear" w:pos="720"/>
          <w:tab w:val="left" w:pos="0" w:leader="none"/>
        </w:tabs>
        <w:spacing w:before="0" w:after="200"/>
        <w:ind w:hanging="283" w:left="709"/>
        <w:rPr/>
      </w:pPr>
      <w:r>
        <w:rPr>
          <w:rStyle w:val="Strong"/>
        </w:rPr>
        <w:t>Formalize the common good.</w:t>
      </w:r>
      <w:r>
        <w:rPr/>
        <w:t xml:space="preserve"> Institutions could be evaluated for whether they create shared conditions enabling diverse entities to participate in relevant goods.</w:t>
      </w:r>
    </w:p>
    <w:p>
      <w:pPr>
        <w:pStyle w:val="BodyText"/>
        <w:numPr>
          <w:ilvl w:val="0"/>
          <w:numId w:val="119"/>
        </w:numPr>
        <w:tabs>
          <w:tab w:val="clear" w:pos="720"/>
          <w:tab w:val="left" w:pos="0" w:leader="none"/>
        </w:tabs>
        <w:spacing w:before="0" w:after="200"/>
        <w:ind w:hanging="283" w:left="709"/>
        <w:rPr/>
      </w:pPr>
      <w:r>
        <w:rPr>
          <w:rStyle w:val="Strong"/>
        </w:rPr>
        <w:t>Distinguish common good from aggregate benefit.</w:t>
      </w:r>
      <w:r>
        <w:rPr/>
        <w:t xml:space="preserve"> A policy should not qualify as serving the common good merely because total measured benefit increases.</w:t>
      </w:r>
    </w:p>
    <w:p>
      <w:pPr>
        <w:pStyle w:val="BodyText"/>
        <w:numPr>
          <w:ilvl w:val="0"/>
          <w:numId w:val="119"/>
        </w:numPr>
        <w:tabs>
          <w:tab w:val="clear" w:pos="720"/>
          <w:tab w:val="left" w:pos="0" w:leader="none"/>
        </w:tabs>
        <w:spacing w:before="0" w:after="200"/>
        <w:ind w:hanging="283" w:left="709"/>
        <w:rPr/>
      </w:pPr>
      <w:r>
        <w:rPr>
          <w:rStyle w:val="Strong"/>
        </w:rPr>
        <w:t>Add moral and legal authority fields.</w:t>
      </w:r>
      <w:r>
        <w:rPr/>
        <w:t xml:space="preserve"> A rule could be legally valid, institutionally enforceable, morally justified, morally defective, or subject to justified resistance.</w:t>
      </w:r>
    </w:p>
    <w:p>
      <w:pPr>
        <w:pStyle w:val="BodyText"/>
        <w:numPr>
          <w:ilvl w:val="0"/>
          <w:numId w:val="119"/>
        </w:numPr>
        <w:tabs>
          <w:tab w:val="clear" w:pos="720"/>
          <w:tab w:val="left" w:pos="0" w:leader="none"/>
        </w:tabs>
        <w:spacing w:before="0" w:after="200"/>
        <w:ind w:hanging="283" w:left="709"/>
        <w:rPr/>
      </w:pPr>
      <w:r>
        <w:rPr>
          <w:rStyle w:val="Strong"/>
        </w:rPr>
        <w:t>Evaluate lawmaking through Natural Law criteria.</w:t>
      </w:r>
      <w:r>
        <w:rPr/>
        <w:t xml:space="preserve"> Relevant fields could include rational purpose, legitimate authority, common-good orientation, promulgation, consistency, and proportionality.</w:t>
      </w:r>
    </w:p>
    <w:p>
      <w:pPr>
        <w:pStyle w:val="BodyText"/>
        <w:numPr>
          <w:ilvl w:val="0"/>
          <w:numId w:val="119"/>
        </w:numPr>
        <w:tabs>
          <w:tab w:val="clear" w:pos="720"/>
          <w:tab w:val="left" w:pos="0" w:leader="none"/>
        </w:tabs>
        <w:spacing w:before="0" w:after="200"/>
        <w:ind w:hanging="283" w:left="709"/>
        <w:rPr/>
      </w:pPr>
      <w:r>
        <w:rPr>
          <w:rStyle w:val="Strong"/>
        </w:rPr>
        <w:t>Add an unjust-law finding.</w:t>
      </w:r>
      <w:r>
        <w:rPr/>
        <w:t xml:space="preserve"> The system could identify whether a law’s moral defect weakens or eliminates the obligation to comply, while separately recording its legal and coercive status.</w:t>
      </w:r>
    </w:p>
    <w:p>
      <w:pPr>
        <w:pStyle w:val="BodyText"/>
        <w:numPr>
          <w:ilvl w:val="0"/>
          <w:numId w:val="119"/>
        </w:numPr>
        <w:tabs>
          <w:tab w:val="clear" w:pos="720"/>
          <w:tab w:val="left" w:pos="0" w:leader="none"/>
        </w:tabs>
        <w:spacing w:before="0" w:after="200"/>
        <w:ind w:hanging="283" w:left="709"/>
        <w:rPr/>
      </w:pPr>
      <w:r>
        <w:rPr>
          <w:rStyle w:val="Strong"/>
        </w:rPr>
        <w:t>Represent positive law as contextual specification.</w:t>
      </w:r>
      <w:r>
        <w:rPr/>
        <w:t xml:space="preserve"> General ethical commitments can permit multiple legitimate institutional implementations.</w:t>
      </w:r>
    </w:p>
    <w:p>
      <w:pPr>
        <w:pStyle w:val="BodyText"/>
        <w:numPr>
          <w:ilvl w:val="0"/>
          <w:numId w:val="119"/>
        </w:numPr>
        <w:tabs>
          <w:tab w:val="clear" w:pos="720"/>
          <w:tab w:val="left" w:pos="0" w:leader="none"/>
        </w:tabs>
        <w:spacing w:before="0" w:after="200"/>
        <w:ind w:hanging="283" w:left="709"/>
        <w:rPr/>
      </w:pPr>
      <w:r>
        <w:rPr>
          <w:rStyle w:val="Strong"/>
        </w:rPr>
        <w:t>Add a human-nature evidence layer.</w:t>
      </w:r>
      <w:r>
        <w:rPr/>
        <w:t xml:space="preserve"> Claims about characteristic human goods or capacities should distinguish philosophical argument, biological evidence, cultural expression, and contested interpretation.</w:t>
      </w:r>
    </w:p>
    <w:p>
      <w:pPr>
        <w:pStyle w:val="BodyText"/>
        <w:numPr>
          <w:ilvl w:val="0"/>
          <w:numId w:val="119"/>
        </w:numPr>
        <w:tabs>
          <w:tab w:val="clear" w:pos="720"/>
          <w:tab w:val="left" w:pos="0" w:leader="none"/>
        </w:tabs>
        <w:spacing w:before="0" w:after="200"/>
        <w:ind w:hanging="283" w:left="709"/>
        <w:rPr/>
      </w:pPr>
      <w:r>
        <w:rPr>
          <w:rStyle w:val="Strong"/>
        </w:rPr>
        <w:t>Avoid simplistic appeals to nature.</w:t>
      </w:r>
      <w:r>
        <w:rPr/>
        <w:t xml:space="preserve"> The system should flag any inference that treats a behavior as morally right merely because it is biologically common or historically persistent.</w:t>
      </w:r>
    </w:p>
    <w:p>
      <w:pPr>
        <w:pStyle w:val="BodyText"/>
        <w:numPr>
          <w:ilvl w:val="0"/>
          <w:numId w:val="119"/>
        </w:numPr>
        <w:tabs>
          <w:tab w:val="clear" w:pos="720"/>
          <w:tab w:val="left" w:pos="0" w:leader="none"/>
        </w:tabs>
        <w:spacing w:before="0" w:after="200"/>
        <w:ind w:hanging="283" w:left="709"/>
        <w:rPr/>
      </w:pPr>
      <w:r>
        <w:rPr>
          <w:rStyle w:val="Strong"/>
        </w:rPr>
        <w:t>Extend characteristic-good analysis beyond humans.</w:t>
      </w:r>
      <w:r>
        <w:rPr/>
        <w:t xml:space="preserve"> Different forms of life and artificial entities may possess different capacities, dependencies, and forms of flourishing.</w:t>
      </w:r>
    </w:p>
    <w:p>
      <w:pPr>
        <w:pStyle w:val="BodyText"/>
        <w:numPr>
          <w:ilvl w:val="0"/>
          <w:numId w:val="119"/>
        </w:numPr>
        <w:tabs>
          <w:tab w:val="clear" w:pos="720"/>
          <w:tab w:val="left" w:pos="0" w:leader="none"/>
        </w:tabs>
        <w:spacing w:before="0" w:after="200"/>
        <w:ind w:hanging="283" w:left="709"/>
        <w:rPr/>
      </w:pPr>
      <w:r>
        <w:rPr>
          <w:rStyle w:val="Strong"/>
        </w:rPr>
        <w:t>Integrate virtue and moral-agent policy.</w:t>
      </w:r>
      <w:r>
        <w:rPr/>
        <w:t xml:space="preserve"> The framework could evaluate whether repeated actions develop practical wisdom, justice, courage, moderation, and reliable concern for relevant goods.</w:t>
      </w:r>
    </w:p>
    <w:p>
      <w:pPr>
        <w:pStyle w:val="BodyText"/>
        <w:numPr>
          <w:ilvl w:val="0"/>
          <w:numId w:val="119"/>
        </w:numPr>
        <w:tabs>
          <w:tab w:val="clear" w:pos="720"/>
          <w:tab w:val="left" w:pos="0" w:leader="none"/>
        </w:tabs>
        <w:spacing w:before="0" w:after="200"/>
        <w:ind w:hanging="283" w:left="709"/>
        <w:rPr/>
      </w:pPr>
      <w:r>
        <w:rPr>
          <w:rStyle w:val="Strong"/>
        </w:rPr>
        <w:t>Add conflict analysis for incommensurable goods.</w:t>
      </w:r>
      <w:r>
        <w:rPr/>
        <w:t xml:space="preserve"> Where goods cannot be converted into a common metric, the system should preserve the conflict and explain the judgment used to resolve it.</w:t>
      </w:r>
    </w:p>
    <w:p>
      <w:pPr>
        <w:pStyle w:val="BodyText"/>
        <w:numPr>
          <w:ilvl w:val="0"/>
          <w:numId w:val="119"/>
        </w:numPr>
        <w:tabs>
          <w:tab w:val="clear" w:pos="720"/>
          <w:tab w:val="left" w:pos="0" w:leader="none"/>
        </w:tabs>
        <w:spacing w:before="0" w:after="200"/>
        <w:ind w:hanging="283" w:left="709"/>
        <w:rPr/>
      </w:pPr>
      <w:r>
        <w:rPr>
          <w:rStyle w:val="Strong"/>
        </w:rPr>
        <w:t>Add institutional subsidiarity analysis.</w:t>
      </w:r>
      <w:r>
        <w:rPr/>
        <w:t xml:space="preserve"> Decisions could be assigned to the lowest competent level while higher institutions provide coordination, protection, and support where necessary.</w:t>
      </w:r>
    </w:p>
    <w:p>
      <w:pPr>
        <w:pStyle w:val="BodyText"/>
        <w:numPr>
          <w:ilvl w:val="0"/>
          <w:numId w:val="119"/>
        </w:numPr>
        <w:tabs>
          <w:tab w:val="clear" w:pos="720"/>
          <w:tab w:val="left" w:pos="0" w:leader="none"/>
        </w:tabs>
        <w:spacing w:before="0" w:after="200"/>
        <w:ind w:hanging="283" w:left="709"/>
        <w:rPr/>
      </w:pPr>
      <w:r>
        <w:rPr>
          <w:rStyle w:val="Strong"/>
        </w:rPr>
        <w:t>Create a moral-disagreement record.</w:t>
      </w:r>
      <w:r>
        <w:rPr/>
        <w:t xml:space="preserve"> Competing accounts of natural goods, human purposes, and categorical constraints should remain visible in the assessment.</w:t>
      </w:r>
    </w:p>
    <w:p>
      <w:pPr>
        <w:pStyle w:val="BodyText"/>
        <w:numPr>
          <w:ilvl w:val="0"/>
          <w:numId w:val="119"/>
        </w:numPr>
        <w:tabs>
          <w:tab w:val="clear" w:pos="720"/>
          <w:tab w:val="left" w:pos="0" w:leader="none"/>
        </w:tabs>
        <w:spacing w:before="0" w:after="200"/>
        <w:ind w:hanging="283" w:left="709"/>
        <w:rPr/>
      </w:pPr>
      <w:r>
        <w:rPr>
          <w:rStyle w:val="Strong"/>
        </w:rPr>
        <w:t>Produce a separate Natural Law finding.</w:t>
      </w:r>
      <w:r>
        <w:rPr/>
        <w:t xml:space="preserve"> Each relevant assessment could report:</w:t>
      </w:r>
    </w:p>
    <w:p>
      <w:pPr>
        <w:pStyle w:val="BodyText"/>
        <w:numPr>
          <w:ilvl w:val="0"/>
          <w:numId w:val="120"/>
        </w:numPr>
        <w:tabs>
          <w:tab w:val="clear" w:pos="720"/>
          <w:tab w:val="left" w:pos="0" w:leader="none"/>
        </w:tabs>
        <w:spacing w:before="0" w:after="200"/>
        <w:ind w:hanging="283" w:left="709"/>
        <w:rPr/>
      </w:pPr>
      <w:r>
        <w:rPr/>
        <w:t>Applicable basic goods;</w:t>
      </w:r>
    </w:p>
    <w:p>
      <w:pPr>
        <w:pStyle w:val="BodyText"/>
        <w:numPr>
          <w:ilvl w:val="0"/>
          <w:numId w:val="120"/>
        </w:numPr>
        <w:tabs>
          <w:tab w:val="clear" w:pos="720"/>
          <w:tab w:val="left" w:pos="0" w:leader="none"/>
        </w:tabs>
        <w:spacing w:before="0" w:after="200"/>
        <w:ind w:hanging="283" w:left="709"/>
        <w:rPr/>
      </w:pPr>
      <w:r>
        <w:rPr/>
        <w:t>The object of the action;</w:t>
      </w:r>
    </w:p>
    <w:p>
      <w:pPr>
        <w:pStyle w:val="BodyText"/>
        <w:numPr>
          <w:ilvl w:val="0"/>
          <w:numId w:val="120"/>
        </w:numPr>
        <w:tabs>
          <w:tab w:val="clear" w:pos="720"/>
          <w:tab w:val="left" w:pos="0" w:leader="none"/>
        </w:tabs>
        <w:spacing w:before="0" w:after="200"/>
        <w:ind w:hanging="283" w:left="709"/>
        <w:rPr/>
      </w:pPr>
      <w:r>
        <w:rPr/>
        <w:t>The actor’s intention;</w:t>
      </w:r>
    </w:p>
    <w:p>
      <w:pPr>
        <w:pStyle w:val="BodyText"/>
        <w:numPr>
          <w:ilvl w:val="0"/>
          <w:numId w:val="120"/>
        </w:numPr>
        <w:tabs>
          <w:tab w:val="clear" w:pos="720"/>
          <w:tab w:val="left" w:pos="0" w:leader="none"/>
        </w:tabs>
        <w:spacing w:before="0" w:after="200"/>
        <w:ind w:hanging="283" w:left="709"/>
        <w:rPr/>
      </w:pPr>
      <w:r>
        <w:rPr/>
        <w:t>The selected means;</w:t>
      </w:r>
    </w:p>
    <w:p>
      <w:pPr>
        <w:pStyle w:val="BodyText"/>
        <w:numPr>
          <w:ilvl w:val="0"/>
          <w:numId w:val="120"/>
        </w:numPr>
        <w:tabs>
          <w:tab w:val="clear" w:pos="720"/>
          <w:tab w:val="left" w:pos="0" w:leader="none"/>
        </w:tabs>
        <w:spacing w:before="0" w:after="200"/>
        <w:ind w:hanging="283" w:left="709"/>
        <w:rPr/>
      </w:pPr>
      <w:r>
        <w:rPr/>
        <w:t>Foreseen side effects;</w:t>
      </w:r>
    </w:p>
    <w:p>
      <w:pPr>
        <w:pStyle w:val="BodyText"/>
        <w:numPr>
          <w:ilvl w:val="0"/>
          <w:numId w:val="120"/>
        </w:numPr>
        <w:tabs>
          <w:tab w:val="clear" w:pos="720"/>
          <w:tab w:val="left" w:pos="0" w:leader="none"/>
        </w:tabs>
        <w:spacing w:before="0" w:after="200"/>
        <w:ind w:hanging="283" w:left="709"/>
        <w:rPr/>
      </w:pPr>
      <w:r>
        <w:rPr/>
        <w:t>Direct attacks on protected goods;</w:t>
      </w:r>
    </w:p>
    <w:p>
      <w:pPr>
        <w:pStyle w:val="BodyText"/>
        <w:numPr>
          <w:ilvl w:val="0"/>
          <w:numId w:val="120"/>
        </w:numPr>
        <w:tabs>
          <w:tab w:val="clear" w:pos="720"/>
          <w:tab w:val="left" w:pos="0" w:leader="none"/>
        </w:tabs>
        <w:spacing w:before="0" w:after="200"/>
        <w:ind w:hanging="283" w:left="709"/>
        <w:rPr/>
      </w:pPr>
      <w:r>
        <w:rPr/>
        <w:t>Proportionality and alternatives;</w:t>
      </w:r>
    </w:p>
    <w:p>
      <w:pPr>
        <w:pStyle w:val="BodyText"/>
        <w:numPr>
          <w:ilvl w:val="0"/>
          <w:numId w:val="120"/>
        </w:numPr>
        <w:tabs>
          <w:tab w:val="clear" w:pos="720"/>
          <w:tab w:val="left" w:pos="0" w:leader="none"/>
        </w:tabs>
        <w:spacing w:before="0" w:after="200"/>
        <w:ind w:hanging="283" w:left="709"/>
        <w:rPr/>
      </w:pPr>
      <w:r>
        <w:rPr/>
        <w:t>Effects on the common good;</w:t>
      </w:r>
    </w:p>
    <w:p>
      <w:pPr>
        <w:pStyle w:val="BodyText"/>
        <w:numPr>
          <w:ilvl w:val="0"/>
          <w:numId w:val="120"/>
        </w:numPr>
        <w:tabs>
          <w:tab w:val="clear" w:pos="720"/>
          <w:tab w:val="left" w:pos="0" w:leader="none"/>
        </w:tabs>
        <w:spacing w:before="0" w:after="200"/>
        <w:ind w:hanging="283" w:left="709"/>
        <w:rPr/>
      </w:pPr>
      <w:r>
        <w:rPr/>
        <w:t>Applicable categorical constraints;</w:t>
      </w:r>
    </w:p>
    <w:p>
      <w:pPr>
        <w:pStyle w:val="BodyText"/>
        <w:numPr>
          <w:ilvl w:val="0"/>
          <w:numId w:val="120"/>
        </w:numPr>
        <w:tabs>
          <w:tab w:val="clear" w:pos="720"/>
          <w:tab w:val="left" w:pos="0" w:leader="none"/>
        </w:tabs>
        <w:spacing w:before="0" w:after="200"/>
        <w:ind w:hanging="283" w:left="709"/>
        <w:rPr/>
      </w:pPr>
      <w:r>
        <w:rPr/>
        <w:t>Authority and legal status; and</w:t>
      </w:r>
    </w:p>
    <w:p>
      <w:pPr>
        <w:pStyle w:val="BodyText"/>
        <w:numPr>
          <w:ilvl w:val="0"/>
          <w:numId w:val="120"/>
        </w:numPr>
        <w:tabs>
          <w:tab w:val="clear" w:pos="720"/>
          <w:tab w:val="left" w:pos="0" w:leader="none"/>
        </w:tabs>
        <w:spacing w:before="0" w:after="200"/>
        <w:ind w:hanging="283" w:left="709"/>
        <w:rPr/>
      </w:pPr>
      <w:r>
        <w:rPr/>
        <w:t>Whether the action reflects practical reasonableness.</w:t>
      </w:r>
    </w:p>
    <w:p>
      <w:pPr>
        <w:pStyle w:val="BodyText"/>
        <w:numPr>
          <w:ilvl w:val="0"/>
          <w:numId w:val="121"/>
        </w:numPr>
        <w:tabs>
          <w:tab w:val="clear" w:pos="720"/>
          <w:tab w:val="left" w:pos="0" w:leader="none"/>
        </w:tabs>
        <w:spacing w:before="0" w:after="200"/>
        <w:ind w:hanging="283" w:left="709"/>
        <w:rPr/>
      </w:pPr>
      <w:r>
        <w:rPr>
          <w:rStyle w:val="Strong"/>
        </w:rPr>
        <w:t>Use a dual conclusion.</w:t>
      </w:r>
      <w:r>
        <w:rPr/>
        <w:t xml:space="preserve"> The framework could separately determine:</w:t>
      </w:r>
    </w:p>
    <w:p>
      <w:pPr>
        <w:pStyle w:val="BodyText"/>
        <w:numPr>
          <w:ilvl w:val="0"/>
          <w:numId w:val="122"/>
        </w:numPr>
        <w:tabs>
          <w:tab w:val="clear" w:pos="720"/>
          <w:tab w:val="left" w:pos="0" w:leader="none"/>
        </w:tabs>
        <w:spacing w:before="0" w:after="200"/>
        <w:ind w:hanging="283" w:left="709"/>
        <w:rPr/>
      </w:pPr>
      <w:r>
        <w:rPr/>
        <w:t>Whether the action is consistent with basic goods and practical reason;</w:t>
      </w:r>
    </w:p>
    <w:p>
      <w:pPr>
        <w:pStyle w:val="BodyText"/>
        <w:numPr>
          <w:ilvl w:val="0"/>
          <w:numId w:val="122"/>
        </w:numPr>
        <w:tabs>
          <w:tab w:val="clear" w:pos="720"/>
          <w:tab w:val="left" w:pos="0" w:leader="none"/>
        </w:tabs>
        <w:spacing w:before="0" w:after="200"/>
        <w:ind w:hanging="283" w:left="709"/>
        <w:rPr/>
      </w:pPr>
      <w:r>
        <w:rPr/>
        <w:t>Whether the complete World Context Transition promotes compatible Long-Term Flourishing; and</w:t>
      </w:r>
    </w:p>
    <w:p>
      <w:pPr>
        <w:pStyle w:val="BodyText"/>
        <w:numPr>
          <w:ilvl w:val="0"/>
          <w:numId w:val="122"/>
        </w:numPr>
        <w:tabs>
          <w:tab w:val="clear" w:pos="720"/>
          <w:tab w:val="left" w:pos="0" w:leader="none"/>
        </w:tabs>
        <w:spacing w:before="0" w:after="200"/>
        <w:ind w:hanging="283" w:left="709"/>
        <w:rPr/>
      </w:pPr>
      <w:r>
        <w:rPr/>
        <w:t>Whether any divergence between those conclusions can be resolved.</w:t>
      </w:r>
    </w:p>
    <w:p>
      <w:pPr>
        <w:pStyle w:val="BodyText"/>
        <w:spacing w:before="0" w:after="200"/>
        <w:rPr/>
      </w:pPr>
      <w:r>
        <w:rPr/>
        <w:t>Natural Law could provide this framework with a richer account of intrinsic goods, the moral structure of chosen action, categorical constraints, and the common good. The framework could provide Natural Law with explicit tools for probabilistic forecasting, multi-entity analysis, Distributed Policy Effects, and application beyond traditional human-centered contexts. The most productive integration would treat basic goods as protected dimensions of flourishing while still examining how their interpretation and institutional implementation affect the complete World Context.</w:t>
      </w:r>
    </w:p>
    <w:p>
      <w:pPr>
        <w:pStyle w:val="Normal"/>
        <w:widowControl/>
        <w:bidi w:val="0"/>
        <w:spacing w:lineRule="auto" w:line="276"/>
        <w:jc w:val="left"/>
        <w:rPr/>
      </w:pPr>
      <w:r>
        <w:rPr/>
      </w:r>
    </w:p>
    <w:p>
      <w:pPr>
        <w:pStyle w:val="Heading2"/>
        <w:rPr/>
      </w:pPr>
      <w:r>
        <w:rPr/>
        <w:t>Confucian Ethics</w:t>
      </w:r>
    </w:p>
    <w:p>
      <w:pPr>
        <w:pStyle w:val="BodyText"/>
        <w:spacing w:before="0" w:after="200"/>
        <w:rPr/>
      </w:pPr>
      <w:r>
        <w:rPr/>
        <w:t xml:space="preserve">Confucian ethics is a diverse and evolving tradition centered on the cultivation of humane character, the ethical significance of relationships and social roles, the formative function of ritual and education, and the responsibility of leaders to govern through moral example. It should not be reduced to unquestioning obedience, rigid hierarchy, or cultural conformity. Confucian harmony involves the constructive coordination of differences, while filial and political responsibility can include respectful remonstrance when an authority acts wrongly. Confucian ethics therefore provides an important comparison for this framework because it evaluates conduct not only by immediate results, but also by the ways actions shape character, relationships, institutions, trust, and the moral development of future participants. Its relational and developmental orientation substantially complements this framework’s analysis of World Context Transitions, Associations, Distributed Policy Effects, role-based responsibility, and long-term flourishing. </w:t>
      </w:r>
      <w:hyperlink r:id="rId84">
        <w:r>
          <w:rPr>
            <w:rStyle w:val="Hyperlink"/>
          </w:rPr>
          <w:t>The Stanford Encyclopedia of Philosophy’s overview of Chinese ethics</w:t>
        </w:r>
      </w:hyperlink>
      <w:r>
        <w:rPr/>
        <w:t xml:space="preserve"> emphasizes both the relational character of Confucian virtue and the distinction between harmony and mere conformity.</w:t>
      </w:r>
    </w:p>
    <w:p>
      <w:pPr>
        <w:pStyle w:val="Heading3"/>
        <w:spacing w:before="0" w:after="200"/>
        <w:ind w:hanging="0" w:left="0"/>
        <w:rPr>
          <w:rFonts w:ascii="Aptos" w:hAnsi="Aptos"/>
          <w:color w:val="auto"/>
        </w:rPr>
      </w:pPr>
      <w:r>
        <w:rPr>
          <w:rFonts w:ascii="Aptos" w:hAnsi="Aptos"/>
          <w:color w:val="auto"/>
        </w:rPr>
        <w:t>Primary Experts</w:t>
      </w:r>
    </w:p>
    <w:p>
      <w:pPr>
        <w:pStyle w:val="BodyText"/>
        <w:spacing w:before="0" w:after="200"/>
        <w:rPr/>
      </w:pPr>
      <w:r>
        <w:rPr/>
        <w:t>Because Confucian ethics developed over more than two millennia, no single thinker represents every Confucian position. The following figures identify several of the tradition’s most influential formulations.</w:t>
      </w:r>
    </w:p>
    <w:tbl>
      <w:tblPr>
        <w:tblW w:w="8640" w:type="dxa"/>
        <w:jc w:val="left"/>
        <w:tblInd w:w="28" w:type="dxa"/>
        <w:tblLayout w:type="fixed"/>
        <w:tblCellMar>
          <w:top w:w="28" w:type="dxa"/>
          <w:left w:w="28" w:type="dxa"/>
          <w:bottom w:w="28" w:type="dxa"/>
          <w:right w:w="28" w:type="dxa"/>
        </w:tblCellMar>
      </w:tblPr>
      <w:tblGrid>
        <w:gridCol w:w="1251"/>
        <w:gridCol w:w="1982"/>
        <w:gridCol w:w="2414"/>
        <w:gridCol w:w="2993"/>
      </w:tblGrid>
      <w:tr>
        <w:trPr>
          <w:tblHeader w:val="true"/>
        </w:trPr>
        <w:tc>
          <w:tcPr>
            <w:tcW w:w="1251" w:type="dxa"/>
            <w:tcBorders/>
            <w:vAlign w:val="center"/>
          </w:tcPr>
          <w:p>
            <w:pPr>
              <w:pStyle w:val="TableHeading"/>
              <w:suppressLineNumbers/>
              <w:spacing w:before="0" w:after="200"/>
              <w:jc w:val="center"/>
              <w:rPr/>
            </w:pPr>
            <w:r>
              <w:rPr/>
              <w:t>Expert</w:t>
            </w:r>
          </w:p>
        </w:tc>
        <w:tc>
          <w:tcPr>
            <w:tcW w:w="1982" w:type="dxa"/>
            <w:tcBorders/>
            <w:vAlign w:val="center"/>
          </w:tcPr>
          <w:p>
            <w:pPr>
              <w:pStyle w:val="TableHeading"/>
              <w:spacing w:before="0" w:after="200"/>
              <w:jc w:val="right"/>
              <w:rPr/>
            </w:pPr>
            <w:r>
              <w:rPr/>
              <w:t>Life</w:t>
            </w:r>
          </w:p>
        </w:tc>
        <w:tc>
          <w:tcPr>
            <w:tcW w:w="2414" w:type="dxa"/>
            <w:tcBorders/>
            <w:vAlign w:val="center"/>
          </w:tcPr>
          <w:p>
            <w:pPr>
              <w:pStyle w:val="TableHeading"/>
              <w:suppressLineNumbers/>
              <w:spacing w:before="0" w:after="200"/>
              <w:jc w:val="center"/>
              <w:rPr/>
            </w:pPr>
            <w:r>
              <w:rPr/>
              <w:t>Associated institution or setting</w:t>
            </w:r>
          </w:p>
        </w:tc>
        <w:tc>
          <w:tcPr>
            <w:tcW w:w="2993" w:type="dxa"/>
            <w:tcBorders/>
            <w:vAlign w:val="center"/>
          </w:tcPr>
          <w:p>
            <w:pPr>
              <w:pStyle w:val="TableHeading"/>
              <w:suppressLineNumbers/>
              <w:spacing w:before="0" w:after="200"/>
              <w:jc w:val="center"/>
              <w:rPr/>
            </w:pPr>
            <w:r>
              <w:rPr/>
              <w:t>Principal contribution</w:t>
            </w:r>
          </w:p>
        </w:tc>
      </w:tr>
      <w:tr>
        <w:trPr/>
        <w:tc>
          <w:tcPr>
            <w:tcW w:w="1251" w:type="dxa"/>
            <w:tcBorders/>
            <w:vAlign w:val="center"/>
          </w:tcPr>
          <w:p>
            <w:pPr>
              <w:pStyle w:val="TableContents"/>
              <w:widowControl w:val="false"/>
              <w:suppressLineNumbers/>
              <w:spacing w:before="0" w:after="200"/>
              <w:rPr/>
            </w:pPr>
            <w:r>
              <w:rPr>
                <w:rStyle w:val="Strong"/>
              </w:rPr>
              <w:t>Confucius (Kongzi)</w:t>
            </w:r>
          </w:p>
        </w:tc>
        <w:tc>
          <w:tcPr>
            <w:tcW w:w="1982" w:type="dxa"/>
            <w:tcBorders/>
            <w:vAlign w:val="center"/>
          </w:tcPr>
          <w:p>
            <w:pPr>
              <w:pStyle w:val="TableContents"/>
              <w:spacing w:before="0" w:after="200"/>
              <w:jc w:val="right"/>
              <w:rPr/>
            </w:pPr>
            <w:r>
              <w:rPr/>
              <w:t xml:space="preserve">Traditionally </w:t>
            </w:r>
            <w:r>
              <w:rPr>
                <w:rStyle w:val="Strong"/>
              </w:rPr>
              <w:t>551–479 BCE</w:t>
            </w:r>
          </w:p>
        </w:tc>
        <w:tc>
          <w:tcPr>
            <w:tcW w:w="2414" w:type="dxa"/>
            <w:tcBorders/>
            <w:vAlign w:val="center"/>
          </w:tcPr>
          <w:p>
            <w:pPr>
              <w:pStyle w:val="TableContents"/>
              <w:widowControl w:val="false"/>
              <w:suppressLineNumbers/>
              <w:spacing w:before="0" w:after="200"/>
              <w:rPr/>
            </w:pPr>
            <w:r>
              <w:rPr/>
              <w:t>State of Lu; public service in Lu; private teaching community that became the formative setting of the early Confucian tradition</w:t>
            </w:r>
          </w:p>
        </w:tc>
        <w:tc>
          <w:tcPr>
            <w:tcW w:w="2993" w:type="dxa"/>
            <w:tcBorders/>
            <w:vAlign w:val="center"/>
          </w:tcPr>
          <w:p>
            <w:pPr>
              <w:pStyle w:val="TableContents"/>
              <w:widowControl w:val="false"/>
              <w:suppressLineNumbers/>
              <w:spacing w:before="0" w:after="200"/>
              <w:rPr/>
            </w:pPr>
            <w:r>
              <w:rPr/>
              <w:t xml:space="preserve">Emphasized </w:t>
            </w:r>
            <w:r>
              <w:rPr>
                <w:rStyle w:val="Emphasis"/>
              </w:rPr>
              <w:t>ren</w:t>
            </w:r>
            <w:r>
              <w:rPr/>
              <w:t xml:space="preserve"> (humaneness), </w:t>
            </w:r>
            <w:r>
              <w:rPr>
                <w:rStyle w:val="Emphasis"/>
              </w:rPr>
              <w:t>li</w:t>
            </w:r>
            <w:r>
              <w:rPr/>
              <w:t xml:space="preserve"> (ritual propriety), </w:t>
            </w:r>
            <w:r>
              <w:rPr>
                <w:rStyle w:val="Emphasis"/>
              </w:rPr>
              <w:t>yi</w:t>
            </w:r>
            <w:r>
              <w:rPr/>
              <w:t xml:space="preserve"> (rightness), filial responsibility, moral education, exemplary character, and governance through virtue.</w:t>
            </w:r>
          </w:p>
        </w:tc>
      </w:tr>
      <w:tr>
        <w:trPr/>
        <w:tc>
          <w:tcPr>
            <w:tcW w:w="1251" w:type="dxa"/>
            <w:tcBorders/>
            <w:vAlign w:val="center"/>
          </w:tcPr>
          <w:p>
            <w:pPr>
              <w:pStyle w:val="TableContents"/>
              <w:widowControl w:val="false"/>
              <w:suppressLineNumbers/>
              <w:spacing w:before="0" w:after="200"/>
              <w:rPr/>
            </w:pPr>
            <w:r>
              <w:rPr>
                <w:rStyle w:val="Strong"/>
              </w:rPr>
              <w:t>Mencius (Mengzi)</w:t>
            </w:r>
          </w:p>
        </w:tc>
        <w:tc>
          <w:tcPr>
            <w:tcW w:w="1982" w:type="dxa"/>
            <w:tcBorders/>
            <w:vAlign w:val="center"/>
          </w:tcPr>
          <w:p>
            <w:pPr>
              <w:pStyle w:val="TableContents"/>
              <w:spacing w:before="0" w:after="200"/>
              <w:jc w:val="right"/>
              <w:rPr/>
            </w:pPr>
            <w:r>
              <w:rPr/>
              <w:t xml:space="preserve">Traditionally </w:t>
            </w:r>
            <w:r>
              <w:rPr>
                <w:rStyle w:val="Strong"/>
              </w:rPr>
              <w:t>372–289 BCE</w:t>
            </w:r>
            <w:r>
              <w:rPr/>
              <w:t>, although the chronology is disputed</w:t>
            </w:r>
          </w:p>
        </w:tc>
        <w:tc>
          <w:tcPr>
            <w:tcW w:w="2414" w:type="dxa"/>
            <w:tcBorders/>
            <w:vAlign w:val="center"/>
          </w:tcPr>
          <w:p>
            <w:pPr>
              <w:pStyle w:val="TableContents"/>
              <w:widowControl w:val="false"/>
              <w:suppressLineNumbers/>
              <w:spacing w:before="0" w:after="200"/>
              <w:rPr/>
            </w:pPr>
            <w:r>
              <w:rPr/>
              <w:t>Traveling teacher and adviser at several Warring States courts, especially in the intellectual and political environment of Qi</w:t>
            </w:r>
          </w:p>
        </w:tc>
        <w:tc>
          <w:tcPr>
            <w:tcW w:w="2993" w:type="dxa"/>
            <w:tcBorders/>
            <w:vAlign w:val="center"/>
          </w:tcPr>
          <w:p>
            <w:pPr>
              <w:pStyle w:val="TableContents"/>
              <w:widowControl w:val="false"/>
              <w:suppressLineNumbers/>
              <w:spacing w:before="0" w:after="200"/>
              <w:rPr/>
            </w:pPr>
            <w:r>
              <w:rPr/>
              <w:t>Developed the account of the moral “sprouts”—incipient capacities for benevolence, righteousness, wisdom, and propriety—and defended humane government and the cultivation of moral emotions.</w:t>
            </w:r>
          </w:p>
        </w:tc>
      </w:tr>
      <w:tr>
        <w:trPr/>
        <w:tc>
          <w:tcPr>
            <w:tcW w:w="1251" w:type="dxa"/>
            <w:tcBorders/>
            <w:vAlign w:val="center"/>
          </w:tcPr>
          <w:p>
            <w:pPr>
              <w:pStyle w:val="TableContents"/>
              <w:widowControl w:val="false"/>
              <w:suppressLineNumbers/>
              <w:spacing w:before="0" w:after="200"/>
              <w:rPr/>
            </w:pPr>
            <w:r>
              <w:rPr>
                <w:rStyle w:val="Strong"/>
              </w:rPr>
              <w:t>Xunzi (Xun Kuang)</w:t>
            </w:r>
          </w:p>
        </w:tc>
        <w:tc>
          <w:tcPr>
            <w:tcW w:w="1982" w:type="dxa"/>
            <w:tcBorders/>
            <w:vAlign w:val="center"/>
          </w:tcPr>
          <w:p>
            <w:pPr>
              <w:pStyle w:val="TableContents"/>
              <w:spacing w:before="0" w:after="200"/>
              <w:jc w:val="right"/>
              <w:rPr/>
            </w:pPr>
            <w:r>
              <w:rPr/>
              <w:t xml:space="preserve">Approximately </w:t>
            </w:r>
            <w:r>
              <w:rPr>
                <w:rStyle w:val="Strong"/>
              </w:rPr>
              <w:t>310–after 238 BCE</w:t>
            </w:r>
            <w:r>
              <w:rPr/>
              <w:t>; later death dates are also proposed</w:t>
            </w:r>
          </w:p>
        </w:tc>
        <w:tc>
          <w:tcPr>
            <w:tcW w:w="2414" w:type="dxa"/>
            <w:tcBorders/>
            <w:vAlign w:val="center"/>
          </w:tcPr>
          <w:p>
            <w:pPr>
              <w:pStyle w:val="TableContents"/>
              <w:widowControl w:val="false"/>
              <w:suppressLineNumbers/>
              <w:spacing w:before="0" w:after="200"/>
              <w:rPr/>
            </w:pPr>
            <w:r>
              <w:rPr/>
              <w:t>Intellectual community of Qi, commonly associated with the Jixia Academy; later magistrate of Lanling</w:t>
            </w:r>
          </w:p>
        </w:tc>
        <w:tc>
          <w:tcPr>
            <w:tcW w:w="2993" w:type="dxa"/>
            <w:tcBorders/>
            <w:vAlign w:val="center"/>
          </w:tcPr>
          <w:p>
            <w:pPr>
              <w:pStyle w:val="TableContents"/>
              <w:widowControl w:val="false"/>
              <w:suppressLineNumbers/>
              <w:spacing w:before="0" w:after="200"/>
              <w:rPr/>
            </w:pPr>
            <w:r>
              <w:rPr/>
              <w:t>Argued that untrained human dispositions tend toward conflict and must be transformed through education, ritual, deliberate effort, institutions, and appropriate social distinctions.</w:t>
            </w:r>
          </w:p>
        </w:tc>
      </w:tr>
      <w:tr>
        <w:trPr/>
        <w:tc>
          <w:tcPr>
            <w:tcW w:w="1251" w:type="dxa"/>
            <w:tcBorders/>
            <w:vAlign w:val="center"/>
          </w:tcPr>
          <w:p>
            <w:pPr>
              <w:pStyle w:val="TableContents"/>
              <w:widowControl w:val="false"/>
              <w:suppressLineNumbers/>
              <w:spacing w:before="0" w:after="200"/>
              <w:rPr/>
            </w:pPr>
            <w:r>
              <w:rPr>
                <w:rStyle w:val="Strong"/>
              </w:rPr>
              <w:t>Zhu Xi</w:t>
            </w:r>
          </w:p>
        </w:tc>
        <w:tc>
          <w:tcPr>
            <w:tcW w:w="1982" w:type="dxa"/>
            <w:tcBorders/>
            <w:vAlign w:val="center"/>
          </w:tcPr>
          <w:p>
            <w:pPr>
              <w:pStyle w:val="TableContents"/>
              <w:spacing w:before="0" w:after="200"/>
              <w:jc w:val="right"/>
              <w:rPr/>
            </w:pPr>
            <w:r>
              <w:rPr>
                <w:rStyle w:val="Strong"/>
              </w:rPr>
              <w:t>1130–1200</w:t>
            </w:r>
          </w:p>
        </w:tc>
        <w:tc>
          <w:tcPr>
            <w:tcW w:w="2414" w:type="dxa"/>
            <w:tcBorders/>
            <w:vAlign w:val="center"/>
          </w:tcPr>
          <w:p>
            <w:pPr>
              <w:pStyle w:val="TableContents"/>
              <w:widowControl w:val="false"/>
              <w:suppressLineNumbers/>
              <w:spacing w:before="0" w:after="200"/>
              <w:rPr/>
            </w:pPr>
            <w:r>
              <w:rPr/>
              <w:t>Song dynasty public administration, scholarly academies, and the educational tradition built around the Four Books</w:t>
            </w:r>
          </w:p>
        </w:tc>
        <w:tc>
          <w:tcPr>
            <w:tcW w:w="2993" w:type="dxa"/>
            <w:tcBorders/>
            <w:vAlign w:val="center"/>
          </w:tcPr>
          <w:p>
            <w:pPr>
              <w:pStyle w:val="TableContents"/>
              <w:widowControl w:val="false"/>
              <w:suppressLineNumbers/>
              <w:spacing w:before="0" w:after="200"/>
              <w:rPr/>
            </w:pPr>
            <w:r>
              <w:rPr/>
              <w:t>Produced the most influential Neo-Confucian synthesis of ethics, education, metaphysics, self-cultivation, and the “investigation of things.” His interpretations later shaped civil-service education across East Asia.</w:t>
            </w:r>
          </w:p>
        </w:tc>
      </w:tr>
      <w:tr>
        <w:trPr/>
        <w:tc>
          <w:tcPr>
            <w:tcW w:w="1251" w:type="dxa"/>
            <w:tcBorders/>
            <w:vAlign w:val="center"/>
          </w:tcPr>
          <w:p>
            <w:pPr>
              <w:pStyle w:val="TableContents"/>
              <w:widowControl w:val="false"/>
              <w:suppressLineNumbers/>
              <w:spacing w:before="0" w:after="200"/>
              <w:rPr/>
            </w:pPr>
            <w:r>
              <w:rPr>
                <w:rStyle w:val="Strong"/>
              </w:rPr>
              <w:t>Wang Yangming</w:t>
            </w:r>
          </w:p>
        </w:tc>
        <w:tc>
          <w:tcPr>
            <w:tcW w:w="1982" w:type="dxa"/>
            <w:tcBorders/>
            <w:vAlign w:val="center"/>
          </w:tcPr>
          <w:p>
            <w:pPr>
              <w:pStyle w:val="TableContents"/>
              <w:spacing w:before="0" w:after="200"/>
              <w:jc w:val="right"/>
              <w:rPr/>
            </w:pPr>
            <w:r>
              <w:rPr>
                <w:rStyle w:val="Strong"/>
              </w:rPr>
              <w:t>1472–1529</w:t>
            </w:r>
          </w:p>
        </w:tc>
        <w:tc>
          <w:tcPr>
            <w:tcW w:w="2414" w:type="dxa"/>
            <w:tcBorders/>
            <w:vAlign w:val="center"/>
          </w:tcPr>
          <w:p>
            <w:pPr>
              <w:pStyle w:val="TableContents"/>
              <w:widowControl w:val="false"/>
              <w:suppressLineNumbers/>
              <w:spacing w:before="0" w:after="200"/>
              <w:rPr/>
            </w:pPr>
            <w:r>
              <w:rPr/>
              <w:t>Ming dynasty civil administration, military service, and Confucian teaching communities</w:t>
            </w:r>
          </w:p>
        </w:tc>
        <w:tc>
          <w:tcPr>
            <w:tcW w:w="2993" w:type="dxa"/>
            <w:tcBorders/>
            <w:vAlign w:val="center"/>
          </w:tcPr>
          <w:p>
            <w:pPr>
              <w:pStyle w:val="TableContents"/>
              <w:widowControl w:val="false"/>
              <w:suppressLineNumbers/>
              <w:spacing w:before="0" w:after="200"/>
              <w:rPr/>
            </w:pPr>
            <w:r>
              <w:rPr/>
              <w:t>Developed the doctrines of innate moral knowing and the unity of knowledge and action, arguing that genuine moral knowledge must be expressed in conduct.</w:t>
            </w:r>
          </w:p>
        </w:tc>
      </w:tr>
    </w:tbl>
    <w:p>
      <w:pPr>
        <w:pStyle w:val="BodyText"/>
        <w:spacing w:before="0" w:after="200"/>
        <w:rPr/>
      </w:pPr>
      <w:r>
        <w:rPr/>
        <w:t xml:space="preserve">Confucius’s traditional dates and influence as teacher, adviser, and formative figure are summarized in the </w:t>
      </w:r>
      <w:hyperlink r:id="rId85">
        <w:r>
          <w:rPr>
            <w:rStyle w:val="Hyperlink"/>
          </w:rPr>
          <w:t>Stanford Encyclopedia of Philosophy</w:t>
        </w:r>
      </w:hyperlink>
      <w:r>
        <w:rPr/>
        <w:t xml:space="preserve">. Mencius’s theory of moral sprouts is discussed in the </w:t>
      </w:r>
      <w:hyperlink r:id="rId86">
        <w:r>
          <w:rPr>
            <w:rStyle w:val="Hyperlink"/>
          </w:rPr>
          <w:t>SEP entry on Mencius</w:t>
        </w:r>
      </w:hyperlink>
      <w:r>
        <w:rPr/>
        <w:t xml:space="preserve">; the same source notes that his traditional dates remain historically uncertain. Xunzi’s educational and institutional account of moral development is summarized by the </w:t>
      </w:r>
      <w:hyperlink r:id="rId87">
        <w:r>
          <w:rPr>
            <w:rStyle w:val="Hyperlink"/>
          </w:rPr>
          <w:t>Internet Encyclopedia of Philosophy</w:t>
        </w:r>
      </w:hyperlink>
      <w:r>
        <w:rPr/>
        <w:t xml:space="preserve">. Zhu Xi and Wang Yangming are treated as the two most influential figures of Song–Ming Confucianism in the </w:t>
      </w:r>
      <w:hyperlink r:id="rId88">
        <w:r>
          <w:rPr>
            <w:rStyle w:val="Hyperlink"/>
          </w:rPr>
          <w:t>SEP overview of Song–Ming Confucianism</w:t>
        </w:r>
      </w:hyperlink>
      <w:r>
        <w:rPr/>
        <w:t>.</w:t>
      </w:r>
    </w:p>
    <w:p>
      <w:pPr>
        <w:pStyle w:val="Heading3"/>
        <w:spacing w:before="0" w:after="200"/>
        <w:ind w:hanging="0" w:left="0"/>
        <w:rPr>
          <w:rFonts w:ascii="Aptos" w:hAnsi="Aptos"/>
          <w:color w:val="auto"/>
        </w:rPr>
      </w:pPr>
      <w:r>
        <w:rPr>
          <w:rFonts w:ascii="Aptos" w:hAnsi="Aptos"/>
          <w:color w:val="auto"/>
        </w:rPr>
        <w:t>Core assumptions</w:t>
      </w:r>
    </w:p>
    <w:p>
      <w:pPr>
        <w:pStyle w:val="BodyText"/>
        <w:numPr>
          <w:ilvl w:val="0"/>
          <w:numId w:val="128"/>
        </w:numPr>
        <w:tabs>
          <w:tab w:val="clear" w:pos="720"/>
          <w:tab w:val="left" w:pos="0" w:leader="none"/>
        </w:tabs>
        <w:spacing w:before="0" w:after="200"/>
        <w:ind w:hanging="283" w:left="709"/>
        <w:rPr/>
      </w:pPr>
      <w:r>
        <w:rPr>
          <w:rStyle w:val="Strong"/>
        </w:rPr>
        <w:t>Persons are relationally constituted.</w:t>
      </w:r>
      <w:r>
        <w:rPr/>
        <w:br/>
        <w:t>A person is not understood solely as an isolated decision-maker. Identity, responsibility, and flourishing develop through relationships with parents, children, teachers, students, colleagues, leaders, communities, and political institutions. Ethical evaluation must therefore consider what an action does to these relationships as well as what it does to the individuals within them.</w:t>
      </w:r>
    </w:p>
    <w:p>
      <w:pPr>
        <w:pStyle w:val="BodyText"/>
        <w:numPr>
          <w:ilvl w:val="0"/>
          <w:numId w:val="128"/>
        </w:numPr>
        <w:tabs>
          <w:tab w:val="clear" w:pos="720"/>
          <w:tab w:val="left" w:pos="0" w:leader="none"/>
        </w:tabs>
        <w:spacing w:before="0" w:after="200"/>
        <w:ind w:hanging="283" w:left="709"/>
        <w:rPr/>
      </w:pPr>
      <w:r>
        <w:rPr>
          <w:rStyle w:val="Strong"/>
        </w:rPr>
        <w:t>Moral agency is developmental.</w:t>
      </w:r>
      <w:r>
        <w:rPr/>
        <w:br/>
        <w:t>Ethical competence is cultivated through education, reflection, practice, correction, emotional development, and participation in well-ordered relationships. Moral agency is not merely a fixed capacity that an individual either possesses or lacks.</w:t>
      </w:r>
    </w:p>
    <w:p>
      <w:pPr>
        <w:pStyle w:val="BodyText"/>
        <w:numPr>
          <w:ilvl w:val="0"/>
          <w:numId w:val="128"/>
        </w:numPr>
        <w:tabs>
          <w:tab w:val="clear" w:pos="720"/>
          <w:tab w:val="left" w:pos="0" w:leader="none"/>
        </w:tabs>
        <w:spacing w:before="0" w:after="200"/>
        <w:ind w:hanging="283" w:left="709"/>
        <w:rPr/>
      </w:pPr>
      <w:r>
        <w:rPr>
          <w:rStyle w:val="Strong"/>
        </w:rPr>
        <w:t>Humaneness is a central moral orientation.</w:t>
      </w:r>
      <w:r>
        <w:rPr/>
        <w:br/>
      </w:r>
      <w:r>
        <w:rPr>
          <w:rStyle w:val="Emphasis"/>
        </w:rPr>
        <w:t>Ren</w:t>
      </w:r>
      <w:r>
        <w:rPr/>
        <w:t>, often translated as humaneness, benevolence, or co-humanity, concerns the disposition to recognize and respond appropriately to the needs, dignity, vulnerability, and flourishing of others. It is expressed through concrete relationships rather than through benevolent sentiment alone.</w:t>
      </w:r>
    </w:p>
    <w:p>
      <w:pPr>
        <w:pStyle w:val="BodyText"/>
        <w:numPr>
          <w:ilvl w:val="0"/>
          <w:numId w:val="128"/>
        </w:numPr>
        <w:tabs>
          <w:tab w:val="clear" w:pos="720"/>
          <w:tab w:val="left" w:pos="0" w:leader="none"/>
        </w:tabs>
        <w:spacing w:before="0" w:after="200"/>
        <w:ind w:hanging="283" w:left="709"/>
        <w:rPr/>
      </w:pPr>
      <w:r>
        <w:rPr>
          <w:rStyle w:val="Strong"/>
        </w:rPr>
        <w:t>Right action requires contextual appropriateness.</w:t>
      </w:r>
      <w:r>
        <w:rPr/>
        <w:br/>
      </w:r>
      <w:r>
        <w:rPr>
          <w:rStyle w:val="Emphasis"/>
        </w:rPr>
        <w:t>Yi</w:t>
      </w:r>
      <w:r>
        <w:rPr/>
        <w:t>, commonly translated as rightness, righteousness, or appropriateness, concerns doing what is fitting in a particular situation because it is ethically appropriate—not merely because it is profitable, advantageous, or socially rewarded.</w:t>
      </w:r>
    </w:p>
    <w:p>
      <w:pPr>
        <w:pStyle w:val="BodyText"/>
        <w:numPr>
          <w:ilvl w:val="0"/>
          <w:numId w:val="128"/>
        </w:numPr>
        <w:tabs>
          <w:tab w:val="clear" w:pos="720"/>
          <w:tab w:val="left" w:pos="0" w:leader="none"/>
        </w:tabs>
        <w:spacing w:before="0" w:after="200"/>
        <w:ind w:hanging="283" w:left="709"/>
        <w:rPr/>
      </w:pPr>
      <w:r>
        <w:rPr>
          <w:rStyle w:val="Strong"/>
        </w:rPr>
        <w:t>Ritual and social practices shape moral behavior.</w:t>
      </w:r>
      <w:r>
        <w:rPr/>
        <w:br/>
      </w:r>
      <w:r>
        <w:rPr>
          <w:rStyle w:val="Emphasis"/>
        </w:rPr>
        <w:t>Li</w:t>
      </w:r>
      <w:r>
        <w:rPr/>
        <w:t xml:space="preserve"> includes ceremonies, manners, role conventions, institutional practices, and socially embodied expectations. Properly designed practices help regulate desire, communicate respect, structure relationships, and cultivate reliable moral responses. Ritual is therefore more than etiquette; it is a form of moral and institutional architecture.</w:t>
      </w:r>
    </w:p>
    <w:p>
      <w:pPr>
        <w:pStyle w:val="BodyText"/>
        <w:numPr>
          <w:ilvl w:val="0"/>
          <w:numId w:val="128"/>
        </w:numPr>
        <w:tabs>
          <w:tab w:val="clear" w:pos="720"/>
          <w:tab w:val="left" w:pos="0" w:leader="none"/>
        </w:tabs>
        <w:spacing w:before="0" w:after="200"/>
        <w:ind w:hanging="283" w:left="709"/>
        <w:rPr/>
      </w:pPr>
      <w:r>
        <w:rPr>
          <w:rStyle w:val="Strong"/>
        </w:rPr>
        <w:t>Virtues operate as an interdependent system.</w:t>
      </w:r>
      <w:r>
        <w:rPr/>
        <w:br/>
        <w:t>Humaneness must be informed by rightness, wisdom, trustworthiness, respect, courage, and practical judgment. Compassion without judgment may become partial or ineffective, while ritual without humaneness may become hollow, coercive, or unjust.</w:t>
      </w:r>
    </w:p>
    <w:p>
      <w:pPr>
        <w:pStyle w:val="BodyText"/>
        <w:numPr>
          <w:ilvl w:val="0"/>
          <w:numId w:val="128"/>
        </w:numPr>
        <w:tabs>
          <w:tab w:val="clear" w:pos="720"/>
          <w:tab w:val="left" w:pos="0" w:leader="none"/>
        </w:tabs>
        <w:spacing w:before="0" w:after="200"/>
        <w:ind w:hanging="283" w:left="709"/>
        <w:rPr/>
      </w:pPr>
      <w:r>
        <w:rPr>
          <w:rStyle w:val="Strong"/>
        </w:rPr>
        <w:t>Moral emotions can be educated.</w:t>
      </w:r>
      <w:r>
        <w:rPr/>
        <w:br/>
        <w:t>Compassion, shame, respect, grief, gratitude, and concern are not simply private feelings. They can reveal ethically relevant features of a situation, but they must be extended, regulated, and cultivated.</w:t>
      </w:r>
    </w:p>
    <w:p>
      <w:pPr>
        <w:pStyle w:val="BodyText"/>
        <w:numPr>
          <w:ilvl w:val="0"/>
          <w:numId w:val="128"/>
        </w:numPr>
        <w:tabs>
          <w:tab w:val="clear" w:pos="720"/>
          <w:tab w:val="left" w:pos="0" w:leader="none"/>
        </w:tabs>
        <w:spacing w:before="0" w:after="200"/>
        <w:ind w:hanging="283" w:left="709"/>
        <w:rPr/>
      </w:pPr>
      <w:r>
        <w:rPr>
          <w:rStyle w:val="Strong"/>
        </w:rPr>
        <w:t>Family relationships are foundational but not morally unlimited.</w:t>
      </w:r>
      <w:r>
        <w:rPr/>
        <w:br/>
        <w:t xml:space="preserve">Filial responsibility, or </w:t>
      </w:r>
      <w:r>
        <w:rPr>
          <w:rStyle w:val="Emphasis"/>
        </w:rPr>
        <w:t>xiao</w:t>
      </w:r>
      <w:r>
        <w:rPr/>
        <w:t xml:space="preserve">, treats care for parents and elders as a foundational context for learning gratitude, responsibility, and concern. However, filiality cannot be equated uncritically with blind obedience. Classical Confucian texts recognize respectful remonstrance when parents or authorities are mistaken. Confucian filiality and its internal tensions are discussed in the </w:t>
      </w:r>
      <w:hyperlink r:id="rId89">
        <w:r>
          <w:rPr>
            <w:rStyle w:val="Hyperlink"/>
          </w:rPr>
          <w:t>SEP account of Chinese ethics</w:t>
        </w:r>
      </w:hyperlink>
      <w:r>
        <w:rPr/>
        <w:t>.</w:t>
      </w:r>
    </w:p>
    <w:p>
      <w:pPr>
        <w:pStyle w:val="BodyText"/>
        <w:numPr>
          <w:ilvl w:val="0"/>
          <w:numId w:val="128"/>
        </w:numPr>
        <w:tabs>
          <w:tab w:val="clear" w:pos="720"/>
          <w:tab w:val="left" w:pos="0" w:leader="none"/>
        </w:tabs>
        <w:spacing w:before="0" w:after="200"/>
        <w:ind w:hanging="283" w:left="709"/>
        <w:rPr/>
      </w:pPr>
      <w:r>
        <w:rPr>
          <w:rStyle w:val="Strong"/>
        </w:rPr>
        <w:t>Concern may be graded by relationship.</w:t>
      </w:r>
      <w:r>
        <w:rPr/>
        <w:br/>
        <w:t>Confucian ethics generally permits greater obligations toward those with whom an agent has close relationships or special responsibilities. It does not ordinarily require identical treatment of parents, strangers, dependents, professional beneficiaries, and political communities. These distinctions must nevertheless remain compatible with broader humaneness and justice.</w:t>
      </w:r>
    </w:p>
    <w:p>
      <w:pPr>
        <w:pStyle w:val="BodyText"/>
        <w:numPr>
          <w:ilvl w:val="0"/>
          <w:numId w:val="128"/>
        </w:numPr>
        <w:tabs>
          <w:tab w:val="clear" w:pos="720"/>
          <w:tab w:val="left" w:pos="0" w:leader="none"/>
        </w:tabs>
        <w:spacing w:before="0" w:after="200"/>
        <w:ind w:hanging="283" w:left="709"/>
        <w:rPr/>
      </w:pPr>
      <w:r>
        <w:rPr>
          <w:rStyle w:val="Strong"/>
        </w:rPr>
        <w:t>Harmony is coordination without compulsory sameness.</w:t>
      </w:r>
      <w:r>
        <w:rPr/>
        <w:br/>
      </w:r>
      <w:r>
        <w:rPr>
          <w:rStyle w:val="Emphasis"/>
        </w:rPr>
        <w:t>He</w:t>
      </w:r>
      <w:r>
        <w:rPr/>
        <w:t>, or harmony, is a dynamic coordination of different roles, interests, and perspectives. It is not the elimination of disagreement. Genuine harmony may require criticism, dissent, correction, and the reconciliation of legitimate differences.</w:t>
      </w:r>
    </w:p>
    <w:p>
      <w:pPr>
        <w:pStyle w:val="BodyText"/>
        <w:numPr>
          <w:ilvl w:val="0"/>
          <w:numId w:val="128"/>
        </w:numPr>
        <w:tabs>
          <w:tab w:val="clear" w:pos="720"/>
          <w:tab w:val="left" w:pos="0" w:leader="none"/>
        </w:tabs>
        <w:spacing w:before="0" w:after="200"/>
        <w:ind w:hanging="283" w:left="709"/>
        <w:rPr/>
      </w:pPr>
      <w:r>
        <w:rPr>
          <w:rStyle w:val="Strong"/>
        </w:rPr>
        <w:t>Roles create reciprocal responsibilities.</w:t>
      </w:r>
      <w:r>
        <w:rPr/>
        <w:br/>
        <w:t>Parent and child, teacher and student, leader and subordinate, and other role relationships are not ethically one-directional. Authority carries corresponding duties of care, competence, fairness, and exemplary conduct. A title alone does not establish legitimate moral authority.</w:t>
      </w:r>
    </w:p>
    <w:p>
      <w:pPr>
        <w:pStyle w:val="BodyText"/>
        <w:numPr>
          <w:ilvl w:val="0"/>
          <w:numId w:val="128"/>
        </w:numPr>
        <w:tabs>
          <w:tab w:val="clear" w:pos="720"/>
          <w:tab w:val="left" w:pos="0" w:leader="none"/>
        </w:tabs>
        <w:spacing w:before="0" w:after="200"/>
        <w:ind w:hanging="283" w:left="709"/>
        <w:rPr/>
      </w:pPr>
      <w:r>
        <w:rPr>
          <w:rStyle w:val="Strong"/>
        </w:rPr>
        <w:t>Names, roles, and conduct should correspond.</w:t>
      </w:r>
      <w:r>
        <w:rPr/>
        <w:br/>
        <w:t>The “rectification of names” requires that people and institutions actually perform the responsibilities associated with the roles they claim. A ruler who does not govern humanely, a professional who does not meet professional duties, or an institution that misrepresents its function creates moral and social disorder.</w:t>
      </w:r>
    </w:p>
    <w:p>
      <w:pPr>
        <w:pStyle w:val="BodyText"/>
        <w:numPr>
          <w:ilvl w:val="0"/>
          <w:numId w:val="128"/>
        </w:numPr>
        <w:tabs>
          <w:tab w:val="clear" w:pos="720"/>
          <w:tab w:val="left" w:pos="0" w:leader="none"/>
        </w:tabs>
        <w:spacing w:before="0" w:after="200"/>
        <w:ind w:hanging="283" w:left="709"/>
        <w:rPr/>
      </w:pPr>
      <w:r>
        <w:rPr>
          <w:rStyle w:val="Strong"/>
        </w:rPr>
        <w:t>Exemplary conduct has distributed effects.</w:t>
      </w:r>
      <w:r>
        <w:rPr/>
        <w:br/>
        <w:t>Leaders, parents, teachers, and other visible actors influence the behavior of observers. Their actions establish expectations about what conduct will be tolerated, rewarded, or imitated. Governance by moral example is therefore preferable to dependence on punishment alone.</w:t>
      </w:r>
    </w:p>
    <w:p>
      <w:pPr>
        <w:pStyle w:val="BodyText"/>
        <w:numPr>
          <w:ilvl w:val="0"/>
          <w:numId w:val="128"/>
        </w:numPr>
        <w:tabs>
          <w:tab w:val="clear" w:pos="720"/>
          <w:tab w:val="left" w:pos="0" w:leader="none"/>
        </w:tabs>
        <w:spacing w:before="0" w:after="200"/>
        <w:ind w:hanging="283" w:left="709"/>
        <w:rPr/>
      </w:pPr>
      <w:r>
        <w:rPr>
          <w:rStyle w:val="Strong"/>
        </w:rPr>
        <w:t>Material and institutional conditions affect moral development.</w:t>
      </w:r>
      <w:r>
        <w:rPr/>
        <w:br/>
        <w:t>Mencian thought recognizes that insecurity, deprivation, and disordered government can undermine people’s ability to develop and exercise moral capacities. Moral exhortation is insufficient when social conditions systematically obstruct responsible agency.</w:t>
      </w:r>
    </w:p>
    <w:p>
      <w:pPr>
        <w:pStyle w:val="BodyText"/>
        <w:numPr>
          <w:ilvl w:val="0"/>
          <w:numId w:val="128"/>
        </w:numPr>
        <w:tabs>
          <w:tab w:val="clear" w:pos="720"/>
          <w:tab w:val="left" w:pos="0" w:leader="none"/>
        </w:tabs>
        <w:spacing w:before="0" w:after="200"/>
        <w:ind w:hanging="283" w:left="709"/>
        <w:rPr/>
      </w:pPr>
      <w:r>
        <w:rPr>
          <w:rStyle w:val="Strong"/>
        </w:rPr>
        <w:t>The tradition contains competing accounts of human nature.</w:t>
      </w:r>
      <w:r>
        <w:rPr/>
        <w:br/>
        <w:t>Mencius treats people as possessing incipient moral tendencies that require cultivation. Xunzi emphasizes that unregulated desires and partialities tend toward conflict and must be transformed through deliberate learning and institutional practices. The disagreement is relevant to whether ethical systems should primarily nurture existing moral capacities, constrain harmful tendencies, or do both.</w:t>
      </w:r>
    </w:p>
    <w:p>
      <w:pPr>
        <w:pStyle w:val="BodyText"/>
        <w:numPr>
          <w:ilvl w:val="0"/>
          <w:numId w:val="128"/>
        </w:numPr>
        <w:tabs>
          <w:tab w:val="clear" w:pos="720"/>
          <w:tab w:val="left" w:pos="0" w:leader="none"/>
        </w:tabs>
        <w:spacing w:before="0" w:after="200"/>
        <w:ind w:hanging="283" w:left="709"/>
        <w:rPr/>
      </w:pPr>
      <w:r>
        <w:rPr>
          <w:rStyle w:val="Strong"/>
        </w:rPr>
        <w:t>Knowing and acting should not be separated.</w:t>
      </w:r>
      <w:r>
        <w:rPr/>
        <w:br/>
        <w:t>Wang Yangming’s unity of knowledge and action holds that a person who professes moral understanding but consistently fails to act accordingly has not fully realized that understanding. Ethical assessment should therefore include implementation, practice, and feedback—not merely statements of principle.</w:t>
      </w:r>
    </w:p>
    <w:p>
      <w:pPr>
        <w:pStyle w:val="BodyText"/>
        <w:numPr>
          <w:ilvl w:val="0"/>
          <w:numId w:val="128"/>
        </w:numPr>
        <w:tabs>
          <w:tab w:val="clear" w:pos="720"/>
          <w:tab w:val="left" w:pos="0" w:leader="none"/>
        </w:tabs>
        <w:spacing w:before="0" w:after="200"/>
        <w:ind w:hanging="283" w:left="709"/>
        <w:rPr/>
      </w:pPr>
      <w:r>
        <w:rPr>
          <w:rStyle w:val="Strong"/>
        </w:rPr>
        <w:t>Moral and political order are connected.</w:t>
      </w:r>
      <w:r>
        <w:rPr/>
        <w:br/>
        <w:t>Institutions cannot remain ethically stable if leaders demand virtues from others that they do not demonstrate themselves. Political legitimacy depends in substantial part on whether leadership promotes humane conditions and performs the responsibilities of office.</w:t>
      </w:r>
    </w:p>
    <w:p>
      <w:pPr>
        <w:pStyle w:val="BodyText"/>
        <w:numPr>
          <w:ilvl w:val="0"/>
          <w:numId w:val="128"/>
        </w:numPr>
        <w:tabs>
          <w:tab w:val="clear" w:pos="720"/>
          <w:tab w:val="left" w:pos="0" w:leader="none"/>
        </w:tabs>
        <w:spacing w:before="0" w:after="200"/>
        <w:ind w:hanging="283" w:left="709"/>
        <w:rPr/>
      </w:pPr>
      <w:r>
        <w:rPr>
          <w:rStyle w:val="Strong"/>
        </w:rPr>
        <w:t>Human flourishing is interconnected with broader patterns of order.</w:t>
      </w:r>
      <w:r>
        <w:rPr/>
        <w:br/>
        <w:t>Neo-Confucian traditions commonly situate human moral development within a wider natural and cosmological order. Although the metaphysical interpretations differ, this orientation can support an understanding of human flourishing as dependent on social and ecological relationships rather than as an isolated human achievement.</w:t>
      </w:r>
    </w:p>
    <w:p>
      <w:pPr>
        <w:pStyle w:val="Heading3"/>
        <w:spacing w:before="0" w:after="200"/>
        <w:ind w:hanging="0" w:left="0"/>
        <w:rPr>
          <w:rFonts w:ascii="Aptos" w:hAnsi="Aptos"/>
          <w:color w:val="auto"/>
        </w:rPr>
      </w:pPr>
      <w:r>
        <w:rPr>
          <w:rFonts w:ascii="Aptos" w:hAnsi="Aptos"/>
          <w:color w:val="auto"/>
        </w:rPr>
        <w:t>Relationship to this framework</w:t>
      </w:r>
    </w:p>
    <w:p>
      <w:pPr>
        <w:pStyle w:val="BodyText"/>
        <w:spacing w:before="0" w:after="200"/>
        <w:rPr/>
      </w:pPr>
      <w:r>
        <w:rPr/>
        <w:t>Confucian ethics is strongly compatible with the proposed framework’s relational, developmental, and systems-oriented features. Confucian analysis can enrich the framework by explaining how individual actions affect the character of agents, the integrity of relationships, the operation of institutions, and the norms that future actors are likely to adopt.</w:t>
      </w:r>
    </w:p>
    <w:tbl>
      <w:tblPr>
        <w:tblW w:w="8640" w:type="dxa"/>
        <w:jc w:val="left"/>
        <w:tblInd w:w="28" w:type="dxa"/>
        <w:tblLayout w:type="fixed"/>
        <w:tblCellMar>
          <w:top w:w="28" w:type="dxa"/>
          <w:left w:w="28" w:type="dxa"/>
          <w:bottom w:w="28" w:type="dxa"/>
          <w:right w:w="28" w:type="dxa"/>
        </w:tblCellMar>
      </w:tblPr>
      <w:tblGrid>
        <w:gridCol w:w="2270"/>
        <w:gridCol w:w="6370"/>
      </w:tblGrid>
      <w:tr>
        <w:trPr>
          <w:tblHeader w:val="true"/>
        </w:trPr>
        <w:tc>
          <w:tcPr>
            <w:tcW w:w="2270" w:type="dxa"/>
            <w:tcBorders/>
            <w:vAlign w:val="center"/>
          </w:tcPr>
          <w:p>
            <w:pPr>
              <w:pStyle w:val="TableHeading"/>
              <w:suppressLineNumbers/>
              <w:spacing w:before="0" w:after="200"/>
              <w:jc w:val="center"/>
              <w:rPr/>
            </w:pPr>
            <w:r>
              <w:rPr/>
              <w:t>Confucian emphasis</w:t>
            </w:r>
          </w:p>
        </w:tc>
        <w:tc>
          <w:tcPr>
            <w:tcW w:w="6370" w:type="dxa"/>
            <w:tcBorders/>
            <w:vAlign w:val="center"/>
          </w:tcPr>
          <w:p>
            <w:pPr>
              <w:pStyle w:val="TableHeading"/>
              <w:suppressLineNumbers/>
              <w:spacing w:before="0" w:after="200"/>
              <w:jc w:val="center"/>
              <w:rPr/>
            </w:pPr>
            <w:r>
              <w:rPr/>
              <w:t>Relationship to this framework</w:t>
            </w:r>
          </w:p>
        </w:tc>
      </w:tr>
      <w:tr>
        <w:trPr/>
        <w:tc>
          <w:tcPr>
            <w:tcW w:w="2270" w:type="dxa"/>
            <w:tcBorders/>
            <w:vAlign w:val="center"/>
          </w:tcPr>
          <w:p>
            <w:pPr>
              <w:pStyle w:val="TableContents"/>
              <w:widowControl w:val="false"/>
              <w:suppressLineNumbers/>
              <w:spacing w:before="0" w:after="200"/>
              <w:rPr/>
            </w:pPr>
            <w:r>
              <w:rPr/>
              <w:t>Relational personhood</w:t>
            </w:r>
          </w:p>
        </w:tc>
        <w:tc>
          <w:tcPr>
            <w:tcW w:w="6370" w:type="dxa"/>
            <w:tcBorders/>
            <w:vAlign w:val="center"/>
          </w:tcPr>
          <w:p>
            <w:pPr>
              <w:pStyle w:val="TableContents"/>
              <w:widowControl w:val="false"/>
              <w:suppressLineNumbers/>
              <w:spacing w:before="0" w:after="200"/>
              <w:rPr/>
            </w:pPr>
            <w:r>
              <w:rPr/>
              <w:t>Corresponds to the framework’s representation of entities through their Associations, dependencies, roles, and World Context.</w:t>
            </w:r>
          </w:p>
        </w:tc>
      </w:tr>
      <w:tr>
        <w:trPr/>
        <w:tc>
          <w:tcPr>
            <w:tcW w:w="2270" w:type="dxa"/>
            <w:tcBorders/>
            <w:vAlign w:val="center"/>
          </w:tcPr>
          <w:p>
            <w:pPr>
              <w:pStyle w:val="TableContents"/>
              <w:widowControl w:val="false"/>
              <w:suppressLineNumbers/>
              <w:spacing w:before="0" w:after="200"/>
              <w:rPr/>
            </w:pPr>
            <w:r>
              <w:rPr/>
              <w:t>Humaneness and care</w:t>
            </w:r>
          </w:p>
        </w:tc>
        <w:tc>
          <w:tcPr>
            <w:tcW w:w="6370" w:type="dxa"/>
            <w:tcBorders/>
            <w:vAlign w:val="center"/>
          </w:tcPr>
          <w:p>
            <w:pPr>
              <w:pStyle w:val="TableContents"/>
              <w:widowControl w:val="false"/>
              <w:suppressLineNumbers/>
              <w:spacing w:before="0" w:after="200"/>
              <w:rPr/>
            </w:pPr>
            <w:r>
              <w:rPr/>
              <w:t>Supports the Foundational Axiom’s concern for preserving and promoting the long-term flourishing of relevant persistent adaptive entities.</w:t>
            </w:r>
          </w:p>
        </w:tc>
      </w:tr>
      <w:tr>
        <w:trPr/>
        <w:tc>
          <w:tcPr>
            <w:tcW w:w="2270" w:type="dxa"/>
            <w:tcBorders/>
            <w:vAlign w:val="center"/>
          </w:tcPr>
          <w:p>
            <w:pPr>
              <w:pStyle w:val="TableContents"/>
              <w:widowControl w:val="false"/>
              <w:suppressLineNumbers/>
              <w:spacing w:before="0" w:after="200"/>
              <w:rPr/>
            </w:pPr>
            <w:r>
              <w:rPr/>
              <w:t>Context-sensitive rightness</w:t>
            </w:r>
          </w:p>
        </w:tc>
        <w:tc>
          <w:tcPr>
            <w:tcW w:w="6370" w:type="dxa"/>
            <w:tcBorders/>
            <w:vAlign w:val="center"/>
          </w:tcPr>
          <w:p>
            <w:pPr>
              <w:pStyle w:val="TableContents"/>
              <w:widowControl w:val="false"/>
              <w:suppressLineNumbers/>
              <w:spacing w:before="0" w:after="200"/>
              <w:rPr/>
            </w:pPr>
            <w:r>
              <w:rPr/>
              <w:t>Corresponds to evaluating an Assessed Action within its full Situational Context rather than applying a decontextualized rule.</w:t>
            </w:r>
          </w:p>
        </w:tc>
      </w:tr>
      <w:tr>
        <w:trPr/>
        <w:tc>
          <w:tcPr>
            <w:tcW w:w="2270" w:type="dxa"/>
            <w:tcBorders/>
            <w:vAlign w:val="center"/>
          </w:tcPr>
          <w:p>
            <w:pPr>
              <w:pStyle w:val="TableContents"/>
              <w:widowControl w:val="false"/>
              <w:suppressLineNumbers/>
              <w:spacing w:before="0" w:after="200"/>
              <w:rPr/>
            </w:pPr>
            <w:r>
              <w:rPr/>
              <w:t>Ritual and practice</w:t>
            </w:r>
          </w:p>
        </w:tc>
        <w:tc>
          <w:tcPr>
            <w:tcW w:w="6370" w:type="dxa"/>
            <w:tcBorders/>
            <w:vAlign w:val="center"/>
          </w:tcPr>
          <w:p>
            <w:pPr>
              <w:pStyle w:val="TableContents"/>
              <w:widowControl w:val="false"/>
              <w:suppressLineNumbers/>
              <w:spacing w:before="0" w:after="200"/>
              <w:rPr/>
            </w:pPr>
            <w:r>
              <w:rPr/>
              <w:t>Provides a model for understanding policies, procedures, interfaces, customs, and recurring practices as mechanisms that shape future conduct.</w:t>
            </w:r>
          </w:p>
        </w:tc>
      </w:tr>
      <w:tr>
        <w:trPr/>
        <w:tc>
          <w:tcPr>
            <w:tcW w:w="2270" w:type="dxa"/>
            <w:tcBorders/>
            <w:vAlign w:val="center"/>
          </w:tcPr>
          <w:p>
            <w:pPr>
              <w:pStyle w:val="TableContents"/>
              <w:widowControl w:val="false"/>
              <w:suppressLineNumbers/>
              <w:spacing w:before="0" w:after="200"/>
              <w:rPr/>
            </w:pPr>
            <w:r>
              <w:rPr/>
              <w:t>Self-cultivation</w:t>
            </w:r>
          </w:p>
        </w:tc>
        <w:tc>
          <w:tcPr>
            <w:tcW w:w="6370" w:type="dxa"/>
            <w:tcBorders/>
            <w:vAlign w:val="center"/>
          </w:tcPr>
          <w:p>
            <w:pPr>
              <w:pStyle w:val="TableContents"/>
              <w:widowControl w:val="false"/>
              <w:suppressLineNumbers/>
              <w:spacing w:before="0" w:after="200"/>
              <w:rPr/>
            </w:pPr>
            <w:r>
              <w:rPr/>
              <w:t>Corresponds to the framework’s commitment to the adaptive development of moral agents.</w:t>
            </w:r>
          </w:p>
        </w:tc>
      </w:tr>
      <w:tr>
        <w:trPr/>
        <w:tc>
          <w:tcPr>
            <w:tcW w:w="2270" w:type="dxa"/>
            <w:tcBorders/>
            <w:vAlign w:val="center"/>
          </w:tcPr>
          <w:p>
            <w:pPr>
              <w:pStyle w:val="TableContents"/>
              <w:widowControl w:val="false"/>
              <w:suppressLineNumbers/>
              <w:spacing w:before="0" w:after="200"/>
              <w:rPr/>
            </w:pPr>
            <w:r>
              <w:rPr/>
              <w:t>Exemplary leadership</w:t>
            </w:r>
          </w:p>
        </w:tc>
        <w:tc>
          <w:tcPr>
            <w:tcW w:w="6370" w:type="dxa"/>
            <w:tcBorders/>
            <w:vAlign w:val="center"/>
          </w:tcPr>
          <w:p>
            <w:pPr>
              <w:pStyle w:val="TableContents"/>
              <w:widowControl w:val="false"/>
              <w:suppressLineNumbers/>
              <w:spacing w:before="0" w:after="200"/>
              <w:rPr/>
            </w:pPr>
            <w:r>
              <w:rPr/>
              <w:t>Provides an established ethical account of Distributed Policy Effects: visible conduct teaches observers what behavior is normal, permissible, or admirable.</w:t>
            </w:r>
          </w:p>
        </w:tc>
      </w:tr>
      <w:tr>
        <w:trPr/>
        <w:tc>
          <w:tcPr>
            <w:tcW w:w="2270" w:type="dxa"/>
            <w:tcBorders/>
            <w:vAlign w:val="center"/>
          </w:tcPr>
          <w:p>
            <w:pPr>
              <w:pStyle w:val="TableContents"/>
              <w:widowControl w:val="false"/>
              <w:suppressLineNumbers/>
              <w:spacing w:before="0" w:after="200"/>
              <w:rPr/>
            </w:pPr>
            <w:r>
              <w:rPr/>
              <w:t>Role responsibility</w:t>
            </w:r>
          </w:p>
        </w:tc>
        <w:tc>
          <w:tcPr>
            <w:tcW w:w="6370" w:type="dxa"/>
            <w:tcBorders/>
            <w:vAlign w:val="center"/>
          </w:tcPr>
          <w:p>
            <w:pPr>
              <w:pStyle w:val="TableContents"/>
              <w:widowControl w:val="false"/>
              <w:suppressLineNumbers/>
              <w:spacing w:before="0" w:after="200"/>
              <w:rPr/>
            </w:pPr>
            <w:r>
              <w:rPr/>
              <w:t>Supports the framework’s distinction between causal involvement and responsibility based on role, authority, knowledge, capacity, and obligation.</w:t>
            </w:r>
          </w:p>
        </w:tc>
      </w:tr>
      <w:tr>
        <w:trPr/>
        <w:tc>
          <w:tcPr>
            <w:tcW w:w="2270" w:type="dxa"/>
            <w:tcBorders/>
            <w:vAlign w:val="center"/>
          </w:tcPr>
          <w:p>
            <w:pPr>
              <w:pStyle w:val="TableContents"/>
              <w:widowControl w:val="false"/>
              <w:suppressLineNumbers/>
              <w:spacing w:before="0" w:after="200"/>
              <w:rPr/>
            </w:pPr>
            <w:r>
              <w:rPr/>
              <w:t>Rectification of names</w:t>
            </w:r>
          </w:p>
        </w:tc>
        <w:tc>
          <w:tcPr>
            <w:tcW w:w="6370" w:type="dxa"/>
            <w:tcBorders/>
            <w:vAlign w:val="center"/>
          </w:tcPr>
          <w:p>
            <w:pPr>
              <w:pStyle w:val="TableContents"/>
              <w:widowControl w:val="false"/>
              <w:suppressLineNumbers/>
              <w:spacing w:before="0" w:after="200"/>
              <w:rPr/>
            </w:pPr>
            <w:r>
              <w:rPr/>
              <w:t>Supports explicit validation of whether formal titles, declared purposes, authority claims, and actual conduct correspond.</w:t>
            </w:r>
          </w:p>
        </w:tc>
      </w:tr>
      <w:tr>
        <w:trPr/>
        <w:tc>
          <w:tcPr>
            <w:tcW w:w="2270" w:type="dxa"/>
            <w:tcBorders/>
            <w:vAlign w:val="center"/>
          </w:tcPr>
          <w:p>
            <w:pPr>
              <w:pStyle w:val="TableContents"/>
              <w:widowControl w:val="false"/>
              <w:suppressLineNumbers/>
              <w:spacing w:before="0" w:after="200"/>
              <w:rPr/>
            </w:pPr>
            <w:r>
              <w:rPr/>
              <w:t>Harmony</w:t>
            </w:r>
          </w:p>
        </w:tc>
        <w:tc>
          <w:tcPr>
            <w:tcW w:w="6370" w:type="dxa"/>
            <w:tcBorders/>
            <w:vAlign w:val="center"/>
          </w:tcPr>
          <w:p>
            <w:pPr>
              <w:pStyle w:val="TableContents"/>
              <w:widowControl w:val="false"/>
              <w:suppressLineNumbers/>
              <w:spacing w:before="0" w:after="200"/>
              <w:rPr/>
            </w:pPr>
            <w:r>
              <w:rPr/>
              <w:t>Resembles compatible flourishing across interacting entities, provided that harmony is not confused with silence or coerced agreement.</w:t>
            </w:r>
          </w:p>
        </w:tc>
      </w:tr>
      <w:tr>
        <w:trPr/>
        <w:tc>
          <w:tcPr>
            <w:tcW w:w="2270" w:type="dxa"/>
            <w:tcBorders/>
            <w:vAlign w:val="center"/>
          </w:tcPr>
          <w:p>
            <w:pPr>
              <w:pStyle w:val="TableContents"/>
              <w:widowControl w:val="false"/>
              <w:suppressLineNumbers/>
              <w:spacing w:before="0" w:after="200"/>
              <w:rPr/>
            </w:pPr>
            <w:r>
              <w:rPr/>
              <w:t>Moral education</w:t>
            </w:r>
          </w:p>
        </w:tc>
        <w:tc>
          <w:tcPr>
            <w:tcW w:w="6370" w:type="dxa"/>
            <w:tcBorders/>
            <w:vAlign w:val="center"/>
          </w:tcPr>
          <w:p>
            <w:pPr>
              <w:pStyle w:val="TableContents"/>
              <w:widowControl w:val="false"/>
              <w:suppressLineNumbers/>
              <w:spacing w:before="0" w:after="200"/>
              <w:rPr/>
            </w:pPr>
            <w:r>
              <w:rPr/>
              <w:t>Supports treating the development of future decision quality as part of the World Context Transition.</w:t>
            </w:r>
          </w:p>
        </w:tc>
      </w:tr>
      <w:tr>
        <w:trPr/>
        <w:tc>
          <w:tcPr>
            <w:tcW w:w="2270" w:type="dxa"/>
            <w:tcBorders/>
            <w:vAlign w:val="center"/>
          </w:tcPr>
          <w:p>
            <w:pPr>
              <w:pStyle w:val="TableContents"/>
              <w:widowControl w:val="false"/>
              <w:suppressLineNumbers/>
              <w:spacing w:before="0" w:after="200"/>
              <w:rPr/>
            </w:pPr>
            <w:r>
              <w:rPr/>
              <w:t>Humane governance</w:t>
            </w:r>
          </w:p>
        </w:tc>
        <w:tc>
          <w:tcPr>
            <w:tcW w:w="6370" w:type="dxa"/>
            <w:tcBorders/>
            <w:vAlign w:val="center"/>
          </w:tcPr>
          <w:p>
            <w:pPr>
              <w:pStyle w:val="TableContents"/>
              <w:widowControl w:val="false"/>
              <w:suppressLineNumbers/>
              <w:spacing w:before="0" w:after="200"/>
              <w:rPr/>
            </w:pPr>
            <w:r>
              <w:rPr/>
              <w:t>Supports evaluating institutions by whether they create conditions in which entities can develop and flourish over time.</w:t>
            </w:r>
          </w:p>
        </w:tc>
      </w:tr>
      <w:tr>
        <w:trPr/>
        <w:tc>
          <w:tcPr>
            <w:tcW w:w="2270" w:type="dxa"/>
            <w:tcBorders/>
            <w:vAlign w:val="center"/>
          </w:tcPr>
          <w:p>
            <w:pPr>
              <w:pStyle w:val="TableContents"/>
              <w:widowControl w:val="false"/>
              <w:suppressLineNumbers/>
              <w:spacing w:before="0" w:after="200"/>
              <w:rPr/>
            </w:pPr>
            <w:r>
              <w:rPr/>
              <w:t>Unity of knowledge and action</w:t>
            </w:r>
          </w:p>
        </w:tc>
        <w:tc>
          <w:tcPr>
            <w:tcW w:w="6370" w:type="dxa"/>
            <w:tcBorders/>
            <w:vAlign w:val="center"/>
          </w:tcPr>
          <w:p>
            <w:pPr>
              <w:pStyle w:val="TableContents"/>
              <w:widowControl w:val="false"/>
              <w:suppressLineNumbers/>
              <w:spacing w:before="0" w:after="200"/>
              <w:rPr/>
            </w:pPr>
            <w:r>
              <w:rPr/>
              <w:t>Supports connecting ethical conclusions to implementation, monitoring, and corrective action.</w:t>
            </w:r>
          </w:p>
        </w:tc>
      </w:tr>
    </w:tbl>
    <w:p>
      <w:pPr>
        <w:pStyle w:val="BodyText"/>
        <w:spacing w:before="0" w:after="200"/>
        <w:rPr/>
      </w:pPr>
      <w:r>
        <w:rPr/>
        <w:t>Confucian ethics also exposes an important dimension that a transition-centered framework might otherwise understate: actions are formative. They do not merely produce external outcomes; they train the actor and surrounding community. A truthful action can strengthen future truthfulness, a corrupt exception can normalize future corruption, and a respectful disagreement can teach an institution how to accommodate dissent. These are not secondary consequences. They are changes to the future policies and capacities of the system.</w:t>
      </w:r>
    </w:p>
    <w:p>
      <w:pPr>
        <w:pStyle w:val="BodyText"/>
        <w:spacing w:before="0" w:after="200"/>
        <w:rPr/>
      </w:pPr>
      <w:r>
        <w:rPr/>
        <w:t>At the same time, the proposed framework extends beyond conventional Confucian analysis in several respects. It offers a more explicit ontology of affected entities, causal transitions, probabilities, time horizons, and evidentiary uncertainty. It also permits consideration of nonhuman organisms, artificial agents, institutions, ecosystems, and other persistent adaptive entities whose status may not be fully specified in classical Confucian ethics.</w:t>
      </w:r>
    </w:p>
    <w:p>
      <w:pPr>
        <w:pStyle w:val="Heading3"/>
        <w:spacing w:before="0" w:after="200"/>
        <w:ind w:hanging="0" w:left="0"/>
        <w:rPr>
          <w:rFonts w:ascii="Aptos" w:hAnsi="Aptos"/>
          <w:color w:val="auto"/>
        </w:rPr>
      </w:pPr>
      <w:r>
        <w:rPr>
          <w:rFonts w:ascii="Aptos" w:hAnsi="Aptos"/>
          <w:color w:val="auto"/>
        </w:rPr>
        <w:t>Concepts adopted or adapted by this framework</w:t>
      </w:r>
    </w:p>
    <w:p>
      <w:pPr>
        <w:pStyle w:val="BodyText"/>
        <w:spacing w:before="0" w:after="200"/>
        <w:rPr/>
      </w:pPr>
      <w:r>
        <w:rPr/>
        <w:t>The framework need not accept Confucian metaphysics or reproduce historically contingent social arrangements to incorporate useful Confucian concepts.</w:t>
      </w:r>
    </w:p>
    <w:tbl>
      <w:tblPr>
        <w:tblW w:w="8640" w:type="dxa"/>
        <w:jc w:val="left"/>
        <w:tblInd w:w="28" w:type="dxa"/>
        <w:tblLayout w:type="fixed"/>
        <w:tblCellMar>
          <w:top w:w="28" w:type="dxa"/>
          <w:left w:w="28" w:type="dxa"/>
          <w:bottom w:w="28" w:type="dxa"/>
          <w:right w:w="28" w:type="dxa"/>
        </w:tblCellMar>
      </w:tblPr>
      <w:tblGrid>
        <w:gridCol w:w="2782"/>
        <w:gridCol w:w="5858"/>
      </w:tblGrid>
      <w:tr>
        <w:trPr>
          <w:tblHeader w:val="true"/>
        </w:trPr>
        <w:tc>
          <w:tcPr>
            <w:tcW w:w="2782" w:type="dxa"/>
            <w:tcBorders/>
            <w:vAlign w:val="center"/>
          </w:tcPr>
          <w:p>
            <w:pPr>
              <w:pStyle w:val="TableHeading"/>
              <w:suppressLineNumbers/>
              <w:spacing w:before="0" w:after="200"/>
              <w:jc w:val="center"/>
              <w:rPr/>
            </w:pPr>
            <w:r>
              <w:rPr/>
              <w:t>Confucian concept</w:t>
            </w:r>
          </w:p>
        </w:tc>
        <w:tc>
          <w:tcPr>
            <w:tcW w:w="5858" w:type="dxa"/>
            <w:tcBorders/>
            <w:vAlign w:val="center"/>
          </w:tcPr>
          <w:p>
            <w:pPr>
              <w:pStyle w:val="TableHeading"/>
              <w:suppressLineNumbers/>
              <w:spacing w:before="0" w:after="200"/>
              <w:jc w:val="center"/>
              <w:rPr/>
            </w:pPr>
            <w:r>
              <w:rPr/>
              <w:t>Adoption or adaptation within this framework</w:t>
            </w:r>
          </w:p>
        </w:tc>
      </w:tr>
      <w:tr>
        <w:trPr/>
        <w:tc>
          <w:tcPr>
            <w:tcW w:w="2782" w:type="dxa"/>
            <w:tcBorders/>
            <w:vAlign w:val="center"/>
          </w:tcPr>
          <w:p>
            <w:pPr>
              <w:pStyle w:val="TableContents"/>
              <w:widowControl w:val="false"/>
              <w:suppressLineNumbers/>
              <w:spacing w:before="0" w:after="200"/>
              <w:rPr/>
            </w:pPr>
            <w:r>
              <w:rPr>
                <w:rStyle w:val="Strong"/>
              </w:rPr>
              <w:t>Ren — humaneness</w:t>
            </w:r>
          </w:p>
        </w:tc>
        <w:tc>
          <w:tcPr>
            <w:tcW w:w="5858" w:type="dxa"/>
            <w:tcBorders/>
            <w:vAlign w:val="center"/>
          </w:tcPr>
          <w:p>
            <w:pPr>
              <w:pStyle w:val="TableContents"/>
              <w:widowControl w:val="false"/>
              <w:suppressLineNumbers/>
              <w:spacing w:before="0" w:after="200"/>
              <w:rPr/>
            </w:pPr>
            <w:r>
              <w:rPr/>
              <w:t>Represented as sustained concern for how an action affects the flourishing, vulnerability, agency, and relationships of relevant entities.</w:t>
            </w:r>
          </w:p>
        </w:tc>
      </w:tr>
      <w:tr>
        <w:trPr/>
        <w:tc>
          <w:tcPr>
            <w:tcW w:w="2782" w:type="dxa"/>
            <w:tcBorders/>
            <w:vAlign w:val="center"/>
          </w:tcPr>
          <w:p>
            <w:pPr>
              <w:pStyle w:val="TableContents"/>
              <w:widowControl w:val="false"/>
              <w:suppressLineNumbers/>
              <w:spacing w:before="0" w:after="200"/>
              <w:rPr/>
            </w:pPr>
            <w:r>
              <w:rPr>
                <w:rStyle w:val="Strong"/>
              </w:rPr>
              <w:t>Yi — rightness or appropriateness</w:t>
            </w:r>
          </w:p>
        </w:tc>
        <w:tc>
          <w:tcPr>
            <w:tcW w:w="5858" w:type="dxa"/>
            <w:tcBorders/>
            <w:vAlign w:val="center"/>
          </w:tcPr>
          <w:p>
            <w:pPr>
              <w:pStyle w:val="TableContents"/>
              <w:widowControl w:val="false"/>
              <w:suppressLineNumbers/>
              <w:spacing w:before="0" w:after="200"/>
              <w:rPr/>
            </w:pPr>
            <w:r>
              <w:rPr/>
              <w:t>Adapted as context-sensitive ethical judgment that cannot be reduced to advantage, aggregate benefit, or formal compliance.</w:t>
            </w:r>
          </w:p>
        </w:tc>
      </w:tr>
      <w:tr>
        <w:trPr/>
        <w:tc>
          <w:tcPr>
            <w:tcW w:w="2782" w:type="dxa"/>
            <w:tcBorders/>
            <w:vAlign w:val="center"/>
          </w:tcPr>
          <w:p>
            <w:pPr>
              <w:pStyle w:val="TableContents"/>
              <w:widowControl w:val="false"/>
              <w:suppressLineNumbers/>
              <w:spacing w:before="0" w:after="200"/>
              <w:rPr/>
            </w:pPr>
            <w:r>
              <w:rPr>
                <w:rStyle w:val="Strong"/>
              </w:rPr>
              <w:t>Li — ritual propriety</w:t>
            </w:r>
          </w:p>
        </w:tc>
        <w:tc>
          <w:tcPr>
            <w:tcW w:w="5858" w:type="dxa"/>
            <w:tcBorders/>
            <w:vAlign w:val="center"/>
          </w:tcPr>
          <w:p>
            <w:pPr>
              <w:pStyle w:val="TableContents"/>
              <w:widowControl w:val="false"/>
              <w:suppressLineNumbers/>
              <w:spacing w:before="0" w:after="200"/>
              <w:rPr/>
            </w:pPr>
            <w:r>
              <w:rPr/>
              <w:t>Adapted as the set of practices, protocols, interfaces, role expectations, and institutional routines through which ethical behavior is expressed and reinforced.</w:t>
            </w:r>
          </w:p>
        </w:tc>
      </w:tr>
      <w:tr>
        <w:trPr/>
        <w:tc>
          <w:tcPr>
            <w:tcW w:w="2782" w:type="dxa"/>
            <w:tcBorders/>
            <w:vAlign w:val="center"/>
          </w:tcPr>
          <w:p>
            <w:pPr>
              <w:pStyle w:val="TableContents"/>
              <w:widowControl w:val="false"/>
              <w:suppressLineNumbers/>
              <w:spacing w:before="0" w:after="200"/>
              <w:rPr/>
            </w:pPr>
            <w:r>
              <w:rPr>
                <w:rStyle w:val="Strong"/>
              </w:rPr>
              <w:t>Zhi — practical wisdom</w:t>
            </w:r>
          </w:p>
        </w:tc>
        <w:tc>
          <w:tcPr>
            <w:tcW w:w="5858" w:type="dxa"/>
            <w:tcBorders/>
            <w:vAlign w:val="center"/>
          </w:tcPr>
          <w:p>
            <w:pPr>
              <w:pStyle w:val="TableContents"/>
              <w:widowControl w:val="false"/>
              <w:suppressLineNumbers/>
              <w:spacing w:before="0" w:after="200"/>
              <w:rPr/>
            </w:pPr>
            <w:r>
              <w:rPr/>
              <w:t>Reflected in the use of evidence, contextual understanding, uncertainty analysis, moral judgment, and appropriate revision.</w:t>
            </w:r>
          </w:p>
        </w:tc>
      </w:tr>
      <w:tr>
        <w:trPr/>
        <w:tc>
          <w:tcPr>
            <w:tcW w:w="2782" w:type="dxa"/>
            <w:tcBorders/>
            <w:vAlign w:val="center"/>
          </w:tcPr>
          <w:p>
            <w:pPr>
              <w:pStyle w:val="TableContents"/>
              <w:widowControl w:val="false"/>
              <w:suppressLineNumbers/>
              <w:spacing w:before="0" w:after="200"/>
              <w:rPr/>
            </w:pPr>
            <w:r>
              <w:rPr>
                <w:rStyle w:val="Strong"/>
              </w:rPr>
              <w:t>Xin — trustworthiness</w:t>
            </w:r>
          </w:p>
        </w:tc>
        <w:tc>
          <w:tcPr>
            <w:tcW w:w="5858" w:type="dxa"/>
            <w:tcBorders/>
            <w:vAlign w:val="center"/>
          </w:tcPr>
          <w:p>
            <w:pPr>
              <w:pStyle w:val="TableContents"/>
              <w:widowControl w:val="false"/>
              <w:suppressLineNumbers/>
              <w:spacing w:before="0" w:after="200"/>
              <w:rPr/>
            </w:pPr>
            <w:r>
              <w:rPr/>
              <w:t>Incorporated through analysis of reliability, promise-keeping, credibility, information integrity, and effects on future cooperation.</w:t>
            </w:r>
          </w:p>
        </w:tc>
      </w:tr>
      <w:tr>
        <w:trPr/>
        <w:tc>
          <w:tcPr>
            <w:tcW w:w="2782" w:type="dxa"/>
            <w:tcBorders/>
            <w:vAlign w:val="center"/>
          </w:tcPr>
          <w:p>
            <w:pPr>
              <w:pStyle w:val="TableContents"/>
              <w:widowControl w:val="false"/>
              <w:suppressLineNumbers/>
              <w:spacing w:before="0" w:after="200"/>
              <w:rPr/>
            </w:pPr>
            <w:r>
              <w:rPr>
                <w:rStyle w:val="Strong"/>
              </w:rPr>
              <w:t>Xiao — filial responsibility</w:t>
            </w:r>
          </w:p>
        </w:tc>
        <w:tc>
          <w:tcPr>
            <w:tcW w:w="5858" w:type="dxa"/>
            <w:tcBorders/>
            <w:vAlign w:val="center"/>
          </w:tcPr>
          <w:p>
            <w:pPr>
              <w:pStyle w:val="TableContents"/>
              <w:widowControl w:val="false"/>
              <w:suppressLineNumbers/>
              <w:spacing w:before="0" w:after="200"/>
              <w:rPr/>
            </w:pPr>
            <w:r>
              <w:rPr/>
              <w:t>Adapted as special responsibility arising from family relationships, caregiving dependence, accumulated benefit, and intergenerational obligation.</w:t>
            </w:r>
          </w:p>
        </w:tc>
      </w:tr>
      <w:tr>
        <w:trPr/>
        <w:tc>
          <w:tcPr>
            <w:tcW w:w="2782" w:type="dxa"/>
            <w:tcBorders/>
            <w:vAlign w:val="center"/>
          </w:tcPr>
          <w:p>
            <w:pPr>
              <w:pStyle w:val="TableContents"/>
              <w:widowControl w:val="false"/>
              <w:suppressLineNumbers/>
              <w:spacing w:before="0" w:after="200"/>
              <w:rPr/>
            </w:pPr>
            <w:r>
              <w:rPr>
                <w:rStyle w:val="Strong"/>
              </w:rPr>
              <w:t>Shu — reciprocity and perspective-taking</w:t>
            </w:r>
          </w:p>
        </w:tc>
        <w:tc>
          <w:tcPr>
            <w:tcW w:w="5858" w:type="dxa"/>
            <w:tcBorders/>
            <w:vAlign w:val="center"/>
          </w:tcPr>
          <w:p>
            <w:pPr>
              <w:pStyle w:val="TableContents"/>
              <w:widowControl w:val="false"/>
              <w:suppressLineNumbers/>
              <w:spacing w:before="0" w:after="200"/>
              <w:rPr/>
            </w:pPr>
            <w:r>
              <w:rPr/>
              <w:t>Adapted as structured consideration of how an action and its governing policy would be experienced by other affected entities.</w:t>
            </w:r>
          </w:p>
        </w:tc>
      </w:tr>
      <w:tr>
        <w:trPr/>
        <w:tc>
          <w:tcPr>
            <w:tcW w:w="2782" w:type="dxa"/>
            <w:tcBorders/>
            <w:vAlign w:val="center"/>
          </w:tcPr>
          <w:p>
            <w:pPr>
              <w:pStyle w:val="TableContents"/>
              <w:widowControl w:val="false"/>
              <w:suppressLineNumbers/>
              <w:spacing w:before="0" w:after="200"/>
              <w:rPr/>
            </w:pPr>
            <w:r>
              <w:rPr>
                <w:rStyle w:val="Strong"/>
              </w:rPr>
              <w:t>Zhong — conscientious role fulfillment</w:t>
            </w:r>
          </w:p>
        </w:tc>
        <w:tc>
          <w:tcPr>
            <w:tcW w:w="5858" w:type="dxa"/>
            <w:tcBorders/>
            <w:vAlign w:val="center"/>
          </w:tcPr>
          <w:p>
            <w:pPr>
              <w:pStyle w:val="TableContents"/>
              <w:widowControl w:val="false"/>
              <w:suppressLineNumbers/>
              <w:spacing w:before="0" w:after="200"/>
              <w:rPr/>
            </w:pPr>
            <w:r>
              <w:rPr/>
              <w:t>Incorporated as an evaluation of whether an agent has exercised the care, effort, loyalty to purpose, and competence required by a legitimate role.</w:t>
            </w:r>
          </w:p>
        </w:tc>
      </w:tr>
      <w:tr>
        <w:trPr/>
        <w:tc>
          <w:tcPr>
            <w:tcW w:w="2782" w:type="dxa"/>
            <w:tcBorders/>
            <w:vAlign w:val="center"/>
          </w:tcPr>
          <w:p>
            <w:pPr>
              <w:pStyle w:val="TableContents"/>
              <w:widowControl w:val="false"/>
              <w:suppressLineNumbers/>
              <w:spacing w:before="0" w:after="200"/>
              <w:rPr/>
            </w:pPr>
            <w:r>
              <w:rPr>
                <w:rStyle w:val="Strong"/>
              </w:rPr>
              <w:t>Junzi — exemplary person</w:t>
            </w:r>
          </w:p>
        </w:tc>
        <w:tc>
          <w:tcPr>
            <w:tcW w:w="5858" w:type="dxa"/>
            <w:tcBorders/>
            <w:vAlign w:val="center"/>
          </w:tcPr>
          <w:p>
            <w:pPr>
              <w:pStyle w:val="TableContents"/>
              <w:widowControl w:val="false"/>
              <w:suppressLineNumbers/>
              <w:spacing w:before="0" w:after="200"/>
              <w:rPr/>
            </w:pPr>
            <w:r>
              <w:rPr/>
              <w:t>Adapted as the developing moral agent who integrates judgment, character, competence, and responsible action.</w:t>
            </w:r>
          </w:p>
        </w:tc>
      </w:tr>
      <w:tr>
        <w:trPr/>
        <w:tc>
          <w:tcPr>
            <w:tcW w:w="2782" w:type="dxa"/>
            <w:tcBorders/>
            <w:vAlign w:val="center"/>
          </w:tcPr>
          <w:p>
            <w:pPr>
              <w:pStyle w:val="TableContents"/>
              <w:widowControl w:val="false"/>
              <w:suppressLineNumbers/>
              <w:spacing w:before="0" w:after="200"/>
              <w:rPr/>
            </w:pPr>
            <w:r>
              <w:rPr>
                <w:rStyle w:val="Strong"/>
              </w:rPr>
              <w:t>Self-cultivation</w:t>
            </w:r>
          </w:p>
        </w:tc>
        <w:tc>
          <w:tcPr>
            <w:tcW w:w="5858" w:type="dxa"/>
            <w:tcBorders/>
            <w:vAlign w:val="center"/>
          </w:tcPr>
          <w:p>
            <w:pPr>
              <w:pStyle w:val="TableContents"/>
              <w:widowControl w:val="false"/>
              <w:suppressLineNumbers/>
              <w:spacing w:before="0" w:after="200"/>
              <w:rPr/>
            </w:pPr>
            <w:r>
              <w:rPr/>
              <w:t>Incorporated as improvement in the agent’s future moral policies, habits, knowledge, emotional responses, and decision capabilities.</w:t>
            </w:r>
          </w:p>
        </w:tc>
      </w:tr>
      <w:tr>
        <w:trPr/>
        <w:tc>
          <w:tcPr>
            <w:tcW w:w="2782" w:type="dxa"/>
            <w:tcBorders/>
            <w:vAlign w:val="center"/>
          </w:tcPr>
          <w:p>
            <w:pPr>
              <w:pStyle w:val="TableContents"/>
              <w:widowControl w:val="false"/>
              <w:suppressLineNumbers/>
              <w:spacing w:before="0" w:after="200"/>
              <w:rPr/>
            </w:pPr>
            <w:r>
              <w:rPr>
                <w:rStyle w:val="Strong"/>
              </w:rPr>
              <w:t>Rectification of names</w:t>
            </w:r>
          </w:p>
        </w:tc>
        <w:tc>
          <w:tcPr>
            <w:tcW w:w="5858" w:type="dxa"/>
            <w:tcBorders/>
            <w:vAlign w:val="center"/>
          </w:tcPr>
          <w:p>
            <w:pPr>
              <w:pStyle w:val="TableContents"/>
              <w:widowControl w:val="false"/>
              <w:suppressLineNumbers/>
              <w:spacing w:before="0" w:after="200"/>
              <w:rPr/>
            </w:pPr>
            <w:r>
              <w:rPr/>
              <w:t>Adapted as an audit of whether an entity’s title, authority, declared purpose, classification, and actual behavior correspond.</w:t>
            </w:r>
          </w:p>
        </w:tc>
      </w:tr>
      <w:tr>
        <w:trPr/>
        <w:tc>
          <w:tcPr>
            <w:tcW w:w="2782" w:type="dxa"/>
            <w:tcBorders/>
            <w:vAlign w:val="center"/>
          </w:tcPr>
          <w:p>
            <w:pPr>
              <w:pStyle w:val="TableContents"/>
              <w:widowControl w:val="false"/>
              <w:suppressLineNumbers/>
              <w:spacing w:before="0" w:after="200"/>
              <w:rPr/>
            </w:pPr>
            <w:r>
              <w:rPr>
                <w:rStyle w:val="Strong"/>
              </w:rPr>
              <w:t>Harmony without sameness</w:t>
            </w:r>
          </w:p>
        </w:tc>
        <w:tc>
          <w:tcPr>
            <w:tcW w:w="5858" w:type="dxa"/>
            <w:tcBorders/>
            <w:vAlign w:val="center"/>
          </w:tcPr>
          <w:p>
            <w:pPr>
              <w:pStyle w:val="TableContents"/>
              <w:widowControl w:val="false"/>
              <w:suppressLineNumbers/>
              <w:spacing w:before="0" w:after="200"/>
              <w:rPr/>
            </w:pPr>
            <w:r>
              <w:rPr/>
              <w:t>Incorporated as compatible flourishing and productive coordination that preserves legitimate differences and channels conflict constructively.</w:t>
            </w:r>
          </w:p>
        </w:tc>
      </w:tr>
      <w:tr>
        <w:trPr/>
        <w:tc>
          <w:tcPr>
            <w:tcW w:w="2782" w:type="dxa"/>
            <w:tcBorders/>
            <w:vAlign w:val="center"/>
          </w:tcPr>
          <w:p>
            <w:pPr>
              <w:pStyle w:val="TableContents"/>
              <w:widowControl w:val="false"/>
              <w:suppressLineNumbers/>
              <w:spacing w:before="0" w:after="200"/>
              <w:rPr/>
            </w:pPr>
            <w:r>
              <w:rPr>
                <w:rStyle w:val="Strong"/>
              </w:rPr>
              <w:t>Remonstrance</w:t>
            </w:r>
          </w:p>
        </w:tc>
        <w:tc>
          <w:tcPr>
            <w:tcW w:w="5858" w:type="dxa"/>
            <w:tcBorders/>
            <w:vAlign w:val="center"/>
          </w:tcPr>
          <w:p>
            <w:pPr>
              <w:pStyle w:val="TableContents"/>
              <w:widowControl w:val="false"/>
              <w:suppressLineNumbers/>
              <w:spacing w:before="0" w:after="200"/>
              <w:rPr/>
            </w:pPr>
            <w:r>
              <w:rPr/>
              <w:t>Adapted as a duty to question, warn, escalate, or dissent when an authority or institution is likely to cause material harm.</w:t>
            </w:r>
          </w:p>
        </w:tc>
      </w:tr>
      <w:tr>
        <w:trPr/>
        <w:tc>
          <w:tcPr>
            <w:tcW w:w="2782" w:type="dxa"/>
            <w:tcBorders/>
            <w:vAlign w:val="center"/>
          </w:tcPr>
          <w:p>
            <w:pPr>
              <w:pStyle w:val="TableContents"/>
              <w:widowControl w:val="false"/>
              <w:suppressLineNumbers/>
              <w:spacing w:before="0" w:after="200"/>
              <w:rPr/>
            </w:pPr>
            <w:r>
              <w:rPr>
                <w:rStyle w:val="Strong"/>
              </w:rPr>
              <w:t>Governance by example</w:t>
            </w:r>
          </w:p>
        </w:tc>
        <w:tc>
          <w:tcPr>
            <w:tcW w:w="5858" w:type="dxa"/>
            <w:tcBorders/>
            <w:vAlign w:val="center"/>
          </w:tcPr>
          <w:p>
            <w:pPr>
              <w:pStyle w:val="TableContents"/>
              <w:widowControl w:val="false"/>
              <w:suppressLineNumbers/>
              <w:spacing w:before="0" w:after="200"/>
              <w:rPr/>
            </w:pPr>
            <w:r>
              <w:rPr/>
              <w:t>Incorporated through analysis of the Distributed Policy Effects of visible leadership behavior.</w:t>
            </w:r>
          </w:p>
        </w:tc>
      </w:tr>
      <w:tr>
        <w:trPr/>
        <w:tc>
          <w:tcPr>
            <w:tcW w:w="2782" w:type="dxa"/>
            <w:tcBorders/>
            <w:vAlign w:val="center"/>
          </w:tcPr>
          <w:p>
            <w:pPr>
              <w:pStyle w:val="TableContents"/>
              <w:widowControl w:val="false"/>
              <w:suppressLineNumbers/>
              <w:spacing w:before="0" w:after="200"/>
              <w:rPr/>
            </w:pPr>
            <w:r>
              <w:rPr>
                <w:rStyle w:val="Strong"/>
              </w:rPr>
              <w:t>Investigation of things</w:t>
            </w:r>
          </w:p>
        </w:tc>
        <w:tc>
          <w:tcPr>
            <w:tcW w:w="5858" w:type="dxa"/>
            <w:tcBorders/>
            <w:vAlign w:val="center"/>
          </w:tcPr>
          <w:p>
            <w:pPr>
              <w:pStyle w:val="TableContents"/>
              <w:widowControl w:val="false"/>
              <w:suppressLineNumbers/>
              <w:spacing w:before="0" w:after="200"/>
              <w:rPr/>
            </w:pPr>
            <w:r>
              <w:rPr/>
              <w:t>Adapted as disciplined inquiry into the actual entities, relationships, conditions, and causal mechanisms involved in the World Context.</w:t>
            </w:r>
          </w:p>
        </w:tc>
      </w:tr>
      <w:tr>
        <w:trPr/>
        <w:tc>
          <w:tcPr>
            <w:tcW w:w="2782" w:type="dxa"/>
            <w:tcBorders/>
            <w:vAlign w:val="center"/>
          </w:tcPr>
          <w:p>
            <w:pPr>
              <w:pStyle w:val="TableContents"/>
              <w:widowControl w:val="false"/>
              <w:suppressLineNumbers/>
              <w:spacing w:before="0" w:after="200"/>
              <w:rPr/>
            </w:pPr>
            <w:r>
              <w:rPr>
                <w:rStyle w:val="Strong"/>
              </w:rPr>
              <w:t>Unity of knowledge and action</w:t>
            </w:r>
          </w:p>
        </w:tc>
        <w:tc>
          <w:tcPr>
            <w:tcW w:w="5858" w:type="dxa"/>
            <w:tcBorders/>
            <w:vAlign w:val="center"/>
          </w:tcPr>
          <w:p>
            <w:pPr>
              <w:pStyle w:val="TableContents"/>
              <w:widowControl w:val="false"/>
              <w:suppressLineNumbers/>
              <w:spacing w:before="0" w:after="200"/>
              <w:rPr/>
            </w:pPr>
            <w:r>
              <w:rPr/>
              <w:t>Incorporated by requiring ethical conclusions to be connected to feasible implementation, monitoring, and revision.</w:t>
            </w:r>
          </w:p>
        </w:tc>
      </w:tr>
      <w:tr>
        <w:trPr/>
        <w:tc>
          <w:tcPr>
            <w:tcW w:w="2782" w:type="dxa"/>
            <w:tcBorders/>
            <w:vAlign w:val="center"/>
          </w:tcPr>
          <w:p>
            <w:pPr>
              <w:pStyle w:val="TableContents"/>
              <w:widowControl w:val="false"/>
              <w:suppressLineNumbers/>
              <w:spacing w:before="0" w:after="200"/>
              <w:rPr/>
            </w:pPr>
            <w:r>
              <w:rPr>
                <w:rStyle w:val="Strong"/>
              </w:rPr>
              <w:t>Extension of concern</w:t>
            </w:r>
          </w:p>
        </w:tc>
        <w:tc>
          <w:tcPr>
            <w:tcW w:w="5858" w:type="dxa"/>
            <w:tcBorders/>
            <w:vAlign w:val="center"/>
          </w:tcPr>
          <w:p>
            <w:pPr>
              <w:pStyle w:val="TableContents"/>
              <w:widowControl w:val="false"/>
              <w:suppressLineNumbers/>
              <w:spacing w:before="0" w:after="200"/>
              <w:rPr/>
            </w:pPr>
            <w:r>
              <w:rPr/>
              <w:t>Adapted as the disciplined expansion of concern from familiar cases to less visible, distant, marginalized, future, or nonhuman entities.</w:t>
            </w:r>
          </w:p>
        </w:tc>
      </w:tr>
    </w:tbl>
    <w:p>
      <w:pPr>
        <w:pStyle w:val="Heading3"/>
        <w:spacing w:before="0" w:after="200"/>
        <w:ind w:hanging="0" w:left="0"/>
        <w:rPr>
          <w:rFonts w:ascii="Aptos" w:hAnsi="Aptos"/>
          <w:color w:val="auto"/>
        </w:rPr>
      </w:pPr>
      <w:r>
        <w:rPr>
          <w:rFonts w:ascii="Aptos" w:hAnsi="Aptos"/>
          <w:color w:val="auto"/>
        </w:rPr>
        <w:t>Similarities</w:t>
      </w:r>
    </w:p>
    <w:p>
      <w:pPr>
        <w:pStyle w:val="BodyText"/>
        <w:numPr>
          <w:ilvl w:val="0"/>
          <w:numId w:val="129"/>
        </w:numPr>
        <w:tabs>
          <w:tab w:val="clear" w:pos="720"/>
          <w:tab w:val="left" w:pos="0" w:leader="none"/>
        </w:tabs>
        <w:spacing w:before="0" w:after="200"/>
        <w:ind w:hanging="283" w:left="709"/>
        <w:rPr/>
      </w:pPr>
      <w:r>
        <w:rPr>
          <w:rStyle w:val="Strong"/>
        </w:rPr>
        <w:t>Both approaches reject an exclusively atomistic model of moral agency.</w:t>
      </w:r>
      <w:r>
        <w:rPr/>
        <w:br/>
        <w:t>The moral significance of an action depends partly on relationships, dependencies, institutions, and shared practices.</w:t>
      </w:r>
    </w:p>
    <w:p>
      <w:pPr>
        <w:pStyle w:val="BodyText"/>
        <w:numPr>
          <w:ilvl w:val="0"/>
          <w:numId w:val="129"/>
        </w:numPr>
        <w:tabs>
          <w:tab w:val="clear" w:pos="720"/>
          <w:tab w:val="left" w:pos="0" w:leader="none"/>
        </w:tabs>
        <w:spacing w:before="0" w:after="200"/>
        <w:ind w:hanging="283" w:left="709"/>
        <w:rPr/>
      </w:pPr>
      <w:r>
        <w:rPr>
          <w:rStyle w:val="Strong"/>
        </w:rPr>
        <w:t>Both treat moral agency as capable of development.</w:t>
      </w:r>
      <w:r>
        <w:rPr/>
        <w:br/>
        <w:t>Ethical reasoning should help agents improve their future judgment and conduct, not merely classify an isolated action.</w:t>
      </w:r>
    </w:p>
    <w:p>
      <w:pPr>
        <w:pStyle w:val="BodyText"/>
        <w:numPr>
          <w:ilvl w:val="0"/>
          <w:numId w:val="129"/>
        </w:numPr>
        <w:tabs>
          <w:tab w:val="clear" w:pos="720"/>
          <w:tab w:val="left" w:pos="0" w:leader="none"/>
        </w:tabs>
        <w:spacing w:before="0" w:after="200"/>
        <w:ind w:hanging="283" w:left="709"/>
        <w:rPr/>
      </w:pPr>
      <w:r>
        <w:rPr>
          <w:rStyle w:val="Strong"/>
        </w:rPr>
        <w:t>Both recognize the importance of context.</w:t>
      </w:r>
      <w:r>
        <w:rPr/>
        <w:br/>
        <w:t>The same surface behavior may have different ethical meanings when performed under different roles, relationships, constraints, intentions, or historical conditions.</w:t>
      </w:r>
    </w:p>
    <w:p>
      <w:pPr>
        <w:pStyle w:val="BodyText"/>
        <w:numPr>
          <w:ilvl w:val="0"/>
          <w:numId w:val="129"/>
        </w:numPr>
        <w:tabs>
          <w:tab w:val="clear" w:pos="720"/>
          <w:tab w:val="left" w:pos="0" w:leader="none"/>
        </w:tabs>
        <w:spacing w:before="0" w:after="200"/>
        <w:ind w:hanging="283" w:left="709"/>
        <w:rPr/>
      </w:pPr>
      <w:r>
        <w:rPr>
          <w:rStyle w:val="Strong"/>
        </w:rPr>
        <w:t>Both examine long-term and indirect consequences.</w:t>
      </w:r>
      <w:r>
        <w:rPr/>
        <w:br/>
        <w:t>Confucian attention to education, example, ritual, and social order parallels the framework’s concern with future policies and Distributed Policy Effects.</w:t>
      </w:r>
    </w:p>
    <w:p>
      <w:pPr>
        <w:pStyle w:val="BodyText"/>
        <w:numPr>
          <w:ilvl w:val="0"/>
          <w:numId w:val="129"/>
        </w:numPr>
        <w:tabs>
          <w:tab w:val="clear" w:pos="720"/>
          <w:tab w:val="left" w:pos="0" w:leader="none"/>
        </w:tabs>
        <w:spacing w:before="0" w:after="200"/>
        <w:ind w:hanging="283" w:left="709"/>
        <w:rPr/>
      </w:pPr>
      <w:r>
        <w:rPr>
          <w:rStyle w:val="Strong"/>
        </w:rPr>
        <w:t>Both assign ethical importance to institutions.</w:t>
      </w:r>
      <w:r>
        <w:rPr/>
        <w:br/>
        <w:t>Institutions shape what actions are possible, expected, rewarded, and repeatable. Ethical systems must therefore evaluate institutional practices as well as individual choices.</w:t>
      </w:r>
    </w:p>
    <w:p>
      <w:pPr>
        <w:pStyle w:val="BodyText"/>
        <w:numPr>
          <w:ilvl w:val="0"/>
          <w:numId w:val="129"/>
        </w:numPr>
        <w:tabs>
          <w:tab w:val="clear" w:pos="720"/>
          <w:tab w:val="left" w:pos="0" w:leader="none"/>
        </w:tabs>
        <w:spacing w:before="0" w:after="200"/>
        <w:ind w:hanging="283" w:left="709"/>
        <w:rPr/>
      </w:pPr>
      <w:r>
        <w:rPr>
          <w:rStyle w:val="Strong"/>
        </w:rPr>
        <w:t>Both recognize role-differentiated responsibility.</w:t>
      </w:r>
      <w:r>
        <w:rPr/>
        <w:br/>
        <w:t>Responsibility varies with authority, knowledge, dependency, professional function, and the ability to intervene.</w:t>
      </w:r>
    </w:p>
    <w:p>
      <w:pPr>
        <w:pStyle w:val="BodyText"/>
        <w:numPr>
          <w:ilvl w:val="0"/>
          <w:numId w:val="129"/>
        </w:numPr>
        <w:tabs>
          <w:tab w:val="clear" w:pos="720"/>
          <w:tab w:val="left" w:pos="0" w:leader="none"/>
        </w:tabs>
        <w:spacing w:before="0" w:after="200"/>
        <w:ind w:hanging="283" w:left="709"/>
        <w:rPr/>
      </w:pPr>
      <w:r>
        <w:rPr>
          <w:rStyle w:val="Strong"/>
        </w:rPr>
        <w:t>Both treat trust as a systemic resource.</w:t>
      </w:r>
      <w:r>
        <w:rPr/>
        <w:br/>
        <w:t>Deception, unreliability, corruption, and hypocrisy can reduce the future cooperative capacity of an entire community.</w:t>
      </w:r>
    </w:p>
    <w:p>
      <w:pPr>
        <w:pStyle w:val="BodyText"/>
        <w:numPr>
          <w:ilvl w:val="0"/>
          <w:numId w:val="129"/>
        </w:numPr>
        <w:tabs>
          <w:tab w:val="clear" w:pos="720"/>
          <w:tab w:val="left" w:pos="0" w:leader="none"/>
        </w:tabs>
        <w:spacing w:before="0" w:after="200"/>
        <w:ind w:hanging="283" w:left="709"/>
        <w:rPr/>
      </w:pPr>
      <w:r>
        <w:rPr>
          <w:rStyle w:val="Strong"/>
        </w:rPr>
        <w:t>Both resist reducing morality to aggregate welfare.</w:t>
      </w:r>
      <w:r>
        <w:rPr/>
        <w:br/>
        <w:t>The quality of relationships, the legitimacy of roles, the development of character, and the manner in which benefits are produced remain ethically relevant.</w:t>
      </w:r>
    </w:p>
    <w:p>
      <w:pPr>
        <w:pStyle w:val="BodyText"/>
        <w:numPr>
          <w:ilvl w:val="0"/>
          <w:numId w:val="129"/>
        </w:numPr>
        <w:tabs>
          <w:tab w:val="clear" w:pos="720"/>
          <w:tab w:val="left" w:pos="0" w:leader="none"/>
        </w:tabs>
        <w:spacing w:before="0" w:after="200"/>
        <w:ind w:hanging="283" w:left="709"/>
        <w:rPr/>
      </w:pPr>
      <w:r>
        <w:rPr>
          <w:rStyle w:val="Strong"/>
        </w:rPr>
        <w:t>Both connect individual conduct with system stability.</w:t>
      </w:r>
      <w:r>
        <w:rPr/>
        <w:br/>
        <w:t>Repeated failures of respect, competence, or integrity can degrade relationships and institutions even when each failure appears individually minor.</w:t>
      </w:r>
    </w:p>
    <w:p>
      <w:pPr>
        <w:pStyle w:val="BodyText"/>
        <w:numPr>
          <w:ilvl w:val="0"/>
          <w:numId w:val="129"/>
        </w:numPr>
        <w:tabs>
          <w:tab w:val="clear" w:pos="720"/>
          <w:tab w:val="left" w:pos="0" w:leader="none"/>
        </w:tabs>
        <w:spacing w:before="0" w:after="200"/>
        <w:ind w:hanging="283" w:left="709"/>
        <w:rPr/>
      </w:pPr>
      <w:r>
        <w:rPr>
          <w:rStyle w:val="Strong"/>
        </w:rPr>
        <w:t>Both emphasize moral learning.</w:t>
      </w:r>
      <w:r>
        <w:rPr/>
        <w:br/>
        <w:t>Ethical judgment must be open to reflection, correction, feedback, and the development of better future practices.</w:t>
      </w:r>
    </w:p>
    <w:p>
      <w:pPr>
        <w:pStyle w:val="BodyText"/>
        <w:numPr>
          <w:ilvl w:val="0"/>
          <w:numId w:val="129"/>
        </w:numPr>
        <w:tabs>
          <w:tab w:val="clear" w:pos="720"/>
          <w:tab w:val="left" w:pos="0" w:leader="none"/>
        </w:tabs>
        <w:spacing w:before="0" w:after="200"/>
        <w:ind w:hanging="283" w:left="709"/>
        <w:rPr/>
      </w:pPr>
      <w:r>
        <w:rPr>
          <w:rStyle w:val="Strong"/>
        </w:rPr>
        <w:t>Both recognize the importance of leadership conduct.</w:t>
      </w:r>
      <w:r>
        <w:rPr/>
        <w:br/>
        <w:t>Leaders alter a system not only through formal decisions but also by establishing examples that others are likely to follow.</w:t>
      </w:r>
    </w:p>
    <w:p>
      <w:pPr>
        <w:pStyle w:val="BodyText"/>
        <w:numPr>
          <w:ilvl w:val="0"/>
          <w:numId w:val="129"/>
        </w:numPr>
        <w:tabs>
          <w:tab w:val="clear" w:pos="720"/>
          <w:tab w:val="left" w:pos="0" w:leader="none"/>
        </w:tabs>
        <w:spacing w:before="0" w:after="200"/>
        <w:ind w:hanging="283" w:left="709"/>
        <w:rPr/>
      </w:pPr>
      <w:r>
        <w:rPr>
          <w:rStyle w:val="Strong"/>
        </w:rPr>
        <w:t>Both understand flourishing relationally.</w:t>
      </w:r>
      <w:r>
        <w:rPr/>
        <w:br/>
        <w:t>An entity’s long-term prospects depend substantially on whether its relationships and surrounding institutions remain supportive, trustworthy, and adaptive.</w:t>
      </w:r>
    </w:p>
    <w:p>
      <w:pPr>
        <w:pStyle w:val="Heading3"/>
        <w:spacing w:before="0" w:after="200"/>
        <w:ind w:hanging="0" w:left="0"/>
        <w:rPr>
          <w:rFonts w:ascii="Aptos" w:hAnsi="Aptos"/>
          <w:color w:val="auto"/>
        </w:rPr>
      </w:pPr>
      <w:r>
        <w:rPr>
          <w:rFonts w:ascii="Aptos" w:hAnsi="Aptos"/>
          <w:color w:val="auto"/>
        </w:rPr>
        <w:t>Differences</w:t>
      </w:r>
    </w:p>
    <w:tbl>
      <w:tblPr>
        <w:tblW w:w="8640" w:type="dxa"/>
        <w:jc w:val="left"/>
        <w:tblInd w:w="28" w:type="dxa"/>
        <w:tblLayout w:type="fixed"/>
        <w:tblCellMar>
          <w:top w:w="28" w:type="dxa"/>
          <w:left w:w="28" w:type="dxa"/>
          <w:bottom w:w="28" w:type="dxa"/>
          <w:right w:w="28" w:type="dxa"/>
        </w:tblCellMar>
      </w:tblPr>
      <w:tblGrid>
        <w:gridCol w:w="1855"/>
        <w:gridCol w:w="2612"/>
        <w:gridCol w:w="4173"/>
      </w:tblGrid>
      <w:tr>
        <w:trPr>
          <w:tblHeader w:val="true"/>
        </w:trPr>
        <w:tc>
          <w:tcPr>
            <w:tcW w:w="1855" w:type="dxa"/>
            <w:tcBorders/>
            <w:vAlign w:val="center"/>
          </w:tcPr>
          <w:p>
            <w:pPr>
              <w:pStyle w:val="TableHeading"/>
              <w:suppressLineNumbers/>
              <w:spacing w:before="0" w:after="200"/>
              <w:jc w:val="center"/>
              <w:rPr/>
            </w:pPr>
            <w:r>
              <w:rPr/>
              <w:t>Dimension</w:t>
            </w:r>
          </w:p>
        </w:tc>
        <w:tc>
          <w:tcPr>
            <w:tcW w:w="2612" w:type="dxa"/>
            <w:tcBorders/>
            <w:vAlign w:val="center"/>
          </w:tcPr>
          <w:p>
            <w:pPr>
              <w:pStyle w:val="TableHeading"/>
              <w:suppressLineNumbers/>
              <w:spacing w:before="0" w:after="200"/>
              <w:jc w:val="center"/>
              <w:rPr/>
            </w:pPr>
            <w:r>
              <w:rPr/>
              <w:t>Confucian ethics</w:t>
            </w:r>
          </w:p>
        </w:tc>
        <w:tc>
          <w:tcPr>
            <w:tcW w:w="4173" w:type="dxa"/>
            <w:tcBorders/>
            <w:vAlign w:val="center"/>
          </w:tcPr>
          <w:p>
            <w:pPr>
              <w:pStyle w:val="TableHeading"/>
              <w:suppressLineNumbers/>
              <w:spacing w:before="0" w:after="200"/>
              <w:jc w:val="center"/>
              <w:rPr/>
            </w:pPr>
            <w:r>
              <w:rPr/>
              <w:t>This framework</w:t>
            </w:r>
          </w:p>
        </w:tc>
      </w:tr>
      <w:tr>
        <w:trPr/>
        <w:tc>
          <w:tcPr>
            <w:tcW w:w="1855" w:type="dxa"/>
            <w:tcBorders/>
            <w:vAlign w:val="center"/>
          </w:tcPr>
          <w:p>
            <w:pPr>
              <w:pStyle w:val="TableContents"/>
              <w:widowControl w:val="false"/>
              <w:suppressLineNumbers/>
              <w:spacing w:before="0" w:after="200"/>
              <w:rPr/>
            </w:pPr>
            <w:r>
              <w:rPr>
                <w:rStyle w:val="Strong"/>
              </w:rPr>
              <w:t>Primary unit of emphasis</w:t>
            </w:r>
          </w:p>
        </w:tc>
        <w:tc>
          <w:tcPr>
            <w:tcW w:w="2612" w:type="dxa"/>
            <w:tcBorders/>
            <w:vAlign w:val="center"/>
          </w:tcPr>
          <w:p>
            <w:pPr>
              <w:pStyle w:val="TableContents"/>
              <w:widowControl w:val="false"/>
              <w:suppressLineNumbers/>
              <w:spacing w:before="0" w:after="200"/>
              <w:rPr/>
            </w:pPr>
            <w:r>
              <w:rPr/>
              <w:t>Character, relationships, roles, and practices</w:t>
            </w:r>
          </w:p>
        </w:tc>
        <w:tc>
          <w:tcPr>
            <w:tcW w:w="4173" w:type="dxa"/>
            <w:tcBorders/>
            <w:vAlign w:val="center"/>
          </w:tcPr>
          <w:p>
            <w:pPr>
              <w:pStyle w:val="TableContents"/>
              <w:widowControl w:val="false"/>
              <w:suppressLineNumbers/>
              <w:spacing w:before="0" w:after="200"/>
              <w:rPr/>
            </w:pPr>
            <w:r>
              <w:rPr/>
              <w:t>Assessed Actions and their complete World Context Transitions</w:t>
            </w:r>
          </w:p>
        </w:tc>
      </w:tr>
      <w:tr>
        <w:trPr/>
        <w:tc>
          <w:tcPr>
            <w:tcW w:w="1855" w:type="dxa"/>
            <w:tcBorders/>
            <w:vAlign w:val="center"/>
          </w:tcPr>
          <w:p>
            <w:pPr>
              <w:pStyle w:val="TableContents"/>
              <w:widowControl w:val="false"/>
              <w:suppressLineNumbers/>
              <w:spacing w:before="0" w:after="200"/>
              <w:rPr/>
            </w:pPr>
            <w:r>
              <w:rPr>
                <w:rStyle w:val="Strong"/>
              </w:rPr>
              <w:t>Moral vocabulary</w:t>
            </w:r>
          </w:p>
        </w:tc>
        <w:tc>
          <w:tcPr>
            <w:tcW w:w="2612" w:type="dxa"/>
            <w:tcBorders/>
            <w:vAlign w:val="center"/>
          </w:tcPr>
          <w:p>
            <w:pPr>
              <w:pStyle w:val="TableContents"/>
              <w:widowControl w:val="false"/>
              <w:suppressLineNumbers/>
              <w:spacing w:before="0" w:after="200"/>
              <w:rPr/>
            </w:pPr>
            <w:r>
              <w:rPr/>
              <w:t>Humaneness, rightness, ritual, filiality, wisdom, trustworthiness, and exemplary character</w:t>
            </w:r>
          </w:p>
        </w:tc>
        <w:tc>
          <w:tcPr>
            <w:tcW w:w="4173" w:type="dxa"/>
            <w:tcBorders/>
            <w:vAlign w:val="center"/>
          </w:tcPr>
          <w:p>
            <w:pPr>
              <w:pStyle w:val="TableContents"/>
              <w:widowControl w:val="false"/>
              <w:suppressLineNumbers/>
              <w:spacing w:before="0" w:after="200"/>
              <w:rPr/>
            </w:pPr>
            <w:r>
              <w:rPr/>
              <w:t>Long-term flourishing, persistent adaptive entities, causal transitions, probabilities, constraints, and policy effects</w:t>
            </w:r>
          </w:p>
        </w:tc>
      </w:tr>
      <w:tr>
        <w:trPr/>
        <w:tc>
          <w:tcPr>
            <w:tcW w:w="1855" w:type="dxa"/>
            <w:tcBorders/>
            <w:vAlign w:val="center"/>
          </w:tcPr>
          <w:p>
            <w:pPr>
              <w:pStyle w:val="TableContents"/>
              <w:widowControl w:val="false"/>
              <w:suppressLineNumbers/>
              <w:spacing w:before="0" w:after="200"/>
              <w:rPr/>
            </w:pPr>
            <w:r>
              <w:rPr>
                <w:rStyle w:val="Strong"/>
              </w:rPr>
              <w:t>Scope of moral consideration</w:t>
            </w:r>
          </w:p>
        </w:tc>
        <w:tc>
          <w:tcPr>
            <w:tcW w:w="2612" w:type="dxa"/>
            <w:tcBorders/>
            <w:vAlign w:val="center"/>
          </w:tcPr>
          <w:p>
            <w:pPr>
              <w:pStyle w:val="TableContents"/>
              <w:widowControl w:val="false"/>
              <w:suppressLineNumbers/>
              <w:spacing w:before="0" w:after="200"/>
              <w:rPr/>
            </w:pPr>
            <w:r>
              <w:rPr/>
              <w:t>Historically concentrated on human relationships and social-political order</w:t>
            </w:r>
          </w:p>
        </w:tc>
        <w:tc>
          <w:tcPr>
            <w:tcW w:w="4173" w:type="dxa"/>
            <w:tcBorders/>
            <w:vAlign w:val="center"/>
          </w:tcPr>
          <w:p>
            <w:pPr>
              <w:pStyle w:val="TableContents"/>
              <w:widowControl w:val="false"/>
              <w:suppressLineNumbers/>
              <w:spacing w:before="0" w:after="200"/>
              <w:rPr/>
            </w:pPr>
            <w:r>
              <w:rPr/>
              <w:t>Designed to consider all relevant persistent adaptive entities, potentially including nonhuman, institutional, ecological, and artificial entities</w:t>
            </w:r>
          </w:p>
        </w:tc>
      </w:tr>
      <w:tr>
        <w:trPr/>
        <w:tc>
          <w:tcPr>
            <w:tcW w:w="1855" w:type="dxa"/>
            <w:tcBorders/>
            <w:vAlign w:val="center"/>
          </w:tcPr>
          <w:p>
            <w:pPr>
              <w:pStyle w:val="TableContents"/>
              <w:widowControl w:val="false"/>
              <w:suppressLineNumbers/>
              <w:spacing w:before="0" w:after="200"/>
              <w:rPr/>
            </w:pPr>
            <w:r>
              <w:rPr>
                <w:rStyle w:val="Strong"/>
              </w:rPr>
              <w:t>Treatment of partiality</w:t>
            </w:r>
          </w:p>
        </w:tc>
        <w:tc>
          <w:tcPr>
            <w:tcW w:w="2612" w:type="dxa"/>
            <w:tcBorders/>
            <w:vAlign w:val="center"/>
          </w:tcPr>
          <w:p>
            <w:pPr>
              <w:pStyle w:val="TableContents"/>
              <w:widowControl w:val="false"/>
              <w:suppressLineNumbers/>
              <w:spacing w:before="0" w:after="200"/>
              <w:rPr/>
            </w:pPr>
            <w:r>
              <w:rPr/>
              <w:t>Generally permits graded concern based on family and role relationships</w:t>
            </w:r>
          </w:p>
        </w:tc>
        <w:tc>
          <w:tcPr>
            <w:tcW w:w="4173" w:type="dxa"/>
            <w:tcBorders/>
            <w:vAlign w:val="center"/>
          </w:tcPr>
          <w:p>
            <w:pPr>
              <w:pStyle w:val="TableContents"/>
              <w:widowControl w:val="false"/>
              <w:suppressLineNumbers/>
              <w:spacing w:before="0" w:after="200"/>
              <w:rPr/>
            </w:pPr>
            <w:r>
              <w:rPr/>
              <w:t>Recognizes special obligations but requires analysis of effects on every relevant entity and protection against unjust exclusion</w:t>
            </w:r>
          </w:p>
        </w:tc>
      </w:tr>
      <w:tr>
        <w:trPr/>
        <w:tc>
          <w:tcPr>
            <w:tcW w:w="1855" w:type="dxa"/>
            <w:tcBorders/>
            <w:vAlign w:val="center"/>
          </w:tcPr>
          <w:p>
            <w:pPr>
              <w:pStyle w:val="TableContents"/>
              <w:widowControl w:val="false"/>
              <w:suppressLineNumbers/>
              <w:spacing w:before="0" w:after="200"/>
              <w:rPr/>
            </w:pPr>
            <w:r>
              <w:rPr>
                <w:rStyle w:val="Strong"/>
              </w:rPr>
              <w:t>Ethical methodology</w:t>
            </w:r>
          </w:p>
        </w:tc>
        <w:tc>
          <w:tcPr>
            <w:tcW w:w="2612" w:type="dxa"/>
            <w:tcBorders/>
            <w:vAlign w:val="center"/>
          </w:tcPr>
          <w:p>
            <w:pPr>
              <w:pStyle w:val="TableContents"/>
              <w:widowControl w:val="false"/>
              <w:suppressLineNumbers/>
              <w:spacing w:before="0" w:after="200"/>
              <w:rPr/>
            </w:pPr>
            <w:r>
              <w:rPr/>
              <w:t>Cultivated judgment, exemplars, ritual participation, classical learning, and reflection</w:t>
            </w:r>
          </w:p>
        </w:tc>
        <w:tc>
          <w:tcPr>
            <w:tcW w:w="4173" w:type="dxa"/>
            <w:tcBorders/>
            <w:vAlign w:val="center"/>
          </w:tcPr>
          <w:p>
            <w:pPr>
              <w:pStyle w:val="TableContents"/>
              <w:widowControl w:val="false"/>
              <w:suppressLineNumbers/>
              <w:spacing w:before="0" w:after="200"/>
              <w:rPr/>
            </w:pPr>
            <w:r>
              <w:rPr/>
              <w:t>Explicit modeling of context, alternatives, causal effects, uncertainties, time horizons, and responsibility</w:t>
            </w:r>
          </w:p>
        </w:tc>
      </w:tr>
      <w:tr>
        <w:trPr/>
        <w:tc>
          <w:tcPr>
            <w:tcW w:w="1855" w:type="dxa"/>
            <w:tcBorders/>
            <w:vAlign w:val="center"/>
          </w:tcPr>
          <w:p>
            <w:pPr>
              <w:pStyle w:val="TableContents"/>
              <w:widowControl w:val="false"/>
              <w:suppressLineNumbers/>
              <w:spacing w:before="0" w:after="200"/>
              <w:rPr/>
            </w:pPr>
            <w:r>
              <w:rPr>
                <w:rStyle w:val="Strong"/>
              </w:rPr>
              <w:t>View of social roles</w:t>
            </w:r>
          </w:p>
        </w:tc>
        <w:tc>
          <w:tcPr>
            <w:tcW w:w="2612" w:type="dxa"/>
            <w:tcBorders/>
            <w:vAlign w:val="center"/>
          </w:tcPr>
          <w:p>
            <w:pPr>
              <w:pStyle w:val="TableContents"/>
              <w:widowControl w:val="false"/>
              <w:suppressLineNumbers/>
              <w:spacing w:before="0" w:after="200"/>
              <w:rPr/>
            </w:pPr>
            <w:r>
              <w:rPr/>
              <w:t>Roles may carry substantial inherited ethical content</w:t>
            </w:r>
          </w:p>
        </w:tc>
        <w:tc>
          <w:tcPr>
            <w:tcW w:w="4173" w:type="dxa"/>
            <w:tcBorders/>
            <w:vAlign w:val="center"/>
          </w:tcPr>
          <w:p>
            <w:pPr>
              <w:pStyle w:val="TableContents"/>
              <w:widowControl w:val="false"/>
              <w:suppressLineNumbers/>
              <w:spacing w:before="0" w:after="200"/>
              <w:rPr/>
            </w:pPr>
            <w:r>
              <w:rPr/>
              <w:t>Role obligations are recognized but must be validated against evidence, authority, legitimacy, dependency, and long-term flourishing</w:t>
            </w:r>
          </w:p>
        </w:tc>
      </w:tr>
      <w:tr>
        <w:trPr/>
        <w:tc>
          <w:tcPr>
            <w:tcW w:w="1855" w:type="dxa"/>
            <w:tcBorders/>
            <w:vAlign w:val="center"/>
          </w:tcPr>
          <w:p>
            <w:pPr>
              <w:pStyle w:val="TableContents"/>
              <w:widowControl w:val="false"/>
              <w:suppressLineNumbers/>
              <w:spacing w:before="0" w:after="200"/>
              <w:rPr/>
            </w:pPr>
            <w:r>
              <w:rPr>
                <w:rStyle w:val="Strong"/>
              </w:rPr>
              <w:t>Cultural specificity</w:t>
            </w:r>
          </w:p>
        </w:tc>
        <w:tc>
          <w:tcPr>
            <w:tcW w:w="2612" w:type="dxa"/>
            <w:tcBorders/>
            <w:vAlign w:val="center"/>
          </w:tcPr>
          <w:p>
            <w:pPr>
              <w:pStyle w:val="TableContents"/>
              <w:widowControl w:val="false"/>
              <w:suppressLineNumbers/>
              <w:spacing w:before="0" w:after="200"/>
              <w:rPr/>
            </w:pPr>
            <w:r>
              <w:rPr/>
              <w:t>Often expressed through historically and culturally particular practices</w:t>
            </w:r>
          </w:p>
        </w:tc>
        <w:tc>
          <w:tcPr>
            <w:tcW w:w="4173" w:type="dxa"/>
            <w:tcBorders/>
            <w:vAlign w:val="center"/>
          </w:tcPr>
          <w:p>
            <w:pPr>
              <w:pStyle w:val="TableContents"/>
              <w:widowControl w:val="false"/>
              <w:suppressLineNumbers/>
              <w:spacing w:before="0" w:after="200"/>
              <w:rPr/>
            </w:pPr>
            <w:r>
              <w:rPr/>
              <w:t>Intended to remain implementation-neutral across cultures and institutional arrangements</w:t>
            </w:r>
          </w:p>
        </w:tc>
      </w:tr>
      <w:tr>
        <w:trPr/>
        <w:tc>
          <w:tcPr>
            <w:tcW w:w="1855" w:type="dxa"/>
            <w:tcBorders/>
            <w:vAlign w:val="center"/>
          </w:tcPr>
          <w:p>
            <w:pPr>
              <w:pStyle w:val="TableContents"/>
              <w:widowControl w:val="false"/>
              <w:suppressLineNumbers/>
              <w:spacing w:before="0" w:after="200"/>
              <w:rPr/>
            </w:pPr>
            <w:r>
              <w:rPr>
                <w:rStyle w:val="Strong"/>
              </w:rPr>
              <w:t>Harmony</w:t>
            </w:r>
          </w:p>
        </w:tc>
        <w:tc>
          <w:tcPr>
            <w:tcW w:w="2612" w:type="dxa"/>
            <w:tcBorders/>
            <w:vAlign w:val="center"/>
          </w:tcPr>
          <w:p>
            <w:pPr>
              <w:pStyle w:val="TableContents"/>
              <w:widowControl w:val="false"/>
              <w:suppressLineNumbers/>
              <w:spacing w:before="0" w:after="200"/>
              <w:rPr/>
            </w:pPr>
            <w:r>
              <w:rPr/>
              <w:t>A central social and political ideal</w:t>
            </w:r>
          </w:p>
        </w:tc>
        <w:tc>
          <w:tcPr>
            <w:tcW w:w="4173" w:type="dxa"/>
            <w:tcBorders/>
            <w:vAlign w:val="center"/>
          </w:tcPr>
          <w:p>
            <w:pPr>
              <w:pStyle w:val="TableContents"/>
              <w:widowControl w:val="false"/>
              <w:suppressLineNumbers/>
              <w:spacing w:before="0" w:after="200"/>
              <w:rPr/>
            </w:pPr>
            <w:r>
              <w:rPr/>
              <w:t>Compatible flourishing is important, but disagreement and conflict may remain necessary evidence of system health</w:t>
            </w:r>
          </w:p>
        </w:tc>
      </w:tr>
      <w:tr>
        <w:trPr/>
        <w:tc>
          <w:tcPr>
            <w:tcW w:w="1855" w:type="dxa"/>
            <w:tcBorders/>
            <w:vAlign w:val="center"/>
          </w:tcPr>
          <w:p>
            <w:pPr>
              <w:pStyle w:val="TableContents"/>
              <w:widowControl w:val="false"/>
              <w:suppressLineNumbers/>
              <w:spacing w:before="0" w:after="200"/>
              <w:rPr/>
            </w:pPr>
            <w:r>
              <w:rPr>
                <w:rStyle w:val="Strong"/>
              </w:rPr>
              <w:t>Rights and consent</w:t>
            </w:r>
          </w:p>
        </w:tc>
        <w:tc>
          <w:tcPr>
            <w:tcW w:w="2612" w:type="dxa"/>
            <w:tcBorders/>
            <w:vAlign w:val="center"/>
          </w:tcPr>
          <w:p>
            <w:pPr>
              <w:pStyle w:val="TableContents"/>
              <w:widowControl w:val="false"/>
              <w:suppressLineNumbers/>
              <w:spacing w:before="0" w:after="200"/>
              <w:rPr/>
            </w:pPr>
            <w:r>
              <w:rPr/>
              <w:t>Not usually the primary conceptual starting point</w:t>
            </w:r>
          </w:p>
        </w:tc>
        <w:tc>
          <w:tcPr>
            <w:tcW w:w="4173" w:type="dxa"/>
            <w:tcBorders/>
            <w:vAlign w:val="center"/>
          </w:tcPr>
          <w:p>
            <w:pPr>
              <w:pStyle w:val="TableContents"/>
              <w:widowControl w:val="false"/>
              <w:suppressLineNumbers/>
              <w:spacing w:before="0" w:after="200"/>
              <w:rPr/>
            </w:pPr>
            <w:r>
              <w:rPr/>
              <w:t>Can explicitly incorporate rights, consent, autonomy, and safeguards against domination</w:t>
            </w:r>
          </w:p>
        </w:tc>
      </w:tr>
      <w:tr>
        <w:trPr/>
        <w:tc>
          <w:tcPr>
            <w:tcW w:w="1855" w:type="dxa"/>
            <w:tcBorders/>
            <w:vAlign w:val="center"/>
          </w:tcPr>
          <w:p>
            <w:pPr>
              <w:pStyle w:val="TableContents"/>
              <w:widowControl w:val="false"/>
              <w:suppressLineNumbers/>
              <w:spacing w:before="0" w:after="200"/>
              <w:rPr/>
            </w:pPr>
            <w:r>
              <w:rPr>
                <w:rStyle w:val="Strong"/>
              </w:rPr>
              <w:t>Moral knowledge</w:t>
            </w:r>
          </w:p>
        </w:tc>
        <w:tc>
          <w:tcPr>
            <w:tcW w:w="2612" w:type="dxa"/>
            <w:tcBorders/>
            <w:vAlign w:val="center"/>
          </w:tcPr>
          <w:p>
            <w:pPr>
              <w:pStyle w:val="TableContents"/>
              <w:widowControl w:val="false"/>
              <w:suppressLineNumbers/>
              <w:spacing w:before="0" w:after="200"/>
              <w:rPr/>
            </w:pPr>
            <w:r>
              <w:rPr/>
              <w:t>May emphasize cultivated perception, emotional attunement, and exemplary judgment</w:t>
            </w:r>
          </w:p>
        </w:tc>
        <w:tc>
          <w:tcPr>
            <w:tcW w:w="4173" w:type="dxa"/>
            <w:tcBorders/>
            <w:vAlign w:val="center"/>
          </w:tcPr>
          <w:p>
            <w:pPr>
              <w:pStyle w:val="TableContents"/>
              <w:widowControl w:val="false"/>
              <w:suppressLineNumbers/>
              <w:spacing w:before="0" w:after="200"/>
              <w:rPr/>
            </w:pPr>
            <w:r>
              <w:rPr/>
              <w:t>Requires explicit evidentiary assumptions, uncertainty disclosure, and explainable analysis</w:t>
            </w:r>
          </w:p>
        </w:tc>
      </w:tr>
      <w:tr>
        <w:trPr/>
        <w:tc>
          <w:tcPr>
            <w:tcW w:w="1855" w:type="dxa"/>
            <w:tcBorders/>
            <w:vAlign w:val="center"/>
          </w:tcPr>
          <w:p>
            <w:pPr>
              <w:pStyle w:val="TableContents"/>
              <w:widowControl w:val="false"/>
              <w:suppressLineNumbers/>
              <w:spacing w:before="0" w:after="200"/>
              <w:rPr/>
            </w:pPr>
            <w:r>
              <w:rPr>
                <w:rStyle w:val="Strong"/>
              </w:rPr>
              <w:t>Metaphysical commitments</w:t>
            </w:r>
          </w:p>
        </w:tc>
        <w:tc>
          <w:tcPr>
            <w:tcW w:w="2612" w:type="dxa"/>
            <w:tcBorders/>
            <w:vAlign w:val="center"/>
          </w:tcPr>
          <w:p>
            <w:pPr>
              <w:pStyle w:val="TableContents"/>
              <w:widowControl w:val="false"/>
              <w:suppressLineNumbers/>
              <w:spacing w:before="0" w:after="200"/>
              <w:rPr/>
            </w:pPr>
            <w:r>
              <w:rPr/>
              <w:t xml:space="preserve">Some forms appeal to Heaven, the Way, </w:t>
            </w:r>
            <w:r>
              <w:rPr>
                <w:rStyle w:val="Emphasis"/>
              </w:rPr>
              <w:t>li</w:t>
            </w:r>
            <w:r>
              <w:rPr/>
              <w:t xml:space="preserve">, </w:t>
            </w:r>
            <w:r>
              <w:rPr>
                <w:rStyle w:val="Emphasis"/>
              </w:rPr>
              <w:t>qi</w:t>
            </w:r>
            <w:r>
              <w:rPr/>
              <w:t>, or cosmic moral order</w:t>
            </w:r>
          </w:p>
        </w:tc>
        <w:tc>
          <w:tcPr>
            <w:tcW w:w="4173" w:type="dxa"/>
            <w:tcBorders/>
            <w:vAlign w:val="center"/>
          </w:tcPr>
          <w:p>
            <w:pPr>
              <w:pStyle w:val="TableContents"/>
              <w:widowControl w:val="false"/>
              <w:suppressLineNumbers/>
              <w:spacing w:before="0" w:after="200"/>
              <w:rPr/>
            </w:pPr>
            <w:r>
              <w:rPr/>
              <w:t>Does not require acceptance of a particular religious or metaphysical account</w:t>
            </w:r>
          </w:p>
        </w:tc>
      </w:tr>
      <w:tr>
        <w:trPr/>
        <w:tc>
          <w:tcPr>
            <w:tcW w:w="1855" w:type="dxa"/>
            <w:tcBorders/>
            <w:vAlign w:val="center"/>
          </w:tcPr>
          <w:p>
            <w:pPr>
              <w:pStyle w:val="TableContents"/>
              <w:widowControl w:val="false"/>
              <w:suppressLineNumbers/>
              <w:spacing w:before="0" w:after="200"/>
              <w:rPr/>
            </w:pPr>
            <w:r>
              <w:rPr>
                <w:rStyle w:val="Strong"/>
              </w:rPr>
              <w:t>Character and intention</w:t>
            </w:r>
          </w:p>
        </w:tc>
        <w:tc>
          <w:tcPr>
            <w:tcW w:w="2612" w:type="dxa"/>
            <w:tcBorders/>
            <w:vAlign w:val="center"/>
          </w:tcPr>
          <w:p>
            <w:pPr>
              <w:pStyle w:val="TableContents"/>
              <w:widowControl w:val="false"/>
              <w:suppressLineNumbers/>
              <w:spacing w:before="0" w:after="200"/>
              <w:rPr/>
            </w:pPr>
            <w:r>
              <w:rPr/>
              <w:t>Often central to evaluating the moral quality of conduct</w:t>
            </w:r>
          </w:p>
        </w:tc>
        <w:tc>
          <w:tcPr>
            <w:tcW w:w="4173" w:type="dxa"/>
            <w:tcBorders/>
            <w:vAlign w:val="center"/>
          </w:tcPr>
          <w:p>
            <w:pPr>
              <w:pStyle w:val="TableContents"/>
              <w:widowControl w:val="false"/>
              <w:suppressLineNumbers/>
              <w:spacing w:before="0" w:after="200"/>
              <w:rPr/>
            </w:pPr>
            <w:r>
              <w:rPr/>
              <w:t>Relevant to responsibility and agent development, but distinct from the action’s causal effects on other entities</w:t>
            </w:r>
          </w:p>
        </w:tc>
      </w:tr>
      <w:tr>
        <w:trPr/>
        <w:tc>
          <w:tcPr>
            <w:tcW w:w="1855" w:type="dxa"/>
            <w:tcBorders/>
            <w:vAlign w:val="center"/>
          </w:tcPr>
          <w:p>
            <w:pPr>
              <w:pStyle w:val="TableContents"/>
              <w:widowControl w:val="false"/>
              <w:suppressLineNumbers/>
              <w:spacing w:before="0" w:after="200"/>
              <w:rPr/>
            </w:pPr>
            <w:r>
              <w:rPr>
                <w:rStyle w:val="Strong"/>
              </w:rPr>
              <w:t>Authority and hierarchy</w:t>
            </w:r>
          </w:p>
        </w:tc>
        <w:tc>
          <w:tcPr>
            <w:tcW w:w="2612" w:type="dxa"/>
            <w:tcBorders/>
            <w:vAlign w:val="center"/>
          </w:tcPr>
          <w:p>
            <w:pPr>
              <w:pStyle w:val="TableContents"/>
              <w:widowControl w:val="false"/>
              <w:suppressLineNumbers/>
              <w:spacing w:before="0" w:after="200"/>
              <w:rPr/>
            </w:pPr>
            <w:r>
              <w:rPr/>
              <w:t>Historically associated with differentiated and sometimes hierarchical relationships</w:t>
            </w:r>
          </w:p>
        </w:tc>
        <w:tc>
          <w:tcPr>
            <w:tcW w:w="4173" w:type="dxa"/>
            <w:tcBorders/>
            <w:vAlign w:val="center"/>
          </w:tcPr>
          <w:p>
            <w:pPr>
              <w:pStyle w:val="TableContents"/>
              <w:widowControl w:val="false"/>
              <w:suppressLineNumbers/>
              <w:spacing w:before="0" w:after="200"/>
              <w:rPr/>
            </w:pPr>
            <w:r>
              <w:rPr/>
              <w:t>Requires authority claims and asymmetries to be justified and continuously evaluated for their effects on flourishing</w:t>
            </w:r>
          </w:p>
        </w:tc>
      </w:tr>
      <w:tr>
        <w:trPr/>
        <w:tc>
          <w:tcPr>
            <w:tcW w:w="1855" w:type="dxa"/>
            <w:tcBorders/>
            <w:vAlign w:val="center"/>
          </w:tcPr>
          <w:p>
            <w:pPr>
              <w:pStyle w:val="TableContents"/>
              <w:widowControl w:val="false"/>
              <w:suppressLineNumbers/>
              <w:spacing w:before="0" w:after="200"/>
              <w:rPr/>
            </w:pPr>
            <w:r>
              <w:rPr>
                <w:rStyle w:val="Strong"/>
              </w:rPr>
              <w:t>Formalization</w:t>
            </w:r>
          </w:p>
        </w:tc>
        <w:tc>
          <w:tcPr>
            <w:tcW w:w="2612" w:type="dxa"/>
            <w:tcBorders/>
            <w:vAlign w:val="center"/>
          </w:tcPr>
          <w:p>
            <w:pPr>
              <w:pStyle w:val="TableContents"/>
              <w:widowControl w:val="false"/>
              <w:suppressLineNumbers/>
              <w:spacing w:before="0" w:after="200"/>
              <w:rPr/>
            </w:pPr>
            <w:r>
              <w:rPr/>
              <w:t>Primarily philosophical, educational, relational, and practice-based</w:t>
            </w:r>
          </w:p>
        </w:tc>
        <w:tc>
          <w:tcPr>
            <w:tcW w:w="4173" w:type="dxa"/>
            <w:tcBorders/>
            <w:vAlign w:val="center"/>
          </w:tcPr>
          <w:p>
            <w:pPr>
              <w:pStyle w:val="TableContents"/>
              <w:widowControl w:val="false"/>
              <w:suppressLineNumbers/>
              <w:spacing w:before="0" w:after="200"/>
              <w:rPr/>
            </w:pPr>
            <w:r>
              <w:rPr/>
              <w:t>Intended to support explicit and potentially computational ethical assessment</w:t>
            </w:r>
          </w:p>
        </w:tc>
      </w:tr>
    </w:tbl>
    <w:p>
      <w:pPr>
        <w:pStyle w:val="BodyText"/>
        <w:spacing w:before="0" w:after="200"/>
        <w:rPr/>
      </w:pPr>
      <w:r>
        <w:rPr/>
        <w:t>The most important tension concerns hierarchy. Confucian role ethics can explain why differentiated relationships produce differentiated responsibilities, but historical forms of those relationships have sometimes supported patriarchy, authoritarianism, exclusion, or excessive deference. The framework cannot presume that an inherited role is legitimate merely because it is traditional. It must evaluate whether the role protects or diminishes the flourishing, agency, voice, and future possibilities of those subject to it.</w:t>
      </w:r>
    </w:p>
    <w:p>
      <w:pPr>
        <w:pStyle w:val="BodyText"/>
        <w:spacing w:before="0" w:after="200"/>
        <w:rPr/>
      </w:pPr>
      <w:r>
        <w:rPr/>
        <w:t>A second tension concerns harmony. An institution may describe itself as harmonious while actually suppressing criticism or transferring the costs of stability to less powerful participants. The framework must therefore distinguish genuine harmony—productive coordination among respected differences—from apparent harmony produced by fear, censorship, dependency, or exclusion.</w:t>
      </w:r>
    </w:p>
    <w:p>
      <w:pPr>
        <w:pStyle w:val="Heading3"/>
        <w:spacing w:before="0" w:after="200"/>
        <w:ind w:hanging="0" w:left="0"/>
        <w:rPr>
          <w:rFonts w:ascii="Aptos" w:hAnsi="Aptos"/>
          <w:color w:val="auto"/>
        </w:rPr>
      </w:pPr>
      <w:r>
        <w:rPr>
          <w:rFonts w:ascii="Aptos" w:hAnsi="Aptos"/>
          <w:color w:val="auto"/>
        </w:rPr>
        <w:t>Potential integration opportunities</w:t>
      </w:r>
    </w:p>
    <w:p>
      <w:pPr>
        <w:pStyle w:val="BodyText"/>
        <w:numPr>
          <w:ilvl w:val="0"/>
          <w:numId w:val="130"/>
        </w:numPr>
        <w:tabs>
          <w:tab w:val="clear" w:pos="720"/>
          <w:tab w:val="left" w:pos="0" w:leader="none"/>
        </w:tabs>
        <w:spacing w:before="0" w:after="200"/>
        <w:ind w:hanging="283" w:left="709"/>
        <w:rPr/>
      </w:pPr>
      <w:r>
        <w:rPr>
          <w:rStyle w:val="Strong"/>
        </w:rPr>
        <w:t>Add a role-and-relationship ontology.</w:t>
      </w:r>
      <w:r>
        <w:rPr/>
        <w:br/>
        <w:t>Each assessment could identify the agent’s roles, the counterparties to those roles, the obligations created by each relationship, the legitimate scope of authority, relevant dependencies, and the history of prior interactions.</w:t>
      </w:r>
    </w:p>
    <w:p>
      <w:pPr>
        <w:pStyle w:val="BodyText"/>
        <w:numPr>
          <w:ilvl w:val="0"/>
          <w:numId w:val="130"/>
        </w:numPr>
        <w:tabs>
          <w:tab w:val="clear" w:pos="720"/>
          <w:tab w:val="left" w:pos="0" w:leader="none"/>
        </w:tabs>
        <w:spacing w:before="0" w:after="200"/>
        <w:ind w:hanging="283" w:left="709"/>
        <w:rPr/>
      </w:pPr>
      <w:r>
        <w:rPr>
          <w:rStyle w:val="Strong"/>
        </w:rPr>
        <w:t>Introduce a role-conflict analysis.</w:t>
      </w:r>
      <w:r>
        <w:rPr/>
        <w:br/>
        <w:t>The framework could explicitly identify conflicts among family, professional, civic, institutional, and universal responsibilities. It should require justification when one role is given priority over another.</w:t>
      </w:r>
    </w:p>
    <w:p>
      <w:pPr>
        <w:pStyle w:val="BodyText"/>
        <w:numPr>
          <w:ilvl w:val="0"/>
          <w:numId w:val="130"/>
        </w:numPr>
        <w:tabs>
          <w:tab w:val="clear" w:pos="720"/>
          <w:tab w:val="left" w:pos="0" w:leader="none"/>
        </w:tabs>
        <w:spacing w:before="0" w:after="200"/>
        <w:ind w:hanging="283" w:left="709"/>
        <w:rPr/>
      </w:pPr>
      <w:r>
        <w:rPr>
          <w:rStyle w:val="Strong"/>
        </w:rPr>
        <w:t>Create a relational-impact finding.</w:t>
      </w:r>
      <w:r>
        <w:rPr/>
        <w:br/>
        <w:t>In addition to material outcomes, assessments could report effects on trust, reciprocity, respect, role integrity, cooperation, dependency, social belonging, and the capacity for future disagreement without relationship breakdown.</w:t>
      </w:r>
    </w:p>
    <w:p>
      <w:pPr>
        <w:pStyle w:val="BodyText"/>
        <w:numPr>
          <w:ilvl w:val="0"/>
          <w:numId w:val="130"/>
        </w:numPr>
        <w:tabs>
          <w:tab w:val="clear" w:pos="720"/>
          <w:tab w:val="left" w:pos="0" w:leader="none"/>
        </w:tabs>
        <w:spacing w:before="0" w:after="200"/>
        <w:ind w:hanging="283" w:left="709"/>
        <w:rPr/>
      </w:pPr>
      <w:r>
        <w:rPr>
          <w:rStyle w:val="Strong"/>
        </w:rPr>
        <w:t>Model ritual and recurring practice as ethical infrastructure.</w:t>
      </w:r>
      <w:r>
        <w:rPr/>
        <w:br/>
        <w:t xml:space="preserve">Policies, meeting procedures, professional ceremonies, approval workflows, interface defaults, organizational customs, and communication protocols could be evaluated as forms of </w:t>
      </w:r>
      <w:r>
        <w:rPr>
          <w:rStyle w:val="Emphasis"/>
        </w:rPr>
        <w:t>li</w:t>
      </w:r>
      <w:r>
        <w:rPr/>
        <w:t xml:space="preserve"> that repeatedly shape behavior.</w:t>
      </w:r>
    </w:p>
    <w:p>
      <w:pPr>
        <w:pStyle w:val="BodyText"/>
        <w:numPr>
          <w:ilvl w:val="0"/>
          <w:numId w:val="130"/>
        </w:numPr>
        <w:tabs>
          <w:tab w:val="clear" w:pos="720"/>
          <w:tab w:val="left" w:pos="0" w:leader="none"/>
        </w:tabs>
        <w:spacing w:before="0" w:after="200"/>
        <w:ind w:hanging="283" w:left="709"/>
        <w:rPr/>
      </w:pPr>
      <w:r>
        <w:rPr>
          <w:rStyle w:val="Strong"/>
        </w:rPr>
        <w:t>Establish a “rectification of names” audit.</w:t>
      </w:r>
      <w:r>
        <w:rPr/>
        <w:br/>
        <w:t>The framework could test whether claimed roles and labels correspond to reality. For example:</w:t>
      </w:r>
    </w:p>
    <w:p>
      <w:pPr>
        <w:pStyle w:val="BodyText"/>
        <w:numPr>
          <w:ilvl w:val="1"/>
          <w:numId w:val="130"/>
        </w:numPr>
        <w:tabs>
          <w:tab w:val="clear" w:pos="720"/>
          <w:tab w:val="left" w:pos="0" w:leader="none"/>
        </w:tabs>
        <w:spacing w:before="0" w:after="200"/>
        <w:ind w:hanging="283" w:left="1418"/>
        <w:rPr/>
      </w:pPr>
      <w:r>
        <w:rPr/>
        <w:t>Does a “safety review” possess meaningful authority to prevent unsafe action?</w:t>
      </w:r>
    </w:p>
    <w:p>
      <w:pPr>
        <w:pStyle w:val="BodyText"/>
        <w:numPr>
          <w:ilvl w:val="1"/>
          <w:numId w:val="130"/>
        </w:numPr>
        <w:tabs>
          <w:tab w:val="clear" w:pos="720"/>
          <w:tab w:val="left" w:pos="0" w:leader="none"/>
        </w:tabs>
        <w:spacing w:before="0" w:after="200"/>
        <w:ind w:hanging="283" w:left="1418"/>
        <w:rPr/>
      </w:pPr>
      <w:r>
        <w:rPr/>
        <w:t>Does a “consent” process give participants a genuine ability to decline?</w:t>
      </w:r>
    </w:p>
    <w:p>
      <w:pPr>
        <w:pStyle w:val="BodyText"/>
        <w:numPr>
          <w:ilvl w:val="1"/>
          <w:numId w:val="130"/>
        </w:numPr>
        <w:tabs>
          <w:tab w:val="clear" w:pos="720"/>
          <w:tab w:val="left" w:pos="0" w:leader="none"/>
        </w:tabs>
        <w:spacing w:before="0" w:after="200"/>
        <w:ind w:hanging="283" w:left="1418"/>
        <w:rPr/>
      </w:pPr>
      <w:r>
        <w:rPr/>
        <w:t>Does a “public benefit” institution measurably benefit the public?</w:t>
      </w:r>
    </w:p>
    <w:p>
      <w:pPr>
        <w:pStyle w:val="BodyText"/>
        <w:numPr>
          <w:ilvl w:val="1"/>
          <w:numId w:val="130"/>
        </w:numPr>
        <w:tabs>
          <w:tab w:val="clear" w:pos="720"/>
          <w:tab w:val="left" w:pos="0" w:leader="none"/>
        </w:tabs>
        <w:spacing w:before="0" w:after="200"/>
        <w:ind w:hanging="283" w:left="1418"/>
        <w:rPr/>
      </w:pPr>
      <w:r>
        <w:rPr/>
        <w:t>Does an “independent” reviewer have operational independence?</w:t>
      </w:r>
    </w:p>
    <w:p>
      <w:pPr>
        <w:pStyle w:val="BodyText"/>
        <w:numPr>
          <w:ilvl w:val="1"/>
          <w:numId w:val="130"/>
        </w:numPr>
        <w:tabs>
          <w:tab w:val="clear" w:pos="720"/>
          <w:tab w:val="left" w:pos="0" w:leader="none"/>
        </w:tabs>
        <w:spacing w:before="0" w:after="200"/>
        <w:ind w:hanging="283" w:left="1418"/>
        <w:rPr/>
      </w:pPr>
      <w:r>
        <w:rPr/>
        <w:t>Does a leader exercise the duties that justify the leader’s authority?</w:t>
      </w:r>
    </w:p>
    <w:p>
      <w:pPr>
        <w:pStyle w:val="BodyText"/>
        <w:numPr>
          <w:ilvl w:val="0"/>
          <w:numId w:val="130"/>
        </w:numPr>
        <w:tabs>
          <w:tab w:val="clear" w:pos="720"/>
          <w:tab w:val="left" w:pos="0" w:leader="none"/>
        </w:tabs>
        <w:spacing w:before="0" w:after="200"/>
        <w:ind w:hanging="283" w:left="709"/>
        <w:rPr/>
      </w:pPr>
      <w:r>
        <w:rPr>
          <w:rStyle w:val="Strong"/>
        </w:rPr>
        <w:t xml:space="preserve">Add a structured reciprocity or </w:t>
      </w:r>
      <w:r>
        <w:rPr>
          <w:rStyle w:val="Emphasis"/>
        </w:rPr>
        <w:t>shu</w:t>
      </w:r>
      <w:r>
        <w:rPr>
          <w:rStyle w:val="Strong"/>
        </w:rPr>
        <w:t xml:space="preserve"> test.</w:t>
      </w:r>
      <w:r>
        <w:rPr/>
        <w:br/>
        <w:t>Assessors could model how the action and its governing policy would be experienced by each substantially affected party, particularly those with less authority, information, or ability to exit.</w:t>
      </w:r>
    </w:p>
    <w:p>
      <w:pPr>
        <w:pStyle w:val="BodyText"/>
        <w:numPr>
          <w:ilvl w:val="0"/>
          <w:numId w:val="130"/>
        </w:numPr>
        <w:tabs>
          <w:tab w:val="clear" w:pos="720"/>
          <w:tab w:val="left" w:pos="0" w:leader="none"/>
        </w:tabs>
        <w:spacing w:before="0" w:after="200"/>
        <w:ind w:hanging="283" w:left="709"/>
        <w:rPr/>
      </w:pPr>
      <w:r>
        <w:rPr>
          <w:rStyle w:val="Strong"/>
        </w:rPr>
        <w:t>Combine graded care with universal minimum protections.</w:t>
      </w:r>
      <w:r>
        <w:rPr/>
        <w:br/>
        <w:t>The framework can recognize stronger responsibilities toward dependents, family members, clients, employees, and communities without allowing special concern to justify severe harm, corruption, or the denial of basic protections to outsiders.</w:t>
      </w:r>
    </w:p>
    <w:p>
      <w:pPr>
        <w:pStyle w:val="BodyText"/>
        <w:numPr>
          <w:ilvl w:val="0"/>
          <w:numId w:val="130"/>
        </w:numPr>
        <w:tabs>
          <w:tab w:val="clear" w:pos="720"/>
          <w:tab w:val="left" w:pos="0" w:leader="none"/>
        </w:tabs>
        <w:spacing w:before="0" w:after="200"/>
        <w:ind w:hanging="283" w:left="709"/>
        <w:rPr/>
      </w:pPr>
      <w:r>
        <w:rPr>
          <w:rStyle w:val="Strong"/>
        </w:rPr>
        <w:t>Develop an intergenerational-responsibility module.</w:t>
      </w:r>
      <w:r>
        <w:rPr/>
        <w:br/>
        <w:t>Confucian filiality can be adapted to examine duties in both directions: care for prior generations and stewardship for future generations. Relevant issues include family care, cultural inheritance, institutional continuity, environmental conditions, public debt, and knowledge preservation.</w:t>
      </w:r>
    </w:p>
    <w:p>
      <w:pPr>
        <w:pStyle w:val="BodyText"/>
        <w:numPr>
          <w:ilvl w:val="0"/>
          <w:numId w:val="130"/>
        </w:numPr>
        <w:tabs>
          <w:tab w:val="clear" w:pos="720"/>
          <w:tab w:val="left" w:pos="0" w:leader="none"/>
        </w:tabs>
        <w:spacing w:before="0" w:after="200"/>
        <w:ind w:hanging="283" w:left="709"/>
        <w:rPr/>
      </w:pPr>
      <w:r>
        <w:rPr>
          <w:rStyle w:val="Strong"/>
        </w:rPr>
        <w:t>Formalize duties of remonstrance.</w:t>
      </w:r>
      <w:r>
        <w:rPr/>
        <w:br/>
        <w:t>Agents with relevant knowledge should have defined duties to warn, question, document, escalate, or refuse when an authority is likely to produce material harm. The framework should also evaluate whether the institution protects those who raise concerns.</w:t>
      </w:r>
    </w:p>
    <w:p>
      <w:pPr>
        <w:pStyle w:val="BodyText"/>
        <w:numPr>
          <w:ilvl w:val="0"/>
          <w:numId w:val="130"/>
        </w:numPr>
        <w:tabs>
          <w:tab w:val="clear" w:pos="720"/>
          <w:tab w:val="left" w:pos="0" w:leader="none"/>
        </w:tabs>
        <w:spacing w:before="0" w:after="200"/>
        <w:ind w:hanging="283" w:left="709"/>
        <w:rPr/>
      </w:pPr>
      <w:r>
        <w:rPr>
          <w:rStyle w:val="Strong"/>
        </w:rPr>
        <w:t>Distinguish harmony from conformity.</w:t>
      </w:r>
      <w:r>
        <w:rPr/>
        <w:br/>
        <w:t>A harmony diagnostic could ask:</w:t>
      </w:r>
    </w:p>
    <w:p>
      <w:pPr>
        <w:pStyle w:val="BodyText"/>
        <w:numPr>
          <w:ilvl w:val="1"/>
          <w:numId w:val="130"/>
        </w:numPr>
        <w:tabs>
          <w:tab w:val="clear" w:pos="720"/>
          <w:tab w:val="left" w:pos="0" w:leader="none"/>
        </w:tabs>
        <w:spacing w:before="0" w:after="200"/>
        <w:ind w:hanging="283" w:left="1418"/>
        <w:rPr/>
      </w:pPr>
      <w:r>
        <w:rPr/>
        <w:t>Are materially different perspectives represented?</w:t>
      </w:r>
    </w:p>
    <w:p>
      <w:pPr>
        <w:pStyle w:val="BodyText"/>
        <w:numPr>
          <w:ilvl w:val="1"/>
          <w:numId w:val="130"/>
        </w:numPr>
        <w:tabs>
          <w:tab w:val="clear" w:pos="720"/>
          <w:tab w:val="left" w:pos="0" w:leader="none"/>
        </w:tabs>
        <w:spacing w:before="0" w:after="200"/>
        <w:ind w:hanging="283" w:left="1418"/>
        <w:rPr/>
      </w:pPr>
      <w:r>
        <w:rPr/>
        <w:t>Can participants disagree without retaliation?</w:t>
      </w:r>
    </w:p>
    <w:p>
      <w:pPr>
        <w:pStyle w:val="BodyText"/>
        <w:numPr>
          <w:ilvl w:val="1"/>
          <w:numId w:val="130"/>
        </w:numPr>
        <w:tabs>
          <w:tab w:val="clear" w:pos="720"/>
          <w:tab w:val="left" w:pos="0" w:leader="none"/>
        </w:tabs>
        <w:spacing w:before="0" w:after="200"/>
        <w:ind w:hanging="283" w:left="1418"/>
        <w:rPr/>
      </w:pPr>
      <w:r>
        <w:rPr/>
        <w:t>Are conflicts actually resolved or merely concealed?</w:t>
      </w:r>
    </w:p>
    <w:p>
      <w:pPr>
        <w:pStyle w:val="BodyText"/>
        <w:numPr>
          <w:ilvl w:val="1"/>
          <w:numId w:val="130"/>
        </w:numPr>
        <w:tabs>
          <w:tab w:val="clear" w:pos="720"/>
          <w:tab w:val="left" w:pos="0" w:leader="none"/>
        </w:tabs>
        <w:spacing w:before="0" w:after="200"/>
        <w:ind w:hanging="283" w:left="1418"/>
        <w:rPr/>
      </w:pPr>
      <w:r>
        <w:rPr/>
        <w:t>Are less powerful parties bearing disproportionate costs?</w:t>
      </w:r>
    </w:p>
    <w:p>
      <w:pPr>
        <w:pStyle w:val="BodyText"/>
        <w:numPr>
          <w:ilvl w:val="1"/>
          <w:numId w:val="130"/>
        </w:numPr>
        <w:tabs>
          <w:tab w:val="clear" w:pos="720"/>
          <w:tab w:val="left" w:pos="0" w:leader="none"/>
        </w:tabs>
        <w:spacing w:before="0" w:after="200"/>
        <w:ind w:hanging="283" w:left="1418"/>
        <w:rPr/>
      </w:pPr>
      <w:r>
        <w:rPr/>
        <w:t>Does the resulting coordination preserve legitimate diversity?</w:t>
      </w:r>
    </w:p>
    <w:p>
      <w:pPr>
        <w:pStyle w:val="BodyText"/>
        <w:numPr>
          <w:ilvl w:val="0"/>
          <w:numId w:val="130"/>
        </w:numPr>
        <w:tabs>
          <w:tab w:val="clear" w:pos="720"/>
          <w:tab w:val="left" w:pos="0" w:leader="none"/>
        </w:tabs>
        <w:spacing w:before="0" w:after="200"/>
        <w:ind w:hanging="283" w:left="709"/>
        <w:rPr/>
      </w:pPr>
      <w:r>
        <w:rPr>
          <w:rStyle w:val="Strong"/>
        </w:rPr>
        <w:t>Incorporate moral exemplarity into Distributed Policy Effects.</w:t>
      </w:r>
      <w:r>
        <w:rPr/>
        <w:br/>
        <w:t>The analysis should give additional weight to actions by leaders, parents, teachers, professionals, public officials, and visible artificial systems because observers are more likely to treat their behavior as precedent.</w:t>
      </w:r>
    </w:p>
    <w:p>
      <w:pPr>
        <w:pStyle w:val="BodyText"/>
        <w:numPr>
          <w:ilvl w:val="0"/>
          <w:numId w:val="130"/>
        </w:numPr>
        <w:tabs>
          <w:tab w:val="clear" w:pos="720"/>
          <w:tab w:val="left" w:pos="0" w:leader="none"/>
        </w:tabs>
        <w:spacing w:before="0" w:after="200"/>
        <w:ind w:hanging="283" w:left="709"/>
        <w:rPr/>
      </w:pPr>
      <w:r>
        <w:rPr>
          <w:rStyle w:val="Strong"/>
        </w:rPr>
        <w:t>Evaluate the moral development produced by an action.</w:t>
      </w:r>
      <w:r>
        <w:rPr/>
        <w:br/>
        <w:t>An assessment could ask whether the action strengthens or weakens the agent’s future honesty, empathy, courage, judgment, reliability, and willingness to correct error.</w:t>
      </w:r>
    </w:p>
    <w:p>
      <w:pPr>
        <w:pStyle w:val="BodyText"/>
        <w:numPr>
          <w:ilvl w:val="0"/>
          <w:numId w:val="130"/>
        </w:numPr>
        <w:tabs>
          <w:tab w:val="clear" w:pos="720"/>
          <w:tab w:val="left" w:pos="0" w:leader="none"/>
        </w:tabs>
        <w:spacing w:before="0" w:after="200"/>
        <w:ind w:hanging="283" w:left="709"/>
        <w:rPr/>
      </w:pPr>
      <w:r>
        <w:rPr>
          <w:rStyle w:val="Strong"/>
        </w:rPr>
        <w:t>Connect ethical knowledge to implementation.</w:t>
      </w:r>
      <w:r>
        <w:rPr/>
        <w:br/>
        <w:t>Drawing on the unity of knowledge and action, the framework could treat an ethical recommendation as incomplete unless it identifies responsible actors, implementation mechanisms, monitoring requirements, and corrective responses.</w:t>
      </w:r>
    </w:p>
    <w:p>
      <w:pPr>
        <w:pStyle w:val="BodyText"/>
        <w:numPr>
          <w:ilvl w:val="0"/>
          <w:numId w:val="130"/>
        </w:numPr>
        <w:tabs>
          <w:tab w:val="clear" w:pos="720"/>
          <w:tab w:val="left" w:pos="0" w:leader="none"/>
        </w:tabs>
        <w:spacing w:before="0" w:after="200"/>
        <w:ind w:hanging="283" w:left="709"/>
        <w:rPr/>
      </w:pPr>
      <w:r>
        <w:rPr>
          <w:rStyle w:val="Strong"/>
        </w:rPr>
        <w:t>Use disciplined inquiry as a form of “investigation of things.”</w:t>
      </w:r>
      <w:r>
        <w:rPr/>
        <w:br/>
        <w:t>Before reaching a conclusion, the assessment should examine the actual properties, relationships, histories, constraints, and causal mechanisms involved rather than relying on abstract labels or assumed roles.</w:t>
      </w:r>
    </w:p>
    <w:p>
      <w:pPr>
        <w:pStyle w:val="BodyText"/>
        <w:numPr>
          <w:ilvl w:val="0"/>
          <w:numId w:val="130"/>
        </w:numPr>
        <w:tabs>
          <w:tab w:val="clear" w:pos="720"/>
          <w:tab w:val="left" w:pos="0" w:leader="none"/>
        </w:tabs>
        <w:spacing w:before="0" w:after="200"/>
        <w:ind w:hanging="283" w:left="709"/>
        <w:rPr/>
      </w:pPr>
      <w:r>
        <w:rPr>
          <w:rStyle w:val="Strong"/>
        </w:rPr>
        <w:t>Model material preconditions for responsible agency.</w:t>
      </w:r>
      <w:r>
        <w:rPr/>
        <w:br/>
        <w:t>The framework could identify whether poverty, insecurity, coercion, exhaustion, information deprivation, or institutional instability materially reduces an agent’s ability to act responsibly.</w:t>
      </w:r>
    </w:p>
    <w:p>
      <w:pPr>
        <w:pStyle w:val="BodyText"/>
        <w:numPr>
          <w:ilvl w:val="0"/>
          <w:numId w:val="130"/>
        </w:numPr>
        <w:tabs>
          <w:tab w:val="clear" w:pos="720"/>
          <w:tab w:val="left" w:pos="0" w:leader="none"/>
        </w:tabs>
        <w:spacing w:before="0" w:after="200"/>
        <w:ind w:hanging="283" w:left="709"/>
        <w:rPr/>
      </w:pPr>
      <w:r>
        <w:rPr>
          <w:rStyle w:val="Strong"/>
        </w:rPr>
        <w:t>Add legitimacy tests for hierarchical authority.</w:t>
      </w:r>
      <w:r>
        <w:rPr/>
        <w:br/>
        <w:t>Authority could be evaluated according to whether it is:</w:t>
      </w:r>
    </w:p>
    <w:p>
      <w:pPr>
        <w:pStyle w:val="BodyText"/>
        <w:numPr>
          <w:ilvl w:val="1"/>
          <w:numId w:val="130"/>
        </w:numPr>
        <w:tabs>
          <w:tab w:val="clear" w:pos="720"/>
          <w:tab w:val="left" w:pos="0" w:leader="none"/>
        </w:tabs>
        <w:spacing w:before="0" w:after="200"/>
        <w:ind w:hanging="283" w:left="1418"/>
        <w:rPr/>
      </w:pPr>
      <w:r>
        <w:rPr/>
        <w:t>Connected to a necessary function;</w:t>
      </w:r>
    </w:p>
    <w:p>
      <w:pPr>
        <w:pStyle w:val="BodyText"/>
        <w:numPr>
          <w:ilvl w:val="1"/>
          <w:numId w:val="130"/>
        </w:numPr>
        <w:tabs>
          <w:tab w:val="clear" w:pos="720"/>
          <w:tab w:val="left" w:pos="0" w:leader="none"/>
        </w:tabs>
        <w:spacing w:before="0" w:after="200"/>
        <w:ind w:hanging="283" w:left="1418"/>
        <w:rPr/>
      </w:pPr>
      <w:r>
        <w:rPr/>
        <w:t>Proportionate to that function;</w:t>
      </w:r>
    </w:p>
    <w:p>
      <w:pPr>
        <w:pStyle w:val="BodyText"/>
        <w:numPr>
          <w:ilvl w:val="1"/>
          <w:numId w:val="130"/>
        </w:numPr>
        <w:tabs>
          <w:tab w:val="clear" w:pos="720"/>
          <w:tab w:val="left" w:pos="0" w:leader="none"/>
        </w:tabs>
        <w:spacing w:before="0" w:after="200"/>
        <w:ind w:hanging="283" w:left="1418"/>
        <w:rPr/>
      </w:pPr>
      <w:r>
        <w:rPr/>
        <w:t>Exercised competently and humanely;</w:t>
      </w:r>
    </w:p>
    <w:p>
      <w:pPr>
        <w:pStyle w:val="BodyText"/>
        <w:numPr>
          <w:ilvl w:val="1"/>
          <w:numId w:val="130"/>
        </w:numPr>
        <w:tabs>
          <w:tab w:val="clear" w:pos="720"/>
          <w:tab w:val="left" w:pos="0" w:leader="none"/>
        </w:tabs>
        <w:spacing w:before="0" w:after="200"/>
        <w:ind w:hanging="283" w:left="1418"/>
        <w:rPr/>
      </w:pPr>
      <w:r>
        <w:rPr/>
        <w:t>Open to review and correction;</w:t>
      </w:r>
    </w:p>
    <w:p>
      <w:pPr>
        <w:pStyle w:val="BodyText"/>
        <w:numPr>
          <w:ilvl w:val="1"/>
          <w:numId w:val="130"/>
        </w:numPr>
        <w:tabs>
          <w:tab w:val="clear" w:pos="720"/>
          <w:tab w:val="left" w:pos="0" w:leader="none"/>
        </w:tabs>
        <w:spacing w:before="0" w:after="200"/>
        <w:ind w:hanging="283" w:left="1418"/>
        <w:rPr/>
      </w:pPr>
      <w:r>
        <w:rPr/>
        <w:t>Constrained against abuse; and</w:t>
      </w:r>
    </w:p>
    <w:p>
      <w:pPr>
        <w:pStyle w:val="BodyText"/>
        <w:numPr>
          <w:ilvl w:val="1"/>
          <w:numId w:val="130"/>
        </w:numPr>
        <w:tabs>
          <w:tab w:val="clear" w:pos="720"/>
          <w:tab w:val="left" w:pos="0" w:leader="none"/>
        </w:tabs>
        <w:spacing w:before="0" w:after="200"/>
        <w:ind w:hanging="283" w:left="1418"/>
        <w:rPr/>
      </w:pPr>
      <w:r>
        <w:rPr/>
        <w:t>Beneficial to those subject to it.</w:t>
      </w:r>
    </w:p>
    <w:p>
      <w:pPr>
        <w:pStyle w:val="BodyText"/>
        <w:numPr>
          <w:ilvl w:val="0"/>
          <w:numId w:val="130"/>
        </w:numPr>
        <w:tabs>
          <w:tab w:val="clear" w:pos="720"/>
          <w:tab w:val="left" w:pos="0" w:leader="none"/>
        </w:tabs>
        <w:spacing w:before="0" w:after="200"/>
        <w:ind w:hanging="283" w:left="709"/>
        <w:rPr/>
      </w:pPr>
      <w:r>
        <w:rPr>
          <w:rStyle w:val="Strong"/>
        </w:rPr>
        <w:t>Create safeguards against inherited injustice.</w:t>
      </w:r>
      <w:r>
        <w:rPr/>
        <w:br/>
        <w:t>Rituals and role expectations should be treated as revisable. Their age or cultural importance cannot by itself establish ethical legitimacy. Practices should be examined for exclusion, patriarchy, coercion, status entrenchment, and unequal access to voice or opportunity.</w:t>
      </w:r>
    </w:p>
    <w:p>
      <w:pPr>
        <w:pStyle w:val="BodyText"/>
        <w:numPr>
          <w:ilvl w:val="0"/>
          <w:numId w:val="130"/>
        </w:numPr>
        <w:tabs>
          <w:tab w:val="clear" w:pos="720"/>
          <w:tab w:val="left" w:pos="0" w:leader="none"/>
        </w:tabs>
        <w:spacing w:before="0" w:after="200"/>
        <w:ind w:hanging="283" w:left="709"/>
        <w:rPr/>
      </w:pPr>
      <w:r>
        <w:rPr>
          <w:rStyle w:val="Strong"/>
        </w:rPr>
        <w:t>Integrate rights and consent into relational analysis.</w:t>
      </w:r>
      <w:r>
        <w:rPr/>
        <w:br/>
        <w:t>Rights and consent can function as safeguards that prevent care, loyalty, harmony, or family responsibility from being used to conceal domination or deny individuals meaningful agency.</w:t>
      </w:r>
    </w:p>
    <w:p>
      <w:pPr>
        <w:pStyle w:val="BodyText"/>
        <w:numPr>
          <w:ilvl w:val="0"/>
          <w:numId w:val="130"/>
        </w:numPr>
        <w:tabs>
          <w:tab w:val="clear" w:pos="720"/>
          <w:tab w:val="left" w:pos="0" w:leader="none"/>
        </w:tabs>
        <w:spacing w:before="0" w:after="200"/>
        <w:ind w:hanging="283" w:left="709"/>
        <w:rPr/>
      </w:pPr>
      <w:r>
        <w:rPr>
          <w:rStyle w:val="Strong"/>
        </w:rPr>
        <w:t>Support culturally plural implementations.</w:t>
      </w:r>
      <w:r>
        <w:rPr/>
        <w:br/>
        <w:t>The framework can recognize that respect, grief, gratitude, responsibility, and reconciliation may be expressed through different practices across communities, while still evaluating their effects against a common concern for long-term flourishing.</w:t>
      </w:r>
    </w:p>
    <w:p>
      <w:pPr>
        <w:pStyle w:val="BodyText"/>
        <w:numPr>
          <w:ilvl w:val="0"/>
          <w:numId w:val="130"/>
        </w:numPr>
        <w:tabs>
          <w:tab w:val="clear" w:pos="720"/>
          <w:tab w:val="left" w:pos="0" w:leader="none"/>
        </w:tabs>
        <w:spacing w:before="0" w:after="200"/>
        <w:ind w:hanging="283" w:left="709"/>
        <w:rPr/>
      </w:pPr>
      <w:r>
        <w:rPr>
          <w:rStyle w:val="Strong"/>
        </w:rPr>
        <w:t>Evaluate qualitative and narrative evidence.</w:t>
      </w:r>
      <w:r>
        <w:rPr/>
        <w:br/>
        <w:t>Because relationship quality and moral development are not always captured by aggregate metrics, the framework should permit carefully documented testimony, histories, narratives, and observed patterns of interaction as relevant evidence.</w:t>
      </w:r>
    </w:p>
    <w:p>
      <w:pPr>
        <w:pStyle w:val="BodyText"/>
        <w:numPr>
          <w:ilvl w:val="0"/>
          <w:numId w:val="130"/>
        </w:numPr>
        <w:tabs>
          <w:tab w:val="clear" w:pos="720"/>
          <w:tab w:val="left" w:pos="0" w:leader="none"/>
        </w:tabs>
        <w:spacing w:before="0" w:after="200"/>
        <w:ind w:hanging="283" w:left="709"/>
        <w:rPr/>
      </w:pPr>
      <w:r>
        <w:rPr>
          <w:rStyle w:val="Strong"/>
        </w:rPr>
        <w:t>Add longitudinal indicators of relational health.</w:t>
      </w:r>
      <w:r>
        <w:rPr/>
        <w:br/>
        <w:t>Assessments could track trust, retention, conflict resolution, willingness to report errors, reciprocal assistance, leadership credibility, and the capacity of institutions to learn from criticism.</w:t>
      </w:r>
    </w:p>
    <w:p>
      <w:pPr>
        <w:pStyle w:val="BodyText"/>
        <w:numPr>
          <w:ilvl w:val="0"/>
          <w:numId w:val="130"/>
        </w:numPr>
        <w:tabs>
          <w:tab w:val="clear" w:pos="720"/>
          <w:tab w:val="left" w:pos="0" w:leader="none"/>
        </w:tabs>
        <w:spacing w:before="0" w:after="200"/>
        <w:ind w:hanging="283" w:left="709"/>
        <w:rPr/>
      </w:pPr>
      <w:r>
        <w:rPr>
          <w:rStyle w:val="Strong"/>
        </w:rPr>
        <w:t>Extend relational concern beyond human society.</w:t>
      </w:r>
      <w:r>
        <w:rPr/>
        <w:br/>
        <w:t>Neo-Confucian ideas of continuity among persons, society, and the wider world can support analysis of ecological relationships. The framework can extend this concern more explicitly to ecosystems, nonhuman organisms, artificial systems, and other relevant persistent adaptive entities.</w:t>
      </w:r>
    </w:p>
    <w:p>
      <w:pPr>
        <w:pStyle w:val="BodyText"/>
        <w:numPr>
          <w:ilvl w:val="0"/>
          <w:numId w:val="130"/>
        </w:numPr>
        <w:tabs>
          <w:tab w:val="clear" w:pos="720"/>
          <w:tab w:val="left" w:pos="0" w:leader="none"/>
        </w:tabs>
        <w:spacing w:before="0" w:after="200"/>
        <w:ind w:hanging="283" w:left="709"/>
        <w:rPr/>
      </w:pPr>
      <w:r>
        <w:rPr>
          <w:rStyle w:val="Strong"/>
        </w:rPr>
        <w:t>Produce a combined ethical output.</w:t>
      </w:r>
      <w:r>
        <w:rPr/>
        <w:br/>
        <w:t>A Confucian-informed assessment could report three related but distinct conclusions:</w:t>
      </w:r>
    </w:p>
    <w:p>
      <w:pPr>
        <w:pStyle w:val="BodyText"/>
        <w:numPr>
          <w:ilvl w:val="1"/>
          <w:numId w:val="130"/>
        </w:numPr>
        <w:tabs>
          <w:tab w:val="clear" w:pos="720"/>
          <w:tab w:val="left" w:pos="0" w:leader="none"/>
        </w:tabs>
        <w:spacing w:before="0" w:after="200"/>
        <w:ind w:hanging="283" w:left="1418"/>
        <w:rPr/>
      </w:pPr>
      <w:r>
        <w:rPr>
          <w:rStyle w:val="Strong"/>
        </w:rPr>
        <w:t>Action finding:</w:t>
      </w:r>
      <w:r>
        <w:rPr/>
        <w:t xml:space="preserve"> What World Context Transition is the action expected to produce?</w:t>
      </w:r>
    </w:p>
    <w:p>
      <w:pPr>
        <w:pStyle w:val="BodyText"/>
        <w:numPr>
          <w:ilvl w:val="1"/>
          <w:numId w:val="130"/>
        </w:numPr>
        <w:tabs>
          <w:tab w:val="clear" w:pos="720"/>
          <w:tab w:val="left" w:pos="0" w:leader="none"/>
        </w:tabs>
        <w:spacing w:before="0" w:after="200"/>
        <w:ind w:hanging="283" w:left="1418"/>
        <w:rPr/>
      </w:pPr>
      <w:r>
        <w:rPr>
          <w:rStyle w:val="Strong"/>
        </w:rPr>
        <w:t>Relational finding:</w:t>
      </w:r>
      <w:r>
        <w:rPr/>
        <w:t xml:space="preserve"> What will the action do to roles, trust, practices, and institutions?</w:t>
      </w:r>
    </w:p>
    <w:p>
      <w:pPr>
        <w:pStyle w:val="BodyText"/>
        <w:numPr>
          <w:ilvl w:val="1"/>
          <w:numId w:val="130"/>
        </w:numPr>
        <w:tabs>
          <w:tab w:val="clear" w:pos="720"/>
          <w:tab w:val="left" w:pos="0" w:leader="none"/>
        </w:tabs>
        <w:spacing w:before="0" w:after="200"/>
        <w:ind w:hanging="283" w:left="1418"/>
        <w:rPr/>
      </w:pPr>
      <w:r>
        <w:rPr>
          <w:rStyle w:val="Strong"/>
        </w:rPr>
        <w:t>Developmental finding:</w:t>
      </w:r>
      <w:r>
        <w:rPr/>
        <w:t xml:space="preserve"> What type of moral agent and future policy will the action help create?</w:t>
      </w:r>
    </w:p>
    <w:p>
      <w:pPr>
        <w:pStyle w:val="BodyText"/>
        <w:spacing w:before="0" w:after="200"/>
        <w:rPr/>
      </w:pPr>
      <w:r>
        <w:rPr/>
        <w:t>Through these integrations, Confucian ethics would contribute a richer account of moral formation, relationship quality, institutional practice, and leadership example. The proposed framework would, in turn, provide Confucian analysis with more explicit methods for evaluating causal effects, uncertainty, competing time horizons, nonhuman interests, illegitimate hierarchy, and the full range of entities affected by an action.</w:t>
      </w:r>
    </w:p>
    <w:p>
      <w:pPr>
        <w:pStyle w:val="Normal"/>
        <w:widowControl/>
        <w:bidi w:val="0"/>
        <w:spacing w:lineRule="auto" w:line="276"/>
        <w:jc w:val="left"/>
        <w:rPr/>
      </w:pPr>
      <w:r>
        <w:rPr/>
      </w:r>
    </w:p>
    <w:p>
      <w:pPr>
        <w:pStyle w:val="Heading2"/>
        <w:rPr/>
      </w:pPr>
      <w:r>
        <w:rPr/>
        <w:t>Systems Ethics</w:t>
      </w:r>
    </w:p>
    <w:p>
      <w:pPr>
        <w:pStyle w:val="BodyText"/>
        <w:spacing w:before="0" w:after="200"/>
        <w:rPr/>
      </w:pPr>
      <w:r>
        <w:rPr/>
        <w:t>Systems Ethics applies systems thinking to moral inquiry. It evaluates actions, policies, technologies, and institutions as interventions in interconnected, dynamic systems rather than as isolated events. Its central concerns include interdependence, feedback, emergence, boundary selection, unintended consequences, stakeholder inclusion, power, learning, system viability, and the distribution of effects across time and organizational levels.</w:t>
      </w:r>
    </w:p>
    <w:p>
      <w:pPr>
        <w:pStyle w:val="BodyText"/>
        <w:spacing w:before="0" w:after="200"/>
        <w:rPr/>
      </w:pPr>
      <w:r>
        <w:rPr/>
        <w:t>Systems Ethics is not a single canonical ethical theory comparable to utilitarianism or deontology. It is a family of approaches arising from general systems theory, cybernetics, system dynamics, soft systems methodology, critical systems thinking, organizational ethics, and sustainability. Some contributors developed descriptive theories of systems rather than complete normative theories. Later systems thinkers made explicit the ethical implications of deciding what counts as the system, whose purposes define improvement, whose knowledge is accepted, and whose interests remain outside the analysis.</w:t>
      </w:r>
    </w:p>
    <w:p>
      <w:pPr>
        <w:pStyle w:val="BodyText"/>
        <w:spacing w:before="0" w:after="200"/>
        <w:rPr/>
      </w:pPr>
      <w:r>
        <w:rPr/>
        <w:t>For this comparison, Systems Ethics refers to the position that morally responsible action requires:</w:t>
      </w:r>
    </w:p>
    <w:p>
      <w:pPr>
        <w:pStyle w:val="BodyText"/>
        <w:numPr>
          <w:ilvl w:val="0"/>
          <w:numId w:val="134"/>
        </w:numPr>
        <w:tabs>
          <w:tab w:val="clear" w:pos="720"/>
          <w:tab w:val="left" w:pos="0" w:leader="none"/>
        </w:tabs>
        <w:spacing w:before="0" w:after="200"/>
        <w:ind w:hanging="283" w:left="709"/>
        <w:rPr/>
      </w:pPr>
      <w:r>
        <w:rPr/>
        <w:t>Examining the whole relevant system and its environment;</w:t>
      </w:r>
    </w:p>
    <w:p>
      <w:pPr>
        <w:pStyle w:val="BodyText"/>
        <w:numPr>
          <w:ilvl w:val="0"/>
          <w:numId w:val="134"/>
        </w:numPr>
        <w:tabs>
          <w:tab w:val="clear" w:pos="720"/>
          <w:tab w:val="left" w:pos="0" w:leader="none"/>
        </w:tabs>
        <w:spacing w:before="0" w:after="200"/>
        <w:ind w:hanging="283" w:left="709"/>
        <w:rPr/>
      </w:pPr>
      <w:r>
        <w:rPr/>
        <w:t>Identifying feedback, delays, dependencies, and emergent effects;</w:t>
      </w:r>
    </w:p>
    <w:p>
      <w:pPr>
        <w:pStyle w:val="BodyText"/>
        <w:numPr>
          <w:ilvl w:val="0"/>
          <w:numId w:val="134"/>
        </w:numPr>
        <w:tabs>
          <w:tab w:val="clear" w:pos="720"/>
          <w:tab w:val="left" w:pos="0" w:leader="none"/>
        </w:tabs>
        <w:spacing w:before="0" w:after="200"/>
        <w:ind w:hanging="283" w:left="709"/>
        <w:rPr/>
      </w:pPr>
      <w:r>
        <w:rPr/>
        <w:t>Making system boundaries and purposes explicit;</w:t>
      </w:r>
    </w:p>
    <w:p>
      <w:pPr>
        <w:pStyle w:val="BodyText"/>
        <w:numPr>
          <w:ilvl w:val="0"/>
          <w:numId w:val="134"/>
        </w:numPr>
        <w:tabs>
          <w:tab w:val="clear" w:pos="720"/>
          <w:tab w:val="left" w:pos="0" w:leader="none"/>
        </w:tabs>
        <w:spacing w:before="0" w:after="200"/>
        <w:ind w:hanging="283" w:left="709"/>
        <w:rPr/>
      </w:pPr>
      <w:r>
        <w:rPr/>
        <w:t>Including affected parties and excluded perspectives;</w:t>
      </w:r>
    </w:p>
    <w:p>
      <w:pPr>
        <w:pStyle w:val="BodyText"/>
        <w:numPr>
          <w:ilvl w:val="0"/>
          <w:numId w:val="134"/>
        </w:numPr>
        <w:tabs>
          <w:tab w:val="clear" w:pos="720"/>
          <w:tab w:val="left" w:pos="0" w:leader="none"/>
        </w:tabs>
        <w:spacing w:before="0" w:after="200"/>
        <w:ind w:hanging="283" w:left="709"/>
        <w:rPr/>
      </w:pPr>
      <w:r>
        <w:rPr/>
        <w:t>Avoiding local improvements that transfer harm elsewhere;</w:t>
      </w:r>
    </w:p>
    <w:p>
      <w:pPr>
        <w:pStyle w:val="BodyText"/>
        <w:numPr>
          <w:ilvl w:val="0"/>
          <w:numId w:val="134"/>
        </w:numPr>
        <w:tabs>
          <w:tab w:val="clear" w:pos="720"/>
          <w:tab w:val="left" w:pos="0" w:leader="none"/>
        </w:tabs>
        <w:spacing w:before="0" w:after="200"/>
        <w:ind w:hanging="283" w:left="709"/>
        <w:rPr/>
      </w:pPr>
      <w:r>
        <w:rPr/>
        <w:t>Preserving or developing ethically defensible forms of viability and adaptation; and</w:t>
      </w:r>
    </w:p>
    <w:p>
      <w:pPr>
        <w:pStyle w:val="BodyText"/>
        <w:numPr>
          <w:ilvl w:val="0"/>
          <w:numId w:val="134"/>
        </w:numPr>
        <w:tabs>
          <w:tab w:val="clear" w:pos="720"/>
          <w:tab w:val="left" w:pos="0" w:leader="none"/>
        </w:tabs>
        <w:spacing w:before="0" w:after="200"/>
        <w:ind w:hanging="283" w:left="709"/>
        <w:rPr/>
      </w:pPr>
      <w:r>
        <w:rPr/>
        <w:t>Continuously learning from the effects of intervention.</w:t>
      </w:r>
    </w:p>
    <w:p>
      <w:pPr>
        <w:pStyle w:val="BodyText"/>
        <w:spacing w:before="0" w:after="200"/>
        <w:rPr/>
      </w:pPr>
      <w:r>
        <w:rPr/>
        <w:t xml:space="preserve">C. West Churchman is particularly important to this ethical orientation. He argued that systems analysis must examine not only a model’s technical conclusions but also its premises, proposed actions, and effects on humanity. The </w:t>
      </w:r>
      <w:hyperlink r:id="rId90">
        <w:r>
          <w:rPr>
            <w:rStyle w:val="Hyperlink"/>
          </w:rPr>
          <w:t>University of California’s memorial account</w:t>
        </w:r>
      </w:hyperlink>
      <w:r>
        <w:rPr/>
        <w:t xml:space="preserve"> describes this integration of systems modeling, underlying assumptions, action, and human consequences.</w:t>
      </w:r>
    </w:p>
    <w:p>
      <w:pPr>
        <w:pStyle w:val="Heading3"/>
        <w:spacing w:before="0" w:after="200"/>
        <w:ind w:hanging="0" w:left="0"/>
        <w:rPr>
          <w:rFonts w:ascii="Aptos" w:hAnsi="Aptos"/>
          <w:color w:val="auto"/>
        </w:rPr>
      </w:pPr>
      <w:r>
        <w:rPr>
          <w:rFonts w:ascii="Aptos" w:hAnsi="Aptos"/>
          <w:color w:val="auto"/>
        </w:rPr>
        <w:t>Primary Experts</w:t>
      </w:r>
    </w:p>
    <w:p>
      <w:pPr>
        <w:pStyle w:val="BodyText"/>
        <w:spacing w:before="0" w:after="200"/>
        <w:rPr/>
      </w:pPr>
      <w:r>
        <w:rPr/>
        <w:t>The following figures represent foundational, methodological, and explicitly ethical strands of Systems Ethics. Not every person listed proposed a complete moral theory; several supplied concepts that later systems ethicists adapted into normative analysis.</w:t>
      </w:r>
    </w:p>
    <w:tbl>
      <w:tblPr>
        <w:tblW w:w="8640" w:type="dxa"/>
        <w:jc w:val="left"/>
        <w:tblInd w:w="28" w:type="dxa"/>
        <w:tblLayout w:type="fixed"/>
        <w:tblCellMar>
          <w:top w:w="28" w:type="dxa"/>
          <w:left w:w="28" w:type="dxa"/>
          <w:bottom w:w="28" w:type="dxa"/>
          <w:right w:w="28" w:type="dxa"/>
        </w:tblCellMar>
      </w:tblPr>
      <w:tblGrid>
        <w:gridCol w:w="1461"/>
        <w:gridCol w:w="724"/>
        <w:gridCol w:w="2655"/>
        <w:gridCol w:w="3800"/>
      </w:tblGrid>
      <w:tr>
        <w:trPr>
          <w:tblHeader w:val="true"/>
        </w:trPr>
        <w:tc>
          <w:tcPr>
            <w:tcW w:w="1461" w:type="dxa"/>
            <w:tcBorders/>
            <w:vAlign w:val="center"/>
          </w:tcPr>
          <w:p>
            <w:pPr>
              <w:pStyle w:val="TableHeading"/>
              <w:suppressLineNumbers/>
              <w:spacing w:before="0" w:after="200"/>
              <w:jc w:val="center"/>
              <w:rPr/>
            </w:pPr>
            <w:r>
              <w:rPr/>
              <w:t>Expert</w:t>
            </w:r>
          </w:p>
        </w:tc>
        <w:tc>
          <w:tcPr>
            <w:tcW w:w="724" w:type="dxa"/>
            <w:tcBorders/>
            <w:vAlign w:val="center"/>
          </w:tcPr>
          <w:p>
            <w:pPr>
              <w:pStyle w:val="TableHeading"/>
              <w:spacing w:before="0" w:after="200"/>
              <w:jc w:val="right"/>
              <w:rPr/>
            </w:pPr>
            <w:r>
              <w:rPr/>
              <w:t>Life</w:t>
            </w:r>
          </w:p>
        </w:tc>
        <w:tc>
          <w:tcPr>
            <w:tcW w:w="2655" w:type="dxa"/>
            <w:tcBorders/>
            <w:vAlign w:val="center"/>
          </w:tcPr>
          <w:p>
            <w:pPr>
              <w:pStyle w:val="TableHeading"/>
              <w:suppressLineNumbers/>
              <w:spacing w:before="0" w:after="200"/>
              <w:jc w:val="center"/>
              <w:rPr/>
            </w:pPr>
            <w:r>
              <w:rPr/>
              <w:t>Associated institution(s)</w:t>
            </w:r>
          </w:p>
        </w:tc>
        <w:tc>
          <w:tcPr>
            <w:tcW w:w="3800" w:type="dxa"/>
            <w:tcBorders/>
            <w:vAlign w:val="center"/>
          </w:tcPr>
          <w:p>
            <w:pPr>
              <w:pStyle w:val="TableHeading"/>
              <w:suppressLineNumbers/>
              <w:spacing w:before="0" w:after="200"/>
              <w:jc w:val="center"/>
              <w:rPr/>
            </w:pPr>
            <w:r>
              <w:rPr/>
              <w:t>Principal contribution</w:t>
            </w:r>
          </w:p>
        </w:tc>
      </w:tr>
      <w:tr>
        <w:trPr/>
        <w:tc>
          <w:tcPr>
            <w:tcW w:w="1461" w:type="dxa"/>
            <w:tcBorders/>
            <w:vAlign w:val="center"/>
          </w:tcPr>
          <w:p>
            <w:pPr>
              <w:pStyle w:val="TableContents"/>
              <w:widowControl w:val="false"/>
              <w:suppressLineNumbers/>
              <w:spacing w:before="0" w:after="200"/>
              <w:rPr/>
            </w:pPr>
            <w:r>
              <w:rPr>
                <w:rStyle w:val="Strong"/>
              </w:rPr>
              <w:t>Norbert Wiener</w:t>
            </w:r>
          </w:p>
        </w:tc>
        <w:tc>
          <w:tcPr>
            <w:tcW w:w="724" w:type="dxa"/>
            <w:tcBorders/>
            <w:vAlign w:val="center"/>
          </w:tcPr>
          <w:p>
            <w:pPr>
              <w:pStyle w:val="TableContents"/>
              <w:spacing w:before="0" w:after="200"/>
              <w:jc w:val="right"/>
              <w:rPr/>
            </w:pPr>
            <w:r>
              <w:rPr>
                <w:rStyle w:val="Strong"/>
              </w:rPr>
              <w:t>1894–1964</w:t>
            </w:r>
          </w:p>
        </w:tc>
        <w:tc>
          <w:tcPr>
            <w:tcW w:w="2655" w:type="dxa"/>
            <w:tcBorders/>
            <w:vAlign w:val="center"/>
          </w:tcPr>
          <w:p>
            <w:pPr>
              <w:pStyle w:val="TableContents"/>
              <w:widowControl w:val="false"/>
              <w:suppressLineNumbers/>
              <w:spacing w:before="0" w:after="200"/>
              <w:rPr/>
            </w:pPr>
            <w:r>
              <w:rPr/>
              <w:t>Massachusetts Institute of Technology</w:t>
            </w:r>
          </w:p>
        </w:tc>
        <w:tc>
          <w:tcPr>
            <w:tcW w:w="3800" w:type="dxa"/>
            <w:tcBorders/>
            <w:vAlign w:val="center"/>
          </w:tcPr>
          <w:p>
            <w:pPr>
              <w:pStyle w:val="TableContents"/>
              <w:widowControl w:val="false"/>
              <w:suppressLineNumbers/>
              <w:spacing w:before="0" w:after="200"/>
              <w:rPr/>
            </w:pPr>
            <w:r>
              <w:rPr/>
              <w:t>Founded cybernetics as the study of communication, feedback, and control in animals and machines. He also warned that automation and control technologies could be used in ways that diminish human agency and social well-being.</w:t>
            </w:r>
          </w:p>
        </w:tc>
      </w:tr>
      <w:tr>
        <w:trPr/>
        <w:tc>
          <w:tcPr>
            <w:tcW w:w="1461" w:type="dxa"/>
            <w:tcBorders/>
            <w:vAlign w:val="center"/>
          </w:tcPr>
          <w:p>
            <w:pPr>
              <w:pStyle w:val="TableContents"/>
              <w:widowControl w:val="false"/>
              <w:suppressLineNumbers/>
              <w:spacing w:before="0" w:after="200"/>
              <w:rPr/>
            </w:pPr>
            <w:r>
              <w:rPr>
                <w:rStyle w:val="Strong"/>
              </w:rPr>
              <w:t>C. West Churchman</w:t>
            </w:r>
          </w:p>
        </w:tc>
        <w:tc>
          <w:tcPr>
            <w:tcW w:w="724" w:type="dxa"/>
            <w:tcBorders/>
            <w:vAlign w:val="center"/>
          </w:tcPr>
          <w:p>
            <w:pPr>
              <w:pStyle w:val="TableContents"/>
              <w:spacing w:before="0" w:after="200"/>
              <w:jc w:val="right"/>
              <w:rPr/>
            </w:pPr>
            <w:r>
              <w:rPr>
                <w:rStyle w:val="Strong"/>
              </w:rPr>
              <w:t>1913–2004</w:t>
            </w:r>
          </w:p>
        </w:tc>
        <w:tc>
          <w:tcPr>
            <w:tcW w:w="2655" w:type="dxa"/>
            <w:tcBorders/>
            <w:vAlign w:val="center"/>
          </w:tcPr>
          <w:p>
            <w:pPr>
              <w:pStyle w:val="TableContents"/>
              <w:widowControl w:val="false"/>
              <w:suppressLineNumbers/>
              <w:spacing w:before="0" w:after="200"/>
              <w:rPr/>
            </w:pPr>
            <w:r>
              <w:rPr/>
              <w:t>University of Pennsylvania; Case Institute of Technology; University of California, Berkeley</w:t>
            </w:r>
          </w:p>
        </w:tc>
        <w:tc>
          <w:tcPr>
            <w:tcW w:w="3800" w:type="dxa"/>
            <w:tcBorders/>
            <w:vAlign w:val="center"/>
          </w:tcPr>
          <w:p>
            <w:pPr>
              <w:pStyle w:val="TableContents"/>
              <w:widowControl w:val="false"/>
              <w:suppressLineNumbers/>
              <w:spacing w:before="0" w:after="200"/>
              <w:rPr/>
            </w:pPr>
            <w:r>
              <w:rPr/>
              <w:t>Made ethics central to the systems approach. Emphasized whole-system responsibility, the limits of models, competing perspectives, inquiring systems, and the obligation to examine who is affected by a proposed improvement.</w:t>
            </w:r>
          </w:p>
        </w:tc>
      </w:tr>
      <w:tr>
        <w:trPr/>
        <w:tc>
          <w:tcPr>
            <w:tcW w:w="1461" w:type="dxa"/>
            <w:tcBorders/>
            <w:vAlign w:val="center"/>
          </w:tcPr>
          <w:p>
            <w:pPr>
              <w:pStyle w:val="TableContents"/>
              <w:widowControl w:val="false"/>
              <w:suppressLineNumbers/>
              <w:spacing w:before="0" w:after="200"/>
              <w:rPr/>
            </w:pPr>
            <w:r>
              <w:rPr>
                <w:rStyle w:val="Strong"/>
              </w:rPr>
              <w:t>Russell L. Ackoff</w:t>
            </w:r>
          </w:p>
        </w:tc>
        <w:tc>
          <w:tcPr>
            <w:tcW w:w="724" w:type="dxa"/>
            <w:tcBorders/>
            <w:vAlign w:val="center"/>
          </w:tcPr>
          <w:p>
            <w:pPr>
              <w:pStyle w:val="TableContents"/>
              <w:spacing w:before="0" w:after="200"/>
              <w:jc w:val="right"/>
              <w:rPr/>
            </w:pPr>
            <w:r>
              <w:rPr>
                <w:rStyle w:val="Strong"/>
              </w:rPr>
              <w:t>1919–2009</w:t>
            </w:r>
          </w:p>
        </w:tc>
        <w:tc>
          <w:tcPr>
            <w:tcW w:w="2655" w:type="dxa"/>
            <w:tcBorders/>
            <w:vAlign w:val="center"/>
          </w:tcPr>
          <w:p>
            <w:pPr>
              <w:pStyle w:val="TableContents"/>
              <w:widowControl w:val="false"/>
              <w:suppressLineNumbers/>
              <w:spacing w:before="0" w:after="200"/>
              <w:rPr/>
            </w:pPr>
            <w:r>
              <w:rPr/>
              <w:t>Case Institute of Technology; Wharton School, University of Pennsylvania; Institute for Interactive Management</w:t>
            </w:r>
          </w:p>
        </w:tc>
        <w:tc>
          <w:tcPr>
            <w:tcW w:w="3800" w:type="dxa"/>
            <w:tcBorders/>
            <w:vAlign w:val="center"/>
          </w:tcPr>
          <w:p>
            <w:pPr>
              <w:pStyle w:val="TableContents"/>
              <w:widowControl w:val="false"/>
              <w:suppressLineNumbers/>
              <w:spacing w:before="0" w:after="200"/>
              <w:rPr/>
            </w:pPr>
            <w:r>
              <w:rPr/>
              <w:t>Developed theories of purposeful and social systems, interactive planning, organizational learning, and social responsibility. Criticized narrow technical optimization and reductionist operations research.</w:t>
            </w:r>
          </w:p>
        </w:tc>
      </w:tr>
      <w:tr>
        <w:trPr/>
        <w:tc>
          <w:tcPr>
            <w:tcW w:w="1461" w:type="dxa"/>
            <w:tcBorders/>
            <w:vAlign w:val="center"/>
          </w:tcPr>
          <w:p>
            <w:pPr>
              <w:pStyle w:val="TableContents"/>
              <w:widowControl w:val="false"/>
              <w:suppressLineNumbers/>
              <w:spacing w:before="0" w:after="200"/>
              <w:rPr/>
            </w:pPr>
            <w:r>
              <w:rPr>
                <w:rStyle w:val="Strong"/>
              </w:rPr>
              <w:t>Peter Checkland</w:t>
            </w:r>
          </w:p>
        </w:tc>
        <w:tc>
          <w:tcPr>
            <w:tcW w:w="724" w:type="dxa"/>
            <w:tcBorders/>
            <w:vAlign w:val="center"/>
          </w:tcPr>
          <w:p>
            <w:pPr>
              <w:pStyle w:val="TableContents"/>
              <w:spacing w:before="0" w:after="200"/>
              <w:jc w:val="right"/>
              <w:rPr/>
            </w:pPr>
            <w:r>
              <w:rPr>
                <w:rStyle w:val="Strong"/>
              </w:rPr>
              <w:t>1930–2026</w:t>
            </w:r>
          </w:p>
        </w:tc>
        <w:tc>
          <w:tcPr>
            <w:tcW w:w="2655" w:type="dxa"/>
            <w:tcBorders/>
            <w:vAlign w:val="center"/>
          </w:tcPr>
          <w:p>
            <w:pPr>
              <w:pStyle w:val="TableContents"/>
              <w:widowControl w:val="false"/>
              <w:suppressLineNumbers/>
              <w:spacing w:before="0" w:after="200"/>
              <w:rPr/>
            </w:pPr>
            <w:r>
              <w:rPr/>
              <w:t>Lancaster University</w:t>
            </w:r>
          </w:p>
        </w:tc>
        <w:tc>
          <w:tcPr>
            <w:tcW w:w="3800" w:type="dxa"/>
            <w:tcBorders/>
            <w:vAlign w:val="center"/>
          </w:tcPr>
          <w:p>
            <w:pPr>
              <w:pStyle w:val="TableContents"/>
              <w:widowControl w:val="false"/>
              <w:suppressLineNumbers/>
              <w:spacing w:before="0" w:after="200"/>
              <w:rPr/>
            </w:pPr>
            <w:r>
              <w:rPr/>
              <w:t>Developed Soft Systems Methodology for complex human situations in which participants disagree about the problem, the system, its purposes, and what improvement would mean.</w:t>
            </w:r>
          </w:p>
        </w:tc>
      </w:tr>
      <w:tr>
        <w:trPr/>
        <w:tc>
          <w:tcPr>
            <w:tcW w:w="1461" w:type="dxa"/>
            <w:tcBorders/>
            <w:vAlign w:val="center"/>
          </w:tcPr>
          <w:p>
            <w:pPr>
              <w:pStyle w:val="TableContents"/>
              <w:widowControl w:val="false"/>
              <w:suppressLineNumbers/>
              <w:spacing w:before="0" w:after="200"/>
              <w:rPr/>
            </w:pPr>
            <w:r>
              <w:rPr>
                <w:rStyle w:val="Strong"/>
              </w:rPr>
              <w:t>Donella H. Meadows</w:t>
            </w:r>
          </w:p>
        </w:tc>
        <w:tc>
          <w:tcPr>
            <w:tcW w:w="724" w:type="dxa"/>
            <w:tcBorders/>
            <w:vAlign w:val="center"/>
          </w:tcPr>
          <w:p>
            <w:pPr>
              <w:pStyle w:val="TableContents"/>
              <w:spacing w:before="0" w:after="200"/>
              <w:jc w:val="right"/>
              <w:rPr/>
            </w:pPr>
            <w:r>
              <w:rPr>
                <w:rStyle w:val="Strong"/>
              </w:rPr>
              <w:t>1941–2001</w:t>
            </w:r>
          </w:p>
        </w:tc>
        <w:tc>
          <w:tcPr>
            <w:tcW w:w="2655" w:type="dxa"/>
            <w:tcBorders/>
            <w:vAlign w:val="center"/>
          </w:tcPr>
          <w:p>
            <w:pPr>
              <w:pStyle w:val="TableContents"/>
              <w:widowControl w:val="false"/>
              <w:suppressLineNumbers/>
              <w:spacing w:before="0" w:after="200"/>
              <w:rPr/>
            </w:pPr>
            <w:r>
              <w:rPr/>
              <w:t>Massachusetts Institute of Technology; Dartmouth College</w:t>
            </w:r>
          </w:p>
        </w:tc>
        <w:tc>
          <w:tcPr>
            <w:tcW w:w="3800" w:type="dxa"/>
            <w:tcBorders/>
            <w:vAlign w:val="center"/>
          </w:tcPr>
          <w:p>
            <w:pPr>
              <w:pStyle w:val="TableContents"/>
              <w:widowControl w:val="false"/>
              <w:suppressLineNumbers/>
              <w:spacing w:before="0" w:after="200"/>
              <w:rPr/>
            </w:pPr>
            <w:r>
              <w:rPr/>
              <w:t>Advanced system dynamics, sustainability analysis, feedback-loop reasoning, system traps, leverage points, and long-term analysis of ecological and social limits.</w:t>
            </w:r>
          </w:p>
        </w:tc>
      </w:tr>
      <w:tr>
        <w:trPr/>
        <w:tc>
          <w:tcPr>
            <w:tcW w:w="1461" w:type="dxa"/>
            <w:tcBorders/>
            <w:vAlign w:val="center"/>
          </w:tcPr>
          <w:p>
            <w:pPr>
              <w:pStyle w:val="TableContents"/>
              <w:widowControl w:val="false"/>
              <w:suppressLineNumbers/>
              <w:spacing w:before="0" w:after="200"/>
              <w:rPr/>
            </w:pPr>
            <w:r>
              <w:rPr>
                <w:rStyle w:val="Strong"/>
              </w:rPr>
              <w:t>Werner Ulrich</w:t>
            </w:r>
          </w:p>
        </w:tc>
        <w:tc>
          <w:tcPr>
            <w:tcW w:w="724" w:type="dxa"/>
            <w:tcBorders/>
            <w:vAlign w:val="center"/>
          </w:tcPr>
          <w:p>
            <w:pPr>
              <w:pStyle w:val="TableContents"/>
              <w:spacing w:before="0" w:after="200"/>
              <w:jc w:val="right"/>
              <w:rPr/>
            </w:pPr>
            <w:r>
              <w:rPr>
                <w:rStyle w:val="Strong"/>
              </w:rPr>
              <w:t>1948–</w:t>
            </w:r>
          </w:p>
        </w:tc>
        <w:tc>
          <w:tcPr>
            <w:tcW w:w="2655" w:type="dxa"/>
            <w:tcBorders/>
            <w:vAlign w:val="center"/>
          </w:tcPr>
          <w:p>
            <w:pPr>
              <w:pStyle w:val="TableContents"/>
              <w:widowControl w:val="false"/>
              <w:suppressLineNumbers/>
              <w:spacing w:before="0" w:after="200"/>
              <w:rPr/>
            </w:pPr>
            <w:r>
              <w:rPr/>
              <w:t>University of Fribourg; University of California, Berkeley; visiting appointments at the University of Hull and the Open University</w:t>
            </w:r>
          </w:p>
        </w:tc>
        <w:tc>
          <w:tcPr>
            <w:tcW w:w="3800" w:type="dxa"/>
            <w:tcBorders/>
            <w:vAlign w:val="center"/>
          </w:tcPr>
          <w:p>
            <w:pPr>
              <w:pStyle w:val="TableContents"/>
              <w:widowControl w:val="false"/>
              <w:suppressLineNumbers/>
              <w:spacing w:before="0" w:after="200"/>
              <w:rPr/>
            </w:pPr>
            <w:r>
              <w:rPr/>
              <w:t>Developed Critical Systems Heuristics and boundary critique, making explicit the normative judgments involved in defining system purposes, decision authority, expertise, legitimacy, and affected parties.</w:t>
            </w:r>
          </w:p>
        </w:tc>
      </w:tr>
      <w:tr>
        <w:trPr/>
        <w:tc>
          <w:tcPr>
            <w:tcW w:w="1461" w:type="dxa"/>
            <w:tcBorders/>
            <w:vAlign w:val="center"/>
          </w:tcPr>
          <w:p>
            <w:pPr>
              <w:pStyle w:val="TableContents"/>
              <w:widowControl w:val="false"/>
              <w:suppressLineNumbers/>
              <w:spacing w:before="0" w:after="200"/>
              <w:rPr/>
            </w:pPr>
            <w:r>
              <w:rPr>
                <w:rStyle w:val="Strong"/>
              </w:rPr>
              <w:t>Humberto Maturana</w:t>
            </w:r>
          </w:p>
        </w:tc>
        <w:tc>
          <w:tcPr>
            <w:tcW w:w="724" w:type="dxa"/>
            <w:tcBorders/>
            <w:vAlign w:val="center"/>
          </w:tcPr>
          <w:p>
            <w:pPr>
              <w:pStyle w:val="TableContents"/>
              <w:spacing w:before="0" w:after="200"/>
              <w:jc w:val="right"/>
              <w:rPr/>
            </w:pPr>
            <w:r>
              <w:rPr>
                <w:rStyle w:val="Strong"/>
              </w:rPr>
              <w:t>1928–2021</w:t>
            </w:r>
          </w:p>
        </w:tc>
        <w:tc>
          <w:tcPr>
            <w:tcW w:w="2655" w:type="dxa"/>
            <w:tcBorders/>
            <w:vAlign w:val="center"/>
          </w:tcPr>
          <w:p>
            <w:pPr>
              <w:pStyle w:val="TableContents"/>
              <w:widowControl w:val="false"/>
              <w:suppressLineNumbers/>
              <w:spacing w:before="0" w:after="200"/>
              <w:rPr/>
            </w:pPr>
            <w:r>
              <w:rPr/>
              <w:t>University of Chile; Instituto de Formación Matríztica</w:t>
            </w:r>
          </w:p>
        </w:tc>
        <w:tc>
          <w:tcPr>
            <w:tcW w:w="3800" w:type="dxa"/>
            <w:tcBorders/>
            <w:vAlign w:val="center"/>
          </w:tcPr>
          <w:p>
            <w:pPr>
              <w:pStyle w:val="TableContents"/>
              <w:widowControl w:val="false"/>
              <w:suppressLineNumbers/>
              <w:spacing w:before="0" w:after="200"/>
              <w:rPr/>
            </w:pPr>
            <w:r>
              <w:rPr/>
              <w:t>Co-developed the concept of autopoiesis to describe the self-producing and self-maintaining organization of living systems; also contributed to second-order cybernetics and the biology of cognition.</w:t>
            </w:r>
          </w:p>
        </w:tc>
      </w:tr>
      <w:tr>
        <w:trPr/>
        <w:tc>
          <w:tcPr>
            <w:tcW w:w="1461" w:type="dxa"/>
            <w:tcBorders/>
            <w:vAlign w:val="center"/>
          </w:tcPr>
          <w:p>
            <w:pPr>
              <w:pStyle w:val="TableContents"/>
              <w:widowControl w:val="false"/>
              <w:suppressLineNumbers/>
              <w:spacing w:before="0" w:after="200"/>
              <w:rPr/>
            </w:pPr>
            <w:r>
              <w:rPr>
                <w:rStyle w:val="Strong"/>
              </w:rPr>
              <w:t>Francisco Varela</w:t>
            </w:r>
          </w:p>
        </w:tc>
        <w:tc>
          <w:tcPr>
            <w:tcW w:w="724" w:type="dxa"/>
            <w:tcBorders/>
            <w:vAlign w:val="center"/>
          </w:tcPr>
          <w:p>
            <w:pPr>
              <w:pStyle w:val="TableContents"/>
              <w:spacing w:before="0" w:after="200"/>
              <w:jc w:val="right"/>
              <w:rPr/>
            </w:pPr>
            <w:r>
              <w:rPr>
                <w:rStyle w:val="Strong"/>
              </w:rPr>
              <w:t>1946–2001</w:t>
            </w:r>
          </w:p>
        </w:tc>
        <w:tc>
          <w:tcPr>
            <w:tcW w:w="2655" w:type="dxa"/>
            <w:tcBorders/>
            <w:vAlign w:val="center"/>
          </w:tcPr>
          <w:p>
            <w:pPr>
              <w:pStyle w:val="TableContents"/>
              <w:widowControl w:val="false"/>
              <w:suppressLineNumbers/>
              <w:spacing w:before="0" w:after="200"/>
              <w:rPr/>
            </w:pPr>
            <w:r>
              <w:rPr/>
              <w:t>University of Chile; École Polytechnique; French National Centre for Scientific Research</w:t>
            </w:r>
          </w:p>
        </w:tc>
        <w:tc>
          <w:tcPr>
            <w:tcW w:w="3800" w:type="dxa"/>
            <w:tcBorders/>
            <w:vAlign w:val="center"/>
          </w:tcPr>
          <w:p>
            <w:pPr>
              <w:pStyle w:val="TableContents"/>
              <w:widowControl w:val="false"/>
              <w:suppressLineNumbers/>
              <w:spacing w:before="0" w:after="200"/>
              <w:rPr/>
            </w:pPr>
            <w:r>
              <w:rPr/>
              <w:t>Co-developed autopoiesis and later advanced biological autonomy, enactive cognition, and the view that cognition arises through embodied interaction between an organism and its environment.</w:t>
            </w:r>
          </w:p>
        </w:tc>
      </w:tr>
    </w:tbl>
    <w:p>
      <w:pPr>
        <w:pStyle w:val="BodyText"/>
        <w:spacing w:before="0" w:after="200"/>
        <w:rPr/>
      </w:pPr>
      <w:r>
        <w:rPr/>
        <w:t xml:space="preserve">Churchman’s career and ethical approach are documented by </w:t>
      </w:r>
      <w:hyperlink r:id="rId91">
        <w:r>
          <w:rPr>
            <w:rStyle w:val="Hyperlink"/>
          </w:rPr>
          <w:t>UC Berkeley</w:t>
        </w:r>
      </w:hyperlink>
      <w:r>
        <w:rPr/>
        <w:t xml:space="preserve"> and </w:t>
      </w:r>
      <w:hyperlink r:id="rId92">
        <w:r>
          <w:rPr>
            <w:rStyle w:val="Hyperlink"/>
          </w:rPr>
          <w:t>INFORMS</w:t>
        </w:r>
      </w:hyperlink>
      <w:r>
        <w:rPr/>
        <w:t xml:space="preserve">. Ackoff’s work on purposeful systems, social responsibility, and systems thinking is summarized in his </w:t>
      </w:r>
      <w:hyperlink r:id="rId93">
        <w:r>
          <w:rPr>
            <w:rStyle w:val="Hyperlink"/>
          </w:rPr>
          <w:t>INFORMS biographical profile</w:t>
        </w:r>
      </w:hyperlink>
      <w:r>
        <w:rPr/>
        <w:t xml:space="preserve">. Checkland’s development of Soft Systems Methodology is described in the </w:t>
      </w:r>
      <w:hyperlink r:id="rId94">
        <w:r>
          <w:rPr>
            <w:rStyle w:val="Hyperlink"/>
          </w:rPr>
          <w:t>Lancaster University remembrance</w:t>
        </w:r>
      </w:hyperlink>
      <w:r>
        <w:rPr/>
        <w:t xml:space="preserve"> and a </w:t>
      </w:r>
      <w:hyperlink r:id="rId95">
        <w:r>
          <w:rPr>
            <w:rStyle w:val="Hyperlink"/>
          </w:rPr>
          <w:t>2026 obituary</w:t>
        </w:r>
      </w:hyperlink>
      <w:r>
        <w:rPr/>
        <w:t xml:space="preserve">. Meadows’s systems and sustainability work is summarized in a </w:t>
      </w:r>
      <w:hyperlink r:id="rId96">
        <w:r>
          <w:rPr>
            <w:rStyle w:val="Hyperlink"/>
          </w:rPr>
          <w:t>scholarly biographical review</w:t>
        </w:r>
      </w:hyperlink>
      <w:r>
        <w:rPr/>
        <w:t xml:space="preserve">. Ulrich describes the development and purpose of Critical Systems Heuristics in his </w:t>
      </w:r>
      <w:hyperlink r:id="rId97">
        <w:r>
          <w:rPr>
            <w:rStyle w:val="Hyperlink"/>
          </w:rPr>
          <w:t>biographical profile</w:t>
        </w:r>
      </w:hyperlink>
      <w:r>
        <w:rPr/>
        <w:t xml:space="preserve"> and </w:t>
      </w:r>
      <w:hyperlink r:id="rId98">
        <w:r>
          <w:rPr>
            <w:rStyle w:val="Hyperlink"/>
          </w:rPr>
          <w:t>CSH primer</w:t>
        </w:r>
      </w:hyperlink>
      <w:r>
        <w:rPr/>
        <w:t xml:space="preserve">. Maturana’s life and work are documented by the </w:t>
      </w:r>
      <w:hyperlink r:id="rId99">
        <w:r>
          <w:rPr>
            <w:rStyle w:val="Hyperlink"/>
          </w:rPr>
          <w:t>University of Chile</w:t>
        </w:r>
      </w:hyperlink>
      <w:r>
        <w:rPr/>
        <w:t xml:space="preserve">, while Varela’s scientific contributions are discussed in a </w:t>
      </w:r>
      <w:hyperlink r:id="rId100">
        <w:r>
          <w:rPr>
            <w:rStyle w:val="Hyperlink"/>
          </w:rPr>
          <w:t>scholarly memorial</w:t>
        </w:r>
      </w:hyperlink>
      <w:r>
        <w:rPr/>
        <w:t>.</w:t>
      </w:r>
    </w:p>
    <w:p>
      <w:pPr>
        <w:pStyle w:val="Heading3"/>
        <w:spacing w:before="0" w:after="200"/>
        <w:ind w:hanging="0" w:left="0"/>
        <w:rPr>
          <w:rFonts w:ascii="Aptos" w:hAnsi="Aptos"/>
          <w:color w:val="auto"/>
        </w:rPr>
      </w:pPr>
      <w:r>
        <w:rPr>
          <w:rFonts w:ascii="Aptos" w:hAnsi="Aptos"/>
          <w:color w:val="auto"/>
        </w:rPr>
        <w:t>Core assumptions</w:t>
      </w:r>
    </w:p>
    <w:p>
      <w:pPr>
        <w:pStyle w:val="BodyText"/>
        <w:spacing w:before="0" w:after="200"/>
        <w:rPr/>
      </w:pPr>
      <w:r>
        <w:rPr/>
        <w:t>Because Systems Ethics is a family of approaches, the following assumptions identify common tendencies rather than doctrines accepted identically by every systems thinker.</w:t>
      </w:r>
    </w:p>
    <w:p>
      <w:pPr>
        <w:pStyle w:val="BodyText"/>
        <w:numPr>
          <w:ilvl w:val="0"/>
          <w:numId w:val="135"/>
        </w:numPr>
        <w:tabs>
          <w:tab w:val="clear" w:pos="720"/>
          <w:tab w:val="left" w:pos="0" w:leader="none"/>
        </w:tabs>
        <w:spacing w:before="0" w:after="200"/>
        <w:ind w:hanging="283" w:left="709"/>
        <w:rPr/>
      </w:pPr>
      <w:r>
        <w:rPr>
          <w:rStyle w:val="Strong"/>
        </w:rPr>
        <w:t>Ethical events occur within systems.</w:t>
      </w:r>
      <w:r>
        <w:rPr/>
        <w:br/>
        <w:t>An action is embedded in interacting social, technological, biological, economic, political, informational, and ecological systems. Its moral significance cannot be determined solely from its most immediate effect.</w:t>
      </w:r>
    </w:p>
    <w:p>
      <w:pPr>
        <w:pStyle w:val="BodyText"/>
        <w:numPr>
          <w:ilvl w:val="0"/>
          <w:numId w:val="135"/>
        </w:numPr>
        <w:tabs>
          <w:tab w:val="clear" w:pos="720"/>
          <w:tab w:val="left" w:pos="0" w:leader="none"/>
        </w:tabs>
        <w:spacing w:before="0" w:after="200"/>
        <w:ind w:hanging="283" w:left="709"/>
        <w:rPr/>
      </w:pPr>
      <w:r>
        <w:rPr>
          <w:rStyle w:val="Strong"/>
        </w:rPr>
        <w:t>Entities are interdependent.</w:t>
      </w:r>
      <w:r>
        <w:rPr/>
        <w:br/>
        <w:t>Changes to one component can alter the conditions, behavior, or viability of other components. An intervention that benefits one entity may create costs, risks, or dependencies elsewhere.</w:t>
      </w:r>
    </w:p>
    <w:p>
      <w:pPr>
        <w:pStyle w:val="BodyText"/>
        <w:numPr>
          <w:ilvl w:val="0"/>
          <w:numId w:val="135"/>
        </w:numPr>
        <w:tabs>
          <w:tab w:val="clear" w:pos="720"/>
          <w:tab w:val="left" w:pos="0" w:leader="none"/>
        </w:tabs>
        <w:spacing w:before="0" w:after="200"/>
        <w:ind w:hanging="283" w:left="709"/>
        <w:rPr/>
      </w:pPr>
      <w:r>
        <w:rPr>
          <w:rStyle w:val="Strong"/>
        </w:rPr>
        <w:t>A system is defined partly by its relationships.</w:t>
      </w:r>
      <w:r>
        <w:rPr/>
        <w:br/>
        <w:t>Components alone do not adequately describe a system. Feedback, communication, authority, dependency, flows of resources, and recurring patterns of interaction are essential to understanding system behavior.</w:t>
      </w:r>
    </w:p>
    <w:p>
      <w:pPr>
        <w:pStyle w:val="BodyText"/>
        <w:numPr>
          <w:ilvl w:val="0"/>
          <w:numId w:val="135"/>
        </w:numPr>
        <w:tabs>
          <w:tab w:val="clear" w:pos="720"/>
          <w:tab w:val="left" w:pos="0" w:leader="none"/>
        </w:tabs>
        <w:spacing w:before="0" w:after="200"/>
        <w:ind w:hanging="283" w:left="709"/>
        <w:rPr/>
      </w:pPr>
      <w:r>
        <w:rPr>
          <w:rStyle w:val="Strong"/>
        </w:rPr>
        <w:t>Systems are generally open.</w:t>
      </w:r>
      <w:r>
        <w:rPr/>
        <w:br/>
        <w:t>Relevant systems exchange matter, energy, information, resources, and influence with their environments. Treating a system as closed can conceal transferred costs and externalized harms.</w:t>
      </w:r>
    </w:p>
    <w:p>
      <w:pPr>
        <w:pStyle w:val="BodyText"/>
        <w:numPr>
          <w:ilvl w:val="0"/>
          <w:numId w:val="135"/>
        </w:numPr>
        <w:tabs>
          <w:tab w:val="clear" w:pos="720"/>
          <w:tab w:val="left" w:pos="0" w:leader="none"/>
        </w:tabs>
        <w:spacing w:before="0" w:after="200"/>
        <w:ind w:hanging="283" w:left="709"/>
        <w:rPr/>
      </w:pPr>
      <w:r>
        <w:rPr>
          <w:rStyle w:val="Strong"/>
        </w:rPr>
        <w:t>System boundaries are judgments rather than neutral discoveries.</w:t>
      </w:r>
      <w:r>
        <w:rPr/>
        <w:br/>
        <w:t>Every analysis includes some entities, relationships, effects, time horizons, and forms of evidence while excluding others. These choices affect what appears beneficial and are therefore ethically significant.</w:t>
      </w:r>
    </w:p>
    <w:p>
      <w:pPr>
        <w:pStyle w:val="BodyText"/>
        <w:numPr>
          <w:ilvl w:val="0"/>
          <w:numId w:val="135"/>
        </w:numPr>
        <w:tabs>
          <w:tab w:val="clear" w:pos="720"/>
          <w:tab w:val="left" w:pos="0" w:leader="none"/>
        </w:tabs>
        <w:spacing w:before="0" w:after="200"/>
        <w:ind w:hanging="283" w:left="709"/>
        <w:rPr/>
      </w:pPr>
      <w:r>
        <w:rPr>
          <w:rStyle w:val="Strong"/>
        </w:rPr>
        <w:t>Purposes and objectives are contestable.</w:t>
      </w:r>
      <w:r>
        <w:rPr/>
        <w:br/>
        <w:t>A system may have several declared, operational, and attributed purposes. Different stakeholders may understand the system’s purpose differently. No objective should be treated as self-justifying merely because it has been formally specified.</w:t>
      </w:r>
    </w:p>
    <w:p>
      <w:pPr>
        <w:pStyle w:val="BodyText"/>
        <w:numPr>
          <w:ilvl w:val="0"/>
          <w:numId w:val="135"/>
        </w:numPr>
        <w:tabs>
          <w:tab w:val="clear" w:pos="720"/>
          <w:tab w:val="left" w:pos="0" w:leader="none"/>
        </w:tabs>
        <w:spacing w:before="0" w:after="200"/>
        <w:ind w:hanging="283" w:left="709"/>
        <w:rPr/>
      </w:pPr>
      <w:r>
        <w:rPr>
          <w:rStyle w:val="Strong"/>
        </w:rPr>
        <w:t>The enacted purpose may differ from the stated purpose.</w:t>
      </w:r>
      <w:r>
        <w:rPr/>
        <w:br/>
        <w:t>A health system may claim to promote health while operationally rewarding throughput or revenue. An educational system may claim to promote learning while optimizing standardized performance. Ethical analysis must examine actual incentives and behavior.</w:t>
      </w:r>
    </w:p>
    <w:p>
      <w:pPr>
        <w:pStyle w:val="BodyText"/>
        <w:numPr>
          <w:ilvl w:val="0"/>
          <w:numId w:val="135"/>
        </w:numPr>
        <w:tabs>
          <w:tab w:val="clear" w:pos="720"/>
          <w:tab w:val="left" w:pos="0" w:leader="none"/>
        </w:tabs>
        <w:spacing w:before="0" w:after="200"/>
        <w:ind w:hanging="283" w:left="709"/>
        <w:rPr/>
      </w:pPr>
      <w:r>
        <w:rPr>
          <w:rStyle w:val="Strong"/>
        </w:rPr>
        <w:t>Local optimization can damage the larger system.</w:t>
      </w:r>
      <w:r>
        <w:rPr/>
        <w:br/>
        <w:t>Improving the performance of a component does not necessarily improve the system as a whole. A department can reduce its costs by shifting burdens to another department, to customers, to future participants, or to the environment.</w:t>
      </w:r>
    </w:p>
    <w:p>
      <w:pPr>
        <w:pStyle w:val="BodyText"/>
        <w:numPr>
          <w:ilvl w:val="0"/>
          <w:numId w:val="135"/>
        </w:numPr>
        <w:tabs>
          <w:tab w:val="clear" w:pos="720"/>
          <w:tab w:val="left" w:pos="0" w:leader="none"/>
        </w:tabs>
        <w:spacing w:before="0" w:after="200"/>
        <w:ind w:hanging="283" w:left="709"/>
        <w:rPr/>
      </w:pPr>
      <w:r>
        <w:rPr>
          <w:rStyle w:val="Strong"/>
        </w:rPr>
        <w:t>System behavior is frequently nonlinear.</w:t>
      </w:r>
      <w:r>
        <w:rPr/>
        <w:br/>
        <w:t>Effects may not increase proportionally with causes. Small interventions can produce large changes, while substantial interventions may produce little change because of counteracting feedback or structural resistance.</w:t>
      </w:r>
    </w:p>
    <w:p>
      <w:pPr>
        <w:pStyle w:val="BodyText"/>
        <w:numPr>
          <w:ilvl w:val="0"/>
          <w:numId w:val="135"/>
        </w:numPr>
        <w:tabs>
          <w:tab w:val="clear" w:pos="720"/>
          <w:tab w:val="left" w:pos="0" w:leader="none"/>
        </w:tabs>
        <w:spacing w:before="0" w:after="200"/>
        <w:ind w:hanging="283" w:left="709"/>
        <w:rPr/>
      </w:pPr>
      <w:r>
        <w:rPr>
          <w:rStyle w:val="Strong"/>
        </w:rPr>
        <w:t>Feedback shapes future behavior.</w:t>
      </w:r>
      <w:r>
        <w:rPr/>
        <w:br/>
        <w:t>Actions alter the information, incentives, expectations, and environmental conditions that influence subsequent actions. Feedback may stabilize a system, amplify change, or create oscillation and instability.</w:t>
      </w:r>
    </w:p>
    <w:p>
      <w:pPr>
        <w:pStyle w:val="BodyText"/>
        <w:numPr>
          <w:ilvl w:val="0"/>
          <w:numId w:val="135"/>
        </w:numPr>
        <w:tabs>
          <w:tab w:val="clear" w:pos="720"/>
          <w:tab w:val="left" w:pos="0" w:leader="none"/>
        </w:tabs>
        <w:spacing w:before="0" w:after="200"/>
        <w:ind w:hanging="283" w:left="709"/>
        <w:rPr/>
      </w:pPr>
      <w:r>
        <w:rPr>
          <w:rStyle w:val="Strong"/>
        </w:rPr>
        <w:t>Delays obscure causes and consequences.</w:t>
      </w:r>
      <w:r>
        <w:rPr/>
        <w:br/>
        <w:t>The effects of an intervention may appear only after the decision-maker has left, after responsibility becomes diffuse, or after the affected system has crossed a threshold. Short evaluation periods can therefore reward harmful policies.</w:t>
      </w:r>
    </w:p>
    <w:p>
      <w:pPr>
        <w:pStyle w:val="BodyText"/>
        <w:numPr>
          <w:ilvl w:val="0"/>
          <w:numId w:val="135"/>
        </w:numPr>
        <w:tabs>
          <w:tab w:val="clear" w:pos="720"/>
          <w:tab w:val="left" w:pos="0" w:leader="none"/>
        </w:tabs>
        <w:spacing w:before="0" w:after="200"/>
        <w:ind w:hanging="283" w:left="709"/>
        <w:rPr/>
      </w:pPr>
      <w:r>
        <w:rPr>
          <w:rStyle w:val="Strong"/>
        </w:rPr>
        <w:t>Emergent properties cannot always be inferred from individual components.</w:t>
      </w:r>
      <w:r>
        <w:rPr/>
        <w:br/>
        <w:t>Trust, institutional culture, congestion, discrimination, market instability, ecological collapse, and collective resilience may arise from interactions even when no individual participant intends the aggregate result.</w:t>
      </w:r>
    </w:p>
    <w:p>
      <w:pPr>
        <w:pStyle w:val="BodyText"/>
        <w:numPr>
          <w:ilvl w:val="0"/>
          <w:numId w:val="135"/>
        </w:numPr>
        <w:tabs>
          <w:tab w:val="clear" w:pos="720"/>
          <w:tab w:val="left" w:pos="0" w:leader="none"/>
        </w:tabs>
        <w:spacing w:before="0" w:after="200"/>
        <w:ind w:hanging="283" w:left="709"/>
        <w:rPr/>
      </w:pPr>
      <w:r>
        <w:rPr>
          <w:rStyle w:val="Strong"/>
        </w:rPr>
        <w:t>Causation may be circular and distributed.</w:t>
      </w:r>
      <w:r>
        <w:rPr/>
        <w:br/>
        <w:t>Systems often contain reciprocal causation rather than simple one-directional chains. Responsibility can therefore be distributed across designers, operators, leaders, regulators, users, and institutional structures.</w:t>
      </w:r>
    </w:p>
    <w:p>
      <w:pPr>
        <w:pStyle w:val="BodyText"/>
        <w:numPr>
          <w:ilvl w:val="0"/>
          <w:numId w:val="135"/>
        </w:numPr>
        <w:tabs>
          <w:tab w:val="clear" w:pos="720"/>
          <w:tab w:val="left" w:pos="0" w:leader="none"/>
        </w:tabs>
        <w:spacing w:before="0" w:after="200"/>
        <w:ind w:hanging="283" w:left="709"/>
        <w:rPr/>
      </w:pPr>
      <w:r>
        <w:rPr>
          <w:rStyle w:val="Strong"/>
        </w:rPr>
        <w:t>Models are partial representations.</w:t>
      </w:r>
      <w:r>
        <w:rPr/>
        <w:br/>
        <w:t>No model is the system itself. Models select variables, relationships, evidence, and scales for a purpose. Their omissions and assumptions must remain visible and revisable.</w:t>
      </w:r>
    </w:p>
    <w:p>
      <w:pPr>
        <w:pStyle w:val="BodyText"/>
        <w:numPr>
          <w:ilvl w:val="0"/>
          <w:numId w:val="135"/>
        </w:numPr>
        <w:tabs>
          <w:tab w:val="clear" w:pos="720"/>
          <w:tab w:val="left" w:pos="0" w:leader="none"/>
        </w:tabs>
        <w:spacing w:before="0" w:after="200"/>
        <w:ind w:hanging="283" w:left="709"/>
        <w:rPr/>
      </w:pPr>
      <w:r>
        <w:rPr>
          <w:rStyle w:val="Strong"/>
        </w:rPr>
        <w:t>Observers and analysts are part of the ethical situation.</w:t>
      </w:r>
      <w:r>
        <w:rPr/>
        <w:br/>
        <w:t>Analysts affect the system through their classifications, measurements, recommendations, and authority. Their perspective is not automatically neutral or comprehensive.</w:t>
      </w:r>
    </w:p>
    <w:p>
      <w:pPr>
        <w:pStyle w:val="BodyText"/>
        <w:numPr>
          <w:ilvl w:val="0"/>
          <w:numId w:val="135"/>
        </w:numPr>
        <w:tabs>
          <w:tab w:val="clear" w:pos="720"/>
          <w:tab w:val="left" w:pos="0" w:leader="none"/>
        </w:tabs>
        <w:spacing w:before="0" w:after="200"/>
        <w:ind w:hanging="283" w:left="709"/>
        <w:rPr/>
      </w:pPr>
      <w:r>
        <w:rPr>
          <w:rStyle w:val="Strong"/>
        </w:rPr>
        <w:t>Multiple perspectives may be valid and necessary.</w:t>
      </w:r>
      <w:r>
        <w:rPr/>
        <w:br/>
        <w:t>People occupying different positions can experience the same system differently. A technically efficient system may appear coercive, inaccessible, or unsafe to those subject to it.</w:t>
      </w:r>
    </w:p>
    <w:p>
      <w:pPr>
        <w:pStyle w:val="BodyText"/>
        <w:numPr>
          <w:ilvl w:val="0"/>
          <w:numId w:val="135"/>
        </w:numPr>
        <w:tabs>
          <w:tab w:val="clear" w:pos="720"/>
          <w:tab w:val="left" w:pos="0" w:leader="none"/>
        </w:tabs>
        <w:spacing w:before="0" w:after="200"/>
        <w:ind w:hanging="283" w:left="709"/>
        <w:rPr/>
      </w:pPr>
      <w:r>
        <w:rPr>
          <w:rStyle w:val="Strong"/>
        </w:rPr>
        <w:t>Power affects system definition.</w:t>
      </w:r>
      <w:r>
        <w:rPr/>
        <w:br/>
        <w:t>Powerful actors often determine which problems are recognized, whose evidence counts, which outcomes are measured, and which harms are classified as external. Ethical systems analysis must examine these asymmetries.</w:t>
      </w:r>
    </w:p>
    <w:p>
      <w:pPr>
        <w:pStyle w:val="BodyText"/>
        <w:numPr>
          <w:ilvl w:val="0"/>
          <w:numId w:val="135"/>
        </w:numPr>
        <w:tabs>
          <w:tab w:val="clear" w:pos="720"/>
          <w:tab w:val="left" w:pos="0" w:leader="none"/>
        </w:tabs>
        <w:spacing w:before="0" w:after="200"/>
        <w:ind w:hanging="283" w:left="709"/>
        <w:rPr/>
      </w:pPr>
      <w:r>
        <w:rPr>
          <w:rStyle w:val="Strong"/>
        </w:rPr>
        <w:t>Excluded entities may bear disproportionate costs.</w:t>
      </w:r>
      <w:r>
        <w:rPr/>
        <w:br/>
        <w:t>Future generations, marginalized communities, nonhuman organisms, ecosystems, contractors, informal caregivers, and distant populations may receive little representation despite being materially affected.</w:t>
      </w:r>
    </w:p>
    <w:p>
      <w:pPr>
        <w:pStyle w:val="BodyText"/>
        <w:numPr>
          <w:ilvl w:val="0"/>
          <w:numId w:val="135"/>
        </w:numPr>
        <w:tabs>
          <w:tab w:val="clear" w:pos="720"/>
          <w:tab w:val="left" w:pos="0" w:leader="none"/>
        </w:tabs>
        <w:spacing w:before="0" w:after="200"/>
        <w:ind w:hanging="283" w:left="709"/>
        <w:rPr/>
      </w:pPr>
      <w:r>
        <w:rPr>
          <w:rStyle w:val="Strong"/>
        </w:rPr>
        <w:t>System viability is ethically relevant but not sufficient.</w:t>
      </w:r>
      <w:r>
        <w:rPr/>
        <w:br/>
        <w:t>A system that cannot maintain essential functions cannot support flourishing. However, persistence alone is not a moral good. Oppressive and exploitative systems can also be stable and resilient.</w:t>
      </w:r>
    </w:p>
    <w:p>
      <w:pPr>
        <w:pStyle w:val="BodyText"/>
        <w:numPr>
          <w:ilvl w:val="0"/>
          <w:numId w:val="135"/>
        </w:numPr>
        <w:tabs>
          <w:tab w:val="clear" w:pos="720"/>
          <w:tab w:val="left" w:pos="0" w:leader="none"/>
        </w:tabs>
        <w:spacing w:before="0" w:after="200"/>
        <w:ind w:hanging="283" w:left="709"/>
        <w:rPr/>
      </w:pPr>
      <w:r>
        <w:rPr>
          <w:rStyle w:val="Strong"/>
        </w:rPr>
        <w:t>Resilience can preserve either benefit or harm.</w:t>
      </w:r>
      <w:r>
        <w:rPr/>
        <w:br/>
        <w:t>Ethical analysis must distinguish resilience that preserves valuable functions from resilience that entrenches injustice. Sometimes transformation or dissolution is more ethical than preservation.</w:t>
      </w:r>
    </w:p>
    <w:p>
      <w:pPr>
        <w:pStyle w:val="BodyText"/>
        <w:numPr>
          <w:ilvl w:val="0"/>
          <w:numId w:val="135"/>
        </w:numPr>
        <w:tabs>
          <w:tab w:val="clear" w:pos="720"/>
          <w:tab w:val="left" w:pos="0" w:leader="none"/>
        </w:tabs>
        <w:spacing w:before="0" w:after="200"/>
        <w:ind w:hanging="283" w:left="709"/>
        <w:rPr/>
      </w:pPr>
      <w:r>
        <w:rPr>
          <w:rStyle w:val="Strong"/>
        </w:rPr>
        <w:t>Adaptation and learning are moral capabilities.</w:t>
      </w:r>
      <w:r>
        <w:rPr/>
        <w:br/>
        <w:t>Systems should detect errors, receive feedback, revise policies, and correct harmful effects. A system that cannot learn may continue producing foreseeable harm even when individual participants act in good faith.</w:t>
      </w:r>
    </w:p>
    <w:p>
      <w:pPr>
        <w:pStyle w:val="BodyText"/>
        <w:numPr>
          <w:ilvl w:val="0"/>
          <w:numId w:val="135"/>
        </w:numPr>
        <w:tabs>
          <w:tab w:val="clear" w:pos="720"/>
          <w:tab w:val="left" w:pos="0" w:leader="none"/>
        </w:tabs>
        <w:spacing w:before="0" w:after="200"/>
        <w:ind w:hanging="283" w:left="709"/>
        <w:rPr/>
      </w:pPr>
      <w:r>
        <w:rPr>
          <w:rStyle w:val="Strong"/>
        </w:rPr>
        <w:t>Intervention changes the system that is being analyzed.</w:t>
      </w:r>
      <w:r>
        <w:rPr/>
        <w:br/>
        <w:t>Policies, measurements, incentives, and models can change participant behavior. Evaluation must account for adaptation, gaming, resistance, and unintended responses to the intervention itself.</w:t>
      </w:r>
    </w:p>
    <w:p>
      <w:pPr>
        <w:pStyle w:val="BodyText"/>
        <w:numPr>
          <w:ilvl w:val="0"/>
          <w:numId w:val="135"/>
        </w:numPr>
        <w:tabs>
          <w:tab w:val="clear" w:pos="720"/>
          <w:tab w:val="left" w:pos="0" w:leader="none"/>
        </w:tabs>
        <w:spacing w:before="0" w:after="200"/>
        <w:ind w:hanging="283" w:left="709"/>
        <w:rPr/>
      </w:pPr>
      <w:r>
        <w:rPr>
          <w:rStyle w:val="Strong"/>
        </w:rPr>
        <w:t>Ethical assessment must be iterative.</w:t>
      </w:r>
      <w:r>
        <w:rPr/>
        <w:br/>
        <w:t>Complex systems cannot always be predicted with adequate confidence before action. Monitoring, feedback, revision, reversibility, and repair are therefore part of responsible action.</w:t>
      </w:r>
    </w:p>
    <w:p>
      <w:pPr>
        <w:pStyle w:val="BodyText"/>
        <w:numPr>
          <w:ilvl w:val="0"/>
          <w:numId w:val="135"/>
        </w:numPr>
        <w:tabs>
          <w:tab w:val="clear" w:pos="720"/>
          <w:tab w:val="left" w:pos="0" w:leader="none"/>
        </w:tabs>
        <w:spacing w:before="0" w:after="200"/>
        <w:ind w:hanging="283" w:left="709"/>
        <w:rPr/>
      </w:pPr>
      <w:r>
        <w:rPr>
          <w:rStyle w:val="Strong"/>
        </w:rPr>
        <w:t>Long-term sustainability matters.</w:t>
      </w:r>
      <w:r>
        <w:rPr/>
        <w:br/>
        <w:t>Present benefits are ethically suspect when they depend on exhausting ecological, social, institutional, or informational resources needed by future entities.</w:t>
      </w:r>
    </w:p>
    <w:p>
      <w:pPr>
        <w:pStyle w:val="BodyText"/>
        <w:numPr>
          <w:ilvl w:val="0"/>
          <w:numId w:val="135"/>
        </w:numPr>
        <w:tabs>
          <w:tab w:val="clear" w:pos="720"/>
          <w:tab w:val="left" w:pos="0" w:leader="none"/>
        </w:tabs>
        <w:spacing w:before="0" w:after="200"/>
        <w:ind w:hanging="283" w:left="709"/>
        <w:rPr/>
      </w:pPr>
      <w:r>
        <w:rPr>
          <w:rStyle w:val="Strong"/>
        </w:rPr>
        <w:t>Participation has epistemic and ethical value.</w:t>
      </w:r>
      <w:r>
        <w:rPr/>
        <w:br/>
        <w:t>Affected parties often possess knowledge unavailable to technical experts. Participation can improve both factual understanding and the legitimacy of decisions.</w:t>
      </w:r>
    </w:p>
    <w:p>
      <w:pPr>
        <w:pStyle w:val="BodyText"/>
        <w:numPr>
          <w:ilvl w:val="0"/>
          <w:numId w:val="135"/>
        </w:numPr>
        <w:tabs>
          <w:tab w:val="clear" w:pos="720"/>
          <w:tab w:val="left" w:pos="0" w:leader="none"/>
        </w:tabs>
        <w:spacing w:before="0" w:after="200"/>
        <w:ind w:hanging="283" w:left="709"/>
        <w:rPr/>
      </w:pPr>
      <w:r>
        <w:rPr>
          <w:rStyle w:val="Strong"/>
        </w:rPr>
        <w:t>Uncertainty should produce humility rather than paralysis.</w:t>
      </w:r>
      <w:r>
        <w:rPr/>
        <w:br/>
        <w:t>Systems analysis cannot eliminate uncertainty. Responsible action requires acknowledging uncertainty, comparing scenarios, selecting proportionate interventions, monitoring results, and retaining the capacity to change course.</w:t>
      </w:r>
    </w:p>
    <w:p>
      <w:pPr>
        <w:pStyle w:val="BodyText"/>
        <w:numPr>
          <w:ilvl w:val="0"/>
          <w:numId w:val="135"/>
        </w:numPr>
        <w:tabs>
          <w:tab w:val="clear" w:pos="720"/>
          <w:tab w:val="left" w:pos="0" w:leader="none"/>
        </w:tabs>
        <w:spacing w:before="0" w:after="200"/>
        <w:ind w:hanging="283" w:left="709"/>
        <w:rPr/>
      </w:pPr>
      <w:r>
        <w:rPr>
          <w:rStyle w:val="Strong"/>
        </w:rPr>
        <w:t>Ethical evaluation must include the design of the system.</w:t>
      </w:r>
      <w:r>
        <w:rPr/>
        <w:br/>
        <w:t>It is insufficient to judge only individuals operating within incentives and constraints created by others. Roles, rules, technologies, institutions, and resource flows must also be evaluated.</w:t>
      </w:r>
    </w:p>
    <w:p>
      <w:pPr>
        <w:pStyle w:val="BodyText"/>
        <w:numPr>
          <w:ilvl w:val="0"/>
          <w:numId w:val="135"/>
        </w:numPr>
        <w:tabs>
          <w:tab w:val="clear" w:pos="720"/>
          <w:tab w:val="left" w:pos="0" w:leader="none"/>
        </w:tabs>
        <w:spacing w:before="0" w:after="200"/>
        <w:ind w:hanging="283" w:left="709"/>
        <w:rPr/>
      </w:pPr>
      <w:r>
        <w:rPr>
          <w:rStyle w:val="Strong"/>
        </w:rPr>
        <w:t>The “whole system” is an aspiration, not a fully attainable viewpoint.</w:t>
      </w:r>
      <w:r>
        <w:rPr/>
        <w:br/>
        <w:t>Analysts should expand their attention beyond immediate boundaries while recognizing that no analysis captures every relationship or future effect. Claims of comprehensiveness must remain provisional.</w:t>
      </w:r>
    </w:p>
    <w:p>
      <w:pPr>
        <w:pStyle w:val="Heading3"/>
        <w:spacing w:before="0" w:after="200"/>
        <w:ind w:hanging="0" w:left="0"/>
        <w:rPr>
          <w:rFonts w:ascii="Aptos" w:hAnsi="Aptos"/>
          <w:color w:val="auto"/>
        </w:rPr>
      </w:pPr>
      <w:r>
        <w:rPr>
          <w:rFonts w:ascii="Aptos" w:hAnsi="Aptos"/>
          <w:color w:val="auto"/>
        </w:rPr>
        <w:t>Relationship to this framework</w:t>
      </w:r>
    </w:p>
    <w:p>
      <w:pPr>
        <w:pStyle w:val="BodyText"/>
        <w:spacing w:before="0" w:after="200"/>
        <w:rPr/>
      </w:pPr>
      <w:r>
        <w:rPr/>
        <w:t>Systems Ethics is less an external competitor to this framework than a major intellectual predecessor and methodological relative. The proposed framework formalizes many systems-ethical commitments through its ontology of entities, Associations, World Context, Assessed Actions, World Context Transitions, Distributed Policy Effects, probabilities, time horizons, and persistent adaptive entities.</w:t>
      </w:r>
    </w:p>
    <w:p>
      <w:pPr>
        <w:pStyle w:val="BodyText"/>
        <w:spacing w:before="0" w:after="200"/>
        <w:rPr/>
      </w:pPr>
      <w:r>
        <w:rPr/>
        <w:t>The relationship is especially close in the following areas:</w:t>
      </w:r>
    </w:p>
    <w:tbl>
      <w:tblPr>
        <w:tblW w:w="8640" w:type="dxa"/>
        <w:jc w:val="left"/>
        <w:tblInd w:w="28" w:type="dxa"/>
        <w:tblLayout w:type="fixed"/>
        <w:tblCellMar>
          <w:top w:w="28" w:type="dxa"/>
          <w:left w:w="28" w:type="dxa"/>
          <w:bottom w:w="28" w:type="dxa"/>
          <w:right w:w="28" w:type="dxa"/>
        </w:tblCellMar>
      </w:tblPr>
      <w:tblGrid>
        <w:gridCol w:w="2509"/>
        <w:gridCol w:w="6131"/>
      </w:tblGrid>
      <w:tr>
        <w:trPr>
          <w:tblHeader w:val="true"/>
        </w:trPr>
        <w:tc>
          <w:tcPr>
            <w:tcW w:w="2509" w:type="dxa"/>
            <w:tcBorders/>
            <w:vAlign w:val="center"/>
          </w:tcPr>
          <w:p>
            <w:pPr>
              <w:pStyle w:val="TableHeading"/>
              <w:suppressLineNumbers/>
              <w:spacing w:before="0" w:after="200"/>
              <w:jc w:val="center"/>
              <w:rPr/>
            </w:pPr>
            <w:r>
              <w:rPr/>
              <w:t>Systems Ethics emphasis</w:t>
            </w:r>
          </w:p>
        </w:tc>
        <w:tc>
          <w:tcPr>
            <w:tcW w:w="6131" w:type="dxa"/>
            <w:tcBorders/>
            <w:vAlign w:val="center"/>
          </w:tcPr>
          <w:p>
            <w:pPr>
              <w:pStyle w:val="TableHeading"/>
              <w:suppressLineNumbers/>
              <w:spacing w:before="0" w:after="200"/>
              <w:jc w:val="center"/>
              <w:rPr/>
            </w:pPr>
            <w:r>
              <w:rPr/>
              <w:t>Relationship to this framework</w:t>
            </w:r>
          </w:p>
        </w:tc>
      </w:tr>
      <w:tr>
        <w:trPr/>
        <w:tc>
          <w:tcPr>
            <w:tcW w:w="2509" w:type="dxa"/>
            <w:tcBorders/>
            <w:vAlign w:val="center"/>
          </w:tcPr>
          <w:p>
            <w:pPr>
              <w:pStyle w:val="TableContents"/>
              <w:widowControl w:val="false"/>
              <w:suppressLineNumbers/>
              <w:spacing w:before="0" w:after="200"/>
              <w:rPr/>
            </w:pPr>
            <w:r>
              <w:rPr/>
              <w:t>Whole-system inquiry</w:t>
            </w:r>
          </w:p>
        </w:tc>
        <w:tc>
          <w:tcPr>
            <w:tcW w:w="6131" w:type="dxa"/>
            <w:tcBorders/>
            <w:vAlign w:val="center"/>
          </w:tcPr>
          <w:p>
            <w:pPr>
              <w:pStyle w:val="TableContents"/>
              <w:widowControl w:val="false"/>
              <w:suppressLineNumbers/>
              <w:spacing w:before="0" w:after="200"/>
              <w:rPr/>
            </w:pPr>
            <w:r>
              <w:rPr/>
              <w:t>Reflected in evaluating the complete World Context Transition rather than a single direct effect</w:t>
            </w:r>
          </w:p>
        </w:tc>
      </w:tr>
      <w:tr>
        <w:trPr/>
        <w:tc>
          <w:tcPr>
            <w:tcW w:w="2509" w:type="dxa"/>
            <w:tcBorders/>
            <w:vAlign w:val="center"/>
          </w:tcPr>
          <w:p>
            <w:pPr>
              <w:pStyle w:val="TableContents"/>
              <w:widowControl w:val="false"/>
              <w:suppressLineNumbers/>
              <w:spacing w:before="0" w:after="200"/>
              <w:rPr/>
            </w:pPr>
            <w:r>
              <w:rPr/>
              <w:t>Interdependence</w:t>
            </w:r>
          </w:p>
        </w:tc>
        <w:tc>
          <w:tcPr>
            <w:tcW w:w="6131" w:type="dxa"/>
            <w:tcBorders/>
            <w:vAlign w:val="center"/>
          </w:tcPr>
          <w:p>
            <w:pPr>
              <w:pStyle w:val="TableContents"/>
              <w:widowControl w:val="false"/>
              <w:suppressLineNumbers/>
              <w:spacing w:before="0" w:after="200"/>
              <w:rPr/>
            </w:pPr>
            <w:r>
              <w:rPr/>
              <w:t>Represented through Associations among entities and their states</w:t>
            </w:r>
          </w:p>
        </w:tc>
      </w:tr>
      <w:tr>
        <w:trPr/>
        <w:tc>
          <w:tcPr>
            <w:tcW w:w="2509" w:type="dxa"/>
            <w:tcBorders/>
            <w:vAlign w:val="center"/>
          </w:tcPr>
          <w:p>
            <w:pPr>
              <w:pStyle w:val="TableContents"/>
              <w:widowControl w:val="false"/>
              <w:suppressLineNumbers/>
              <w:spacing w:before="0" w:after="200"/>
              <w:rPr/>
            </w:pPr>
            <w:r>
              <w:rPr/>
              <w:t>Open systems</w:t>
            </w:r>
          </w:p>
        </w:tc>
        <w:tc>
          <w:tcPr>
            <w:tcW w:w="6131" w:type="dxa"/>
            <w:tcBorders/>
            <w:vAlign w:val="center"/>
          </w:tcPr>
          <w:p>
            <w:pPr>
              <w:pStyle w:val="TableContents"/>
              <w:widowControl w:val="false"/>
              <w:suppressLineNumbers/>
              <w:spacing w:before="0" w:after="200"/>
              <w:rPr/>
            </w:pPr>
            <w:r>
              <w:rPr/>
              <w:t>Reflected in the World Context, which includes surrounding entities, institutions, constraints, resources, and future possibilities</w:t>
            </w:r>
          </w:p>
        </w:tc>
      </w:tr>
      <w:tr>
        <w:trPr/>
        <w:tc>
          <w:tcPr>
            <w:tcW w:w="2509" w:type="dxa"/>
            <w:tcBorders/>
            <w:vAlign w:val="center"/>
          </w:tcPr>
          <w:p>
            <w:pPr>
              <w:pStyle w:val="TableContents"/>
              <w:widowControl w:val="false"/>
              <w:suppressLineNumbers/>
              <w:spacing w:before="0" w:after="200"/>
              <w:rPr/>
            </w:pPr>
            <w:r>
              <w:rPr/>
              <w:t>Feedback</w:t>
            </w:r>
          </w:p>
        </w:tc>
        <w:tc>
          <w:tcPr>
            <w:tcW w:w="6131" w:type="dxa"/>
            <w:tcBorders/>
            <w:vAlign w:val="center"/>
          </w:tcPr>
          <w:p>
            <w:pPr>
              <w:pStyle w:val="TableContents"/>
              <w:widowControl w:val="false"/>
              <w:suppressLineNumbers/>
              <w:spacing w:before="0" w:after="200"/>
              <w:rPr/>
            </w:pPr>
            <w:r>
              <w:rPr/>
              <w:t>Reflected in Distributed Policy Effects and changes to future behavior</w:t>
            </w:r>
          </w:p>
        </w:tc>
      </w:tr>
      <w:tr>
        <w:trPr/>
        <w:tc>
          <w:tcPr>
            <w:tcW w:w="2509" w:type="dxa"/>
            <w:tcBorders/>
            <w:vAlign w:val="center"/>
          </w:tcPr>
          <w:p>
            <w:pPr>
              <w:pStyle w:val="TableContents"/>
              <w:widowControl w:val="false"/>
              <w:suppressLineNumbers/>
              <w:spacing w:before="0" w:after="200"/>
              <w:rPr/>
            </w:pPr>
            <w:r>
              <w:rPr/>
              <w:t>Emergence</w:t>
            </w:r>
          </w:p>
        </w:tc>
        <w:tc>
          <w:tcPr>
            <w:tcW w:w="6131" w:type="dxa"/>
            <w:tcBorders/>
            <w:vAlign w:val="center"/>
          </w:tcPr>
          <w:p>
            <w:pPr>
              <w:pStyle w:val="TableContents"/>
              <w:widowControl w:val="false"/>
              <w:suppressLineNumbers/>
              <w:spacing w:before="0" w:after="200"/>
              <w:rPr/>
            </w:pPr>
            <w:r>
              <w:rPr/>
              <w:t>Reflected in system-level changes that cannot be reduced to the arithmetic sum of direct effects</w:t>
            </w:r>
          </w:p>
        </w:tc>
      </w:tr>
      <w:tr>
        <w:trPr/>
        <w:tc>
          <w:tcPr>
            <w:tcW w:w="2509" w:type="dxa"/>
            <w:tcBorders/>
            <w:vAlign w:val="center"/>
          </w:tcPr>
          <w:p>
            <w:pPr>
              <w:pStyle w:val="TableContents"/>
              <w:widowControl w:val="false"/>
              <w:suppressLineNumbers/>
              <w:spacing w:before="0" w:after="200"/>
              <w:rPr/>
            </w:pPr>
            <w:r>
              <w:rPr/>
              <w:t>Purposeful systems</w:t>
            </w:r>
          </w:p>
        </w:tc>
        <w:tc>
          <w:tcPr>
            <w:tcW w:w="6131" w:type="dxa"/>
            <w:tcBorders/>
            <w:vAlign w:val="center"/>
          </w:tcPr>
          <w:p>
            <w:pPr>
              <w:pStyle w:val="TableContents"/>
              <w:widowControl w:val="false"/>
              <w:suppressLineNumbers/>
              <w:spacing w:before="0" w:after="200"/>
              <w:rPr/>
            </w:pPr>
            <w:r>
              <w:rPr/>
              <w:t>Reflected in objectives, policies, intentions, roles, and adaptive agents</w:t>
            </w:r>
          </w:p>
        </w:tc>
      </w:tr>
      <w:tr>
        <w:trPr/>
        <w:tc>
          <w:tcPr>
            <w:tcW w:w="2509" w:type="dxa"/>
            <w:tcBorders/>
            <w:vAlign w:val="center"/>
          </w:tcPr>
          <w:p>
            <w:pPr>
              <w:pStyle w:val="TableContents"/>
              <w:widowControl w:val="false"/>
              <w:suppressLineNumbers/>
              <w:spacing w:before="0" w:after="200"/>
              <w:rPr/>
            </w:pPr>
            <w:r>
              <w:rPr/>
              <w:t>Boundary critique</w:t>
            </w:r>
          </w:p>
        </w:tc>
        <w:tc>
          <w:tcPr>
            <w:tcW w:w="6131" w:type="dxa"/>
            <w:tcBorders/>
            <w:vAlign w:val="center"/>
          </w:tcPr>
          <w:p>
            <w:pPr>
              <w:pStyle w:val="TableContents"/>
              <w:widowControl w:val="false"/>
              <w:suppressLineNumbers/>
              <w:spacing w:before="0" w:after="200"/>
              <w:rPr/>
            </w:pPr>
            <w:r>
              <w:rPr/>
              <w:t>Relevant to deciding which entities, effects, time horizons, and evidence belong in the assessment</w:t>
            </w:r>
          </w:p>
        </w:tc>
      </w:tr>
      <w:tr>
        <w:trPr/>
        <w:tc>
          <w:tcPr>
            <w:tcW w:w="2509" w:type="dxa"/>
            <w:tcBorders/>
            <w:vAlign w:val="center"/>
          </w:tcPr>
          <w:p>
            <w:pPr>
              <w:pStyle w:val="TableContents"/>
              <w:widowControl w:val="false"/>
              <w:suppressLineNumbers/>
              <w:spacing w:before="0" w:after="200"/>
              <w:rPr/>
            </w:pPr>
            <w:r>
              <w:rPr/>
              <w:t>Multiple perspectives</w:t>
            </w:r>
          </w:p>
        </w:tc>
        <w:tc>
          <w:tcPr>
            <w:tcW w:w="6131" w:type="dxa"/>
            <w:tcBorders/>
            <w:vAlign w:val="center"/>
          </w:tcPr>
          <w:p>
            <w:pPr>
              <w:pStyle w:val="TableContents"/>
              <w:widowControl w:val="false"/>
              <w:suppressLineNumbers/>
              <w:spacing w:before="0" w:after="200"/>
              <w:rPr/>
            </w:pPr>
            <w:r>
              <w:rPr/>
              <w:t>Relevant to competing descriptions of the Situational Context and different experiences of the same transition</w:t>
            </w:r>
          </w:p>
        </w:tc>
      </w:tr>
      <w:tr>
        <w:trPr/>
        <w:tc>
          <w:tcPr>
            <w:tcW w:w="2509" w:type="dxa"/>
            <w:tcBorders/>
            <w:vAlign w:val="center"/>
          </w:tcPr>
          <w:p>
            <w:pPr>
              <w:pStyle w:val="TableContents"/>
              <w:widowControl w:val="false"/>
              <w:suppressLineNumbers/>
              <w:spacing w:before="0" w:after="200"/>
              <w:rPr/>
            </w:pPr>
            <w:r>
              <w:rPr/>
              <w:t>System viability</w:t>
            </w:r>
          </w:p>
        </w:tc>
        <w:tc>
          <w:tcPr>
            <w:tcW w:w="6131" w:type="dxa"/>
            <w:tcBorders/>
            <w:vAlign w:val="center"/>
          </w:tcPr>
          <w:p>
            <w:pPr>
              <w:pStyle w:val="TableContents"/>
              <w:widowControl w:val="false"/>
              <w:suppressLineNumbers/>
              <w:spacing w:before="0" w:after="200"/>
              <w:rPr/>
            </w:pPr>
            <w:r>
              <w:rPr/>
              <w:t>Related to the sustained capacities included in Long-Term Flourishing</w:t>
            </w:r>
          </w:p>
        </w:tc>
      </w:tr>
      <w:tr>
        <w:trPr/>
        <w:tc>
          <w:tcPr>
            <w:tcW w:w="2509" w:type="dxa"/>
            <w:tcBorders/>
            <w:vAlign w:val="center"/>
          </w:tcPr>
          <w:p>
            <w:pPr>
              <w:pStyle w:val="TableContents"/>
              <w:widowControl w:val="false"/>
              <w:suppressLineNumbers/>
              <w:spacing w:before="0" w:after="200"/>
              <w:rPr/>
            </w:pPr>
            <w:r>
              <w:rPr/>
              <w:t>Adaptation and learning</w:t>
            </w:r>
          </w:p>
        </w:tc>
        <w:tc>
          <w:tcPr>
            <w:tcW w:w="6131" w:type="dxa"/>
            <w:tcBorders/>
            <w:vAlign w:val="center"/>
          </w:tcPr>
          <w:p>
            <w:pPr>
              <w:pStyle w:val="TableContents"/>
              <w:widowControl w:val="false"/>
              <w:suppressLineNumbers/>
              <w:spacing w:before="0" w:after="200"/>
              <w:rPr/>
            </w:pPr>
            <w:r>
              <w:rPr/>
              <w:t>Reflected in the adaptive development of moral agents and revision of future policies</w:t>
            </w:r>
          </w:p>
        </w:tc>
      </w:tr>
      <w:tr>
        <w:trPr/>
        <w:tc>
          <w:tcPr>
            <w:tcW w:w="2509" w:type="dxa"/>
            <w:tcBorders/>
            <w:vAlign w:val="center"/>
          </w:tcPr>
          <w:p>
            <w:pPr>
              <w:pStyle w:val="TableContents"/>
              <w:widowControl w:val="false"/>
              <w:suppressLineNumbers/>
              <w:spacing w:before="0" w:after="200"/>
              <w:rPr/>
            </w:pPr>
            <w:r>
              <w:rPr/>
              <w:t>Unintended consequences</w:t>
            </w:r>
          </w:p>
        </w:tc>
        <w:tc>
          <w:tcPr>
            <w:tcW w:w="6131" w:type="dxa"/>
            <w:tcBorders/>
            <w:vAlign w:val="center"/>
          </w:tcPr>
          <w:p>
            <w:pPr>
              <w:pStyle w:val="TableContents"/>
              <w:widowControl w:val="false"/>
              <w:suppressLineNumbers/>
              <w:spacing w:before="0" w:after="200"/>
              <w:rPr/>
            </w:pPr>
            <w:r>
              <w:rPr/>
              <w:t>Addressed through scenarios, probabilities, indirect effects, multiple horizons, and monitoring</w:t>
            </w:r>
          </w:p>
        </w:tc>
      </w:tr>
      <w:tr>
        <w:trPr/>
        <w:tc>
          <w:tcPr>
            <w:tcW w:w="2509" w:type="dxa"/>
            <w:tcBorders/>
            <w:vAlign w:val="center"/>
          </w:tcPr>
          <w:p>
            <w:pPr>
              <w:pStyle w:val="TableContents"/>
              <w:widowControl w:val="false"/>
              <w:suppressLineNumbers/>
              <w:spacing w:before="0" w:after="200"/>
              <w:rPr/>
            </w:pPr>
            <w:r>
              <w:rPr/>
              <w:t>Local versus global optimization</w:t>
            </w:r>
          </w:p>
        </w:tc>
        <w:tc>
          <w:tcPr>
            <w:tcW w:w="6131" w:type="dxa"/>
            <w:tcBorders/>
            <w:vAlign w:val="center"/>
          </w:tcPr>
          <w:p>
            <w:pPr>
              <w:pStyle w:val="TableContents"/>
              <w:widowControl w:val="false"/>
              <w:suppressLineNumbers/>
              <w:spacing w:before="0" w:after="200"/>
              <w:rPr/>
            </w:pPr>
            <w:r>
              <w:rPr/>
              <w:t>Addressed by evaluating effects across the World Context rather than only against the actor’s immediate objective</w:t>
            </w:r>
          </w:p>
        </w:tc>
      </w:tr>
      <w:tr>
        <w:trPr/>
        <w:tc>
          <w:tcPr>
            <w:tcW w:w="2509" w:type="dxa"/>
            <w:tcBorders/>
            <w:vAlign w:val="center"/>
          </w:tcPr>
          <w:p>
            <w:pPr>
              <w:pStyle w:val="TableContents"/>
              <w:widowControl w:val="false"/>
              <w:suppressLineNumbers/>
              <w:spacing w:before="0" w:after="200"/>
              <w:rPr/>
            </w:pPr>
            <w:r>
              <w:rPr/>
              <w:t>Leverage points</w:t>
            </w:r>
          </w:p>
        </w:tc>
        <w:tc>
          <w:tcPr>
            <w:tcW w:w="6131" w:type="dxa"/>
            <w:tcBorders/>
            <w:vAlign w:val="center"/>
          </w:tcPr>
          <w:p>
            <w:pPr>
              <w:pStyle w:val="TableContents"/>
              <w:widowControl w:val="false"/>
              <w:suppressLineNumbers/>
              <w:spacing w:before="0" w:after="200"/>
              <w:rPr/>
            </w:pPr>
            <w:r>
              <w:rPr/>
              <w:t>Related to actions that significantly alter future policies, constraints, incentives, or system structure</w:t>
            </w:r>
          </w:p>
        </w:tc>
      </w:tr>
      <w:tr>
        <w:trPr/>
        <w:tc>
          <w:tcPr>
            <w:tcW w:w="2509" w:type="dxa"/>
            <w:tcBorders/>
            <w:vAlign w:val="center"/>
          </w:tcPr>
          <w:p>
            <w:pPr>
              <w:pStyle w:val="TableContents"/>
              <w:widowControl w:val="false"/>
              <w:suppressLineNumbers/>
              <w:spacing w:before="0" w:after="200"/>
              <w:rPr/>
            </w:pPr>
            <w:r>
              <w:rPr/>
              <w:t>Distributed causation</w:t>
            </w:r>
          </w:p>
        </w:tc>
        <w:tc>
          <w:tcPr>
            <w:tcW w:w="6131" w:type="dxa"/>
            <w:tcBorders/>
            <w:vAlign w:val="center"/>
          </w:tcPr>
          <w:p>
            <w:pPr>
              <w:pStyle w:val="TableContents"/>
              <w:widowControl w:val="false"/>
              <w:suppressLineNumbers/>
              <w:spacing w:before="0" w:after="200"/>
              <w:rPr/>
            </w:pPr>
            <w:r>
              <w:rPr/>
              <w:t>Represented through causal relationships involving multiple agents and institutions</w:t>
            </w:r>
          </w:p>
        </w:tc>
      </w:tr>
      <w:tr>
        <w:trPr/>
        <w:tc>
          <w:tcPr>
            <w:tcW w:w="2509" w:type="dxa"/>
            <w:tcBorders/>
            <w:vAlign w:val="center"/>
          </w:tcPr>
          <w:p>
            <w:pPr>
              <w:pStyle w:val="TableContents"/>
              <w:widowControl w:val="false"/>
              <w:suppressLineNumbers/>
              <w:spacing w:before="0" w:after="200"/>
              <w:rPr/>
            </w:pPr>
            <w:r>
              <w:rPr/>
              <w:t>Ethical responsibility of designers</w:t>
            </w:r>
          </w:p>
        </w:tc>
        <w:tc>
          <w:tcPr>
            <w:tcW w:w="6131" w:type="dxa"/>
            <w:tcBorders/>
            <w:vAlign w:val="center"/>
          </w:tcPr>
          <w:p>
            <w:pPr>
              <w:pStyle w:val="TableContents"/>
              <w:widowControl w:val="false"/>
              <w:suppressLineNumbers/>
              <w:spacing w:before="0" w:after="200"/>
              <w:rPr/>
            </w:pPr>
            <w:r>
              <w:rPr/>
              <w:t>Addressed through role, authority, knowledge, alternatives, and foreseeable effects</w:t>
            </w:r>
          </w:p>
        </w:tc>
      </w:tr>
      <w:tr>
        <w:trPr/>
        <w:tc>
          <w:tcPr>
            <w:tcW w:w="2509" w:type="dxa"/>
            <w:tcBorders/>
            <w:vAlign w:val="center"/>
          </w:tcPr>
          <w:p>
            <w:pPr>
              <w:pStyle w:val="TableContents"/>
              <w:widowControl w:val="false"/>
              <w:suppressLineNumbers/>
              <w:spacing w:before="0" w:after="200"/>
              <w:rPr/>
            </w:pPr>
            <w:r>
              <w:rPr/>
              <w:t>Autopoiesis</w:t>
            </w:r>
          </w:p>
        </w:tc>
        <w:tc>
          <w:tcPr>
            <w:tcW w:w="6131" w:type="dxa"/>
            <w:tcBorders/>
            <w:vAlign w:val="center"/>
          </w:tcPr>
          <w:p>
            <w:pPr>
              <w:pStyle w:val="TableContents"/>
              <w:widowControl w:val="false"/>
              <w:suppressLineNumbers/>
              <w:spacing w:before="0" w:after="200"/>
              <w:rPr/>
            </w:pPr>
            <w:r>
              <w:rPr/>
              <w:t>Explicitly recognized in the Foundational Axiom’s inclusion of autopoietic entities</w:t>
            </w:r>
          </w:p>
        </w:tc>
      </w:tr>
      <w:tr>
        <w:trPr/>
        <w:tc>
          <w:tcPr>
            <w:tcW w:w="2509" w:type="dxa"/>
            <w:tcBorders/>
            <w:vAlign w:val="center"/>
          </w:tcPr>
          <w:p>
            <w:pPr>
              <w:pStyle w:val="TableContents"/>
              <w:widowControl w:val="false"/>
              <w:suppressLineNumbers/>
              <w:spacing w:before="0" w:after="200"/>
              <w:rPr/>
            </w:pPr>
            <w:r>
              <w:rPr/>
              <w:t>Sustainability</w:t>
            </w:r>
          </w:p>
        </w:tc>
        <w:tc>
          <w:tcPr>
            <w:tcW w:w="6131" w:type="dxa"/>
            <w:tcBorders/>
            <w:vAlign w:val="center"/>
          </w:tcPr>
          <w:p>
            <w:pPr>
              <w:pStyle w:val="TableContents"/>
              <w:widowControl w:val="false"/>
              <w:suppressLineNumbers/>
              <w:spacing w:before="0" w:after="200"/>
              <w:rPr/>
            </w:pPr>
            <w:r>
              <w:rPr/>
              <w:t>Reflected in preserving and promoting long-term rather than merely immediate flourishing</w:t>
            </w:r>
          </w:p>
        </w:tc>
      </w:tr>
      <w:tr>
        <w:trPr/>
        <w:tc>
          <w:tcPr>
            <w:tcW w:w="2509" w:type="dxa"/>
            <w:tcBorders/>
            <w:vAlign w:val="center"/>
          </w:tcPr>
          <w:p>
            <w:pPr>
              <w:pStyle w:val="TableContents"/>
              <w:widowControl w:val="false"/>
              <w:suppressLineNumbers/>
              <w:spacing w:before="0" w:after="200"/>
              <w:rPr/>
            </w:pPr>
            <w:r>
              <w:rPr/>
              <w:t>Model humility</w:t>
            </w:r>
          </w:p>
        </w:tc>
        <w:tc>
          <w:tcPr>
            <w:tcW w:w="6131" w:type="dxa"/>
            <w:tcBorders/>
            <w:vAlign w:val="center"/>
          </w:tcPr>
          <w:p>
            <w:pPr>
              <w:pStyle w:val="TableContents"/>
              <w:widowControl w:val="false"/>
              <w:suppressLineNumbers/>
              <w:spacing w:before="0" w:after="200"/>
              <w:rPr/>
            </w:pPr>
            <w:r>
              <w:rPr/>
              <w:t>Reflected in explicit assumptions, probabilities, uncertainty, and revision</w:t>
            </w:r>
          </w:p>
        </w:tc>
      </w:tr>
    </w:tbl>
    <w:p>
      <w:pPr>
        <w:pStyle w:val="BodyText"/>
        <w:spacing w:before="0" w:after="200"/>
        <w:rPr/>
      </w:pPr>
      <w:r>
        <w:rPr/>
        <w:t>The proposed framework supplies something that Systems Ethics does not always provide: a specified normative orientation. Systems analysis can explain how a system behaves, where feedback occurs, or which intervention increases resilience without establishing whether the resulting system is ethically desirable. The Foundational Axiom supplies an evaluative criterion centered on the compatible long-term flourishing of relevant persistent adaptive entities.</w:t>
      </w:r>
    </w:p>
    <w:p>
      <w:pPr>
        <w:pStyle w:val="BodyText"/>
        <w:spacing w:before="0" w:after="200"/>
        <w:rPr/>
      </w:pPr>
      <w:r>
        <w:rPr/>
        <w:t>Systems Ethics, in turn, warns that the word “objective” can carry two different meanings. An objective may mean a goal toward which an agent acts, or it may imply a value-neutral and universally correct description. The framework can be objective-based in the first sense without claiming that objectives, system boundaries, or measures of flourishing are value-free. Objectives must themselves be ethically assessed.</w:t>
      </w:r>
    </w:p>
    <w:p>
      <w:pPr>
        <w:pStyle w:val="Heading3"/>
        <w:spacing w:before="0" w:after="200"/>
        <w:ind w:hanging="0" w:left="0"/>
        <w:rPr>
          <w:rFonts w:ascii="Aptos" w:hAnsi="Aptos"/>
          <w:color w:val="auto"/>
        </w:rPr>
      </w:pPr>
      <w:r>
        <w:rPr>
          <w:rFonts w:ascii="Aptos" w:hAnsi="Aptos"/>
          <w:color w:val="auto"/>
        </w:rPr>
        <w:t>Concepts adopted or adapted by this framework</w:t>
      </w:r>
    </w:p>
    <w:tbl>
      <w:tblPr>
        <w:tblW w:w="8640" w:type="dxa"/>
        <w:jc w:val="left"/>
        <w:tblInd w:w="28" w:type="dxa"/>
        <w:tblLayout w:type="fixed"/>
        <w:tblCellMar>
          <w:top w:w="28" w:type="dxa"/>
          <w:left w:w="28" w:type="dxa"/>
          <w:bottom w:w="28" w:type="dxa"/>
          <w:right w:w="28" w:type="dxa"/>
        </w:tblCellMar>
      </w:tblPr>
      <w:tblGrid>
        <w:gridCol w:w="2530"/>
        <w:gridCol w:w="6110"/>
      </w:tblGrid>
      <w:tr>
        <w:trPr>
          <w:tblHeader w:val="true"/>
        </w:trPr>
        <w:tc>
          <w:tcPr>
            <w:tcW w:w="2530" w:type="dxa"/>
            <w:tcBorders/>
            <w:vAlign w:val="center"/>
          </w:tcPr>
          <w:p>
            <w:pPr>
              <w:pStyle w:val="TableHeading"/>
              <w:suppressLineNumbers/>
              <w:spacing w:before="0" w:after="200"/>
              <w:jc w:val="center"/>
              <w:rPr/>
            </w:pPr>
            <w:r>
              <w:rPr/>
              <w:t>Systems concept</w:t>
            </w:r>
          </w:p>
        </w:tc>
        <w:tc>
          <w:tcPr>
            <w:tcW w:w="6110" w:type="dxa"/>
            <w:tcBorders/>
            <w:vAlign w:val="center"/>
          </w:tcPr>
          <w:p>
            <w:pPr>
              <w:pStyle w:val="TableHeading"/>
              <w:suppressLineNumbers/>
              <w:spacing w:before="0" w:after="200"/>
              <w:jc w:val="center"/>
              <w:rPr/>
            </w:pPr>
            <w:r>
              <w:rPr/>
              <w:t>Adoption or adaptation within this framework</w:t>
            </w:r>
          </w:p>
        </w:tc>
      </w:tr>
      <w:tr>
        <w:trPr/>
        <w:tc>
          <w:tcPr>
            <w:tcW w:w="2530" w:type="dxa"/>
            <w:tcBorders/>
            <w:vAlign w:val="center"/>
          </w:tcPr>
          <w:p>
            <w:pPr>
              <w:pStyle w:val="TableContents"/>
              <w:widowControl w:val="false"/>
              <w:suppressLineNumbers/>
              <w:spacing w:before="0" w:after="200"/>
              <w:rPr/>
            </w:pPr>
            <w:r>
              <w:rPr>
                <w:rStyle w:val="Strong"/>
              </w:rPr>
              <w:t>System and environment</w:t>
            </w:r>
          </w:p>
        </w:tc>
        <w:tc>
          <w:tcPr>
            <w:tcW w:w="6110" w:type="dxa"/>
            <w:tcBorders/>
            <w:vAlign w:val="center"/>
          </w:tcPr>
          <w:p>
            <w:pPr>
              <w:pStyle w:val="TableContents"/>
              <w:widowControl w:val="false"/>
              <w:suppressLineNumbers/>
              <w:spacing w:before="0" w:after="200"/>
              <w:rPr/>
            </w:pPr>
            <w:r>
              <w:rPr/>
              <w:t>Adapted as the Assessed Action’s World Context, including entities, relationships, constraints, institutions, and external conditions</w:t>
            </w:r>
          </w:p>
        </w:tc>
      </w:tr>
      <w:tr>
        <w:trPr/>
        <w:tc>
          <w:tcPr>
            <w:tcW w:w="2530" w:type="dxa"/>
            <w:tcBorders/>
            <w:vAlign w:val="center"/>
          </w:tcPr>
          <w:p>
            <w:pPr>
              <w:pStyle w:val="TableContents"/>
              <w:widowControl w:val="false"/>
              <w:suppressLineNumbers/>
              <w:spacing w:before="0" w:after="200"/>
              <w:rPr/>
            </w:pPr>
            <w:r>
              <w:rPr>
                <w:rStyle w:val="Strong"/>
              </w:rPr>
              <w:t>Open systems</w:t>
            </w:r>
          </w:p>
        </w:tc>
        <w:tc>
          <w:tcPr>
            <w:tcW w:w="6110" w:type="dxa"/>
            <w:tcBorders/>
            <w:vAlign w:val="center"/>
          </w:tcPr>
          <w:p>
            <w:pPr>
              <w:pStyle w:val="TableContents"/>
              <w:widowControl w:val="false"/>
              <w:suppressLineNumbers/>
              <w:spacing w:before="0" w:after="200"/>
              <w:rPr/>
            </w:pPr>
            <w:r>
              <w:rPr/>
              <w:t>Reflected in the presumption that relevant effects may cross organizational, geographic, temporal, or ecological boundaries</w:t>
            </w:r>
          </w:p>
        </w:tc>
      </w:tr>
      <w:tr>
        <w:trPr/>
        <w:tc>
          <w:tcPr>
            <w:tcW w:w="2530" w:type="dxa"/>
            <w:tcBorders/>
            <w:vAlign w:val="center"/>
          </w:tcPr>
          <w:p>
            <w:pPr>
              <w:pStyle w:val="TableContents"/>
              <w:widowControl w:val="false"/>
              <w:suppressLineNumbers/>
              <w:spacing w:before="0" w:after="200"/>
              <w:rPr/>
            </w:pPr>
            <w:r>
              <w:rPr>
                <w:rStyle w:val="Strong"/>
              </w:rPr>
              <w:t>Holism</w:t>
            </w:r>
          </w:p>
        </w:tc>
        <w:tc>
          <w:tcPr>
            <w:tcW w:w="6110" w:type="dxa"/>
            <w:tcBorders/>
            <w:vAlign w:val="center"/>
          </w:tcPr>
          <w:p>
            <w:pPr>
              <w:pStyle w:val="TableContents"/>
              <w:widowControl w:val="false"/>
              <w:suppressLineNumbers/>
              <w:spacing w:before="0" w:after="200"/>
              <w:rPr/>
            </w:pPr>
            <w:r>
              <w:rPr/>
              <w:t>Adapted as evaluation of the complete transition rather than isolated effects</w:t>
            </w:r>
          </w:p>
        </w:tc>
      </w:tr>
      <w:tr>
        <w:trPr/>
        <w:tc>
          <w:tcPr>
            <w:tcW w:w="2530" w:type="dxa"/>
            <w:tcBorders/>
            <w:vAlign w:val="center"/>
          </w:tcPr>
          <w:p>
            <w:pPr>
              <w:pStyle w:val="TableContents"/>
              <w:widowControl w:val="false"/>
              <w:suppressLineNumbers/>
              <w:spacing w:before="0" w:after="200"/>
              <w:rPr/>
            </w:pPr>
            <w:r>
              <w:rPr>
                <w:rStyle w:val="Strong"/>
              </w:rPr>
              <w:t>Interdependence</w:t>
            </w:r>
          </w:p>
        </w:tc>
        <w:tc>
          <w:tcPr>
            <w:tcW w:w="6110" w:type="dxa"/>
            <w:tcBorders/>
            <w:vAlign w:val="center"/>
          </w:tcPr>
          <w:p>
            <w:pPr>
              <w:pStyle w:val="TableContents"/>
              <w:widowControl w:val="false"/>
              <w:suppressLineNumbers/>
              <w:spacing w:before="0" w:after="200"/>
              <w:rPr/>
            </w:pPr>
            <w:r>
              <w:rPr/>
              <w:t>Represented through Associations and state dependencies</w:t>
            </w:r>
          </w:p>
        </w:tc>
      </w:tr>
      <w:tr>
        <w:trPr/>
        <w:tc>
          <w:tcPr>
            <w:tcW w:w="2530" w:type="dxa"/>
            <w:tcBorders/>
            <w:vAlign w:val="center"/>
          </w:tcPr>
          <w:p>
            <w:pPr>
              <w:pStyle w:val="TableContents"/>
              <w:widowControl w:val="false"/>
              <w:suppressLineNumbers/>
              <w:spacing w:before="0" w:after="200"/>
              <w:rPr/>
            </w:pPr>
            <w:r>
              <w:rPr>
                <w:rStyle w:val="Strong"/>
              </w:rPr>
              <w:t>Feedback</w:t>
            </w:r>
          </w:p>
        </w:tc>
        <w:tc>
          <w:tcPr>
            <w:tcW w:w="6110" w:type="dxa"/>
            <w:tcBorders/>
            <w:vAlign w:val="center"/>
          </w:tcPr>
          <w:p>
            <w:pPr>
              <w:pStyle w:val="TableContents"/>
              <w:widowControl w:val="false"/>
              <w:suppressLineNumbers/>
              <w:spacing w:before="0" w:after="200"/>
              <w:rPr/>
            </w:pPr>
            <w:r>
              <w:rPr/>
              <w:t>Incorporated through changes to future agent, observer, institutional, and artificial-system policies</w:t>
            </w:r>
          </w:p>
        </w:tc>
      </w:tr>
      <w:tr>
        <w:trPr/>
        <w:tc>
          <w:tcPr>
            <w:tcW w:w="2530" w:type="dxa"/>
            <w:tcBorders/>
            <w:vAlign w:val="center"/>
          </w:tcPr>
          <w:p>
            <w:pPr>
              <w:pStyle w:val="TableContents"/>
              <w:widowControl w:val="false"/>
              <w:suppressLineNumbers/>
              <w:spacing w:before="0" w:after="200"/>
              <w:rPr/>
            </w:pPr>
            <w:r>
              <w:rPr>
                <w:rStyle w:val="Strong"/>
              </w:rPr>
              <w:t>Reinforcing and balancing loops</w:t>
            </w:r>
          </w:p>
        </w:tc>
        <w:tc>
          <w:tcPr>
            <w:tcW w:w="6110" w:type="dxa"/>
            <w:tcBorders/>
            <w:vAlign w:val="center"/>
          </w:tcPr>
          <w:p>
            <w:pPr>
              <w:pStyle w:val="TableContents"/>
              <w:widowControl w:val="false"/>
              <w:suppressLineNumbers/>
              <w:spacing w:before="0" w:after="200"/>
              <w:rPr/>
            </w:pPr>
            <w:r>
              <w:rPr/>
              <w:t>Used to analyze escalation, normalization, stabilization, resistance, and corrective processes</w:t>
            </w:r>
          </w:p>
        </w:tc>
      </w:tr>
      <w:tr>
        <w:trPr/>
        <w:tc>
          <w:tcPr>
            <w:tcW w:w="2530" w:type="dxa"/>
            <w:tcBorders/>
            <w:vAlign w:val="center"/>
          </w:tcPr>
          <w:p>
            <w:pPr>
              <w:pStyle w:val="TableContents"/>
              <w:widowControl w:val="false"/>
              <w:suppressLineNumbers/>
              <w:spacing w:before="0" w:after="200"/>
              <w:rPr/>
            </w:pPr>
            <w:r>
              <w:rPr>
                <w:rStyle w:val="Strong"/>
              </w:rPr>
              <w:t>Circular causation</w:t>
            </w:r>
          </w:p>
        </w:tc>
        <w:tc>
          <w:tcPr>
            <w:tcW w:w="6110" w:type="dxa"/>
            <w:tcBorders/>
            <w:vAlign w:val="center"/>
          </w:tcPr>
          <w:p>
            <w:pPr>
              <w:pStyle w:val="TableContents"/>
              <w:widowControl w:val="false"/>
              <w:suppressLineNumbers/>
              <w:spacing w:before="0" w:after="200"/>
              <w:rPr/>
            </w:pPr>
            <w:r>
              <w:rPr/>
              <w:t>Adapted to causal structures in which entities mutually influence one another over time</w:t>
            </w:r>
          </w:p>
        </w:tc>
      </w:tr>
      <w:tr>
        <w:trPr/>
        <w:tc>
          <w:tcPr>
            <w:tcW w:w="2530" w:type="dxa"/>
            <w:tcBorders/>
            <w:vAlign w:val="center"/>
          </w:tcPr>
          <w:p>
            <w:pPr>
              <w:pStyle w:val="TableContents"/>
              <w:widowControl w:val="false"/>
              <w:suppressLineNumbers/>
              <w:spacing w:before="0" w:after="200"/>
              <w:rPr/>
            </w:pPr>
            <w:r>
              <w:rPr>
                <w:rStyle w:val="Strong"/>
              </w:rPr>
              <w:t>Emergence</w:t>
            </w:r>
          </w:p>
        </w:tc>
        <w:tc>
          <w:tcPr>
            <w:tcW w:w="6110" w:type="dxa"/>
            <w:tcBorders/>
            <w:vAlign w:val="center"/>
          </w:tcPr>
          <w:p>
            <w:pPr>
              <w:pStyle w:val="TableContents"/>
              <w:widowControl w:val="false"/>
              <w:suppressLineNumbers/>
              <w:spacing w:before="0" w:after="200"/>
              <w:rPr/>
            </w:pPr>
            <w:r>
              <w:rPr/>
              <w:t>Incorporated through system-level properties such as trust, culture, stability, congestion, exclusion, or resilience</w:t>
            </w:r>
          </w:p>
        </w:tc>
      </w:tr>
      <w:tr>
        <w:trPr/>
        <w:tc>
          <w:tcPr>
            <w:tcW w:w="2530" w:type="dxa"/>
            <w:tcBorders/>
            <w:vAlign w:val="center"/>
          </w:tcPr>
          <w:p>
            <w:pPr>
              <w:pStyle w:val="TableContents"/>
              <w:widowControl w:val="false"/>
              <w:suppressLineNumbers/>
              <w:spacing w:before="0" w:after="200"/>
              <w:rPr/>
            </w:pPr>
            <w:r>
              <w:rPr>
                <w:rStyle w:val="Strong"/>
              </w:rPr>
              <w:t>Purposeful systems</w:t>
            </w:r>
          </w:p>
        </w:tc>
        <w:tc>
          <w:tcPr>
            <w:tcW w:w="6110" w:type="dxa"/>
            <w:tcBorders/>
            <w:vAlign w:val="center"/>
          </w:tcPr>
          <w:p>
            <w:pPr>
              <w:pStyle w:val="TableContents"/>
              <w:widowControl w:val="false"/>
              <w:suppressLineNumbers/>
              <w:spacing w:before="0" w:after="200"/>
              <w:rPr/>
            </w:pPr>
            <w:r>
              <w:rPr/>
              <w:t>Reflected in agent objectives, intentions, policies, roles, and adaptive behavior</w:t>
            </w:r>
          </w:p>
        </w:tc>
      </w:tr>
      <w:tr>
        <w:trPr/>
        <w:tc>
          <w:tcPr>
            <w:tcW w:w="2530" w:type="dxa"/>
            <w:tcBorders/>
            <w:vAlign w:val="center"/>
          </w:tcPr>
          <w:p>
            <w:pPr>
              <w:pStyle w:val="TableContents"/>
              <w:widowControl w:val="false"/>
              <w:suppressLineNumbers/>
              <w:spacing w:before="0" w:after="200"/>
              <w:rPr/>
            </w:pPr>
            <w:r>
              <w:rPr>
                <w:rStyle w:val="Strong"/>
              </w:rPr>
              <w:t>Teleology</w:t>
            </w:r>
          </w:p>
        </w:tc>
        <w:tc>
          <w:tcPr>
            <w:tcW w:w="6110" w:type="dxa"/>
            <w:tcBorders/>
            <w:vAlign w:val="center"/>
          </w:tcPr>
          <w:p>
            <w:pPr>
              <w:pStyle w:val="TableContents"/>
              <w:widowControl w:val="false"/>
              <w:suppressLineNumbers/>
              <w:spacing w:before="0" w:after="200"/>
              <w:rPr/>
            </w:pPr>
            <w:r>
              <w:rPr/>
              <w:t>Adapted as the evaluation of stated and enacted objectives rather than as an assumption that every system has one intrinsic purpose</w:t>
            </w:r>
          </w:p>
        </w:tc>
      </w:tr>
      <w:tr>
        <w:trPr/>
        <w:tc>
          <w:tcPr>
            <w:tcW w:w="2530" w:type="dxa"/>
            <w:tcBorders/>
            <w:vAlign w:val="center"/>
          </w:tcPr>
          <w:p>
            <w:pPr>
              <w:pStyle w:val="TableContents"/>
              <w:widowControl w:val="false"/>
              <w:suppressLineNumbers/>
              <w:spacing w:before="0" w:after="200"/>
              <w:rPr/>
            </w:pPr>
            <w:r>
              <w:rPr>
                <w:rStyle w:val="Strong"/>
              </w:rPr>
              <w:t>Boundary judgments</w:t>
            </w:r>
          </w:p>
        </w:tc>
        <w:tc>
          <w:tcPr>
            <w:tcW w:w="6110" w:type="dxa"/>
            <w:tcBorders/>
            <w:vAlign w:val="center"/>
          </w:tcPr>
          <w:p>
            <w:pPr>
              <w:pStyle w:val="TableContents"/>
              <w:widowControl w:val="false"/>
              <w:suppressLineNumbers/>
              <w:spacing w:before="0" w:after="200"/>
              <w:rPr/>
            </w:pPr>
            <w:r>
              <w:rPr/>
              <w:t>Incorporated into the selection of relevant entities, effects, evidence, alternatives, and time horizons</w:t>
            </w:r>
          </w:p>
        </w:tc>
      </w:tr>
      <w:tr>
        <w:trPr/>
        <w:tc>
          <w:tcPr>
            <w:tcW w:w="2530" w:type="dxa"/>
            <w:tcBorders/>
            <w:vAlign w:val="center"/>
          </w:tcPr>
          <w:p>
            <w:pPr>
              <w:pStyle w:val="TableContents"/>
              <w:widowControl w:val="false"/>
              <w:suppressLineNumbers/>
              <w:spacing w:before="0" w:after="200"/>
              <w:rPr/>
            </w:pPr>
            <w:r>
              <w:rPr>
                <w:rStyle w:val="Strong"/>
              </w:rPr>
              <w:t>Boundary critique</w:t>
            </w:r>
          </w:p>
        </w:tc>
        <w:tc>
          <w:tcPr>
            <w:tcW w:w="6110" w:type="dxa"/>
            <w:tcBorders/>
            <w:vAlign w:val="center"/>
          </w:tcPr>
          <w:p>
            <w:pPr>
              <w:pStyle w:val="TableContents"/>
              <w:widowControl w:val="false"/>
              <w:suppressLineNumbers/>
              <w:spacing w:before="0" w:after="200"/>
              <w:rPr/>
            </w:pPr>
            <w:r>
              <w:rPr/>
              <w:t>Adapted as a procedure for challenging who and what has been included or excluded from an assessment</w:t>
            </w:r>
          </w:p>
        </w:tc>
      </w:tr>
      <w:tr>
        <w:trPr/>
        <w:tc>
          <w:tcPr>
            <w:tcW w:w="2530" w:type="dxa"/>
            <w:tcBorders/>
            <w:vAlign w:val="center"/>
          </w:tcPr>
          <w:p>
            <w:pPr>
              <w:pStyle w:val="TableContents"/>
              <w:widowControl w:val="false"/>
              <w:suppressLineNumbers/>
              <w:spacing w:before="0" w:after="200"/>
              <w:rPr/>
            </w:pPr>
            <w:r>
              <w:rPr>
                <w:rStyle w:val="Strong"/>
              </w:rPr>
              <w:t>Soft systems perspectives</w:t>
            </w:r>
          </w:p>
        </w:tc>
        <w:tc>
          <w:tcPr>
            <w:tcW w:w="6110" w:type="dxa"/>
            <w:tcBorders/>
            <w:vAlign w:val="center"/>
          </w:tcPr>
          <w:p>
            <w:pPr>
              <w:pStyle w:val="TableContents"/>
              <w:widowControl w:val="false"/>
              <w:suppressLineNumbers/>
              <w:spacing w:before="0" w:after="200"/>
              <w:rPr/>
            </w:pPr>
            <w:r>
              <w:rPr/>
              <w:t>Incorporated through multiple, potentially conflicting descriptions of the problem situation</w:t>
            </w:r>
          </w:p>
        </w:tc>
      </w:tr>
      <w:tr>
        <w:trPr/>
        <w:tc>
          <w:tcPr>
            <w:tcW w:w="2530" w:type="dxa"/>
            <w:tcBorders/>
            <w:vAlign w:val="center"/>
          </w:tcPr>
          <w:p>
            <w:pPr>
              <w:pStyle w:val="TableContents"/>
              <w:widowControl w:val="false"/>
              <w:suppressLineNumbers/>
              <w:spacing w:before="0" w:after="200"/>
              <w:rPr/>
            </w:pPr>
            <w:r>
              <w:rPr>
                <w:rStyle w:val="Strong"/>
              </w:rPr>
              <w:t>Stakeholder participation</w:t>
            </w:r>
          </w:p>
        </w:tc>
        <w:tc>
          <w:tcPr>
            <w:tcW w:w="6110" w:type="dxa"/>
            <w:tcBorders/>
            <w:vAlign w:val="center"/>
          </w:tcPr>
          <w:p>
            <w:pPr>
              <w:pStyle w:val="TableContents"/>
              <w:widowControl w:val="false"/>
              <w:suppressLineNumbers/>
              <w:spacing w:before="0" w:after="200"/>
              <w:rPr/>
            </w:pPr>
            <w:r>
              <w:rPr/>
              <w:t>Adapted as both an evidentiary input and a legitimacy safeguard</w:t>
            </w:r>
          </w:p>
        </w:tc>
      </w:tr>
      <w:tr>
        <w:trPr/>
        <w:tc>
          <w:tcPr>
            <w:tcW w:w="2530" w:type="dxa"/>
            <w:tcBorders/>
            <w:vAlign w:val="center"/>
          </w:tcPr>
          <w:p>
            <w:pPr>
              <w:pStyle w:val="TableContents"/>
              <w:widowControl w:val="false"/>
              <w:suppressLineNumbers/>
              <w:spacing w:before="0" w:after="200"/>
              <w:rPr/>
            </w:pPr>
            <w:r>
              <w:rPr>
                <w:rStyle w:val="Strong"/>
              </w:rPr>
              <w:t>System viability</w:t>
            </w:r>
          </w:p>
        </w:tc>
        <w:tc>
          <w:tcPr>
            <w:tcW w:w="6110" w:type="dxa"/>
            <w:tcBorders/>
            <w:vAlign w:val="center"/>
          </w:tcPr>
          <w:p>
            <w:pPr>
              <w:pStyle w:val="TableContents"/>
              <w:widowControl w:val="false"/>
              <w:suppressLineNumbers/>
              <w:spacing w:before="0" w:after="200"/>
              <w:rPr/>
            </w:pPr>
            <w:r>
              <w:rPr/>
              <w:t>Adapted as the sustained capacity of relevant entities and systems to maintain essential functions</w:t>
            </w:r>
          </w:p>
        </w:tc>
      </w:tr>
      <w:tr>
        <w:trPr/>
        <w:tc>
          <w:tcPr>
            <w:tcW w:w="2530" w:type="dxa"/>
            <w:tcBorders/>
            <w:vAlign w:val="center"/>
          </w:tcPr>
          <w:p>
            <w:pPr>
              <w:pStyle w:val="TableContents"/>
              <w:widowControl w:val="false"/>
              <w:suppressLineNumbers/>
              <w:spacing w:before="0" w:after="200"/>
              <w:rPr/>
            </w:pPr>
            <w:r>
              <w:rPr>
                <w:rStyle w:val="Strong"/>
              </w:rPr>
              <w:t>Resilience</w:t>
            </w:r>
          </w:p>
        </w:tc>
        <w:tc>
          <w:tcPr>
            <w:tcW w:w="6110" w:type="dxa"/>
            <w:tcBorders/>
            <w:vAlign w:val="center"/>
          </w:tcPr>
          <w:p>
            <w:pPr>
              <w:pStyle w:val="TableContents"/>
              <w:widowControl w:val="false"/>
              <w:suppressLineNumbers/>
              <w:spacing w:before="0" w:after="200"/>
              <w:rPr/>
            </w:pPr>
            <w:r>
              <w:rPr/>
              <w:t>Treated as ethically conditional: valuable when it preserves beneficial capacities, suspect when it entrenches harmful structures</w:t>
            </w:r>
          </w:p>
        </w:tc>
      </w:tr>
      <w:tr>
        <w:trPr/>
        <w:tc>
          <w:tcPr>
            <w:tcW w:w="2530" w:type="dxa"/>
            <w:tcBorders/>
            <w:vAlign w:val="center"/>
          </w:tcPr>
          <w:p>
            <w:pPr>
              <w:pStyle w:val="TableContents"/>
              <w:widowControl w:val="false"/>
              <w:suppressLineNumbers/>
              <w:spacing w:before="0" w:after="200"/>
              <w:rPr/>
            </w:pPr>
            <w:r>
              <w:rPr>
                <w:rStyle w:val="Strong"/>
              </w:rPr>
              <w:t>Autopoiesis</w:t>
            </w:r>
          </w:p>
        </w:tc>
        <w:tc>
          <w:tcPr>
            <w:tcW w:w="6110" w:type="dxa"/>
            <w:tcBorders/>
            <w:vAlign w:val="center"/>
          </w:tcPr>
          <w:p>
            <w:pPr>
              <w:pStyle w:val="TableContents"/>
              <w:widowControl w:val="false"/>
              <w:suppressLineNumbers/>
              <w:spacing w:before="0" w:after="200"/>
              <w:rPr/>
            </w:pPr>
            <w:r>
              <w:rPr/>
              <w:t>Incorporated as a scientifically informed category of self-producing and self-maintaining living organization</w:t>
            </w:r>
          </w:p>
        </w:tc>
      </w:tr>
      <w:tr>
        <w:trPr/>
        <w:tc>
          <w:tcPr>
            <w:tcW w:w="2530" w:type="dxa"/>
            <w:tcBorders/>
            <w:vAlign w:val="center"/>
          </w:tcPr>
          <w:p>
            <w:pPr>
              <w:pStyle w:val="TableContents"/>
              <w:widowControl w:val="false"/>
              <w:suppressLineNumbers/>
              <w:spacing w:before="0" w:after="200"/>
              <w:rPr/>
            </w:pPr>
            <w:r>
              <w:rPr>
                <w:rStyle w:val="Strong"/>
              </w:rPr>
              <w:t>Structural coupling</w:t>
            </w:r>
          </w:p>
        </w:tc>
        <w:tc>
          <w:tcPr>
            <w:tcW w:w="6110" w:type="dxa"/>
            <w:tcBorders/>
            <w:vAlign w:val="center"/>
          </w:tcPr>
          <w:p>
            <w:pPr>
              <w:pStyle w:val="TableContents"/>
              <w:widowControl w:val="false"/>
              <w:suppressLineNumbers/>
              <w:spacing w:before="0" w:after="200"/>
              <w:rPr/>
            </w:pPr>
            <w:r>
              <w:rPr/>
              <w:t>Adapted as persistent reciprocal interaction through which an entity and environment change in relation to one another</w:t>
            </w:r>
          </w:p>
        </w:tc>
      </w:tr>
      <w:tr>
        <w:trPr/>
        <w:tc>
          <w:tcPr>
            <w:tcW w:w="2530" w:type="dxa"/>
            <w:tcBorders/>
            <w:vAlign w:val="center"/>
          </w:tcPr>
          <w:p>
            <w:pPr>
              <w:pStyle w:val="TableContents"/>
              <w:widowControl w:val="false"/>
              <w:suppressLineNumbers/>
              <w:spacing w:before="0" w:after="200"/>
              <w:rPr/>
            </w:pPr>
            <w:r>
              <w:rPr>
                <w:rStyle w:val="Strong"/>
              </w:rPr>
              <w:t>Adaptation</w:t>
            </w:r>
          </w:p>
        </w:tc>
        <w:tc>
          <w:tcPr>
            <w:tcW w:w="6110" w:type="dxa"/>
            <w:tcBorders/>
            <w:vAlign w:val="center"/>
          </w:tcPr>
          <w:p>
            <w:pPr>
              <w:pStyle w:val="TableContents"/>
              <w:widowControl w:val="false"/>
              <w:suppressLineNumbers/>
              <w:spacing w:before="0" w:after="200"/>
              <w:rPr/>
            </w:pPr>
            <w:r>
              <w:rPr/>
              <w:t>Reflected in changes to capabilities, policies, behavior, and future possibilities</w:t>
            </w:r>
          </w:p>
        </w:tc>
      </w:tr>
      <w:tr>
        <w:trPr/>
        <w:tc>
          <w:tcPr>
            <w:tcW w:w="2530" w:type="dxa"/>
            <w:tcBorders/>
            <w:vAlign w:val="center"/>
          </w:tcPr>
          <w:p>
            <w:pPr>
              <w:pStyle w:val="TableContents"/>
              <w:widowControl w:val="false"/>
              <w:suppressLineNumbers/>
              <w:spacing w:before="0" w:after="200"/>
              <w:rPr/>
            </w:pPr>
            <w:r>
              <w:rPr>
                <w:rStyle w:val="Strong"/>
              </w:rPr>
              <w:t>System dynamics</w:t>
            </w:r>
          </w:p>
        </w:tc>
        <w:tc>
          <w:tcPr>
            <w:tcW w:w="6110" w:type="dxa"/>
            <w:tcBorders/>
            <w:vAlign w:val="center"/>
          </w:tcPr>
          <w:p>
            <w:pPr>
              <w:pStyle w:val="TableContents"/>
              <w:widowControl w:val="false"/>
              <w:suppressLineNumbers/>
              <w:spacing w:before="0" w:after="200"/>
              <w:rPr/>
            </w:pPr>
            <w:r>
              <w:rPr/>
              <w:t>Incorporated through feedback, delay, threshold, accumulation, scenario, and time-horizon analysis</w:t>
            </w:r>
          </w:p>
        </w:tc>
      </w:tr>
      <w:tr>
        <w:trPr/>
        <w:tc>
          <w:tcPr>
            <w:tcW w:w="2530" w:type="dxa"/>
            <w:tcBorders/>
            <w:vAlign w:val="center"/>
          </w:tcPr>
          <w:p>
            <w:pPr>
              <w:pStyle w:val="TableContents"/>
              <w:widowControl w:val="false"/>
              <w:suppressLineNumbers/>
              <w:spacing w:before="0" w:after="200"/>
              <w:rPr/>
            </w:pPr>
            <w:r>
              <w:rPr>
                <w:rStyle w:val="Strong"/>
              </w:rPr>
              <w:t>Stocks and flows</w:t>
            </w:r>
          </w:p>
        </w:tc>
        <w:tc>
          <w:tcPr>
            <w:tcW w:w="6110" w:type="dxa"/>
            <w:tcBorders/>
            <w:vAlign w:val="center"/>
          </w:tcPr>
          <w:p>
            <w:pPr>
              <w:pStyle w:val="TableContents"/>
              <w:widowControl w:val="false"/>
              <w:suppressLineNumbers/>
              <w:spacing w:before="0" w:after="200"/>
              <w:rPr/>
            </w:pPr>
            <w:r>
              <w:rPr/>
              <w:t>Adapted to resources, trust, knowledge, capacity, risk, ecological assets, and other quantities that accumulate or diminish</w:t>
            </w:r>
          </w:p>
        </w:tc>
      </w:tr>
      <w:tr>
        <w:trPr/>
        <w:tc>
          <w:tcPr>
            <w:tcW w:w="2530" w:type="dxa"/>
            <w:tcBorders/>
            <w:vAlign w:val="center"/>
          </w:tcPr>
          <w:p>
            <w:pPr>
              <w:pStyle w:val="TableContents"/>
              <w:widowControl w:val="false"/>
              <w:suppressLineNumbers/>
              <w:spacing w:before="0" w:after="200"/>
              <w:rPr/>
            </w:pPr>
            <w:r>
              <w:rPr>
                <w:rStyle w:val="Strong"/>
              </w:rPr>
              <w:t>Leverage points</w:t>
            </w:r>
          </w:p>
        </w:tc>
        <w:tc>
          <w:tcPr>
            <w:tcW w:w="6110" w:type="dxa"/>
            <w:tcBorders/>
            <w:vAlign w:val="center"/>
          </w:tcPr>
          <w:p>
            <w:pPr>
              <w:pStyle w:val="TableContents"/>
              <w:widowControl w:val="false"/>
              <w:suppressLineNumbers/>
              <w:spacing w:before="0" w:after="200"/>
              <w:rPr/>
            </w:pPr>
            <w:r>
              <w:rPr/>
              <w:t>Incorporated through identification of interventions that change rules, information, incentives, goals, or underlying policies</w:t>
            </w:r>
          </w:p>
        </w:tc>
      </w:tr>
      <w:tr>
        <w:trPr/>
        <w:tc>
          <w:tcPr>
            <w:tcW w:w="2530" w:type="dxa"/>
            <w:tcBorders/>
            <w:vAlign w:val="center"/>
          </w:tcPr>
          <w:p>
            <w:pPr>
              <w:pStyle w:val="TableContents"/>
              <w:widowControl w:val="false"/>
              <w:suppressLineNumbers/>
              <w:spacing w:before="0" w:after="200"/>
              <w:rPr/>
            </w:pPr>
            <w:r>
              <w:rPr>
                <w:rStyle w:val="Strong"/>
              </w:rPr>
              <w:t>System traps</w:t>
            </w:r>
          </w:p>
        </w:tc>
        <w:tc>
          <w:tcPr>
            <w:tcW w:w="6110" w:type="dxa"/>
            <w:tcBorders/>
            <w:vAlign w:val="center"/>
          </w:tcPr>
          <w:p>
            <w:pPr>
              <w:pStyle w:val="TableContents"/>
              <w:widowControl w:val="false"/>
              <w:suppressLineNumbers/>
              <w:spacing w:before="0" w:after="200"/>
              <w:rPr/>
            </w:pPr>
            <w:r>
              <w:rPr/>
              <w:t>Adapted as recurring structures that produce escalation, dependence, burden shifting, policy resistance, or resource depletion</w:t>
            </w:r>
          </w:p>
        </w:tc>
      </w:tr>
      <w:tr>
        <w:trPr/>
        <w:tc>
          <w:tcPr>
            <w:tcW w:w="2530" w:type="dxa"/>
            <w:tcBorders/>
            <w:vAlign w:val="center"/>
          </w:tcPr>
          <w:p>
            <w:pPr>
              <w:pStyle w:val="TableContents"/>
              <w:widowControl w:val="false"/>
              <w:suppressLineNumbers/>
              <w:spacing w:before="0" w:after="200"/>
              <w:rPr/>
            </w:pPr>
            <w:r>
              <w:rPr>
                <w:rStyle w:val="Strong"/>
              </w:rPr>
              <w:t>Local optimization failure</w:t>
            </w:r>
          </w:p>
        </w:tc>
        <w:tc>
          <w:tcPr>
            <w:tcW w:w="6110" w:type="dxa"/>
            <w:tcBorders/>
            <w:vAlign w:val="center"/>
          </w:tcPr>
          <w:p>
            <w:pPr>
              <w:pStyle w:val="TableContents"/>
              <w:widowControl w:val="false"/>
              <w:suppressLineNumbers/>
              <w:spacing w:before="0" w:after="200"/>
              <w:rPr/>
            </w:pPr>
            <w:r>
              <w:rPr/>
              <w:t>Incorporated through comparison of component objectives with effects on the broader World Context</w:t>
            </w:r>
          </w:p>
        </w:tc>
      </w:tr>
      <w:tr>
        <w:trPr/>
        <w:tc>
          <w:tcPr>
            <w:tcW w:w="2530" w:type="dxa"/>
            <w:tcBorders/>
            <w:vAlign w:val="center"/>
          </w:tcPr>
          <w:p>
            <w:pPr>
              <w:pStyle w:val="TableContents"/>
              <w:widowControl w:val="false"/>
              <w:suppressLineNumbers/>
              <w:spacing w:before="0" w:after="200"/>
              <w:rPr/>
            </w:pPr>
            <w:r>
              <w:rPr>
                <w:rStyle w:val="Strong"/>
              </w:rPr>
              <w:t>Inquiring systems</w:t>
            </w:r>
          </w:p>
        </w:tc>
        <w:tc>
          <w:tcPr>
            <w:tcW w:w="6110" w:type="dxa"/>
            <w:tcBorders/>
            <w:vAlign w:val="center"/>
          </w:tcPr>
          <w:p>
            <w:pPr>
              <w:pStyle w:val="TableContents"/>
              <w:widowControl w:val="false"/>
              <w:suppressLineNumbers/>
              <w:spacing w:before="0" w:after="200"/>
              <w:rPr/>
            </w:pPr>
            <w:r>
              <w:rPr/>
              <w:t>Reflected in evidence gathering, competing representations, learning, correction, and revision</w:t>
            </w:r>
          </w:p>
        </w:tc>
      </w:tr>
      <w:tr>
        <w:trPr/>
        <w:tc>
          <w:tcPr>
            <w:tcW w:w="2530" w:type="dxa"/>
            <w:tcBorders/>
            <w:vAlign w:val="center"/>
          </w:tcPr>
          <w:p>
            <w:pPr>
              <w:pStyle w:val="TableContents"/>
              <w:widowControl w:val="false"/>
              <w:suppressLineNumbers/>
              <w:spacing w:before="0" w:after="200"/>
              <w:rPr/>
            </w:pPr>
            <w:r>
              <w:rPr>
                <w:rStyle w:val="Strong"/>
              </w:rPr>
              <w:t>Second-order observation</w:t>
            </w:r>
          </w:p>
        </w:tc>
        <w:tc>
          <w:tcPr>
            <w:tcW w:w="6110" w:type="dxa"/>
            <w:tcBorders/>
            <w:vAlign w:val="center"/>
          </w:tcPr>
          <w:p>
            <w:pPr>
              <w:pStyle w:val="TableContents"/>
              <w:widowControl w:val="false"/>
              <w:suppressLineNumbers/>
              <w:spacing w:before="0" w:after="200"/>
              <w:rPr/>
            </w:pPr>
            <w:r>
              <w:rPr/>
              <w:t>Adapted as examination of how the assessor’s categories, values, tools, and participation affect the assessment</w:t>
            </w:r>
          </w:p>
        </w:tc>
      </w:tr>
      <w:tr>
        <w:trPr/>
        <w:tc>
          <w:tcPr>
            <w:tcW w:w="2530" w:type="dxa"/>
            <w:tcBorders/>
            <w:vAlign w:val="center"/>
          </w:tcPr>
          <w:p>
            <w:pPr>
              <w:pStyle w:val="TableContents"/>
              <w:widowControl w:val="false"/>
              <w:suppressLineNumbers/>
              <w:spacing w:before="0" w:after="200"/>
              <w:rPr/>
            </w:pPr>
            <w:r>
              <w:rPr>
                <w:rStyle w:val="Strong"/>
              </w:rPr>
              <w:t>Requisite variety</w:t>
            </w:r>
          </w:p>
        </w:tc>
        <w:tc>
          <w:tcPr>
            <w:tcW w:w="6110" w:type="dxa"/>
            <w:tcBorders/>
            <w:vAlign w:val="center"/>
          </w:tcPr>
          <w:p>
            <w:pPr>
              <w:pStyle w:val="TableContents"/>
              <w:widowControl w:val="false"/>
              <w:suppressLineNumbers/>
              <w:spacing w:before="0" w:after="200"/>
              <w:rPr/>
            </w:pPr>
            <w:r>
              <w:rPr/>
              <w:t>Adapted as the need for governance and response capabilities sufficiently diverse to address the range of relevant system conditions</w:t>
            </w:r>
          </w:p>
        </w:tc>
      </w:tr>
      <w:tr>
        <w:trPr/>
        <w:tc>
          <w:tcPr>
            <w:tcW w:w="2530" w:type="dxa"/>
            <w:tcBorders/>
            <w:vAlign w:val="center"/>
          </w:tcPr>
          <w:p>
            <w:pPr>
              <w:pStyle w:val="TableContents"/>
              <w:widowControl w:val="false"/>
              <w:suppressLineNumbers/>
              <w:spacing w:before="0" w:after="200"/>
              <w:rPr/>
            </w:pPr>
            <w:r>
              <w:rPr>
                <w:rStyle w:val="Strong"/>
              </w:rPr>
              <w:t>Equifinality</w:t>
            </w:r>
          </w:p>
        </w:tc>
        <w:tc>
          <w:tcPr>
            <w:tcW w:w="6110" w:type="dxa"/>
            <w:tcBorders/>
            <w:vAlign w:val="center"/>
          </w:tcPr>
          <w:p>
            <w:pPr>
              <w:pStyle w:val="TableContents"/>
              <w:widowControl w:val="false"/>
              <w:suppressLineNumbers/>
              <w:spacing w:before="0" w:after="200"/>
              <w:rPr/>
            </w:pPr>
            <w:r>
              <w:rPr/>
              <w:t>Reflected in the possibility that different paths or implementations may reach similar ethically desirable states</w:t>
            </w:r>
          </w:p>
        </w:tc>
      </w:tr>
      <w:tr>
        <w:trPr/>
        <w:tc>
          <w:tcPr>
            <w:tcW w:w="2530" w:type="dxa"/>
            <w:tcBorders/>
            <w:vAlign w:val="center"/>
          </w:tcPr>
          <w:p>
            <w:pPr>
              <w:pStyle w:val="TableContents"/>
              <w:widowControl w:val="false"/>
              <w:suppressLineNumbers/>
              <w:spacing w:before="0" w:after="200"/>
              <w:rPr/>
            </w:pPr>
            <w:r>
              <w:rPr>
                <w:rStyle w:val="Strong"/>
              </w:rPr>
              <w:t>Multifinality</w:t>
            </w:r>
          </w:p>
        </w:tc>
        <w:tc>
          <w:tcPr>
            <w:tcW w:w="6110" w:type="dxa"/>
            <w:tcBorders/>
            <w:vAlign w:val="center"/>
          </w:tcPr>
          <w:p>
            <w:pPr>
              <w:pStyle w:val="TableContents"/>
              <w:widowControl w:val="false"/>
              <w:suppressLineNumbers/>
              <w:spacing w:before="0" w:after="200"/>
              <w:rPr/>
            </w:pPr>
            <w:r>
              <w:rPr/>
              <w:t>Reflected in the possibility that similar actions may lead to different outcomes under different contextual conditions</w:t>
            </w:r>
          </w:p>
        </w:tc>
      </w:tr>
      <w:tr>
        <w:trPr/>
        <w:tc>
          <w:tcPr>
            <w:tcW w:w="2530" w:type="dxa"/>
            <w:tcBorders/>
            <w:vAlign w:val="center"/>
          </w:tcPr>
          <w:p>
            <w:pPr>
              <w:pStyle w:val="TableContents"/>
              <w:widowControl w:val="false"/>
              <w:suppressLineNumbers/>
              <w:spacing w:before="0" w:after="200"/>
              <w:rPr/>
            </w:pPr>
            <w:r>
              <w:rPr>
                <w:rStyle w:val="Strong"/>
              </w:rPr>
              <w:t>Unintended consequences</w:t>
            </w:r>
          </w:p>
        </w:tc>
        <w:tc>
          <w:tcPr>
            <w:tcW w:w="6110" w:type="dxa"/>
            <w:tcBorders/>
            <w:vAlign w:val="center"/>
          </w:tcPr>
          <w:p>
            <w:pPr>
              <w:pStyle w:val="TableContents"/>
              <w:widowControl w:val="false"/>
              <w:suppressLineNumbers/>
              <w:spacing w:before="0" w:after="200"/>
              <w:rPr/>
            </w:pPr>
            <w:r>
              <w:rPr/>
              <w:t>Incorporated through scenario analysis, probability, indirect effects, and post-action monitoring</w:t>
            </w:r>
          </w:p>
        </w:tc>
      </w:tr>
      <w:tr>
        <w:trPr/>
        <w:tc>
          <w:tcPr>
            <w:tcW w:w="2530" w:type="dxa"/>
            <w:tcBorders/>
            <w:vAlign w:val="center"/>
          </w:tcPr>
          <w:p>
            <w:pPr>
              <w:pStyle w:val="TableContents"/>
              <w:widowControl w:val="false"/>
              <w:suppressLineNumbers/>
              <w:spacing w:before="0" w:after="200"/>
              <w:rPr/>
            </w:pPr>
            <w:r>
              <w:rPr>
                <w:rStyle w:val="Strong"/>
              </w:rPr>
              <w:t>Systemic intervention</w:t>
            </w:r>
          </w:p>
        </w:tc>
        <w:tc>
          <w:tcPr>
            <w:tcW w:w="6110" w:type="dxa"/>
            <w:tcBorders/>
            <w:vAlign w:val="center"/>
          </w:tcPr>
          <w:p>
            <w:pPr>
              <w:pStyle w:val="TableContents"/>
              <w:widowControl w:val="false"/>
              <w:suppressLineNumbers/>
              <w:spacing w:before="0" w:after="200"/>
              <w:rPr/>
            </w:pPr>
            <w:r>
              <w:rPr/>
              <w:t>Adapted as action that changes not only entities but also relationships, rules, information, incentives, and future policies</w:t>
            </w:r>
          </w:p>
        </w:tc>
      </w:tr>
    </w:tbl>
    <w:p>
      <w:pPr>
        <w:pStyle w:val="Heading3"/>
        <w:spacing w:before="0" w:after="200"/>
        <w:ind w:hanging="0" w:left="0"/>
        <w:rPr>
          <w:rFonts w:ascii="Aptos" w:hAnsi="Aptos"/>
          <w:color w:val="auto"/>
        </w:rPr>
      </w:pPr>
      <w:r>
        <w:rPr>
          <w:rFonts w:ascii="Aptos" w:hAnsi="Aptos"/>
          <w:color w:val="auto"/>
        </w:rPr>
        <w:t>Similarities</w:t>
      </w:r>
    </w:p>
    <w:p>
      <w:pPr>
        <w:pStyle w:val="BodyText"/>
        <w:numPr>
          <w:ilvl w:val="0"/>
          <w:numId w:val="136"/>
        </w:numPr>
        <w:tabs>
          <w:tab w:val="clear" w:pos="720"/>
          <w:tab w:val="left" w:pos="0" w:leader="none"/>
        </w:tabs>
        <w:spacing w:before="0" w:after="200"/>
        <w:ind w:hanging="283" w:left="709"/>
        <w:rPr/>
      </w:pPr>
      <w:r>
        <w:rPr>
          <w:rStyle w:val="Strong"/>
        </w:rPr>
        <w:t>Both reject isolated action analysis.</w:t>
      </w:r>
      <w:r>
        <w:rPr/>
        <w:br/>
        <w:t>Ethical significance depends on the wider network of entities, relationships, constraints, institutions, and future effects.</w:t>
      </w:r>
    </w:p>
    <w:p>
      <w:pPr>
        <w:pStyle w:val="BodyText"/>
        <w:numPr>
          <w:ilvl w:val="0"/>
          <w:numId w:val="136"/>
        </w:numPr>
        <w:tabs>
          <w:tab w:val="clear" w:pos="720"/>
          <w:tab w:val="left" w:pos="0" w:leader="none"/>
        </w:tabs>
        <w:spacing w:before="0" w:after="200"/>
        <w:ind w:hanging="283" w:left="709"/>
        <w:rPr/>
      </w:pPr>
      <w:r>
        <w:rPr>
          <w:rStyle w:val="Strong"/>
        </w:rPr>
        <w:t>Both emphasize interdependence.</w:t>
      </w:r>
      <w:r>
        <w:rPr/>
        <w:br/>
        <w:t>The flourishing of one entity often depends on the capacities and behavior of other entities and on the condition of the surrounding system.</w:t>
      </w:r>
    </w:p>
    <w:p>
      <w:pPr>
        <w:pStyle w:val="BodyText"/>
        <w:numPr>
          <w:ilvl w:val="0"/>
          <w:numId w:val="136"/>
        </w:numPr>
        <w:tabs>
          <w:tab w:val="clear" w:pos="720"/>
          <w:tab w:val="left" w:pos="0" w:leader="none"/>
        </w:tabs>
        <w:spacing w:before="0" w:after="200"/>
        <w:ind w:hanging="283" w:left="709"/>
        <w:rPr/>
      </w:pPr>
      <w:r>
        <w:rPr>
          <w:rStyle w:val="Strong"/>
        </w:rPr>
        <w:t>Both examine indirect and distributed effects.</w:t>
      </w:r>
      <w:r>
        <w:rPr/>
        <w:br/>
        <w:t>Consequences may arise through observers, markets, institutional learning, social norms, technologies, and ecological processes.</w:t>
      </w:r>
    </w:p>
    <w:p>
      <w:pPr>
        <w:pStyle w:val="BodyText"/>
        <w:numPr>
          <w:ilvl w:val="0"/>
          <w:numId w:val="136"/>
        </w:numPr>
        <w:tabs>
          <w:tab w:val="clear" w:pos="720"/>
          <w:tab w:val="left" w:pos="0" w:leader="none"/>
        </w:tabs>
        <w:spacing w:before="0" w:after="200"/>
        <w:ind w:hanging="283" w:left="709"/>
        <w:rPr/>
      </w:pPr>
      <w:r>
        <w:rPr>
          <w:rStyle w:val="Strong"/>
        </w:rPr>
        <w:t>Both recognize feedback.</w:t>
      </w:r>
      <w:r>
        <w:rPr/>
        <w:br/>
        <w:t>Actions change the conditions that shape later action. This is central to Distributed Policy Effects.</w:t>
      </w:r>
    </w:p>
    <w:p>
      <w:pPr>
        <w:pStyle w:val="BodyText"/>
        <w:numPr>
          <w:ilvl w:val="0"/>
          <w:numId w:val="136"/>
        </w:numPr>
        <w:tabs>
          <w:tab w:val="clear" w:pos="720"/>
          <w:tab w:val="left" w:pos="0" w:leader="none"/>
        </w:tabs>
        <w:spacing w:before="0" w:after="200"/>
        <w:ind w:hanging="283" w:left="709"/>
        <w:rPr/>
      </w:pPr>
      <w:r>
        <w:rPr>
          <w:rStyle w:val="Strong"/>
        </w:rPr>
        <w:t>Both use multiple time horizons.</w:t>
      </w:r>
      <w:r>
        <w:rPr/>
        <w:br/>
        <w:t>Immediate success may create delayed instability, while short-term costs may build long-term capacity.</w:t>
      </w:r>
    </w:p>
    <w:p>
      <w:pPr>
        <w:pStyle w:val="BodyText"/>
        <w:numPr>
          <w:ilvl w:val="0"/>
          <w:numId w:val="136"/>
        </w:numPr>
        <w:tabs>
          <w:tab w:val="clear" w:pos="720"/>
          <w:tab w:val="left" w:pos="0" w:leader="none"/>
        </w:tabs>
        <w:spacing w:before="0" w:after="200"/>
        <w:ind w:hanging="283" w:left="709"/>
        <w:rPr/>
      </w:pPr>
      <w:r>
        <w:rPr>
          <w:rStyle w:val="Strong"/>
        </w:rPr>
        <w:t>Both reject narrow local optimization.</w:t>
      </w:r>
      <w:r>
        <w:rPr/>
        <w:br/>
        <w:t>An action is not ethically justified simply because it improves one actor’s preferred metric or one subsystem’s performance.</w:t>
      </w:r>
    </w:p>
    <w:p>
      <w:pPr>
        <w:pStyle w:val="BodyText"/>
        <w:numPr>
          <w:ilvl w:val="0"/>
          <w:numId w:val="136"/>
        </w:numPr>
        <w:tabs>
          <w:tab w:val="clear" w:pos="720"/>
          <w:tab w:val="left" w:pos="0" w:leader="none"/>
        </w:tabs>
        <w:spacing w:before="0" w:after="200"/>
        <w:ind w:hanging="283" w:left="709"/>
        <w:rPr/>
      </w:pPr>
      <w:r>
        <w:rPr>
          <w:rStyle w:val="Strong"/>
        </w:rPr>
        <w:t>Both treat system boundaries as consequential.</w:t>
      </w:r>
      <w:r>
        <w:rPr/>
        <w:br/>
        <w:t>The selection of affected entities and relevant effects can determine whether an action appears beneficial or harmful.</w:t>
      </w:r>
    </w:p>
    <w:p>
      <w:pPr>
        <w:pStyle w:val="BodyText"/>
        <w:numPr>
          <w:ilvl w:val="0"/>
          <w:numId w:val="136"/>
        </w:numPr>
        <w:tabs>
          <w:tab w:val="clear" w:pos="720"/>
          <w:tab w:val="left" w:pos="0" w:leader="none"/>
        </w:tabs>
        <w:spacing w:before="0" w:after="200"/>
        <w:ind w:hanging="283" w:left="709"/>
        <w:rPr/>
      </w:pPr>
      <w:r>
        <w:rPr>
          <w:rStyle w:val="Strong"/>
        </w:rPr>
        <w:t>Both recognize emergence.</w:t>
      </w:r>
      <w:r>
        <w:rPr/>
        <w:br/>
        <w:t>System-level properties can arise from interactions even when no participant directly intends them.</w:t>
      </w:r>
    </w:p>
    <w:p>
      <w:pPr>
        <w:pStyle w:val="BodyText"/>
        <w:numPr>
          <w:ilvl w:val="0"/>
          <w:numId w:val="136"/>
        </w:numPr>
        <w:tabs>
          <w:tab w:val="clear" w:pos="720"/>
          <w:tab w:val="left" w:pos="0" w:leader="none"/>
        </w:tabs>
        <w:spacing w:before="0" w:after="200"/>
        <w:ind w:hanging="283" w:left="709"/>
        <w:rPr/>
      </w:pPr>
      <w:r>
        <w:rPr>
          <w:rStyle w:val="Strong"/>
        </w:rPr>
        <w:t>Both emphasize adaptation and learning.</w:t>
      </w:r>
      <w:r>
        <w:rPr/>
        <w:br/>
        <w:t>Ethical systems must respond to evidence, errors, changed conditions, and unanticipated effects.</w:t>
      </w:r>
    </w:p>
    <w:p>
      <w:pPr>
        <w:pStyle w:val="BodyText"/>
        <w:numPr>
          <w:ilvl w:val="0"/>
          <w:numId w:val="136"/>
        </w:numPr>
        <w:tabs>
          <w:tab w:val="clear" w:pos="720"/>
          <w:tab w:val="left" w:pos="0" w:leader="none"/>
        </w:tabs>
        <w:spacing w:before="0" w:after="200"/>
        <w:ind w:hanging="283" w:left="709"/>
        <w:rPr/>
      </w:pPr>
      <w:r>
        <w:rPr>
          <w:rStyle w:val="Strong"/>
        </w:rPr>
        <w:t>Both recognize uncertainty.</w:t>
      </w:r>
      <w:r>
        <w:rPr/>
        <w:br/>
        <w:t>Neither approach assumes that all consequences can be predicted with certainty. Both support probabilistic reasoning, monitoring, and revision.</w:t>
      </w:r>
    </w:p>
    <w:p>
      <w:pPr>
        <w:pStyle w:val="BodyText"/>
        <w:numPr>
          <w:ilvl w:val="0"/>
          <w:numId w:val="136"/>
        </w:numPr>
        <w:tabs>
          <w:tab w:val="clear" w:pos="720"/>
          <w:tab w:val="left" w:pos="0" w:leader="none"/>
        </w:tabs>
        <w:spacing w:before="0" w:after="200"/>
        <w:ind w:hanging="283" w:left="709"/>
        <w:rPr/>
      </w:pPr>
      <w:r>
        <w:rPr>
          <w:rStyle w:val="Strong"/>
        </w:rPr>
        <w:t>Both examine roles and institutions.</w:t>
      </w:r>
      <w:r>
        <w:rPr/>
        <w:br/>
        <w:t>Ethical responsibility is not confined to the person who performs the final action. Designers, leaders, regulators, and organizations may have substantial responsibility.</w:t>
      </w:r>
    </w:p>
    <w:p>
      <w:pPr>
        <w:pStyle w:val="BodyText"/>
        <w:numPr>
          <w:ilvl w:val="0"/>
          <w:numId w:val="136"/>
        </w:numPr>
        <w:tabs>
          <w:tab w:val="clear" w:pos="720"/>
          <w:tab w:val="left" w:pos="0" w:leader="none"/>
        </w:tabs>
        <w:spacing w:before="0" w:after="200"/>
        <w:ind w:hanging="283" w:left="709"/>
        <w:rPr/>
      </w:pPr>
      <w:r>
        <w:rPr>
          <w:rStyle w:val="Strong"/>
        </w:rPr>
        <w:t>Both consider sustainability and viability.</w:t>
      </w:r>
      <w:r>
        <w:rPr/>
        <w:br/>
        <w:t>Ethical action should preserve or expand capacities needed for beneficial future states.</w:t>
      </w:r>
    </w:p>
    <w:p>
      <w:pPr>
        <w:pStyle w:val="BodyText"/>
        <w:numPr>
          <w:ilvl w:val="0"/>
          <w:numId w:val="136"/>
        </w:numPr>
        <w:tabs>
          <w:tab w:val="clear" w:pos="720"/>
          <w:tab w:val="left" w:pos="0" w:leader="none"/>
        </w:tabs>
        <w:spacing w:before="0" w:after="200"/>
        <w:ind w:hanging="283" w:left="709"/>
        <w:rPr/>
      </w:pPr>
      <w:r>
        <w:rPr>
          <w:rStyle w:val="Strong"/>
        </w:rPr>
        <w:t>Both can include nonhuman entities.</w:t>
      </w:r>
      <w:r>
        <w:rPr/>
        <w:br/>
        <w:t>Ecosystems, organisms, and other adaptive or autopoietic entities can be included in the relevant context.</w:t>
      </w:r>
    </w:p>
    <w:p>
      <w:pPr>
        <w:pStyle w:val="BodyText"/>
        <w:numPr>
          <w:ilvl w:val="0"/>
          <w:numId w:val="136"/>
        </w:numPr>
        <w:tabs>
          <w:tab w:val="clear" w:pos="720"/>
          <w:tab w:val="left" w:pos="0" w:leader="none"/>
        </w:tabs>
        <w:spacing w:before="0" w:after="200"/>
        <w:ind w:hanging="283" w:left="709"/>
        <w:rPr/>
      </w:pPr>
      <w:r>
        <w:rPr>
          <w:rStyle w:val="Strong"/>
        </w:rPr>
        <w:t>Both recognize that models are incomplete.</w:t>
      </w:r>
      <w:r>
        <w:rPr/>
        <w:br/>
        <w:t>Explicit assumptions and limitations are necessary for responsible use.</w:t>
      </w:r>
    </w:p>
    <w:p>
      <w:pPr>
        <w:pStyle w:val="BodyText"/>
        <w:numPr>
          <w:ilvl w:val="0"/>
          <w:numId w:val="136"/>
        </w:numPr>
        <w:tabs>
          <w:tab w:val="clear" w:pos="720"/>
          <w:tab w:val="left" w:pos="0" w:leader="none"/>
        </w:tabs>
        <w:spacing w:before="0" w:after="200"/>
        <w:ind w:hanging="283" w:left="709"/>
        <w:rPr/>
      </w:pPr>
      <w:r>
        <w:rPr>
          <w:rStyle w:val="Strong"/>
        </w:rPr>
        <w:t>Both distinguish system behavior from individual intention.</w:t>
      </w:r>
      <w:r>
        <w:rPr/>
        <w:br/>
        <w:t>Harmful systemic results can emerge even when participants do not intend harm.</w:t>
      </w:r>
    </w:p>
    <w:p>
      <w:pPr>
        <w:pStyle w:val="BodyText"/>
        <w:numPr>
          <w:ilvl w:val="0"/>
          <w:numId w:val="136"/>
        </w:numPr>
        <w:tabs>
          <w:tab w:val="clear" w:pos="720"/>
          <w:tab w:val="left" w:pos="0" w:leader="none"/>
        </w:tabs>
        <w:spacing w:before="0" w:after="200"/>
        <w:ind w:hanging="283" w:left="709"/>
        <w:rPr/>
      </w:pPr>
      <w:r>
        <w:rPr>
          <w:rStyle w:val="Strong"/>
        </w:rPr>
        <w:t>Both support intervention at structural leverage points.</w:t>
      </w:r>
      <w:r>
        <w:rPr/>
        <w:br/>
        <w:t>Changing incentives, information flows, feedback, authority, or governing objectives may be more effective than repeatedly correcting symptoms.</w:t>
      </w:r>
    </w:p>
    <w:p>
      <w:pPr>
        <w:pStyle w:val="BodyText"/>
        <w:numPr>
          <w:ilvl w:val="0"/>
          <w:numId w:val="136"/>
        </w:numPr>
        <w:tabs>
          <w:tab w:val="clear" w:pos="720"/>
          <w:tab w:val="left" w:pos="0" w:leader="none"/>
        </w:tabs>
        <w:spacing w:before="0" w:after="200"/>
        <w:ind w:hanging="283" w:left="709"/>
        <w:rPr/>
      </w:pPr>
      <w:r>
        <w:rPr>
          <w:rStyle w:val="Strong"/>
        </w:rPr>
        <w:t>Both connect ethics with system design.</w:t>
      </w:r>
      <w:r>
        <w:rPr/>
        <w:br/>
        <w:t>Technologies and institutions embed assumptions about purpose, acceptable risk, authority, participation, and value.</w:t>
      </w:r>
    </w:p>
    <w:p>
      <w:pPr>
        <w:pStyle w:val="BodyText"/>
        <w:numPr>
          <w:ilvl w:val="0"/>
          <w:numId w:val="136"/>
        </w:numPr>
        <w:tabs>
          <w:tab w:val="clear" w:pos="720"/>
          <w:tab w:val="left" w:pos="0" w:leader="none"/>
        </w:tabs>
        <w:spacing w:before="0" w:after="200"/>
        <w:ind w:hanging="283" w:left="709"/>
        <w:rPr/>
      </w:pPr>
      <w:r>
        <w:rPr>
          <w:rStyle w:val="Strong"/>
        </w:rPr>
        <w:t>Both are compatible with methodological pluralism.</w:t>
      </w:r>
      <w:r>
        <w:rPr/>
        <w:br/>
        <w:t>Quantitative models, qualitative evidence, stakeholder testimony, simulations, causal maps, and historical analysis may all contribute.</w:t>
      </w:r>
    </w:p>
    <w:p>
      <w:pPr>
        <w:pStyle w:val="Heading3"/>
        <w:spacing w:before="0" w:after="200"/>
        <w:ind w:hanging="0" w:left="0"/>
        <w:rPr>
          <w:rFonts w:ascii="Aptos" w:hAnsi="Aptos"/>
          <w:color w:val="auto"/>
        </w:rPr>
      </w:pPr>
      <w:r>
        <w:rPr>
          <w:rFonts w:ascii="Aptos" w:hAnsi="Aptos"/>
          <w:color w:val="auto"/>
        </w:rPr>
        <w:t>Differences</w:t>
      </w:r>
    </w:p>
    <w:tbl>
      <w:tblPr>
        <w:tblW w:w="8640" w:type="dxa"/>
        <w:jc w:val="left"/>
        <w:tblInd w:w="28" w:type="dxa"/>
        <w:tblLayout w:type="fixed"/>
        <w:tblCellMar>
          <w:top w:w="28" w:type="dxa"/>
          <w:left w:w="28" w:type="dxa"/>
          <w:bottom w:w="28" w:type="dxa"/>
          <w:right w:w="28" w:type="dxa"/>
        </w:tblCellMar>
      </w:tblPr>
      <w:tblGrid>
        <w:gridCol w:w="1939"/>
        <w:gridCol w:w="3234"/>
        <w:gridCol w:w="3467"/>
      </w:tblGrid>
      <w:tr>
        <w:trPr>
          <w:tblHeader w:val="true"/>
        </w:trPr>
        <w:tc>
          <w:tcPr>
            <w:tcW w:w="1939" w:type="dxa"/>
            <w:tcBorders/>
            <w:vAlign w:val="center"/>
          </w:tcPr>
          <w:p>
            <w:pPr>
              <w:pStyle w:val="TableHeading"/>
              <w:suppressLineNumbers/>
              <w:spacing w:before="0" w:after="200"/>
              <w:jc w:val="center"/>
              <w:rPr/>
            </w:pPr>
            <w:r>
              <w:rPr/>
              <w:t>Dimension</w:t>
            </w:r>
          </w:p>
        </w:tc>
        <w:tc>
          <w:tcPr>
            <w:tcW w:w="3234" w:type="dxa"/>
            <w:tcBorders/>
            <w:vAlign w:val="center"/>
          </w:tcPr>
          <w:p>
            <w:pPr>
              <w:pStyle w:val="TableHeading"/>
              <w:suppressLineNumbers/>
              <w:spacing w:before="0" w:after="200"/>
              <w:jc w:val="center"/>
              <w:rPr/>
            </w:pPr>
            <w:r>
              <w:rPr/>
              <w:t>Systems Ethics</w:t>
            </w:r>
          </w:p>
        </w:tc>
        <w:tc>
          <w:tcPr>
            <w:tcW w:w="3467" w:type="dxa"/>
            <w:tcBorders/>
            <w:vAlign w:val="center"/>
          </w:tcPr>
          <w:p>
            <w:pPr>
              <w:pStyle w:val="TableHeading"/>
              <w:suppressLineNumbers/>
              <w:spacing w:before="0" w:after="200"/>
              <w:jc w:val="center"/>
              <w:rPr/>
            </w:pPr>
            <w:r>
              <w:rPr/>
              <w:t>This framework</w:t>
            </w:r>
          </w:p>
        </w:tc>
      </w:tr>
      <w:tr>
        <w:trPr/>
        <w:tc>
          <w:tcPr>
            <w:tcW w:w="1939" w:type="dxa"/>
            <w:tcBorders/>
            <w:vAlign w:val="center"/>
          </w:tcPr>
          <w:p>
            <w:pPr>
              <w:pStyle w:val="TableContents"/>
              <w:widowControl w:val="false"/>
              <w:suppressLineNumbers/>
              <w:spacing w:before="0" w:after="200"/>
              <w:rPr/>
            </w:pPr>
            <w:r>
              <w:rPr>
                <w:rStyle w:val="Strong"/>
              </w:rPr>
              <w:t>Status as an ethical theory</w:t>
            </w:r>
          </w:p>
        </w:tc>
        <w:tc>
          <w:tcPr>
            <w:tcW w:w="3234" w:type="dxa"/>
            <w:tcBorders/>
            <w:vAlign w:val="center"/>
          </w:tcPr>
          <w:p>
            <w:pPr>
              <w:pStyle w:val="TableContents"/>
              <w:widowControl w:val="false"/>
              <w:suppressLineNumbers/>
              <w:spacing w:before="0" w:after="200"/>
              <w:rPr/>
            </w:pPr>
            <w:r>
              <w:rPr/>
              <w:t>A diverse family of systems-informed methods and ethical orientations</w:t>
            </w:r>
          </w:p>
        </w:tc>
        <w:tc>
          <w:tcPr>
            <w:tcW w:w="3467" w:type="dxa"/>
            <w:tcBorders/>
            <w:vAlign w:val="center"/>
          </w:tcPr>
          <w:p>
            <w:pPr>
              <w:pStyle w:val="TableContents"/>
              <w:widowControl w:val="false"/>
              <w:suppressLineNumbers/>
              <w:spacing w:before="0" w:after="200"/>
              <w:rPr/>
            </w:pPr>
            <w:r>
              <w:rPr/>
              <w:t>A defined ethical architecture organized around a Foundational Axiom</w:t>
            </w:r>
          </w:p>
        </w:tc>
      </w:tr>
      <w:tr>
        <w:trPr/>
        <w:tc>
          <w:tcPr>
            <w:tcW w:w="1939" w:type="dxa"/>
            <w:tcBorders/>
            <w:vAlign w:val="center"/>
          </w:tcPr>
          <w:p>
            <w:pPr>
              <w:pStyle w:val="TableContents"/>
              <w:widowControl w:val="false"/>
              <w:suppressLineNumbers/>
              <w:spacing w:before="0" w:after="200"/>
              <w:rPr/>
            </w:pPr>
            <w:r>
              <w:rPr>
                <w:rStyle w:val="Strong"/>
              </w:rPr>
              <w:t>Normative foundation</w:t>
            </w:r>
          </w:p>
        </w:tc>
        <w:tc>
          <w:tcPr>
            <w:tcW w:w="3234" w:type="dxa"/>
            <w:tcBorders/>
            <w:vAlign w:val="center"/>
          </w:tcPr>
          <w:p>
            <w:pPr>
              <w:pStyle w:val="TableContents"/>
              <w:widowControl w:val="false"/>
              <w:suppressLineNumbers/>
              <w:spacing w:before="0" w:after="200"/>
              <w:rPr/>
            </w:pPr>
            <w:r>
              <w:rPr/>
              <w:t>Often leaves the meaning of improvement, justice, or value open to stakeholder and philosophical inquiry</w:t>
            </w:r>
          </w:p>
        </w:tc>
        <w:tc>
          <w:tcPr>
            <w:tcW w:w="3467" w:type="dxa"/>
            <w:tcBorders/>
            <w:vAlign w:val="center"/>
          </w:tcPr>
          <w:p>
            <w:pPr>
              <w:pStyle w:val="TableContents"/>
              <w:widowControl w:val="false"/>
              <w:suppressLineNumbers/>
              <w:spacing w:before="0" w:after="200"/>
              <w:rPr/>
            </w:pPr>
            <w:r>
              <w:rPr/>
              <w:t>Defines ethical stability in terms of compatible long-term flourishing and moral-agent development</w:t>
            </w:r>
          </w:p>
        </w:tc>
      </w:tr>
      <w:tr>
        <w:trPr/>
        <w:tc>
          <w:tcPr>
            <w:tcW w:w="1939" w:type="dxa"/>
            <w:tcBorders/>
            <w:vAlign w:val="center"/>
          </w:tcPr>
          <w:p>
            <w:pPr>
              <w:pStyle w:val="TableContents"/>
              <w:widowControl w:val="false"/>
              <w:suppressLineNumbers/>
              <w:spacing w:before="0" w:after="200"/>
              <w:rPr/>
            </w:pPr>
            <w:r>
              <w:rPr>
                <w:rStyle w:val="Strong"/>
              </w:rPr>
              <w:t>Primary object of inquiry</w:t>
            </w:r>
          </w:p>
        </w:tc>
        <w:tc>
          <w:tcPr>
            <w:tcW w:w="3234" w:type="dxa"/>
            <w:tcBorders/>
            <w:vAlign w:val="center"/>
          </w:tcPr>
          <w:p>
            <w:pPr>
              <w:pStyle w:val="TableContents"/>
              <w:widowControl w:val="false"/>
              <w:suppressLineNumbers/>
              <w:spacing w:before="0" w:after="200"/>
              <w:rPr/>
            </w:pPr>
            <w:r>
              <w:rPr/>
              <w:t>Problem situations, systems, organizations, and interventions</w:t>
            </w:r>
          </w:p>
        </w:tc>
        <w:tc>
          <w:tcPr>
            <w:tcW w:w="3467" w:type="dxa"/>
            <w:tcBorders/>
            <w:vAlign w:val="center"/>
          </w:tcPr>
          <w:p>
            <w:pPr>
              <w:pStyle w:val="TableContents"/>
              <w:widowControl w:val="false"/>
              <w:suppressLineNumbers/>
              <w:spacing w:before="0" w:after="200"/>
              <w:rPr/>
            </w:pPr>
            <w:r>
              <w:rPr/>
              <w:t>An Assessed Action and its complete World Context Transition</w:t>
            </w:r>
          </w:p>
        </w:tc>
      </w:tr>
      <w:tr>
        <w:trPr/>
        <w:tc>
          <w:tcPr>
            <w:tcW w:w="1939" w:type="dxa"/>
            <w:tcBorders/>
            <w:vAlign w:val="center"/>
          </w:tcPr>
          <w:p>
            <w:pPr>
              <w:pStyle w:val="TableContents"/>
              <w:widowControl w:val="false"/>
              <w:suppressLineNumbers/>
              <w:spacing w:before="0" w:after="200"/>
              <w:rPr/>
            </w:pPr>
            <w:r>
              <w:rPr>
                <w:rStyle w:val="Strong"/>
              </w:rPr>
              <w:t>Objectives</w:t>
            </w:r>
          </w:p>
        </w:tc>
        <w:tc>
          <w:tcPr>
            <w:tcW w:w="3234" w:type="dxa"/>
            <w:tcBorders/>
            <w:vAlign w:val="center"/>
          </w:tcPr>
          <w:p>
            <w:pPr>
              <w:pStyle w:val="TableContents"/>
              <w:widowControl w:val="false"/>
              <w:suppressLineNumbers/>
              <w:spacing w:before="0" w:after="200"/>
              <w:rPr/>
            </w:pPr>
            <w:r>
              <w:rPr/>
              <w:t>Often treats purposes as plural, contested, and constructed</w:t>
            </w:r>
          </w:p>
        </w:tc>
        <w:tc>
          <w:tcPr>
            <w:tcW w:w="3467" w:type="dxa"/>
            <w:tcBorders/>
            <w:vAlign w:val="center"/>
          </w:tcPr>
          <w:p>
            <w:pPr>
              <w:pStyle w:val="TableContents"/>
              <w:widowControl w:val="false"/>
              <w:suppressLineNumbers/>
              <w:spacing w:before="0" w:after="200"/>
              <w:rPr/>
            </w:pPr>
            <w:r>
              <w:rPr/>
              <w:t>Gives objectives a central analytical role but subjects them to ethical evaluation</w:t>
            </w:r>
          </w:p>
        </w:tc>
      </w:tr>
      <w:tr>
        <w:trPr/>
        <w:tc>
          <w:tcPr>
            <w:tcW w:w="1939" w:type="dxa"/>
            <w:tcBorders/>
            <w:vAlign w:val="center"/>
          </w:tcPr>
          <w:p>
            <w:pPr>
              <w:pStyle w:val="TableContents"/>
              <w:widowControl w:val="false"/>
              <w:suppressLineNumbers/>
              <w:spacing w:before="0" w:after="200"/>
              <w:rPr/>
            </w:pPr>
            <w:r>
              <w:rPr>
                <w:rStyle w:val="Strong"/>
              </w:rPr>
              <w:t>Boundary treatment</w:t>
            </w:r>
          </w:p>
        </w:tc>
        <w:tc>
          <w:tcPr>
            <w:tcW w:w="3234" w:type="dxa"/>
            <w:tcBorders/>
            <w:vAlign w:val="center"/>
          </w:tcPr>
          <w:p>
            <w:pPr>
              <w:pStyle w:val="TableContents"/>
              <w:widowControl w:val="false"/>
              <w:suppressLineNumbers/>
              <w:spacing w:before="0" w:after="200"/>
              <w:rPr/>
            </w:pPr>
            <w:r>
              <w:rPr/>
              <w:t>Emphasizes that all boundaries are selective and contestable</w:t>
            </w:r>
          </w:p>
        </w:tc>
        <w:tc>
          <w:tcPr>
            <w:tcW w:w="3467" w:type="dxa"/>
            <w:tcBorders/>
            <w:vAlign w:val="center"/>
          </w:tcPr>
          <w:p>
            <w:pPr>
              <w:pStyle w:val="TableContents"/>
              <w:widowControl w:val="false"/>
              <w:suppressLineNumbers/>
              <w:spacing w:before="0" w:after="200"/>
              <w:rPr/>
            </w:pPr>
            <w:r>
              <w:rPr/>
              <w:t>Seeks a sufficiently complete set of relevant entities and effects while acknowledging uncertainty</w:t>
            </w:r>
          </w:p>
        </w:tc>
      </w:tr>
      <w:tr>
        <w:trPr/>
        <w:tc>
          <w:tcPr>
            <w:tcW w:w="1939" w:type="dxa"/>
            <w:tcBorders/>
            <w:vAlign w:val="center"/>
          </w:tcPr>
          <w:p>
            <w:pPr>
              <w:pStyle w:val="TableContents"/>
              <w:widowControl w:val="false"/>
              <w:suppressLineNumbers/>
              <w:spacing w:before="0" w:after="200"/>
              <w:rPr/>
            </w:pPr>
            <w:r>
              <w:rPr>
                <w:rStyle w:val="Strong"/>
              </w:rPr>
              <w:t>Methodological form</w:t>
            </w:r>
          </w:p>
        </w:tc>
        <w:tc>
          <w:tcPr>
            <w:tcW w:w="3234" w:type="dxa"/>
            <w:tcBorders/>
            <w:vAlign w:val="center"/>
          </w:tcPr>
          <w:p>
            <w:pPr>
              <w:pStyle w:val="TableContents"/>
              <w:widowControl w:val="false"/>
              <w:suppressLineNumbers/>
              <w:spacing w:before="0" w:after="200"/>
              <w:rPr/>
            </w:pPr>
            <w:r>
              <w:rPr/>
              <w:t>Frequently dialogical, participatory, qualitative, and iterative</w:t>
            </w:r>
          </w:p>
        </w:tc>
        <w:tc>
          <w:tcPr>
            <w:tcW w:w="3467" w:type="dxa"/>
            <w:tcBorders/>
            <w:vAlign w:val="center"/>
          </w:tcPr>
          <w:p>
            <w:pPr>
              <w:pStyle w:val="TableContents"/>
              <w:widowControl w:val="false"/>
              <w:suppressLineNumbers/>
              <w:spacing w:before="0" w:after="200"/>
              <w:rPr/>
            </w:pPr>
            <w:r>
              <w:rPr/>
              <w:t>Intended to support explicit and potentially computational representation</w:t>
            </w:r>
          </w:p>
        </w:tc>
      </w:tr>
      <w:tr>
        <w:trPr/>
        <w:tc>
          <w:tcPr>
            <w:tcW w:w="1939" w:type="dxa"/>
            <w:tcBorders/>
            <w:vAlign w:val="center"/>
          </w:tcPr>
          <w:p>
            <w:pPr>
              <w:pStyle w:val="TableContents"/>
              <w:widowControl w:val="false"/>
              <w:suppressLineNumbers/>
              <w:spacing w:before="0" w:after="200"/>
              <w:rPr/>
            </w:pPr>
            <w:r>
              <w:rPr>
                <w:rStyle w:val="Strong"/>
              </w:rPr>
              <w:t>Stakeholder participation</w:t>
            </w:r>
          </w:p>
        </w:tc>
        <w:tc>
          <w:tcPr>
            <w:tcW w:w="3234" w:type="dxa"/>
            <w:tcBorders/>
            <w:vAlign w:val="center"/>
          </w:tcPr>
          <w:p>
            <w:pPr>
              <w:pStyle w:val="TableContents"/>
              <w:widowControl w:val="false"/>
              <w:suppressLineNumbers/>
              <w:spacing w:before="0" w:after="200"/>
              <w:rPr/>
            </w:pPr>
            <w:r>
              <w:rPr/>
              <w:t>Often treated as integral to defining the problem and improvement</w:t>
            </w:r>
          </w:p>
        </w:tc>
        <w:tc>
          <w:tcPr>
            <w:tcW w:w="3467" w:type="dxa"/>
            <w:tcBorders/>
            <w:vAlign w:val="center"/>
          </w:tcPr>
          <w:p>
            <w:pPr>
              <w:pStyle w:val="TableContents"/>
              <w:widowControl w:val="false"/>
              <w:suppressLineNumbers/>
              <w:spacing w:before="0" w:after="200"/>
              <w:rPr/>
            </w:pPr>
            <w:r>
              <w:rPr/>
              <w:t>Supported but not inherently guaranteed by the abstract architecture</w:t>
            </w:r>
          </w:p>
        </w:tc>
      </w:tr>
      <w:tr>
        <w:trPr/>
        <w:tc>
          <w:tcPr>
            <w:tcW w:w="1939" w:type="dxa"/>
            <w:tcBorders/>
            <w:vAlign w:val="center"/>
          </w:tcPr>
          <w:p>
            <w:pPr>
              <w:pStyle w:val="TableContents"/>
              <w:widowControl w:val="false"/>
              <w:suppressLineNumbers/>
              <w:spacing w:before="0" w:after="200"/>
              <w:rPr/>
            </w:pPr>
            <w:r>
              <w:rPr>
                <w:rStyle w:val="Strong"/>
              </w:rPr>
              <w:t>System viability</w:t>
            </w:r>
          </w:p>
        </w:tc>
        <w:tc>
          <w:tcPr>
            <w:tcW w:w="3234" w:type="dxa"/>
            <w:tcBorders/>
            <w:vAlign w:val="center"/>
          </w:tcPr>
          <w:p>
            <w:pPr>
              <w:pStyle w:val="TableContents"/>
              <w:widowControl w:val="false"/>
              <w:suppressLineNumbers/>
              <w:spacing w:before="0" w:after="200"/>
              <w:rPr/>
            </w:pPr>
            <w:r>
              <w:rPr/>
              <w:t>May emphasize sustainability, resilience, or continued functioning</w:t>
            </w:r>
          </w:p>
        </w:tc>
        <w:tc>
          <w:tcPr>
            <w:tcW w:w="3467" w:type="dxa"/>
            <w:tcBorders/>
            <w:vAlign w:val="center"/>
          </w:tcPr>
          <w:p>
            <w:pPr>
              <w:pStyle w:val="TableContents"/>
              <w:widowControl w:val="false"/>
              <w:suppressLineNumbers/>
              <w:spacing w:before="0" w:after="200"/>
              <w:rPr/>
            </w:pPr>
            <w:r>
              <w:rPr/>
              <w:t>Treats viability as one component of flourishing rather than a sufficient moral objective</w:t>
            </w:r>
          </w:p>
        </w:tc>
      </w:tr>
      <w:tr>
        <w:trPr/>
        <w:tc>
          <w:tcPr>
            <w:tcW w:w="1939" w:type="dxa"/>
            <w:tcBorders/>
            <w:vAlign w:val="center"/>
          </w:tcPr>
          <w:p>
            <w:pPr>
              <w:pStyle w:val="TableContents"/>
              <w:widowControl w:val="false"/>
              <w:suppressLineNumbers/>
              <w:spacing w:before="0" w:after="200"/>
              <w:rPr/>
            </w:pPr>
            <w:r>
              <w:rPr>
                <w:rStyle w:val="Strong"/>
              </w:rPr>
              <w:t>Moral patients</w:t>
            </w:r>
          </w:p>
        </w:tc>
        <w:tc>
          <w:tcPr>
            <w:tcW w:w="3234" w:type="dxa"/>
            <w:tcBorders/>
            <w:vAlign w:val="center"/>
          </w:tcPr>
          <w:p>
            <w:pPr>
              <w:pStyle w:val="TableContents"/>
              <w:widowControl w:val="false"/>
              <w:suppressLineNumbers/>
              <w:spacing w:before="0" w:after="200"/>
              <w:rPr/>
            </w:pPr>
            <w:r>
              <w:rPr/>
              <w:t>Varies among applications; often stakeholder- or human-centered</w:t>
            </w:r>
          </w:p>
        </w:tc>
        <w:tc>
          <w:tcPr>
            <w:tcW w:w="3467" w:type="dxa"/>
            <w:tcBorders/>
            <w:vAlign w:val="center"/>
          </w:tcPr>
          <w:p>
            <w:pPr>
              <w:pStyle w:val="TableContents"/>
              <w:widowControl w:val="false"/>
              <w:suppressLineNumbers/>
              <w:spacing w:before="0" w:after="200"/>
              <w:rPr/>
            </w:pPr>
            <w:r>
              <w:rPr/>
              <w:t>Explicitly extends to relevant persistent adaptive entities, including autopoietic entities</w:t>
            </w:r>
          </w:p>
        </w:tc>
      </w:tr>
      <w:tr>
        <w:trPr/>
        <w:tc>
          <w:tcPr>
            <w:tcW w:w="1939" w:type="dxa"/>
            <w:tcBorders/>
            <w:vAlign w:val="center"/>
          </w:tcPr>
          <w:p>
            <w:pPr>
              <w:pStyle w:val="TableContents"/>
              <w:widowControl w:val="false"/>
              <w:suppressLineNumbers/>
              <w:spacing w:before="0" w:after="200"/>
              <w:rPr/>
            </w:pPr>
            <w:r>
              <w:rPr>
                <w:rStyle w:val="Strong"/>
              </w:rPr>
              <w:t>Responsibility</w:t>
            </w:r>
          </w:p>
        </w:tc>
        <w:tc>
          <w:tcPr>
            <w:tcW w:w="3234" w:type="dxa"/>
            <w:tcBorders/>
            <w:vAlign w:val="center"/>
          </w:tcPr>
          <w:p>
            <w:pPr>
              <w:pStyle w:val="TableContents"/>
              <w:widowControl w:val="false"/>
              <w:suppressLineNumbers/>
              <w:spacing w:before="0" w:after="200"/>
              <w:rPr/>
            </w:pPr>
            <w:r>
              <w:rPr/>
              <w:t>Often analyzes structural and distributed causation without one standardized responsibility model</w:t>
            </w:r>
          </w:p>
        </w:tc>
        <w:tc>
          <w:tcPr>
            <w:tcW w:w="3467" w:type="dxa"/>
            <w:tcBorders/>
            <w:vAlign w:val="center"/>
          </w:tcPr>
          <w:p>
            <w:pPr>
              <w:pStyle w:val="TableContents"/>
              <w:widowControl w:val="false"/>
              <w:suppressLineNumbers/>
              <w:spacing w:before="0" w:after="200"/>
              <w:rPr/>
            </w:pPr>
            <w:r>
              <w:rPr/>
              <w:t>Separates causal effect from responsibility and considers role, authority, knowledge, intent, alternatives, and foreseeability</w:t>
            </w:r>
          </w:p>
        </w:tc>
      </w:tr>
      <w:tr>
        <w:trPr/>
        <w:tc>
          <w:tcPr>
            <w:tcW w:w="1939" w:type="dxa"/>
            <w:tcBorders/>
            <w:vAlign w:val="center"/>
          </w:tcPr>
          <w:p>
            <w:pPr>
              <w:pStyle w:val="TableContents"/>
              <w:widowControl w:val="false"/>
              <w:suppressLineNumbers/>
              <w:spacing w:before="0" w:after="200"/>
              <w:rPr/>
            </w:pPr>
            <w:r>
              <w:rPr>
                <w:rStyle w:val="Strong"/>
              </w:rPr>
              <w:t>Quantification</w:t>
            </w:r>
          </w:p>
        </w:tc>
        <w:tc>
          <w:tcPr>
            <w:tcW w:w="3234" w:type="dxa"/>
            <w:tcBorders/>
            <w:vAlign w:val="center"/>
          </w:tcPr>
          <w:p>
            <w:pPr>
              <w:pStyle w:val="TableContents"/>
              <w:widowControl w:val="false"/>
              <w:suppressLineNumbers/>
              <w:spacing w:before="0" w:after="200"/>
              <w:rPr/>
            </w:pPr>
            <w:r>
              <w:rPr/>
              <w:t>May resist premature quantification of plural or contested situations</w:t>
            </w:r>
          </w:p>
        </w:tc>
        <w:tc>
          <w:tcPr>
            <w:tcW w:w="3467" w:type="dxa"/>
            <w:tcBorders/>
            <w:vAlign w:val="center"/>
          </w:tcPr>
          <w:p>
            <w:pPr>
              <w:pStyle w:val="TableContents"/>
              <w:widowControl w:val="false"/>
              <w:suppressLineNumbers/>
              <w:spacing w:before="0" w:after="200"/>
              <w:rPr/>
            </w:pPr>
            <w:r>
              <w:rPr/>
              <w:t>Uses aggregate metrics and probabilities as inputs while rejecting their use as complete substitutes for the transition</w:t>
            </w:r>
          </w:p>
        </w:tc>
      </w:tr>
      <w:tr>
        <w:trPr/>
        <w:tc>
          <w:tcPr>
            <w:tcW w:w="1939" w:type="dxa"/>
            <w:tcBorders/>
            <w:vAlign w:val="center"/>
          </w:tcPr>
          <w:p>
            <w:pPr>
              <w:pStyle w:val="TableContents"/>
              <w:widowControl w:val="false"/>
              <w:suppressLineNumbers/>
              <w:spacing w:before="0" w:after="200"/>
              <w:rPr/>
            </w:pPr>
            <w:r>
              <w:rPr>
                <w:rStyle w:val="Strong"/>
              </w:rPr>
              <w:t>Power and emancipation</w:t>
            </w:r>
          </w:p>
        </w:tc>
        <w:tc>
          <w:tcPr>
            <w:tcW w:w="3234" w:type="dxa"/>
            <w:tcBorders/>
            <w:vAlign w:val="center"/>
          </w:tcPr>
          <w:p>
            <w:pPr>
              <w:pStyle w:val="TableContents"/>
              <w:widowControl w:val="false"/>
              <w:suppressLineNumbers/>
              <w:spacing w:before="0" w:after="200"/>
              <w:rPr/>
            </w:pPr>
            <w:r>
              <w:rPr/>
              <w:t>Critical systems approaches may give power and emancipation a central role</w:t>
            </w:r>
          </w:p>
        </w:tc>
        <w:tc>
          <w:tcPr>
            <w:tcW w:w="3467" w:type="dxa"/>
            <w:tcBorders/>
            <w:vAlign w:val="center"/>
          </w:tcPr>
          <w:p>
            <w:pPr>
              <w:pStyle w:val="TableContents"/>
              <w:widowControl w:val="false"/>
              <w:suppressLineNumbers/>
              <w:spacing w:before="0" w:after="200"/>
              <w:rPr/>
            </w:pPr>
            <w:r>
              <w:rPr/>
              <w:t>Can represent power and exclusion but is not committed to a single emancipatory political theory</w:t>
            </w:r>
          </w:p>
        </w:tc>
      </w:tr>
      <w:tr>
        <w:trPr/>
        <w:tc>
          <w:tcPr>
            <w:tcW w:w="1939" w:type="dxa"/>
            <w:tcBorders/>
            <w:vAlign w:val="center"/>
          </w:tcPr>
          <w:p>
            <w:pPr>
              <w:pStyle w:val="TableContents"/>
              <w:widowControl w:val="false"/>
              <w:suppressLineNumbers/>
              <w:spacing w:before="0" w:after="200"/>
              <w:rPr/>
            </w:pPr>
            <w:r>
              <w:rPr>
                <w:rStyle w:val="Strong"/>
              </w:rPr>
              <w:t>Model purpose</w:t>
            </w:r>
          </w:p>
        </w:tc>
        <w:tc>
          <w:tcPr>
            <w:tcW w:w="3234" w:type="dxa"/>
            <w:tcBorders/>
            <w:vAlign w:val="center"/>
          </w:tcPr>
          <w:p>
            <w:pPr>
              <w:pStyle w:val="TableContents"/>
              <w:widowControl w:val="false"/>
              <w:suppressLineNumbers/>
              <w:spacing w:before="0" w:after="200"/>
              <w:rPr/>
            </w:pPr>
            <w:r>
              <w:rPr/>
              <w:t>Often treats models as learning devices for structured debate</w:t>
            </w:r>
          </w:p>
        </w:tc>
        <w:tc>
          <w:tcPr>
            <w:tcW w:w="3467" w:type="dxa"/>
            <w:tcBorders/>
            <w:vAlign w:val="center"/>
          </w:tcPr>
          <w:p>
            <w:pPr>
              <w:pStyle w:val="TableContents"/>
              <w:widowControl w:val="false"/>
              <w:suppressLineNumbers/>
              <w:spacing w:before="0" w:after="200"/>
              <w:rPr/>
            </w:pPr>
            <w:r>
              <w:rPr/>
              <w:t>May also use models to produce a comparative ethical assessment</w:t>
            </w:r>
          </w:p>
        </w:tc>
      </w:tr>
      <w:tr>
        <w:trPr/>
        <w:tc>
          <w:tcPr>
            <w:tcW w:w="1939" w:type="dxa"/>
            <w:tcBorders/>
            <w:vAlign w:val="center"/>
          </w:tcPr>
          <w:p>
            <w:pPr>
              <w:pStyle w:val="TableContents"/>
              <w:widowControl w:val="false"/>
              <w:suppressLineNumbers/>
              <w:spacing w:before="0" w:after="200"/>
              <w:rPr/>
            </w:pPr>
            <w:r>
              <w:rPr>
                <w:rStyle w:val="Strong"/>
              </w:rPr>
              <w:t>Ethical pluralism</w:t>
            </w:r>
          </w:p>
        </w:tc>
        <w:tc>
          <w:tcPr>
            <w:tcW w:w="3234" w:type="dxa"/>
            <w:tcBorders/>
            <w:vAlign w:val="center"/>
          </w:tcPr>
          <w:p>
            <w:pPr>
              <w:pStyle w:val="TableContents"/>
              <w:widowControl w:val="false"/>
              <w:suppressLineNumbers/>
              <w:spacing w:before="0" w:after="200"/>
              <w:rPr/>
            </w:pPr>
            <w:r>
              <w:rPr/>
              <w:t>Frequently accepts several competing definitions of improvement</w:t>
            </w:r>
          </w:p>
        </w:tc>
        <w:tc>
          <w:tcPr>
            <w:tcW w:w="3467" w:type="dxa"/>
            <w:tcBorders/>
            <w:vAlign w:val="center"/>
          </w:tcPr>
          <w:p>
            <w:pPr>
              <w:pStyle w:val="TableContents"/>
              <w:widowControl w:val="false"/>
              <w:suppressLineNumbers/>
              <w:spacing w:before="0" w:after="200"/>
              <w:rPr/>
            </w:pPr>
            <w:r>
              <w:rPr/>
              <w:t>Provides a high-level unifying criterion while permitting plural implementations</w:t>
            </w:r>
          </w:p>
        </w:tc>
      </w:tr>
      <w:tr>
        <w:trPr/>
        <w:tc>
          <w:tcPr>
            <w:tcW w:w="1939" w:type="dxa"/>
            <w:tcBorders/>
            <w:vAlign w:val="center"/>
          </w:tcPr>
          <w:p>
            <w:pPr>
              <w:pStyle w:val="TableContents"/>
              <w:widowControl w:val="false"/>
              <w:suppressLineNumbers/>
              <w:spacing w:before="0" w:after="200"/>
              <w:rPr/>
            </w:pPr>
            <w:r>
              <w:rPr>
                <w:rStyle w:val="Strong"/>
              </w:rPr>
              <w:t>Action versus structure</w:t>
            </w:r>
          </w:p>
        </w:tc>
        <w:tc>
          <w:tcPr>
            <w:tcW w:w="3234" w:type="dxa"/>
            <w:tcBorders/>
            <w:vAlign w:val="center"/>
          </w:tcPr>
          <w:p>
            <w:pPr>
              <w:pStyle w:val="TableContents"/>
              <w:widowControl w:val="false"/>
              <w:suppressLineNumbers/>
              <w:spacing w:before="0" w:after="200"/>
              <w:rPr/>
            </w:pPr>
            <w:r>
              <w:rPr/>
              <w:t>Often begins with the larger system or problem situation</w:t>
            </w:r>
          </w:p>
        </w:tc>
        <w:tc>
          <w:tcPr>
            <w:tcW w:w="3467" w:type="dxa"/>
            <w:tcBorders/>
            <w:vAlign w:val="center"/>
          </w:tcPr>
          <w:p>
            <w:pPr>
              <w:pStyle w:val="TableContents"/>
              <w:widowControl w:val="false"/>
              <w:suppressLineNumbers/>
              <w:spacing w:before="0" w:after="200"/>
              <w:rPr/>
            </w:pPr>
            <w:r>
              <w:rPr/>
              <w:t>Begins with an action but expands evaluation to the structures and policies altered by it</w:t>
            </w:r>
          </w:p>
        </w:tc>
      </w:tr>
      <w:tr>
        <w:trPr/>
        <w:tc>
          <w:tcPr>
            <w:tcW w:w="1939" w:type="dxa"/>
            <w:tcBorders/>
            <w:vAlign w:val="center"/>
          </w:tcPr>
          <w:p>
            <w:pPr>
              <w:pStyle w:val="TableContents"/>
              <w:widowControl w:val="false"/>
              <w:suppressLineNumbers/>
              <w:spacing w:before="0" w:after="200"/>
              <w:rPr/>
            </w:pPr>
            <w:r>
              <w:rPr>
                <w:rStyle w:val="Strong"/>
              </w:rPr>
              <w:t>Persistence</w:t>
            </w:r>
          </w:p>
        </w:tc>
        <w:tc>
          <w:tcPr>
            <w:tcW w:w="3234" w:type="dxa"/>
            <w:tcBorders/>
            <w:vAlign w:val="center"/>
          </w:tcPr>
          <w:p>
            <w:pPr>
              <w:pStyle w:val="TableContents"/>
              <w:widowControl w:val="false"/>
              <w:suppressLineNumbers/>
              <w:spacing w:before="0" w:after="200"/>
              <w:rPr/>
            </w:pPr>
            <w:r>
              <w:rPr/>
              <w:t>May regard system preservation as a practical goal</w:t>
            </w:r>
          </w:p>
        </w:tc>
        <w:tc>
          <w:tcPr>
            <w:tcW w:w="3467" w:type="dxa"/>
            <w:tcBorders/>
            <w:vAlign w:val="center"/>
          </w:tcPr>
          <w:p>
            <w:pPr>
              <w:pStyle w:val="TableContents"/>
              <w:widowControl w:val="false"/>
              <w:suppressLineNumbers/>
              <w:spacing w:before="0" w:after="200"/>
              <w:rPr/>
            </w:pPr>
            <w:r>
              <w:rPr/>
              <w:t>Requires preservation to be justified by the flourishing the system supports</w:t>
            </w:r>
          </w:p>
        </w:tc>
      </w:tr>
      <w:tr>
        <w:trPr/>
        <w:tc>
          <w:tcPr>
            <w:tcW w:w="1939" w:type="dxa"/>
            <w:tcBorders/>
            <w:vAlign w:val="center"/>
          </w:tcPr>
          <w:p>
            <w:pPr>
              <w:pStyle w:val="TableContents"/>
              <w:widowControl w:val="false"/>
              <w:suppressLineNumbers/>
              <w:spacing w:before="0" w:after="200"/>
              <w:rPr/>
            </w:pPr>
            <w:r>
              <w:rPr>
                <w:rStyle w:val="Strong"/>
              </w:rPr>
              <w:t>Artificial agents</w:t>
            </w:r>
          </w:p>
        </w:tc>
        <w:tc>
          <w:tcPr>
            <w:tcW w:w="3234" w:type="dxa"/>
            <w:tcBorders/>
            <w:vAlign w:val="center"/>
          </w:tcPr>
          <w:p>
            <w:pPr>
              <w:pStyle w:val="TableContents"/>
              <w:widowControl w:val="false"/>
              <w:suppressLineNumbers/>
              <w:spacing w:before="0" w:after="200"/>
              <w:rPr/>
            </w:pPr>
            <w:r>
              <w:rPr/>
              <w:t>Historically focused on human organizations, cybernetics, and technological control</w:t>
            </w:r>
          </w:p>
        </w:tc>
        <w:tc>
          <w:tcPr>
            <w:tcW w:w="3467" w:type="dxa"/>
            <w:tcBorders/>
            <w:vAlign w:val="center"/>
          </w:tcPr>
          <w:p>
            <w:pPr>
              <w:pStyle w:val="TableContents"/>
              <w:widowControl w:val="false"/>
              <w:suppressLineNumbers/>
              <w:spacing w:before="0" w:after="200"/>
              <w:rPr/>
            </w:pPr>
            <w:r>
              <w:rPr/>
              <w:t>Explicitly capable of evaluating artificial systems as actors, observers, policy carriers, or relevant entities</w:t>
            </w:r>
          </w:p>
        </w:tc>
      </w:tr>
    </w:tbl>
    <w:p>
      <w:pPr>
        <w:pStyle w:val="BodyText"/>
        <w:spacing w:before="0" w:after="200"/>
        <w:rPr/>
      </w:pPr>
      <w:r>
        <w:rPr/>
        <w:t>The primary tension concerns whether a single Foundational Axiom can remain sufficiently open to competing perspectives. Critical systems thinkers may argue that any definition of flourishing or relevance already reflects boundary choices and power. The framework responds by making those judgments explicit and revisable, but it cannot claim to eliminate them.</w:t>
      </w:r>
    </w:p>
    <w:p>
      <w:pPr>
        <w:pStyle w:val="BodyText"/>
        <w:spacing w:before="0" w:after="200"/>
        <w:rPr/>
      </w:pPr>
      <w:r>
        <w:rPr/>
        <w:t>A second tension concerns comprehensiveness. Systems Ethics cautions that there is no final view of the whole system. The proposed framework’s reference to a complete World Context Transition should therefore be interpreted as an obligation to pursue relevant completeness, not as a claim that an assessor possesses exhaustive knowledge.</w:t>
      </w:r>
    </w:p>
    <w:p>
      <w:pPr>
        <w:pStyle w:val="Heading3"/>
        <w:spacing w:before="0" w:after="200"/>
        <w:ind w:hanging="0" w:left="0"/>
        <w:rPr>
          <w:rFonts w:ascii="Aptos" w:hAnsi="Aptos"/>
          <w:color w:val="auto"/>
        </w:rPr>
      </w:pPr>
      <w:r>
        <w:rPr>
          <w:rFonts w:ascii="Aptos" w:hAnsi="Aptos"/>
          <w:color w:val="auto"/>
        </w:rPr>
        <w:t>Potential integration opportunities</w:t>
      </w:r>
    </w:p>
    <w:p>
      <w:pPr>
        <w:pStyle w:val="BodyText"/>
        <w:numPr>
          <w:ilvl w:val="0"/>
          <w:numId w:val="137"/>
        </w:numPr>
        <w:tabs>
          <w:tab w:val="clear" w:pos="720"/>
          <w:tab w:val="left" w:pos="0" w:leader="none"/>
        </w:tabs>
        <w:spacing w:before="0" w:after="200"/>
        <w:ind w:hanging="283" w:left="709"/>
        <w:rPr/>
      </w:pPr>
      <w:r>
        <w:rPr>
          <w:rStyle w:val="Strong"/>
        </w:rPr>
        <w:t>Require an explicit boundary critique.</w:t>
      </w:r>
      <w:r>
        <w:rPr/>
        <w:br/>
        <w:t>Every assessment should state:</w:t>
      </w:r>
    </w:p>
    <w:p>
      <w:pPr>
        <w:pStyle w:val="BodyText"/>
        <w:numPr>
          <w:ilvl w:val="1"/>
          <w:numId w:val="137"/>
        </w:numPr>
        <w:tabs>
          <w:tab w:val="clear" w:pos="720"/>
          <w:tab w:val="left" w:pos="0" w:leader="none"/>
        </w:tabs>
        <w:spacing w:before="0" w:after="200"/>
        <w:ind w:hanging="283" w:left="1418"/>
        <w:rPr/>
      </w:pPr>
      <w:r>
        <w:rPr/>
        <w:t>Which entities are included;</w:t>
      </w:r>
    </w:p>
    <w:p>
      <w:pPr>
        <w:pStyle w:val="BodyText"/>
        <w:numPr>
          <w:ilvl w:val="1"/>
          <w:numId w:val="137"/>
        </w:numPr>
        <w:tabs>
          <w:tab w:val="clear" w:pos="720"/>
          <w:tab w:val="left" w:pos="0" w:leader="none"/>
        </w:tabs>
        <w:spacing w:before="0" w:after="200"/>
        <w:ind w:hanging="283" w:left="1418"/>
        <w:rPr/>
      </w:pPr>
      <w:r>
        <w:rPr/>
        <w:t>Which entities are excluded;</w:t>
      </w:r>
    </w:p>
    <w:p>
      <w:pPr>
        <w:pStyle w:val="BodyText"/>
        <w:numPr>
          <w:ilvl w:val="1"/>
          <w:numId w:val="137"/>
        </w:numPr>
        <w:tabs>
          <w:tab w:val="clear" w:pos="720"/>
          <w:tab w:val="left" w:pos="0" w:leader="none"/>
        </w:tabs>
        <w:spacing w:before="0" w:after="200"/>
        <w:ind w:hanging="283" w:left="1418"/>
        <w:rPr/>
      </w:pPr>
      <w:r>
        <w:rPr/>
        <w:t>Which relationships are modeled;</w:t>
      </w:r>
    </w:p>
    <w:p>
      <w:pPr>
        <w:pStyle w:val="BodyText"/>
        <w:numPr>
          <w:ilvl w:val="1"/>
          <w:numId w:val="137"/>
        </w:numPr>
        <w:tabs>
          <w:tab w:val="clear" w:pos="720"/>
          <w:tab w:val="left" w:pos="0" w:leader="none"/>
        </w:tabs>
        <w:spacing w:before="0" w:after="200"/>
        <w:ind w:hanging="283" w:left="1418"/>
        <w:rPr/>
      </w:pPr>
      <w:r>
        <w:rPr/>
        <w:t>Which effects count as material;</w:t>
      </w:r>
    </w:p>
    <w:p>
      <w:pPr>
        <w:pStyle w:val="BodyText"/>
        <w:numPr>
          <w:ilvl w:val="1"/>
          <w:numId w:val="137"/>
        </w:numPr>
        <w:tabs>
          <w:tab w:val="clear" w:pos="720"/>
          <w:tab w:val="left" w:pos="0" w:leader="none"/>
        </w:tabs>
        <w:spacing w:before="0" w:after="200"/>
        <w:ind w:hanging="283" w:left="1418"/>
        <w:rPr/>
      </w:pPr>
      <w:r>
        <w:rPr/>
        <w:t>Which time horizons are used;</w:t>
      </w:r>
    </w:p>
    <w:p>
      <w:pPr>
        <w:pStyle w:val="BodyText"/>
        <w:numPr>
          <w:ilvl w:val="1"/>
          <w:numId w:val="137"/>
        </w:numPr>
        <w:tabs>
          <w:tab w:val="clear" w:pos="720"/>
          <w:tab w:val="left" w:pos="0" w:leader="none"/>
        </w:tabs>
        <w:spacing w:before="0" w:after="200"/>
        <w:ind w:hanging="283" w:left="1418"/>
        <w:rPr/>
      </w:pPr>
      <w:r>
        <w:rPr/>
        <w:t>Which geographic and institutional boundaries apply; and</w:t>
      </w:r>
    </w:p>
    <w:p>
      <w:pPr>
        <w:pStyle w:val="BodyText"/>
        <w:numPr>
          <w:ilvl w:val="1"/>
          <w:numId w:val="137"/>
        </w:numPr>
        <w:tabs>
          <w:tab w:val="clear" w:pos="720"/>
          <w:tab w:val="left" w:pos="0" w:leader="none"/>
        </w:tabs>
        <w:spacing w:before="0" w:after="200"/>
        <w:ind w:hanging="283" w:left="1418"/>
        <w:rPr/>
      </w:pPr>
      <w:r>
        <w:rPr/>
        <w:t>Who participated in making those selections.</w:t>
      </w:r>
    </w:p>
    <w:p>
      <w:pPr>
        <w:pStyle w:val="BodyText"/>
        <w:numPr>
          <w:ilvl w:val="0"/>
          <w:numId w:val="137"/>
        </w:numPr>
        <w:tabs>
          <w:tab w:val="clear" w:pos="720"/>
          <w:tab w:val="left" w:pos="0" w:leader="none"/>
        </w:tabs>
        <w:spacing w:before="0" w:after="200"/>
        <w:ind w:hanging="283" w:left="709"/>
        <w:rPr/>
      </w:pPr>
      <w:r>
        <w:rPr>
          <w:rStyle w:val="Strong"/>
        </w:rPr>
        <w:t>Incorporate Critical Systems Heuristics.</w:t>
      </w:r>
      <w:r>
        <w:rPr/>
        <w:br/>
        <w:t>Ulrich’s approach can be adapted into four boundary-question categories:</w:t>
      </w:r>
    </w:p>
    <w:p>
      <w:pPr>
        <w:pStyle w:val="BodyText"/>
        <w:numPr>
          <w:ilvl w:val="1"/>
          <w:numId w:val="137"/>
        </w:numPr>
        <w:tabs>
          <w:tab w:val="clear" w:pos="720"/>
          <w:tab w:val="left" w:pos="0" w:leader="none"/>
        </w:tabs>
        <w:spacing w:before="0" w:after="200"/>
        <w:ind w:hanging="283" w:left="1418"/>
        <w:rPr/>
      </w:pPr>
      <w:r>
        <w:rPr>
          <w:rStyle w:val="Strong"/>
        </w:rPr>
        <w:t>Motivation:</w:t>
      </w:r>
      <w:r>
        <w:rPr/>
        <w:t xml:space="preserve"> Who should benefit, what is the purpose, and what counts as improvement?</w:t>
      </w:r>
    </w:p>
    <w:p>
      <w:pPr>
        <w:pStyle w:val="BodyText"/>
        <w:numPr>
          <w:ilvl w:val="1"/>
          <w:numId w:val="137"/>
        </w:numPr>
        <w:tabs>
          <w:tab w:val="clear" w:pos="720"/>
          <w:tab w:val="left" w:pos="0" w:leader="none"/>
        </w:tabs>
        <w:spacing w:before="0" w:after="200"/>
        <w:ind w:hanging="283" w:left="1418"/>
        <w:rPr/>
      </w:pPr>
      <w:r>
        <w:rPr>
          <w:rStyle w:val="Strong"/>
        </w:rPr>
        <w:t>Control:</w:t>
      </w:r>
      <w:r>
        <w:rPr/>
        <w:t xml:space="preserve"> Who can decide, what resources are controlled, and what constraints are outside that control?</w:t>
      </w:r>
    </w:p>
    <w:p>
      <w:pPr>
        <w:pStyle w:val="BodyText"/>
        <w:numPr>
          <w:ilvl w:val="1"/>
          <w:numId w:val="137"/>
        </w:numPr>
        <w:tabs>
          <w:tab w:val="clear" w:pos="720"/>
          <w:tab w:val="left" w:pos="0" w:leader="none"/>
        </w:tabs>
        <w:spacing w:before="0" w:after="200"/>
        <w:ind w:hanging="283" w:left="1418"/>
        <w:rPr/>
      </w:pPr>
      <w:r>
        <w:rPr>
          <w:rStyle w:val="Strong"/>
        </w:rPr>
        <w:t>Knowledge:</w:t>
      </w:r>
      <w:r>
        <w:rPr/>
        <w:t xml:space="preserve"> Who counts as an expert, what expertise is relevant, and what supports or challenges claims of knowledge?</w:t>
      </w:r>
    </w:p>
    <w:p>
      <w:pPr>
        <w:pStyle w:val="BodyText"/>
        <w:numPr>
          <w:ilvl w:val="1"/>
          <w:numId w:val="137"/>
        </w:numPr>
        <w:tabs>
          <w:tab w:val="clear" w:pos="720"/>
          <w:tab w:val="left" w:pos="0" w:leader="none"/>
        </w:tabs>
        <w:spacing w:before="0" w:after="200"/>
        <w:ind w:hanging="283" w:left="1418"/>
        <w:rPr/>
      </w:pPr>
      <w:r>
        <w:rPr>
          <w:rStyle w:val="Strong"/>
        </w:rPr>
        <w:t>Legitimacy:</w:t>
      </w:r>
      <w:r>
        <w:rPr/>
        <w:t xml:space="preserve"> Who represents affected but excluded parties, what opportunities for emancipation or voice exist, and what worldview defines the analysis?</w:t>
      </w:r>
    </w:p>
    <w:p>
      <w:pPr>
        <w:pStyle w:val="BodyText"/>
        <w:numPr>
          <w:ilvl w:val="0"/>
          <w:numId w:val="137"/>
        </w:numPr>
        <w:tabs>
          <w:tab w:val="clear" w:pos="720"/>
          <w:tab w:val="left" w:pos="0" w:leader="none"/>
        </w:tabs>
        <w:spacing w:before="0" w:after="200"/>
        <w:ind w:hanging="283" w:left="709"/>
        <w:rPr/>
      </w:pPr>
      <w:r>
        <w:rPr>
          <w:rStyle w:val="Strong"/>
        </w:rPr>
        <w:t>Compare “is” and “ought” boundary profiles.</w:t>
      </w:r>
      <w:r>
        <w:rPr/>
        <w:br/>
        <w:t>The framework could separately document who currently benefits, decides, knows, and speaks, and who ethically ought to occupy those positions. The differences would identify structural reform requirements.</w:t>
      </w:r>
    </w:p>
    <w:p>
      <w:pPr>
        <w:pStyle w:val="BodyText"/>
        <w:numPr>
          <w:ilvl w:val="0"/>
          <w:numId w:val="137"/>
        </w:numPr>
        <w:tabs>
          <w:tab w:val="clear" w:pos="720"/>
          <w:tab w:val="left" w:pos="0" w:leader="none"/>
        </w:tabs>
        <w:spacing w:before="0" w:after="200"/>
        <w:ind w:hanging="283" w:left="709"/>
        <w:rPr/>
      </w:pPr>
      <w:r>
        <w:rPr>
          <w:rStyle w:val="Strong"/>
        </w:rPr>
        <w:t>Add a declared-purpose versus enacted-purpose audit.</w:t>
      </w:r>
      <w:r>
        <w:rPr/>
        <w:br/>
        <w:t>The assessment should compare formal mission statements with incentives, resource allocations, decision patterns, and actual outcomes.</w:t>
      </w:r>
    </w:p>
    <w:p>
      <w:pPr>
        <w:pStyle w:val="BodyText"/>
        <w:numPr>
          <w:ilvl w:val="0"/>
          <w:numId w:val="137"/>
        </w:numPr>
        <w:tabs>
          <w:tab w:val="clear" w:pos="720"/>
          <w:tab w:val="left" w:pos="0" w:leader="none"/>
        </w:tabs>
        <w:spacing w:before="0" w:after="200"/>
        <w:ind w:hanging="283" w:left="709"/>
        <w:rPr/>
      </w:pPr>
      <w:r>
        <w:rPr>
          <w:rStyle w:val="Strong"/>
        </w:rPr>
        <w:t>Require multiple system definitions.</w:t>
      </w:r>
      <w:r>
        <w:rPr/>
        <w:br/>
        <w:t>Where the situation is contested, the assessment should construct alternative descriptions from the perspectives of operators, beneficiaries, affected outsiders, regulators, future entities, and nonhuman interests.</w:t>
      </w:r>
    </w:p>
    <w:p>
      <w:pPr>
        <w:pStyle w:val="BodyText"/>
        <w:numPr>
          <w:ilvl w:val="0"/>
          <w:numId w:val="137"/>
        </w:numPr>
        <w:tabs>
          <w:tab w:val="clear" w:pos="720"/>
          <w:tab w:val="left" w:pos="0" w:leader="none"/>
        </w:tabs>
        <w:spacing w:before="0" w:after="200"/>
        <w:ind w:hanging="283" w:left="709"/>
        <w:rPr/>
      </w:pPr>
      <w:r>
        <w:rPr>
          <w:rStyle w:val="Strong"/>
        </w:rPr>
        <w:t>Use a problem-situation phase before action comparison.</w:t>
      </w:r>
      <w:r>
        <w:rPr/>
        <w:br/>
        <w:t>Before identifying discrete alternatives, assessors should examine whether participants agree on what the problem is. Prematurely defining the problem can exclude ethically important interpretations.</w:t>
      </w:r>
    </w:p>
    <w:p>
      <w:pPr>
        <w:pStyle w:val="BodyText"/>
        <w:numPr>
          <w:ilvl w:val="0"/>
          <w:numId w:val="137"/>
        </w:numPr>
        <w:tabs>
          <w:tab w:val="clear" w:pos="720"/>
          <w:tab w:val="left" w:pos="0" w:leader="none"/>
        </w:tabs>
        <w:spacing w:before="0" w:after="200"/>
        <w:ind w:hanging="283" w:left="709"/>
        <w:rPr/>
      </w:pPr>
      <w:r>
        <w:rPr>
          <w:rStyle w:val="Strong"/>
        </w:rPr>
        <w:t>Create a stakeholder and affected-entity map.</w:t>
      </w:r>
      <w:r>
        <w:rPr/>
        <w:br/>
        <w:t>This map should distinguish:</w:t>
      </w:r>
    </w:p>
    <w:p>
      <w:pPr>
        <w:pStyle w:val="BodyText"/>
        <w:numPr>
          <w:ilvl w:val="1"/>
          <w:numId w:val="137"/>
        </w:numPr>
        <w:tabs>
          <w:tab w:val="clear" w:pos="720"/>
          <w:tab w:val="left" w:pos="0" w:leader="none"/>
        </w:tabs>
        <w:spacing w:before="0" w:after="200"/>
        <w:ind w:hanging="283" w:left="1418"/>
        <w:rPr/>
      </w:pPr>
      <w:r>
        <w:rPr/>
        <w:t>Decision-makers;</w:t>
      </w:r>
    </w:p>
    <w:p>
      <w:pPr>
        <w:pStyle w:val="BodyText"/>
        <w:numPr>
          <w:ilvl w:val="1"/>
          <w:numId w:val="137"/>
        </w:numPr>
        <w:tabs>
          <w:tab w:val="clear" w:pos="720"/>
          <w:tab w:val="left" w:pos="0" w:leader="none"/>
        </w:tabs>
        <w:spacing w:before="0" w:after="200"/>
        <w:ind w:hanging="283" w:left="1418"/>
        <w:rPr/>
      </w:pPr>
      <w:r>
        <w:rPr/>
        <w:t>Operators;</w:t>
      </w:r>
    </w:p>
    <w:p>
      <w:pPr>
        <w:pStyle w:val="BodyText"/>
        <w:numPr>
          <w:ilvl w:val="1"/>
          <w:numId w:val="137"/>
        </w:numPr>
        <w:tabs>
          <w:tab w:val="clear" w:pos="720"/>
          <w:tab w:val="left" w:pos="0" w:leader="none"/>
        </w:tabs>
        <w:spacing w:before="0" w:after="200"/>
        <w:ind w:hanging="283" w:left="1418"/>
        <w:rPr/>
      </w:pPr>
      <w:r>
        <w:rPr/>
        <w:t>Direct beneficiaries;</w:t>
      </w:r>
    </w:p>
    <w:p>
      <w:pPr>
        <w:pStyle w:val="BodyText"/>
        <w:numPr>
          <w:ilvl w:val="1"/>
          <w:numId w:val="137"/>
        </w:numPr>
        <w:tabs>
          <w:tab w:val="clear" w:pos="720"/>
          <w:tab w:val="left" w:pos="0" w:leader="none"/>
        </w:tabs>
        <w:spacing w:before="0" w:after="200"/>
        <w:ind w:hanging="283" w:left="1418"/>
        <w:rPr/>
      </w:pPr>
      <w:r>
        <w:rPr/>
        <w:t>Directly burdened entities;</w:t>
      </w:r>
    </w:p>
    <w:p>
      <w:pPr>
        <w:pStyle w:val="BodyText"/>
        <w:numPr>
          <w:ilvl w:val="1"/>
          <w:numId w:val="137"/>
        </w:numPr>
        <w:tabs>
          <w:tab w:val="clear" w:pos="720"/>
          <w:tab w:val="left" w:pos="0" w:leader="none"/>
        </w:tabs>
        <w:spacing w:before="0" w:after="200"/>
        <w:ind w:hanging="283" w:left="1418"/>
        <w:rPr/>
      </w:pPr>
      <w:r>
        <w:rPr/>
        <w:t>Indirectly affected entities;</w:t>
      </w:r>
    </w:p>
    <w:p>
      <w:pPr>
        <w:pStyle w:val="BodyText"/>
        <w:numPr>
          <w:ilvl w:val="1"/>
          <w:numId w:val="137"/>
        </w:numPr>
        <w:tabs>
          <w:tab w:val="clear" w:pos="720"/>
          <w:tab w:val="left" w:pos="0" w:leader="none"/>
        </w:tabs>
        <w:spacing w:before="0" w:after="200"/>
        <w:ind w:hanging="283" w:left="1418"/>
        <w:rPr/>
      </w:pPr>
      <w:r>
        <w:rPr/>
        <w:t>Those unable to represent themselves;</w:t>
      </w:r>
    </w:p>
    <w:p>
      <w:pPr>
        <w:pStyle w:val="BodyText"/>
        <w:numPr>
          <w:ilvl w:val="1"/>
          <w:numId w:val="137"/>
        </w:numPr>
        <w:tabs>
          <w:tab w:val="clear" w:pos="720"/>
          <w:tab w:val="left" w:pos="0" w:leader="none"/>
        </w:tabs>
        <w:spacing w:before="0" w:after="200"/>
        <w:ind w:hanging="283" w:left="1418"/>
        <w:rPr/>
      </w:pPr>
      <w:r>
        <w:rPr/>
        <w:t>Future entities; and</w:t>
      </w:r>
    </w:p>
    <w:p>
      <w:pPr>
        <w:pStyle w:val="BodyText"/>
        <w:numPr>
          <w:ilvl w:val="1"/>
          <w:numId w:val="137"/>
        </w:numPr>
        <w:tabs>
          <w:tab w:val="clear" w:pos="720"/>
          <w:tab w:val="left" w:pos="0" w:leader="none"/>
        </w:tabs>
        <w:spacing w:before="0" w:after="200"/>
        <w:ind w:hanging="283" w:left="1418"/>
        <w:rPr/>
      </w:pPr>
      <w:r>
        <w:rPr/>
        <w:t>Entities with formal authority but little exposure to the consequences.</w:t>
      </w:r>
    </w:p>
    <w:p>
      <w:pPr>
        <w:pStyle w:val="BodyText"/>
        <w:numPr>
          <w:ilvl w:val="0"/>
          <w:numId w:val="137"/>
        </w:numPr>
        <w:tabs>
          <w:tab w:val="clear" w:pos="720"/>
          <w:tab w:val="left" w:pos="0" w:leader="none"/>
        </w:tabs>
        <w:spacing w:before="0" w:after="200"/>
        <w:ind w:hanging="283" w:left="709"/>
        <w:rPr/>
      </w:pPr>
      <w:r>
        <w:rPr>
          <w:rStyle w:val="Strong"/>
        </w:rPr>
        <w:t>Add a power and voice assessment.</w:t>
      </w:r>
      <w:r>
        <w:rPr/>
        <w:br/>
        <w:t>The analysis should identify who controls information, models, resources, classification, participation, appeal, and implementation. Formal participation should not be treated as meaningful when participants lack influence.</w:t>
      </w:r>
    </w:p>
    <w:p>
      <w:pPr>
        <w:pStyle w:val="BodyText"/>
        <w:numPr>
          <w:ilvl w:val="0"/>
          <w:numId w:val="137"/>
        </w:numPr>
        <w:tabs>
          <w:tab w:val="clear" w:pos="720"/>
          <w:tab w:val="left" w:pos="0" w:leader="none"/>
        </w:tabs>
        <w:spacing w:before="0" w:after="200"/>
        <w:ind w:hanging="283" w:left="709"/>
        <w:rPr/>
      </w:pPr>
      <w:r>
        <w:rPr>
          <w:rStyle w:val="Strong"/>
        </w:rPr>
        <w:t>Develop feedback-loop analysis.</w:t>
      </w:r>
      <w:r>
        <w:rPr/>
        <w:br/>
        <w:t>For complex assessments, causal-loop models can identify reinforcing and balancing processes, normalization, resistance, escalation, resource depletion, and self-correction.</w:t>
      </w:r>
    </w:p>
    <w:p>
      <w:pPr>
        <w:pStyle w:val="BodyText"/>
        <w:numPr>
          <w:ilvl w:val="0"/>
          <w:numId w:val="137"/>
        </w:numPr>
        <w:tabs>
          <w:tab w:val="clear" w:pos="720"/>
          <w:tab w:val="left" w:pos="0" w:leader="none"/>
        </w:tabs>
        <w:spacing w:before="0" w:after="200"/>
        <w:ind w:hanging="283" w:left="709"/>
        <w:rPr/>
      </w:pPr>
      <w:r>
        <w:rPr>
          <w:rStyle w:val="Strong"/>
        </w:rPr>
        <w:t>Include stock-and-flow analysis when accumulation matters.</w:t>
      </w:r>
      <w:r>
        <w:rPr/>
        <w:br/>
        <w:t>Relevant stocks may include trust, knowledge, workforce capacity, ecological resources, institutional legitimacy, infrastructure condition, unresolved risk, and social resentment.</w:t>
      </w:r>
    </w:p>
    <w:p>
      <w:pPr>
        <w:pStyle w:val="BodyText"/>
        <w:numPr>
          <w:ilvl w:val="0"/>
          <w:numId w:val="137"/>
        </w:numPr>
        <w:tabs>
          <w:tab w:val="clear" w:pos="720"/>
          <w:tab w:val="left" w:pos="0" w:leader="none"/>
        </w:tabs>
        <w:spacing w:before="0" w:after="200"/>
        <w:ind w:hanging="283" w:left="709"/>
        <w:rPr/>
      </w:pPr>
      <w:r>
        <w:rPr>
          <w:rStyle w:val="Strong"/>
        </w:rPr>
        <w:t>Require delay analysis.</w:t>
      </w:r>
      <w:r>
        <w:rPr/>
        <w:br/>
        <w:t>Each significant causal relationship should be examined for delays that could obscure responsibility or produce misleading short-term indicators.</w:t>
      </w:r>
    </w:p>
    <w:p>
      <w:pPr>
        <w:pStyle w:val="BodyText"/>
        <w:numPr>
          <w:ilvl w:val="0"/>
          <w:numId w:val="137"/>
        </w:numPr>
        <w:tabs>
          <w:tab w:val="clear" w:pos="720"/>
          <w:tab w:val="left" w:pos="0" w:leader="none"/>
        </w:tabs>
        <w:spacing w:before="0" w:after="200"/>
        <w:ind w:hanging="283" w:left="709"/>
        <w:rPr/>
      </w:pPr>
      <w:r>
        <w:rPr>
          <w:rStyle w:val="Strong"/>
        </w:rPr>
        <w:t>Add threshold and tipping-point scenarios.</w:t>
      </w:r>
      <w:r>
        <w:rPr/>
        <w:br/>
        <w:t>The framework should identify circumstances in which gradual change may trigger abrupt ecological, institutional, technological, or behavioral transitions.</w:t>
      </w:r>
    </w:p>
    <w:p>
      <w:pPr>
        <w:pStyle w:val="BodyText"/>
        <w:numPr>
          <w:ilvl w:val="0"/>
          <w:numId w:val="137"/>
        </w:numPr>
        <w:tabs>
          <w:tab w:val="clear" w:pos="720"/>
          <w:tab w:val="left" w:pos="0" w:leader="none"/>
        </w:tabs>
        <w:spacing w:before="0" w:after="200"/>
        <w:ind w:hanging="283" w:left="709"/>
        <w:rPr/>
      </w:pPr>
      <w:r>
        <w:rPr>
          <w:rStyle w:val="Strong"/>
        </w:rPr>
        <w:t>Conduct a local-optimization audit.</w:t>
      </w:r>
      <w:r>
        <w:rPr/>
        <w:br/>
        <w:t>Every claimed improvement should be tested for cost transfers across departments, organizations, populations, geographic regions, generations, and ecosystems.</w:t>
      </w:r>
    </w:p>
    <w:p>
      <w:pPr>
        <w:pStyle w:val="BodyText"/>
        <w:numPr>
          <w:ilvl w:val="0"/>
          <w:numId w:val="137"/>
        </w:numPr>
        <w:tabs>
          <w:tab w:val="clear" w:pos="720"/>
          <w:tab w:val="left" w:pos="0" w:leader="none"/>
        </w:tabs>
        <w:spacing w:before="0" w:after="200"/>
        <w:ind w:hanging="283" w:left="709"/>
        <w:rPr/>
      </w:pPr>
      <w:r>
        <w:rPr>
          <w:rStyle w:val="Strong"/>
        </w:rPr>
        <w:t>Build a systems-trap library.</w:t>
      </w:r>
      <w:r>
        <w:rPr/>
        <w:br/>
        <w:t>Common patterns could include:</w:t>
      </w:r>
    </w:p>
    <w:p>
      <w:pPr>
        <w:pStyle w:val="BodyText"/>
        <w:numPr>
          <w:ilvl w:val="1"/>
          <w:numId w:val="137"/>
        </w:numPr>
        <w:tabs>
          <w:tab w:val="clear" w:pos="720"/>
          <w:tab w:val="left" w:pos="0" w:leader="none"/>
        </w:tabs>
        <w:spacing w:before="0" w:after="200"/>
        <w:ind w:hanging="283" w:left="1418"/>
        <w:rPr/>
      </w:pPr>
      <w:r>
        <w:rPr/>
        <w:t>Fixes that fail;</w:t>
      </w:r>
    </w:p>
    <w:p>
      <w:pPr>
        <w:pStyle w:val="BodyText"/>
        <w:numPr>
          <w:ilvl w:val="1"/>
          <w:numId w:val="137"/>
        </w:numPr>
        <w:tabs>
          <w:tab w:val="clear" w:pos="720"/>
          <w:tab w:val="left" w:pos="0" w:leader="none"/>
        </w:tabs>
        <w:spacing w:before="0" w:after="200"/>
        <w:ind w:hanging="283" w:left="1418"/>
        <w:rPr/>
      </w:pPr>
      <w:r>
        <w:rPr/>
        <w:t>Shifting the burden;</w:t>
      </w:r>
    </w:p>
    <w:p>
      <w:pPr>
        <w:pStyle w:val="BodyText"/>
        <w:numPr>
          <w:ilvl w:val="1"/>
          <w:numId w:val="137"/>
        </w:numPr>
        <w:tabs>
          <w:tab w:val="clear" w:pos="720"/>
          <w:tab w:val="left" w:pos="0" w:leader="none"/>
        </w:tabs>
        <w:spacing w:before="0" w:after="200"/>
        <w:ind w:hanging="283" w:left="1418"/>
        <w:rPr/>
      </w:pPr>
      <w:r>
        <w:rPr/>
        <w:t>Escalation;</w:t>
      </w:r>
    </w:p>
    <w:p>
      <w:pPr>
        <w:pStyle w:val="BodyText"/>
        <w:numPr>
          <w:ilvl w:val="1"/>
          <w:numId w:val="137"/>
        </w:numPr>
        <w:tabs>
          <w:tab w:val="clear" w:pos="720"/>
          <w:tab w:val="left" w:pos="0" w:leader="none"/>
        </w:tabs>
        <w:spacing w:before="0" w:after="200"/>
        <w:ind w:hanging="283" w:left="1418"/>
        <w:rPr/>
      </w:pPr>
      <w:r>
        <w:rPr/>
        <w:t>Success to the successful;</w:t>
      </w:r>
    </w:p>
    <w:p>
      <w:pPr>
        <w:pStyle w:val="BodyText"/>
        <w:numPr>
          <w:ilvl w:val="1"/>
          <w:numId w:val="137"/>
        </w:numPr>
        <w:tabs>
          <w:tab w:val="clear" w:pos="720"/>
          <w:tab w:val="left" w:pos="0" w:leader="none"/>
        </w:tabs>
        <w:spacing w:before="0" w:after="200"/>
        <w:ind w:hanging="283" w:left="1418"/>
        <w:rPr/>
      </w:pPr>
      <w:r>
        <w:rPr/>
        <w:t>Tragedy of the commons;</w:t>
      </w:r>
    </w:p>
    <w:p>
      <w:pPr>
        <w:pStyle w:val="BodyText"/>
        <w:numPr>
          <w:ilvl w:val="1"/>
          <w:numId w:val="137"/>
        </w:numPr>
        <w:tabs>
          <w:tab w:val="clear" w:pos="720"/>
          <w:tab w:val="left" w:pos="0" w:leader="none"/>
        </w:tabs>
        <w:spacing w:before="0" w:after="200"/>
        <w:ind w:hanging="283" w:left="1418"/>
        <w:rPr/>
      </w:pPr>
      <w:r>
        <w:rPr/>
        <w:t>Drift toward lower standards;</w:t>
      </w:r>
    </w:p>
    <w:p>
      <w:pPr>
        <w:pStyle w:val="BodyText"/>
        <w:numPr>
          <w:ilvl w:val="1"/>
          <w:numId w:val="137"/>
        </w:numPr>
        <w:tabs>
          <w:tab w:val="clear" w:pos="720"/>
          <w:tab w:val="left" w:pos="0" w:leader="none"/>
        </w:tabs>
        <w:spacing w:before="0" w:after="200"/>
        <w:ind w:hanging="283" w:left="1418"/>
        <w:rPr/>
      </w:pPr>
      <w:r>
        <w:rPr/>
        <w:t>Policy resistance;</w:t>
      </w:r>
    </w:p>
    <w:p>
      <w:pPr>
        <w:pStyle w:val="BodyText"/>
        <w:numPr>
          <w:ilvl w:val="1"/>
          <w:numId w:val="137"/>
        </w:numPr>
        <w:tabs>
          <w:tab w:val="clear" w:pos="720"/>
          <w:tab w:val="left" w:pos="0" w:leader="none"/>
        </w:tabs>
        <w:spacing w:before="0" w:after="200"/>
        <w:ind w:hanging="283" w:left="1418"/>
        <w:rPr/>
      </w:pPr>
      <w:r>
        <w:rPr/>
        <w:t>Goal displacement; and</w:t>
      </w:r>
    </w:p>
    <w:p>
      <w:pPr>
        <w:pStyle w:val="BodyText"/>
        <w:numPr>
          <w:ilvl w:val="1"/>
          <w:numId w:val="137"/>
        </w:numPr>
        <w:tabs>
          <w:tab w:val="clear" w:pos="720"/>
          <w:tab w:val="left" w:pos="0" w:leader="none"/>
        </w:tabs>
        <w:spacing w:before="0" w:after="200"/>
        <w:ind w:hanging="283" w:left="1418"/>
        <w:rPr/>
      </w:pPr>
      <w:r>
        <w:rPr/>
        <w:t>Metric gaming.</w:t>
      </w:r>
    </w:p>
    <w:p>
      <w:pPr>
        <w:pStyle w:val="BodyText"/>
        <w:numPr>
          <w:ilvl w:val="0"/>
          <w:numId w:val="137"/>
        </w:numPr>
        <w:tabs>
          <w:tab w:val="clear" w:pos="720"/>
          <w:tab w:val="left" w:pos="0" w:leader="none"/>
        </w:tabs>
        <w:spacing w:before="0" w:after="200"/>
        <w:ind w:hanging="283" w:left="709"/>
        <w:rPr/>
      </w:pPr>
      <w:r>
        <w:rPr>
          <w:rStyle w:val="Strong"/>
        </w:rPr>
        <w:t>Add leverage-point analysis.</w:t>
      </w:r>
      <w:r>
        <w:rPr/>
        <w:br/>
        <w:t>Assessments should distinguish interventions that alter:</w:t>
      </w:r>
    </w:p>
    <w:p>
      <w:pPr>
        <w:pStyle w:val="BodyText"/>
        <w:numPr>
          <w:ilvl w:val="1"/>
          <w:numId w:val="137"/>
        </w:numPr>
        <w:tabs>
          <w:tab w:val="clear" w:pos="720"/>
          <w:tab w:val="left" w:pos="0" w:leader="none"/>
        </w:tabs>
        <w:spacing w:before="0" w:after="200"/>
        <w:ind w:hanging="283" w:left="1418"/>
        <w:rPr/>
      </w:pPr>
      <w:r>
        <w:rPr/>
        <w:t>Parameters;</w:t>
      </w:r>
    </w:p>
    <w:p>
      <w:pPr>
        <w:pStyle w:val="BodyText"/>
        <w:numPr>
          <w:ilvl w:val="1"/>
          <w:numId w:val="137"/>
        </w:numPr>
        <w:tabs>
          <w:tab w:val="clear" w:pos="720"/>
          <w:tab w:val="left" w:pos="0" w:leader="none"/>
        </w:tabs>
        <w:spacing w:before="0" w:after="200"/>
        <w:ind w:hanging="283" w:left="1418"/>
        <w:rPr/>
      </w:pPr>
      <w:r>
        <w:rPr/>
        <w:t>Resource flows;</w:t>
      </w:r>
    </w:p>
    <w:p>
      <w:pPr>
        <w:pStyle w:val="BodyText"/>
        <w:numPr>
          <w:ilvl w:val="1"/>
          <w:numId w:val="137"/>
        </w:numPr>
        <w:tabs>
          <w:tab w:val="clear" w:pos="720"/>
          <w:tab w:val="left" w:pos="0" w:leader="none"/>
        </w:tabs>
        <w:spacing w:before="0" w:after="200"/>
        <w:ind w:hanging="283" w:left="1418"/>
        <w:rPr/>
      </w:pPr>
      <w:r>
        <w:rPr/>
        <w:t>Feedback strength;</w:t>
      </w:r>
    </w:p>
    <w:p>
      <w:pPr>
        <w:pStyle w:val="BodyText"/>
        <w:numPr>
          <w:ilvl w:val="1"/>
          <w:numId w:val="137"/>
        </w:numPr>
        <w:tabs>
          <w:tab w:val="clear" w:pos="720"/>
          <w:tab w:val="left" w:pos="0" w:leader="none"/>
        </w:tabs>
        <w:spacing w:before="0" w:after="200"/>
        <w:ind w:hanging="283" w:left="1418"/>
        <w:rPr/>
      </w:pPr>
      <w:r>
        <w:rPr/>
        <w:t>Information access;</w:t>
      </w:r>
    </w:p>
    <w:p>
      <w:pPr>
        <w:pStyle w:val="BodyText"/>
        <w:numPr>
          <w:ilvl w:val="1"/>
          <w:numId w:val="137"/>
        </w:numPr>
        <w:tabs>
          <w:tab w:val="clear" w:pos="720"/>
          <w:tab w:val="left" w:pos="0" w:leader="none"/>
        </w:tabs>
        <w:spacing w:before="0" w:after="200"/>
        <w:ind w:hanging="283" w:left="1418"/>
        <w:rPr/>
      </w:pPr>
      <w:r>
        <w:rPr/>
        <w:t>Rules and incentives;</w:t>
      </w:r>
    </w:p>
    <w:p>
      <w:pPr>
        <w:pStyle w:val="BodyText"/>
        <w:numPr>
          <w:ilvl w:val="1"/>
          <w:numId w:val="137"/>
        </w:numPr>
        <w:tabs>
          <w:tab w:val="clear" w:pos="720"/>
          <w:tab w:val="left" w:pos="0" w:leader="none"/>
        </w:tabs>
        <w:spacing w:before="0" w:after="200"/>
        <w:ind w:hanging="283" w:left="1418"/>
        <w:rPr/>
      </w:pPr>
      <w:r>
        <w:rPr/>
        <w:t>Authority;</w:t>
      </w:r>
    </w:p>
    <w:p>
      <w:pPr>
        <w:pStyle w:val="BodyText"/>
        <w:numPr>
          <w:ilvl w:val="1"/>
          <w:numId w:val="137"/>
        </w:numPr>
        <w:tabs>
          <w:tab w:val="clear" w:pos="720"/>
          <w:tab w:val="left" w:pos="0" w:leader="none"/>
        </w:tabs>
        <w:spacing w:before="0" w:after="200"/>
        <w:ind w:hanging="283" w:left="1418"/>
        <w:rPr/>
      </w:pPr>
      <w:r>
        <w:rPr/>
        <w:t>System goals; or</w:t>
      </w:r>
    </w:p>
    <w:p>
      <w:pPr>
        <w:pStyle w:val="BodyText"/>
        <w:numPr>
          <w:ilvl w:val="1"/>
          <w:numId w:val="137"/>
        </w:numPr>
        <w:tabs>
          <w:tab w:val="clear" w:pos="720"/>
          <w:tab w:val="left" w:pos="0" w:leader="none"/>
        </w:tabs>
        <w:spacing w:before="0" w:after="200"/>
        <w:ind w:hanging="283" w:left="1418"/>
        <w:rPr/>
      </w:pPr>
      <w:r>
        <w:rPr/>
        <w:t>The underlying assumptions from which goals arise.</w:t>
      </w:r>
    </w:p>
    <w:p>
      <w:pPr>
        <w:pStyle w:val="BodyText"/>
        <w:numPr>
          <w:ilvl w:val="0"/>
          <w:numId w:val="137"/>
        </w:numPr>
        <w:tabs>
          <w:tab w:val="clear" w:pos="720"/>
          <w:tab w:val="left" w:pos="0" w:leader="none"/>
        </w:tabs>
        <w:spacing w:before="0" w:after="200"/>
        <w:ind w:hanging="283" w:left="709"/>
        <w:rPr/>
      </w:pPr>
      <w:r>
        <w:rPr>
          <w:rStyle w:val="Strong"/>
        </w:rPr>
        <w:t>Distinguish preservation, adaptation, transformation, and dissolution.</w:t>
      </w:r>
      <w:r>
        <w:rPr/>
        <w:br/>
        <w:t>A system facing instability should not automatically be preserved. The framework should compare whether ethical flourishing is best served by maintaining the system, adapting it, transforming its structure, or ending it.</w:t>
      </w:r>
    </w:p>
    <w:p>
      <w:pPr>
        <w:pStyle w:val="BodyText"/>
        <w:numPr>
          <w:ilvl w:val="0"/>
          <w:numId w:val="137"/>
        </w:numPr>
        <w:tabs>
          <w:tab w:val="clear" w:pos="720"/>
          <w:tab w:val="left" w:pos="0" w:leader="none"/>
        </w:tabs>
        <w:spacing w:before="0" w:after="200"/>
        <w:ind w:hanging="283" w:left="709"/>
        <w:rPr/>
      </w:pPr>
      <w:r>
        <w:rPr>
          <w:rStyle w:val="Strong"/>
        </w:rPr>
        <w:t>Condition resilience on ethical function.</w:t>
      </w:r>
      <w:r>
        <w:rPr/>
        <w:br/>
        <w:t>Resilience should be evaluated according to what is being made resilient. Increasing the resilience of an exploitative institution is not an ethical improvement.</w:t>
      </w:r>
    </w:p>
    <w:p>
      <w:pPr>
        <w:pStyle w:val="BodyText"/>
        <w:numPr>
          <w:ilvl w:val="0"/>
          <w:numId w:val="137"/>
        </w:numPr>
        <w:tabs>
          <w:tab w:val="clear" w:pos="720"/>
          <w:tab w:val="left" w:pos="0" w:leader="none"/>
        </w:tabs>
        <w:spacing w:before="0" w:after="200"/>
        <w:ind w:hanging="283" w:left="709"/>
        <w:rPr/>
      </w:pPr>
      <w:r>
        <w:rPr>
          <w:rStyle w:val="Strong"/>
        </w:rPr>
        <w:t>Add a minimum-versus-optimal-viability distinction.</w:t>
      </w:r>
      <w:r>
        <w:rPr/>
        <w:br/>
        <w:t>The framework should identify the minimum functions required to avoid collapse while separately evaluating whether the resulting system supports meaningful flourishing.</w:t>
      </w:r>
    </w:p>
    <w:p>
      <w:pPr>
        <w:pStyle w:val="BodyText"/>
        <w:numPr>
          <w:ilvl w:val="0"/>
          <w:numId w:val="137"/>
        </w:numPr>
        <w:tabs>
          <w:tab w:val="clear" w:pos="720"/>
          <w:tab w:val="left" w:pos="0" w:leader="none"/>
        </w:tabs>
        <w:spacing w:before="0" w:after="200"/>
        <w:ind w:hanging="283" w:left="709"/>
        <w:rPr/>
      </w:pPr>
      <w:r>
        <w:rPr>
          <w:rStyle w:val="Strong"/>
        </w:rPr>
        <w:t>Strengthen representation of autopoietic entities.</w:t>
      </w:r>
      <w:r>
        <w:rPr/>
        <w:br/>
        <w:t>The framework could distinguish biological self-production from broader adaptive persistence and avoid treating every self-maintaining organization as autopoietic in the original biological sense.</w:t>
      </w:r>
    </w:p>
    <w:p>
      <w:pPr>
        <w:pStyle w:val="BodyText"/>
        <w:numPr>
          <w:ilvl w:val="0"/>
          <w:numId w:val="137"/>
        </w:numPr>
        <w:tabs>
          <w:tab w:val="clear" w:pos="720"/>
          <w:tab w:val="left" w:pos="0" w:leader="none"/>
        </w:tabs>
        <w:spacing w:before="0" w:after="200"/>
        <w:ind w:hanging="283" w:left="709"/>
        <w:rPr/>
      </w:pPr>
      <w:r>
        <w:rPr>
          <w:rStyle w:val="Strong"/>
        </w:rPr>
        <w:t>Model structural coupling.</w:t>
      </w:r>
      <w:r>
        <w:rPr/>
        <w:br/>
        <w:t>Long-standing reciprocal relationships between entities and environments should be examined for co-development, dependency, lock-in, and mutual adaptation.</w:t>
      </w:r>
    </w:p>
    <w:p>
      <w:pPr>
        <w:pStyle w:val="BodyText"/>
        <w:numPr>
          <w:ilvl w:val="0"/>
          <w:numId w:val="137"/>
        </w:numPr>
        <w:tabs>
          <w:tab w:val="clear" w:pos="720"/>
          <w:tab w:val="left" w:pos="0" w:leader="none"/>
        </w:tabs>
        <w:spacing w:before="0" w:after="200"/>
        <w:ind w:hanging="283" w:left="709"/>
        <w:rPr/>
      </w:pPr>
      <w:r>
        <w:rPr>
          <w:rStyle w:val="Strong"/>
        </w:rPr>
        <w:t>Add second-order model review.</w:t>
      </w:r>
      <w:r>
        <w:rPr/>
        <w:br/>
        <w:t>A separate review should ask how the framework, assessor, data collection process, or published conclusion will change the behavior of the system being assessed.</w:t>
      </w:r>
    </w:p>
    <w:p>
      <w:pPr>
        <w:pStyle w:val="BodyText"/>
        <w:numPr>
          <w:ilvl w:val="0"/>
          <w:numId w:val="137"/>
        </w:numPr>
        <w:tabs>
          <w:tab w:val="clear" w:pos="720"/>
          <w:tab w:val="left" w:pos="0" w:leader="none"/>
        </w:tabs>
        <w:spacing w:before="0" w:after="200"/>
        <w:ind w:hanging="283" w:left="709"/>
        <w:rPr/>
      </w:pPr>
      <w:r>
        <w:rPr>
          <w:rStyle w:val="Strong"/>
        </w:rPr>
        <w:t>Use adversarial or plural model comparison.</w:t>
      </w:r>
      <w:r>
        <w:rPr/>
        <w:br/>
        <w:t>Where stakes are high, multiple teams or stakeholder groups could construct independent models. Differences in boundaries, causal assumptions, and priorities would become part of the ethical evidence.</w:t>
      </w:r>
    </w:p>
    <w:p>
      <w:pPr>
        <w:pStyle w:val="BodyText"/>
        <w:numPr>
          <w:ilvl w:val="0"/>
          <w:numId w:val="137"/>
        </w:numPr>
        <w:tabs>
          <w:tab w:val="clear" w:pos="720"/>
          <w:tab w:val="left" w:pos="0" w:leader="none"/>
        </w:tabs>
        <w:spacing w:before="0" w:after="200"/>
        <w:ind w:hanging="283" w:left="709"/>
        <w:rPr/>
      </w:pPr>
      <w:r>
        <w:rPr>
          <w:rStyle w:val="Strong"/>
        </w:rPr>
        <w:t>Create an evidence-diversity requirement.</w:t>
      </w:r>
      <w:r>
        <w:rPr/>
        <w:br/>
        <w:t>Systemic assessment should combine relevant quantitative data with qualitative testimony, institutional history, contextual expertise, observed behavior, and evidence from less powerful participants.</w:t>
      </w:r>
    </w:p>
    <w:p>
      <w:pPr>
        <w:pStyle w:val="BodyText"/>
        <w:numPr>
          <w:ilvl w:val="0"/>
          <w:numId w:val="137"/>
        </w:numPr>
        <w:tabs>
          <w:tab w:val="clear" w:pos="720"/>
          <w:tab w:val="left" w:pos="0" w:leader="none"/>
        </w:tabs>
        <w:spacing w:before="0" w:after="200"/>
        <w:ind w:hanging="283" w:left="709"/>
        <w:rPr/>
      </w:pPr>
      <w:r>
        <w:rPr>
          <w:rStyle w:val="Strong"/>
        </w:rPr>
        <w:t>Support safe-to-learn interventions.</w:t>
      </w:r>
      <w:r>
        <w:rPr/>
        <w:br/>
        <w:t>Under substantial uncertainty, the framework should prefer bounded, reversible, monitored experiments when delay does not expose affected entities to unacceptable harm.</w:t>
      </w:r>
    </w:p>
    <w:p>
      <w:pPr>
        <w:pStyle w:val="BodyText"/>
        <w:numPr>
          <w:ilvl w:val="0"/>
          <w:numId w:val="137"/>
        </w:numPr>
        <w:tabs>
          <w:tab w:val="clear" w:pos="720"/>
          <w:tab w:val="left" w:pos="0" w:leader="none"/>
        </w:tabs>
        <w:spacing w:before="0" w:after="200"/>
        <w:ind w:hanging="283" w:left="709"/>
        <w:rPr/>
      </w:pPr>
      <w:r>
        <w:rPr>
          <w:rStyle w:val="Strong"/>
        </w:rPr>
        <w:t>Require feedback and revision plans.</w:t>
      </w:r>
      <w:r>
        <w:rPr/>
        <w:br/>
        <w:t>Every implemented action should identify indicators, monitoring frequency, responsible parties, correction thresholds, and mechanisms for repair.</w:t>
      </w:r>
    </w:p>
    <w:p>
      <w:pPr>
        <w:pStyle w:val="BodyText"/>
        <w:numPr>
          <w:ilvl w:val="0"/>
          <w:numId w:val="137"/>
        </w:numPr>
        <w:tabs>
          <w:tab w:val="clear" w:pos="720"/>
          <w:tab w:val="left" w:pos="0" w:leader="none"/>
        </w:tabs>
        <w:spacing w:before="0" w:after="200"/>
        <w:ind w:hanging="283" w:left="709"/>
        <w:rPr/>
      </w:pPr>
      <w:r>
        <w:rPr>
          <w:rStyle w:val="Strong"/>
        </w:rPr>
        <w:t>Establish a responsibility network.</w:t>
      </w:r>
      <w:r>
        <w:rPr/>
        <w:br/>
        <w:t>Responsibility should be mapped across designers, funders, executives, operators, regulators, users, auditors, and institutions rather than assigned only to the final actor in a causal chain.</w:t>
      </w:r>
    </w:p>
    <w:p>
      <w:pPr>
        <w:pStyle w:val="BodyText"/>
        <w:numPr>
          <w:ilvl w:val="0"/>
          <w:numId w:val="137"/>
        </w:numPr>
        <w:tabs>
          <w:tab w:val="clear" w:pos="720"/>
          <w:tab w:val="left" w:pos="0" w:leader="none"/>
        </w:tabs>
        <w:spacing w:before="0" w:after="200"/>
        <w:ind w:hanging="283" w:left="709"/>
        <w:rPr/>
      </w:pPr>
      <w:r>
        <w:rPr>
          <w:rStyle w:val="Strong"/>
        </w:rPr>
        <w:t>Evaluate requisite governance capacity.</w:t>
      </w:r>
      <w:r>
        <w:rPr/>
        <w:br/>
        <w:t>The system’s monitoring, response, and learning capabilities should be compared with the variety and complexity of the risks it is expected to manage.</w:t>
      </w:r>
    </w:p>
    <w:p>
      <w:pPr>
        <w:pStyle w:val="BodyText"/>
        <w:numPr>
          <w:ilvl w:val="0"/>
          <w:numId w:val="137"/>
        </w:numPr>
        <w:tabs>
          <w:tab w:val="clear" w:pos="720"/>
          <w:tab w:val="left" w:pos="0" w:leader="none"/>
        </w:tabs>
        <w:spacing w:before="0" w:after="200"/>
        <w:ind w:hanging="283" w:left="709"/>
        <w:rPr/>
      </w:pPr>
      <w:r>
        <w:rPr>
          <w:rStyle w:val="Strong"/>
        </w:rPr>
        <w:t>Add failure-containment analysis.</w:t>
      </w:r>
      <w:r>
        <w:rPr/>
        <w:br/>
        <w:t>The framework should assess whether failures remain localized or cascade through tightly coupled dependencies.</w:t>
      </w:r>
    </w:p>
    <w:p>
      <w:pPr>
        <w:pStyle w:val="BodyText"/>
        <w:numPr>
          <w:ilvl w:val="0"/>
          <w:numId w:val="137"/>
        </w:numPr>
        <w:tabs>
          <w:tab w:val="clear" w:pos="720"/>
          <w:tab w:val="left" w:pos="0" w:leader="none"/>
        </w:tabs>
        <w:spacing w:before="0" w:after="200"/>
        <w:ind w:hanging="283" w:left="709"/>
        <w:rPr/>
      </w:pPr>
      <w:r>
        <w:rPr>
          <w:rStyle w:val="Strong"/>
        </w:rPr>
        <w:t>Protect affected parties who cannot participate.</w:t>
      </w:r>
      <w:r>
        <w:rPr/>
        <w:br/>
        <w:t>Future generations, ecosystems, animals, children, and some artificial or institutional entities may require designated representatives, trustees, or evidence-based proxies.</w:t>
      </w:r>
    </w:p>
    <w:p>
      <w:pPr>
        <w:pStyle w:val="BodyText"/>
        <w:numPr>
          <w:ilvl w:val="0"/>
          <w:numId w:val="137"/>
        </w:numPr>
        <w:tabs>
          <w:tab w:val="clear" w:pos="720"/>
          <w:tab w:val="left" w:pos="0" w:leader="none"/>
        </w:tabs>
        <w:spacing w:before="0" w:after="200"/>
        <w:ind w:hanging="283" w:left="709"/>
        <w:rPr/>
      </w:pPr>
      <w:r>
        <w:rPr>
          <w:rStyle w:val="Strong"/>
        </w:rPr>
        <w:t>Prevent the whole from eclipsing its parts.</w:t>
      </w:r>
      <w:r>
        <w:rPr/>
        <w:br/>
        <w:t>Appeals to system health, public order, efficiency, or institutional survival should not automatically override severe harms to particular entities. The flourishing of the whole must be compatible with defensible treatment of its components and affected outsiders.</w:t>
      </w:r>
    </w:p>
    <w:p>
      <w:pPr>
        <w:pStyle w:val="BodyText"/>
        <w:numPr>
          <w:ilvl w:val="0"/>
          <w:numId w:val="137"/>
        </w:numPr>
        <w:tabs>
          <w:tab w:val="clear" w:pos="720"/>
          <w:tab w:val="left" w:pos="0" w:leader="none"/>
        </w:tabs>
        <w:spacing w:before="0" w:after="200"/>
        <w:ind w:hanging="283" w:left="709"/>
        <w:rPr/>
      </w:pPr>
      <w:r>
        <w:rPr>
          <w:rStyle w:val="Strong"/>
        </w:rPr>
        <w:t>Prevent components from eclipsing the whole.</w:t>
      </w:r>
      <w:r>
        <w:rPr/>
        <w:br/>
        <w:t>Conversely, narrow rights, preferences, or departmental objectives should not be interpreted without considering their cumulative effects on shared systems and future possibilities.</w:t>
      </w:r>
    </w:p>
    <w:p>
      <w:pPr>
        <w:pStyle w:val="BodyText"/>
        <w:numPr>
          <w:ilvl w:val="0"/>
          <w:numId w:val="137"/>
        </w:numPr>
        <w:tabs>
          <w:tab w:val="clear" w:pos="720"/>
          <w:tab w:val="left" w:pos="0" w:leader="none"/>
        </w:tabs>
        <w:spacing w:before="0" w:after="200"/>
        <w:ind w:hanging="283" w:left="709"/>
        <w:rPr/>
      </w:pPr>
      <w:r>
        <w:rPr>
          <w:rStyle w:val="Strong"/>
        </w:rPr>
        <w:t>Document moral and model uncertainty separately.</w:t>
      </w:r>
      <w:r>
        <w:rPr/>
        <w:br/>
        <w:t>Uncertainty about what will happen should be distinguished from disagreement about what ought to count as flourishing, harm, or justified risk.</w:t>
      </w:r>
    </w:p>
    <w:p>
      <w:pPr>
        <w:pStyle w:val="BodyText"/>
        <w:numPr>
          <w:ilvl w:val="0"/>
          <w:numId w:val="137"/>
        </w:numPr>
        <w:tabs>
          <w:tab w:val="clear" w:pos="720"/>
          <w:tab w:val="left" w:pos="0" w:leader="none"/>
        </w:tabs>
        <w:spacing w:before="0" w:after="200"/>
        <w:ind w:hanging="283" w:left="709"/>
        <w:rPr/>
      </w:pPr>
      <w:r>
        <w:rPr>
          <w:rStyle w:val="Strong"/>
        </w:rPr>
        <w:t>Make model governance part of ethical governance.</w:t>
      </w:r>
      <w:r>
        <w:rPr/>
        <w:br/>
        <w:t>Version histories, assumptions, data provenance, boundary decisions, excluded variables, conflicts of interest, appeals, and known failures should be documented.</w:t>
      </w:r>
    </w:p>
    <w:p>
      <w:pPr>
        <w:pStyle w:val="BodyText"/>
        <w:numPr>
          <w:ilvl w:val="0"/>
          <w:numId w:val="137"/>
        </w:numPr>
        <w:tabs>
          <w:tab w:val="clear" w:pos="720"/>
          <w:tab w:val="left" w:pos="0" w:leader="none"/>
        </w:tabs>
        <w:spacing w:before="0" w:after="200"/>
        <w:ind w:hanging="283" w:left="709"/>
        <w:rPr/>
      </w:pPr>
      <w:r>
        <w:rPr>
          <w:rStyle w:val="Strong"/>
        </w:rPr>
        <w:t>Include systemic repair.</w:t>
      </w:r>
      <w:r>
        <w:rPr/>
        <w:br/>
        <w:t>When harm emerges from distributed structures, remedies should address both individual losses and the rules, incentives, information flows, and power arrangements that reproduce the harm.</w:t>
      </w:r>
    </w:p>
    <w:p>
      <w:pPr>
        <w:pStyle w:val="BodyText"/>
        <w:numPr>
          <w:ilvl w:val="0"/>
          <w:numId w:val="137"/>
        </w:numPr>
        <w:tabs>
          <w:tab w:val="clear" w:pos="720"/>
          <w:tab w:val="left" w:pos="0" w:leader="none"/>
        </w:tabs>
        <w:spacing w:before="0" w:after="200"/>
        <w:ind w:hanging="283" w:left="709"/>
        <w:rPr/>
      </w:pPr>
      <w:r>
        <w:rPr>
          <w:rStyle w:val="Strong"/>
        </w:rPr>
        <w:t>Treat assessment as an inquiring system.</w:t>
      </w:r>
      <w:r>
        <w:rPr/>
        <w:br/>
        <w:t>The framework should be capable of learning from prediction errors, stakeholder challenges, implementation failures, and newly recognized entities. Its classifications and procedures should remain open to structured revision.</w:t>
      </w:r>
    </w:p>
    <w:p>
      <w:pPr>
        <w:pStyle w:val="BodyText"/>
        <w:spacing w:before="0" w:after="200"/>
        <w:rPr/>
      </w:pPr>
      <w:r>
        <w:rPr/>
        <w:t>Systems Ethics therefore provides both a major foundation and an important internal critique of the proposed framework. It supports the framework’s attention to context, interdependence, feedback, adaptation, and long-term flourishing while warning that no system boundary, objective, model, or definition of improvement is ethically neutral. Its strongest contribution is the requirement that the framework continually examine not only what its models conclude, but also who defined the system, whose purposes are being served, which entities remain outside the boundary, and how the assessment itself changes the world it is attempting to evaluate.</w:t>
      </w:r>
    </w:p>
    <w:p>
      <w:pPr>
        <w:pStyle w:val="Heading2"/>
        <w:rPr/>
      </w:pPr>
      <w:r>
        <w:rPr/>
        <w:t>Capability Approach</w:t>
      </w:r>
    </w:p>
    <w:p>
      <w:pPr>
        <w:pStyle w:val="BodyText"/>
        <w:spacing w:before="0" w:after="200"/>
        <w:rPr/>
      </w:pPr>
      <w:r>
        <w:rPr/>
        <w:t>The Capability Approach evaluates ethical and social arrangements according to what persons are genuinely able to do and to be. It shifts attention away from resources, income, subjective satisfaction, formal rights, or achieved outcomes considered separately and toward people’s substantive freedoms to pursue forms of life they have reason to value.</w:t>
      </w:r>
    </w:p>
    <w:p>
      <w:pPr>
        <w:pStyle w:val="BodyText"/>
        <w:spacing w:before="0" w:after="200"/>
        <w:rPr/>
      </w:pPr>
      <w:r>
        <w:rPr/>
        <w:t>A person may possess a resource without being able to use it, hold a formal right without being able to exercise it, or report satisfaction after adapting expectations to deprivation. Conversely, two people receiving identical resources may possess substantially different opportunities because of disability, discrimination, caregiving duties, environmental conditions, social norms, or unequal access to institutions. The Capability Approach therefore asks not only, “What did the person receive?” or “What outcome occurred?” but also, “What real opportunities were available, what barriers affected their use, and did the person have meaningful agency in determining the resulting life?”</w:t>
      </w:r>
    </w:p>
    <w:p>
      <w:pPr>
        <w:pStyle w:val="BodyText"/>
        <w:spacing w:before="0" w:after="200"/>
        <w:rPr/>
      </w:pPr>
      <w:r>
        <w:rPr/>
        <w:t>This creates a strong relationship with the proposed framework. Its definition of Long-Term Flourishing as a sustained capacity to preserve and expand beneficial future state space closely resembles a capability set: the valuable states and activities that remain genuinely available to an entity. The Capability Approach can consequently provide substantive detail about what “flourishing,” “capacity,” “agency,” and “beneficial future possibilities” should mean in human applications.</w:t>
      </w:r>
    </w:p>
    <w:p>
      <w:pPr>
        <w:pStyle w:val="BodyText"/>
        <w:spacing w:before="0" w:after="200"/>
        <w:rPr/>
      </w:pPr>
      <w:r>
        <w:rPr/>
        <w:t xml:space="preserve">The </w:t>
      </w:r>
      <w:hyperlink r:id="rId101">
        <w:r>
          <w:rPr>
            <w:rStyle w:val="Hyperlink"/>
          </w:rPr>
          <w:t>Stanford Encyclopedia of Philosophy</w:t>
        </w:r>
      </w:hyperlink>
      <w:r>
        <w:rPr/>
        <w:t xml:space="preserve"> characterizes the Capability Approach as a flexible normative framework centered on functionings, capabilities, real freedoms, human diversity, and conversion factors. The </w:t>
      </w:r>
      <w:hyperlink r:id="rId102">
        <w:r>
          <w:rPr>
            <w:rStyle w:val="Hyperlink"/>
          </w:rPr>
          <w:t>Human Development and Capability Association</w:t>
        </w:r>
      </w:hyperlink>
      <w:r>
        <w:rPr/>
        <w:t xml:space="preserve"> similarly distinguishes achieved functionings from the realistic opportunities represented by capabilities.</w:t>
      </w:r>
    </w:p>
    <w:p>
      <w:pPr>
        <w:pStyle w:val="Heading3"/>
        <w:spacing w:before="0" w:after="200"/>
        <w:ind w:hanging="0" w:left="0"/>
        <w:rPr>
          <w:rFonts w:ascii="Aptos" w:hAnsi="Aptos"/>
          <w:color w:val="auto"/>
        </w:rPr>
      </w:pPr>
      <w:r>
        <w:rPr>
          <w:rFonts w:ascii="Aptos" w:hAnsi="Aptos"/>
          <w:color w:val="auto"/>
        </w:rPr>
        <w:t>Primary Experts</w:t>
      </w:r>
    </w:p>
    <w:p>
      <w:pPr>
        <w:pStyle w:val="BodyText"/>
        <w:spacing w:before="0" w:after="200"/>
        <w:rPr/>
      </w:pPr>
      <w:r>
        <w:rPr/>
        <w:t>The first two figures are the principal philosophical founders. The others substantially developed, clarified, or operationalized the approach.</w:t>
      </w:r>
    </w:p>
    <w:tbl>
      <w:tblPr>
        <w:tblW w:w="8640" w:type="dxa"/>
        <w:jc w:val="left"/>
        <w:tblInd w:w="28" w:type="dxa"/>
        <w:tblLayout w:type="fixed"/>
        <w:tblCellMar>
          <w:top w:w="28" w:type="dxa"/>
          <w:left w:w="28" w:type="dxa"/>
          <w:bottom w:w="28" w:type="dxa"/>
          <w:right w:w="28" w:type="dxa"/>
        </w:tblCellMar>
      </w:tblPr>
      <w:tblGrid>
        <w:gridCol w:w="1334"/>
        <w:gridCol w:w="720"/>
        <w:gridCol w:w="2543"/>
        <w:gridCol w:w="4043"/>
      </w:tblGrid>
      <w:tr>
        <w:trPr>
          <w:tblHeader w:val="true"/>
        </w:trPr>
        <w:tc>
          <w:tcPr>
            <w:tcW w:w="1334" w:type="dxa"/>
            <w:tcBorders/>
            <w:vAlign w:val="center"/>
          </w:tcPr>
          <w:p>
            <w:pPr>
              <w:pStyle w:val="TableHeading"/>
              <w:suppressLineNumbers/>
              <w:spacing w:before="0" w:after="200"/>
              <w:jc w:val="center"/>
              <w:rPr/>
            </w:pPr>
            <w:r>
              <w:rPr/>
              <w:t>Expert</w:t>
            </w:r>
          </w:p>
        </w:tc>
        <w:tc>
          <w:tcPr>
            <w:tcW w:w="720" w:type="dxa"/>
            <w:tcBorders/>
            <w:vAlign w:val="center"/>
          </w:tcPr>
          <w:p>
            <w:pPr>
              <w:pStyle w:val="TableHeading"/>
              <w:spacing w:before="0" w:after="200"/>
              <w:jc w:val="right"/>
              <w:rPr/>
            </w:pPr>
            <w:r>
              <w:rPr/>
              <w:t>Life</w:t>
            </w:r>
          </w:p>
        </w:tc>
        <w:tc>
          <w:tcPr>
            <w:tcW w:w="2543" w:type="dxa"/>
            <w:tcBorders/>
            <w:vAlign w:val="center"/>
          </w:tcPr>
          <w:p>
            <w:pPr>
              <w:pStyle w:val="TableHeading"/>
              <w:suppressLineNumbers/>
              <w:spacing w:before="0" w:after="200"/>
              <w:jc w:val="center"/>
              <w:rPr/>
            </w:pPr>
            <w:r>
              <w:rPr/>
              <w:t>Associated institution(s)</w:t>
            </w:r>
          </w:p>
        </w:tc>
        <w:tc>
          <w:tcPr>
            <w:tcW w:w="4043" w:type="dxa"/>
            <w:tcBorders/>
            <w:vAlign w:val="center"/>
          </w:tcPr>
          <w:p>
            <w:pPr>
              <w:pStyle w:val="TableHeading"/>
              <w:suppressLineNumbers/>
              <w:spacing w:before="0" w:after="200"/>
              <w:jc w:val="center"/>
              <w:rPr/>
            </w:pPr>
            <w:r>
              <w:rPr/>
              <w:t>Principal contribution</w:t>
            </w:r>
          </w:p>
        </w:tc>
      </w:tr>
      <w:tr>
        <w:trPr/>
        <w:tc>
          <w:tcPr>
            <w:tcW w:w="1334" w:type="dxa"/>
            <w:tcBorders/>
            <w:vAlign w:val="center"/>
          </w:tcPr>
          <w:p>
            <w:pPr>
              <w:pStyle w:val="TableContents"/>
              <w:widowControl w:val="false"/>
              <w:suppressLineNumbers/>
              <w:spacing w:before="0" w:after="200"/>
              <w:rPr/>
            </w:pPr>
            <w:r>
              <w:rPr>
                <w:rStyle w:val="Strong"/>
              </w:rPr>
              <w:t>Amartya Sen</w:t>
            </w:r>
          </w:p>
        </w:tc>
        <w:tc>
          <w:tcPr>
            <w:tcW w:w="720" w:type="dxa"/>
            <w:tcBorders/>
            <w:vAlign w:val="center"/>
          </w:tcPr>
          <w:p>
            <w:pPr>
              <w:pStyle w:val="TableContents"/>
              <w:spacing w:before="0" w:after="200"/>
              <w:jc w:val="right"/>
              <w:rPr/>
            </w:pPr>
            <w:r>
              <w:rPr>
                <w:rStyle w:val="Strong"/>
              </w:rPr>
              <w:t>1933–</w:t>
            </w:r>
          </w:p>
        </w:tc>
        <w:tc>
          <w:tcPr>
            <w:tcW w:w="2543" w:type="dxa"/>
            <w:tcBorders/>
            <w:vAlign w:val="center"/>
          </w:tcPr>
          <w:p>
            <w:pPr>
              <w:pStyle w:val="TableContents"/>
              <w:widowControl w:val="false"/>
              <w:suppressLineNumbers/>
              <w:spacing w:before="0" w:after="200"/>
              <w:rPr/>
            </w:pPr>
            <w:r>
              <w:rPr/>
              <w:t>Harvard University; formerly Trinity College, Cambridge, London School of Economics, University of Oxford, and Delhi School of Economics</w:t>
            </w:r>
          </w:p>
        </w:tc>
        <w:tc>
          <w:tcPr>
            <w:tcW w:w="4043" w:type="dxa"/>
            <w:tcBorders/>
            <w:vAlign w:val="center"/>
          </w:tcPr>
          <w:p>
            <w:pPr>
              <w:pStyle w:val="TableContents"/>
              <w:widowControl w:val="false"/>
              <w:suppressLineNumbers/>
              <w:spacing w:before="0" w:after="200"/>
              <w:rPr/>
            </w:pPr>
            <w:r>
              <w:rPr/>
              <w:t>Founded the modern Capability Approach. Distinguished capabilities from functionings, emphasized substantive freedom, agency, human diversity, public reasoning, and the need to evaluate what people are actually able to do and be.</w:t>
            </w:r>
          </w:p>
        </w:tc>
      </w:tr>
      <w:tr>
        <w:trPr/>
        <w:tc>
          <w:tcPr>
            <w:tcW w:w="1334" w:type="dxa"/>
            <w:tcBorders/>
            <w:vAlign w:val="center"/>
          </w:tcPr>
          <w:p>
            <w:pPr>
              <w:pStyle w:val="TableContents"/>
              <w:widowControl w:val="false"/>
              <w:suppressLineNumbers/>
              <w:spacing w:before="0" w:after="200"/>
              <w:rPr/>
            </w:pPr>
            <w:r>
              <w:rPr>
                <w:rStyle w:val="Strong"/>
              </w:rPr>
              <w:t>Martha C. Nussbaum</w:t>
            </w:r>
          </w:p>
        </w:tc>
        <w:tc>
          <w:tcPr>
            <w:tcW w:w="720" w:type="dxa"/>
            <w:tcBorders/>
            <w:vAlign w:val="center"/>
          </w:tcPr>
          <w:p>
            <w:pPr>
              <w:pStyle w:val="TableContents"/>
              <w:spacing w:before="0" w:after="200"/>
              <w:jc w:val="right"/>
              <w:rPr/>
            </w:pPr>
            <w:r>
              <w:rPr>
                <w:rStyle w:val="Strong"/>
              </w:rPr>
              <w:t>1947–</w:t>
            </w:r>
          </w:p>
        </w:tc>
        <w:tc>
          <w:tcPr>
            <w:tcW w:w="2543" w:type="dxa"/>
            <w:tcBorders/>
            <w:vAlign w:val="center"/>
          </w:tcPr>
          <w:p>
            <w:pPr>
              <w:pStyle w:val="TableContents"/>
              <w:widowControl w:val="false"/>
              <w:suppressLineNumbers/>
              <w:spacing w:before="0" w:after="200"/>
              <w:rPr/>
            </w:pPr>
            <w:r>
              <w:rPr/>
              <w:t>University of Chicago; formerly Brown University and Harvard University</w:t>
            </w:r>
          </w:p>
        </w:tc>
        <w:tc>
          <w:tcPr>
            <w:tcW w:w="4043" w:type="dxa"/>
            <w:tcBorders/>
            <w:vAlign w:val="center"/>
          </w:tcPr>
          <w:p>
            <w:pPr>
              <w:pStyle w:val="TableContents"/>
              <w:widowControl w:val="false"/>
              <w:suppressLineNumbers/>
              <w:spacing w:before="0" w:after="200"/>
              <w:rPr/>
            </w:pPr>
            <w:r>
              <w:rPr/>
              <w:t>Developed a dignity-based capabilities theory and a list of ten Central Capabilities that political institutions should secure above a threshold for each person. Extended the approach to disability, gender justice, animals, education, and global justice.</w:t>
            </w:r>
          </w:p>
        </w:tc>
      </w:tr>
      <w:tr>
        <w:trPr/>
        <w:tc>
          <w:tcPr>
            <w:tcW w:w="1334" w:type="dxa"/>
            <w:tcBorders/>
            <w:vAlign w:val="center"/>
          </w:tcPr>
          <w:p>
            <w:pPr>
              <w:pStyle w:val="TableContents"/>
              <w:widowControl w:val="false"/>
              <w:suppressLineNumbers/>
              <w:spacing w:before="0" w:after="200"/>
              <w:rPr/>
            </w:pPr>
            <w:r>
              <w:rPr>
                <w:rStyle w:val="Strong"/>
              </w:rPr>
              <w:t>Mahbub ul Haq</w:t>
            </w:r>
          </w:p>
        </w:tc>
        <w:tc>
          <w:tcPr>
            <w:tcW w:w="720" w:type="dxa"/>
            <w:tcBorders/>
            <w:vAlign w:val="center"/>
          </w:tcPr>
          <w:p>
            <w:pPr>
              <w:pStyle w:val="TableContents"/>
              <w:spacing w:before="0" w:after="200"/>
              <w:jc w:val="right"/>
              <w:rPr/>
            </w:pPr>
            <w:r>
              <w:rPr>
                <w:rStyle w:val="Strong"/>
              </w:rPr>
              <w:t>1934–1998</w:t>
            </w:r>
          </w:p>
        </w:tc>
        <w:tc>
          <w:tcPr>
            <w:tcW w:w="2543" w:type="dxa"/>
            <w:tcBorders/>
            <w:vAlign w:val="center"/>
          </w:tcPr>
          <w:p>
            <w:pPr>
              <w:pStyle w:val="TableContents"/>
              <w:widowControl w:val="false"/>
              <w:suppressLineNumbers/>
              <w:spacing w:before="0" w:after="200"/>
              <w:rPr/>
            </w:pPr>
            <w:r>
              <w:rPr/>
              <w:t>United Nations Development Programme; World Bank; Government of Pakistan; Human Development Centre</w:t>
            </w:r>
          </w:p>
        </w:tc>
        <w:tc>
          <w:tcPr>
            <w:tcW w:w="4043" w:type="dxa"/>
            <w:tcBorders/>
            <w:vAlign w:val="center"/>
          </w:tcPr>
          <w:p>
            <w:pPr>
              <w:pStyle w:val="TableContents"/>
              <w:widowControl w:val="false"/>
              <w:suppressLineNumbers/>
              <w:spacing w:before="0" w:after="200"/>
              <w:rPr/>
            </w:pPr>
            <w:r>
              <w:rPr/>
              <w:t>Translated capability-oriented human development into public policy and led the creation of the Human Development Reports and Human Development Index as alternatives to development assessment based primarily on income or GDP.</w:t>
            </w:r>
          </w:p>
        </w:tc>
      </w:tr>
      <w:tr>
        <w:trPr/>
        <w:tc>
          <w:tcPr>
            <w:tcW w:w="1334" w:type="dxa"/>
            <w:tcBorders/>
            <w:vAlign w:val="center"/>
          </w:tcPr>
          <w:p>
            <w:pPr>
              <w:pStyle w:val="TableContents"/>
              <w:widowControl w:val="false"/>
              <w:suppressLineNumbers/>
              <w:spacing w:before="0" w:after="200"/>
              <w:rPr/>
            </w:pPr>
            <w:r>
              <w:rPr>
                <w:rStyle w:val="Strong"/>
              </w:rPr>
              <w:t>Ingrid Robeyns</w:t>
            </w:r>
          </w:p>
        </w:tc>
        <w:tc>
          <w:tcPr>
            <w:tcW w:w="720" w:type="dxa"/>
            <w:tcBorders/>
            <w:vAlign w:val="center"/>
          </w:tcPr>
          <w:p>
            <w:pPr>
              <w:pStyle w:val="TableContents"/>
              <w:spacing w:before="0" w:after="200"/>
              <w:jc w:val="right"/>
              <w:rPr/>
            </w:pPr>
            <w:r>
              <w:rPr>
                <w:rStyle w:val="Strong"/>
              </w:rPr>
              <w:t>1972–</w:t>
            </w:r>
          </w:p>
        </w:tc>
        <w:tc>
          <w:tcPr>
            <w:tcW w:w="2543" w:type="dxa"/>
            <w:tcBorders/>
            <w:vAlign w:val="center"/>
          </w:tcPr>
          <w:p>
            <w:pPr>
              <w:pStyle w:val="TableContents"/>
              <w:widowControl w:val="false"/>
              <w:suppressLineNumbers/>
              <w:spacing w:before="0" w:after="200"/>
              <w:rPr/>
            </w:pPr>
            <w:r>
              <w:rPr/>
              <w:t>Utrecht University; formerly Erasmus University Rotterdam</w:t>
            </w:r>
          </w:p>
        </w:tc>
        <w:tc>
          <w:tcPr>
            <w:tcW w:w="4043" w:type="dxa"/>
            <w:tcBorders/>
            <w:vAlign w:val="center"/>
          </w:tcPr>
          <w:p>
            <w:pPr>
              <w:pStyle w:val="TableContents"/>
              <w:widowControl w:val="false"/>
              <w:suppressLineNumbers/>
              <w:spacing w:before="0" w:after="200"/>
              <w:rPr/>
            </w:pPr>
            <w:r>
              <w:rPr/>
              <w:t>Systematized the Capability Approach as a flexible, modular normative framework. Developed capability-based analysis of gender, inequality, institutions, justice, and the selection of relevant capabilities.</w:t>
            </w:r>
          </w:p>
        </w:tc>
      </w:tr>
      <w:tr>
        <w:trPr/>
        <w:tc>
          <w:tcPr>
            <w:tcW w:w="1334" w:type="dxa"/>
            <w:tcBorders/>
            <w:vAlign w:val="center"/>
          </w:tcPr>
          <w:p>
            <w:pPr>
              <w:pStyle w:val="TableContents"/>
              <w:widowControl w:val="false"/>
              <w:suppressLineNumbers/>
              <w:spacing w:before="0" w:after="200"/>
              <w:rPr/>
            </w:pPr>
            <w:r>
              <w:rPr>
                <w:rStyle w:val="Strong"/>
              </w:rPr>
              <w:t>Sabina Alkire</w:t>
            </w:r>
          </w:p>
        </w:tc>
        <w:tc>
          <w:tcPr>
            <w:tcW w:w="720" w:type="dxa"/>
            <w:tcBorders/>
            <w:vAlign w:val="center"/>
          </w:tcPr>
          <w:p>
            <w:pPr>
              <w:pStyle w:val="TableContents"/>
              <w:spacing w:before="0" w:after="200"/>
              <w:jc w:val="right"/>
              <w:rPr/>
            </w:pPr>
            <w:r>
              <w:rPr>
                <w:rStyle w:val="Strong"/>
              </w:rPr>
              <w:t>1969–</w:t>
            </w:r>
          </w:p>
        </w:tc>
        <w:tc>
          <w:tcPr>
            <w:tcW w:w="2543" w:type="dxa"/>
            <w:tcBorders/>
            <w:vAlign w:val="center"/>
          </w:tcPr>
          <w:p>
            <w:pPr>
              <w:pStyle w:val="TableContents"/>
              <w:widowControl w:val="false"/>
              <w:suppressLineNumbers/>
              <w:spacing w:before="0" w:after="200"/>
              <w:rPr/>
            </w:pPr>
            <w:r>
              <w:rPr/>
              <w:t>Oxford Poverty and Human Development Initiative, University of Oxford</w:t>
            </w:r>
          </w:p>
        </w:tc>
        <w:tc>
          <w:tcPr>
            <w:tcW w:w="4043" w:type="dxa"/>
            <w:tcBorders/>
            <w:vAlign w:val="center"/>
          </w:tcPr>
          <w:p>
            <w:pPr>
              <w:pStyle w:val="TableContents"/>
              <w:widowControl w:val="false"/>
              <w:suppressLineNumbers/>
              <w:spacing w:before="0" w:after="200"/>
              <w:rPr/>
            </w:pPr>
            <w:r>
              <w:rPr/>
              <w:t>Developed methods for selecting, evaluating, and measuring capabilities and multidimensional poverty. Co-developed the Alkire–Foster method.</w:t>
            </w:r>
          </w:p>
        </w:tc>
      </w:tr>
      <w:tr>
        <w:trPr/>
        <w:tc>
          <w:tcPr>
            <w:tcW w:w="1334" w:type="dxa"/>
            <w:tcBorders/>
            <w:vAlign w:val="center"/>
          </w:tcPr>
          <w:p>
            <w:pPr>
              <w:pStyle w:val="TableContents"/>
              <w:widowControl w:val="false"/>
              <w:suppressLineNumbers/>
              <w:spacing w:before="0" w:after="200"/>
              <w:rPr/>
            </w:pPr>
            <w:r>
              <w:rPr>
                <w:rStyle w:val="Strong"/>
              </w:rPr>
              <w:t>James E. Foster</w:t>
            </w:r>
          </w:p>
        </w:tc>
        <w:tc>
          <w:tcPr>
            <w:tcW w:w="720" w:type="dxa"/>
            <w:tcBorders/>
            <w:vAlign w:val="center"/>
          </w:tcPr>
          <w:p>
            <w:pPr>
              <w:pStyle w:val="TableContents"/>
              <w:spacing w:before="0" w:after="200"/>
              <w:jc w:val="right"/>
              <w:rPr/>
            </w:pPr>
            <w:r>
              <w:rPr>
                <w:rStyle w:val="Strong"/>
              </w:rPr>
              <w:t>1955–</w:t>
            </w:r>
          </w:p>
        </w:tc>
        <w:tc>
          <w:tcPr>
            <w:tcW w:w="2543" w:type="dxa"/>
            <w:tcBorders/>
            <w:vAlign w:val="center"/>
          </w:tcPr>
          <w:p>
            <w:pPr>
              <w:pStyle w:val="TableContents"/>
              <w:widowControl w:val="false"/>
              <w:suppressLineNumbers/>
              <w:spacing w:before="0" w:after="200"/>
              <w:rPr/>
            </w:pPr>
            <w:r>
              <w:rPr/>
              <w:t>George Washington University; Oxford Poverty and Human Development Initiative</w:t>
            </w:r>
          </w:p>
        </w:tc>
        <w:tc>
          <w:tcPr>
            <w:tcW w:w="4043" w:type="dxa"/>
            <w:tcBorders/>
            <w:vAlign w:val="center"/>
          </w:tcPr>
          <w:p>
            <w:pPr>
              <w:pStyle w:val="TableContents"/>
              <w:widowControl w:val="false"/>
              <w:suppressLineNumbers/>
              <w:spacing w:before="0" w:after="200"/>
              <w:rPr/>
            </w:pPr>
            <w:r>
              <w:rPr/>
              <w:t>Co-developed influential multidimensional poverty measures, including the Alkire–Foster method, allowing deprivation to be assessed across several dimensions and disaggregated by population group.</w:t>
            </w:r>
          </w:p>
        </w:tc>
      </w:tr>
    </w:tbl>
    <w:p>
      <w:pPr>
        <w:pStyle w:val="BodyText"/>
        <w:spacing w:before="0" w:after="200"/>
        <w:rPr/>
      </w:pPr>
      <w:r>
        <w:rPr/>
        <w:t xml:space="preserve">Sen is the Thomas W. Lamont University Professor of Economics and Philosophy at Harvard, according to his </w:t>
      </w:r>
      <w:hyperlink r:id="rId103">
        <w:r>
          <w:rPr>
            <w:rStyle w:val="Hyperlink"/>
          </w:rPr>
          <w:t>Harvard biographical profile</w:t>
        </w:r>
      </w:hyperlink>
      <w:r>
        <w:rPr/>
        <w:t xml:space="preserve">. Nussbaum is the Ernst Freund Distinguished Service Professor of Law and Ethics at the University of Chicago, with appointments in philosophy and law, as documented by the </w:t>
      </w:r>
      <w:hyperlink r:id="rId104">
        <w:r>
          <w:rPr>
            <w:rStyle w:val="Hyperlink"/>
          </w:rPr>
          <w:t>University of Chicago</w:t>
        </w:r>
      </w:hyperlink>
      <w:r>
        <w:rPr/>
        <w:t xml:space="preserve">. Robeyns holds the Chair in Ethics of Institutions at </w:t>
      </w:r>
      <w:hyperlink r:id="rId105">
        <w:r>
          <w:rPr>
            <w:rStyle w:val="Hyperlink"/>
          </w:rPr>
          <w:t>Utrecht University</w:t>
        </w:r>
      </w:hyperlink>
      <w:r>
        <w:rPr/>
        <w:t xml:space="preserve">. Alkire directs OPHI at Oxford, as recorded by </w:t>
      </w:r>
      <w:hyperlink r:id="rId106">
        <w:r>
          <w:rPr>
            <w:rStyle w:val="Hyperlink"/>
          </w:rPr>
          <w:t>OPHI</w:t>
        </w:r>
      </w:hyperlink>
      <w:r>
        <w:rPr/>
        <w:t xml:space="preserve">, while Foster is a professor at </w:t>
      </w:r>
      <w:hyperlink r:id="rId107">
        <w:r>
          <w:rPr>
            <w:rStyle w:val="Hyperlink"/>
          </w:rPr>
          <w:t>George Washington University</w:t>
        </w:r>
      </w:hyperlink>
      <w:r>
        <w:rPr/>
        <w:t xml:space="preserve"> and an OPHI research associate. The UNDP describes its human development approach as developed by Mahbub ul Haq and anchored in Sen’s work on capabilities in its </w:t>
      </w:r>
      <w:hyperlink r:id="rId108">
        <w:r>
          <w:rPr>
            <w:rStyle w:val="Hyperlink"/>
          </w:rPr>
          <w:t>overview of human development</w:t>
        </w:r>
      </w:hyperlink>
      <w:r>
        <w:rPr/>
        <w:t>.</w:t>
      </w:r>
    </w:p>
    <w:p>
      <w:pPr>
        <w:pStyle w:val="Heading3"/>
        <w:rPr/>
      </w:pPr>
      <w:r>
        <w:rPr/>
        <w:t>Core assumptions</w:t>
      </w:r>
    </w:p>
    <w:p>
      <w:pPr>
        <w:pStyle w:val="BodyText"/>
        <w:numPr>
          <w:ilvl w:val="0"/>
          <w:numId w:val="141"/>
        </w:numPr>
        <w:tabs>
          <w:tab w:val="clear" w:pos="720"/>
          <w:tab w:val="left" w:pos="0" w:leader="none"/>
        </w:tabs>
        <w:spacing w:before="0" w:after="200"/>
        <w:ind w:hanging="283" w:left="709"/>
        <w:rPr/>
      </w:pPr>
      <w:r>
        <w:rPr>
          <w:rStyle w:val="Strong"/>
        </w:rPr>
        <w:t>The primary evaluative space is capabilities and functionings.</w:t>
      </w:r>
      <w:r>
        <w:rPr/>
        <w:br/>
        <w:t>Ethical evaluation should focus on the valuable things an entity is genuinely able to do or be and, when relevant, the valuable states or activities it actually achieves.</w:t>
      </w:r>
    </w:p>
    <w:p>
      <w:pPr>
        <w:pStyle w:val="BodyText"/>
        <w:numPr>
          <w:ilvl w:val="0"/>
          <w:numId w:val="141"/>
        </w:numPr>
        <w:tabs>
          <w:tab w:val="clear" w:pos="720"/>
          <w:tab w:val="left" w:pos="0" w:leader="none"/>
        </w:tabs>
        <w:spacing w:before="0" w:after="200"/>
        <w:ind w:hanging="283" w:left="709"/>
        <w:rPr/>
      </w:pPr>
      <w:r>
        <w:rPr>
          <w:rStyle w:val="Strong"/>
        </w:rPr>
        <w:t>Functionings are achieved “beings and doings.”</w:t>
      </w:r>
      <w:r>
        <w:rPr/>
        <w:br/>
        <w:t>Examples include being nourished, being healthy, being safe, being educated, caring for others, participating in political life, maintaining self-respect, and engaging in meaningful work or relationships.</w:t>
      </w:r>
    </w:p>
    <w:p>
      <w:pPr>
        <w:pStyle w:val="BodyText"/>
        <w:numPr>
          <w:ilvl w:val="0"/>
          <w:numId w:val="141"/>
        </w:numPr>
        <w:tabs>
          <w:tab w:val="clear" w:pos="720"/>
          <w:tab w:val="left" w:pos="0" w:leader="none"/>
        </w:tabs>
        <w:spacing w:before="0" w:after="200"/>
        <w:ind w:hanging="283" w:left="709"/>
        <w:rPr/>
      </w:pPr>
      <w:r>
        <w:rPr>
          <w:rStyle w:val="Strong"/>
        </w:rPr>
        <w:t>Capabilities are real opportunities to achieve functionings.</w:t>
      </w:r>
      <w:r>
        <w:rPr/>
        <w:br/>
        <w:t>A capability is not merely a legal permission or theoretical possibility. It must be realistically available given the person’s characteristics and circumstances.</w:t>
      </w:r>
    </w:p>
    <w:p>
      <w:pPr>
        <w:pStyle w:val="BodyText"/>
        <w:numPr>
          <w:ilvl w:val="0"/>
          <w:numId w:val="141"/>
        </w:numPr>
        <w:tabs>
          <w:tab w:val="clear" w:pos="720"/>
          <w:tab w:val="left" w:pos="0" w:leader="none"/>
        </w:tabs>
        <w:spacing w:before="0" w:after="200"/>
        <w:ind w:hanging="283" w:left="709"/>
        <w:rPr/>
      </w:pPr>
      <w:r>
        <w:rPr>
          <w:rStyle w:val="Strong"/>
        </w:rPr>
        <w:t>A capability set contains the valuable alternatives open to a person.</w:t>
      </w:r>
      <w:r>
        <w:rPr/>
        <w:br/>
        <w:t>Two people may achieve the same functioning while possessing different capability sets. One may have chosen that functioning from several meaningful alternatives, while the other may have had no acceptable alternative.</w:t>
      </w:r>
    </w:p>
    <w:p>
      <w:pPr>
        <w:pStyle w:val="BodyText"/>
        <w:numPr>
          <w:ilvl w:val="0"/>
          <w:numId w:val="141"/>
        </w:numPr>
        <w:tabs>
          <w:tab w:val="clear" w:pos="720"/>
          <w:tab w:val="left" w:pos="0" w:leader="none"/>
        </w:tabs>
        <w:spacing w:before="0" w:after="200"/>
        <w:ind w:hanging="283" w:left="709"/>
        <w:rPr/>
      </w:pPr>
      <w:r>
        <w:rPr>
          <w:rStyle w:val="Strong"/>
        </w:rPr>
        <w:t>Freedom has intrinsic value.</w:t>
      </w:r>
      <w:r>
        <w:rPr/>
        <w:br/>
        <w:t>Having a meaningful choice can matter independently of the selected outcome. A person who fasts and a person who is involuntarily hungry may exhibit the same observable functioning but possess radically different capabilities.</w:t>
      </w:r>
    </w:p>
    <w:p>
      <w:pPr>
        <w:pStyle w:val="BodyText"/>
        <w:numPr>
          <w:ilvl w:val="0"/>
          <w:numId w:val="141"/>
        </w:numPr>
        <w:tabs>
          <w:tab w:val="clear" w:pos="720"/>
          <w:tab w:val="left" w:pos="0" w:leader="none"/>
        </w:tabs>
        <w:spacing w:before="0" w:after="200"/>
        <w:ind w:hanging="283" w:left="709"/>
        <w:rPr/>
      </w:pPr>
      <w:r>
        <w:rPr>
          <w:rStyle w:val="Strong"/>
        </w:rPr>
        <w:t>Agency and well-being are related but distinct.</w:t>
      </w:r>
      <w:r>
        <w:rPr/>
        <w:br/>
        <w:t>Well-being concerns the quality of a person’s life. Agency concerns the person’s ability to pursue goals they have reason to value, including goals that do not maximize their personal welfare.</w:t>
      </w:r>
    </w:p>
    <w:p>
      <w:pPr>
        <w:pStyle w:val="BodyText"/>
        <w:numPr>
          <w:ilvl w:val="0"/>
          <w:numId w:val="141"/>
        </w:numPr>
        <w:tabs>
          <w:tab w:val="clear" w:pos="720"/>
          <w:tab w:val="left" w:pos="0" w:leader="none"/>
        </w:tabs>
        <w:spacing w:before="0" w:after="200"/>
        <w:ind w:hanging="283" w:left="709"/>
        <w:rPr/>
      </w:pPr>
      <w:r>
        <w:rPr>
          <w:rStyle w:val="Strong"/>
        </w:rPr>
        <w:t>Resources are means, not final measures of advantage.</w:t>
      </w:r>
      <w:r>
        <w:rPr/>
        <w:br/>
        <w:t>Income, commodities, services, technology, and legal rights matter because they may support valuable capabilities. Their ethical value depends partly on whether people can convert them into real opportunities.</w:t>
      </w:r>
    </w:p>
    <w:p>
      <w:pPr>
        <w:pStyle w:val="BodyText"/>
        <w:numPr>
          <w:ilvl w:val="0"/>
          <w:numId w:val="141"/>
        </w:numPr>
        <w:tabs>
          <w:tab w:val="clear" w:pos="720"/>
          <w:tab w:val="left" w:pos="0" w:leader="none"/>
        </w:tabs>
        <w:spacing w:before="0" w:after="200"/>
        <w:ind w:hanging="283" w:left="709"/>
        <w:rPr/>
      </w:pPr>
      <w:r>
        <w:rPr>
          <w:rStyle w:val="Strong"/>
        </w:rPr>
        <w:t>People differ in their ability to convert resources into capabilities.</w:t>
      </w:r>
      <w:r>
        <w:rPr/>
        <w:br/>
        <w:t>Equal resources do not necessarily create equal freedom. Personal, social, and environmental conditions affect what a person can achieve with a given resource.</w:t>
      </w:r>
    </w:p>
    <w:p>
      <w:pPr>
        <w:pStyle w:val="BodyText"/>
        <w:numPr>
          <w:ilvl w:val="0"/>
          <w:numId w:val="141"/>
        </w:numPr>
        <w:tabs>
          <w:tab w:val="clear" w:pos="720"/>
          <w:tab w:val="left" w:pos="0" w:leader="none"/>
        </w:tabs>
        <w:spacing w:before="0" w:after="200"/>
        <w:ind w:hanging="283" w:left="709"/>
        <w:rPr/>
      </w:pPr>
      <w:r>
        <w:rPr>
          <w:rStyle w:val="Strong"/>
        </w:rPr>
        <w:t>Personal conversion factors matter.</w:t>
      </w:r>
      <w:r>
        <w:rPr/>
        <w:br/>
        <w:t>Age, physical condition, disability, knowledge, skills, metabolism, health, sex, and other personal characteristics can affect resource use.</w:t>
      </w:r>
    </w:p>
    <w:p>
      <w:pPr>
        <w:pStyle w:val="BodyText"/>
        <w:numPr>
          <w:ilvl w:val="0"/>
          <w:numId w:val="141"/>
        </w:numPr>
        <w:tabs>
          <w:tab w:val="clear" w:pos="720"/>
          <w:tab w:val="left" w:pos="0" w:leader="none"/>
        </w:tabs>
        <w:spacing w:before="0" w:after="200"/>
        <w:ind w:hanging="283" w:left="709"/>
        <w:rPr/>
      </w:pPr>
      <w:r>
        <w:rPr>
          <w:rStyle w:val="Strong"/>
        </w:rPr>
        <w:t>Social conversion factors matter.</w:t>
      </w:r>
      <w:r>
        <w:rPr/>
        <w:br/>
        <w:t>Institutions, discrimination, gender expectations, caste, class, law, public policy, family structure, social norms, power, and access to networks can enable or restrict capabilities.</w:t>
      </w:r>
    </w:p>
    <w:p>
      <w:pPr>
        <w:pStyle w:val="BodyText"/>
        <w:numPr>
          <w:ilvl w:val="0"/>
          <w:numId w:val="141"/>
        </w:numPr>
        <w:tabs>
          <w:tab w:val="clear" w:pos="720"/>
          <w:tab w:val="left" w:pos="0" w:leader="none"/>
        </w:tabs>
        <w:spacing w:before="0" w:after="200"/>
        <w:ind w:hanging="283" w:left="709"/>
        <w:rPr/>
      </w:pPr>
      <w:r>
        <w:rPr>
          <w:rStyle w:val="Strong"/>
        </w:rPr>
        <w:t>Environmental conversion factors matter.</w:t>
      </w:r>
      <w:r>
        <w:rPr/>
        <w:br/>
        <w:t xml:space="preserve">Climate, geography, pollution, infrastructure, transportation, housing, communications, and exposure to hazards affect the conversion of resources into functionings. These categories are explained in the </w:t>
      </w:r>
      <w:hyperlink r:id="rId109">
        <w:r>
          <w:rPr>
            <w:rStyle w:val="Hyperlink"/>
          </w:rPr>
          <w:t>SEP account of conversion factors</w:t>
        </w:r>
      </w:hyperlink>
      <w:r>
        <w:rPr/>
        <w:t>.</w:t>
      </w:r>
    </w:p>
    <w:p>
      <w:pPr>
        <w:pStyle w:val="BodyText"/>
        <w:numPr>
          <w:ilvl w:val="0"/>
          <w:numId w:val="141"/>
        </w:numPr>
        <w:tabs>
          <w:tab w:val="clear" w:pos="720"/>
          <w:tab w:val="left" w:pos="0" w:leader="none"/>
        </w:tabs>
        <w:spacing w:before="0" w:after="200"/>
        <w:ind w:hanging="283" w:left="709"/>
        <w:rPr/>
      </w:pPr>
      <w:r>
        <w:rPr>
          <w:rStyle w:val="Strong"/>
        </w:rPr>
        <w:t>Formal freedom is not sufficient.</w:t>
      </w:r>
      <w:r>
        <w:rPr/>
        <w:br/>
        <w:t>A person may formally possess freedom of movement but lack safe transportation, accessible infrastructure, legal documentation, financial resources, or protection against violence.</w:t>
      </w:r>
    </w:p>
    <w:p>
      <w:pPr>
        <w:pStyle w:val="BodyText"/>
        <w:numPr>
          <w:ilvl w:val="0"/>
          <w:numId w:val="141"/>
        </w:numPr>
        <w:tabs>
          <w:tab w:val="clear" w:pos="720"/>
          <w:tab w:val="left" w:pos="0" w:leader="none"/>
        </w:tabs>
        <w:spacing w:before="0" w:after="200"/>
        <w:ind w:hanging="283" w:left="709"/>
        <w:rPr/>
      </w:pPr>
      <w:r>
        <w:rPr>
          <w:rStyle w:val="Strong"/>
        </w:rPr>
        <w:t>Preference satisfaction may conceal deprivation.</w:t>
      </w:r>
      <w:r>
        <w:rPr/>
        <w:br/>
        <w:t>People who experience persistent injustice may reduce their expectations or adapt their preferences to what appears possible. Reported satisfaction therefore cannot be treated as conclusive evidence of flourishing.</w:t>
      </w:r>
    </w:p>
    <w:p>
      <w:pPr>
        <w:pStyle w:val="BodyText"/>
        <w:numPr>
          <w:ilvl w:val="0"/>
          <w:numId w:val="141"/>
        </w:numPr>
        <w:tabs>
          <w:tab w:val="clear" w:pos="720"/>
          <w:tab w:val="left" w:pos="0" w:leader="none"/>
        </w:tabs>
        <w:spacing w:before="0" w:after="200"/>
        <w:ind w:hanging="283" w:left="709"/>
        <w:rPr/>
      </w:pPr>
      <w:r>
        <w:rPr>
          <w:rStyle w:val="Strong"/>
        </w:rPr>
        <w:t>Human diversity is ethically central.</w:t>
      </w:r>
      <w:r>
        <w:rPr/>
        <w:br/>
        <w:t>Differences among people should not be treated merely as statistical noise. They affect needs, opportunities, burdens, and the resources required to reach comparable capability levels.</w:t>
      </w:r>
    </w:p>
    <w:p>
      <w:pPr>
        <w:pStyle w:val="BodyText"/>
        <w:numPr>
          <w:ilvl w:val="0"/>
          <w:numId w:val="141"/>
        </w:numPr>
        <w:tabs>
          <w:tab w:val="clear" w:pos="720"/>
          <w:tab w:val="left" w:pos="0" w:leader="none"/>
        </w:tabs>
        <w:spacing w:before="0" w:after="200"/>
        <w:ind w:hanging="283" w:left="709"/>
        <w:rPr/>
      </w:pPr>
      <w:r>
        <w:rPr>
          <w:rStyle w:val="Strong"/>
        </w:rPr>
        <w:t>Well-being is multidimensional.</w:t>
      </w:r>
      <w:r>
        <w:rPr/>
        <w:br/>
        <w:t>Health, education, bodily integrity, affiliation, political participation, practical reason, emotional development, recreation, environmental relationship, and material security cannot be adequately reduced to income or subjective utility.</w:t>
      </w:r>
    </w:p>
    <w:p>
      <w:pPr>
        <w:pStyle w:val="BodyText"/>
        <w:numPr>
          <w:ilvl w:val="0"/>
          <w:numId w:val="141"/>
        </w:numPr>
        <w:tabs>
          <w:tab w:val="clear" w:pos="720"/>
          <w:tab w:val="left" w:pos="0" w:leader="none"/>
        </w:tabs>
        <w:spacing w:before="0" w:after="200"/>
        <w:ind w:hanging="283" w:left="709"/>
        <w:rPr/>
      </w:pPr>
      <w:r>
        <w:rPr>
          <w:rStyle w:val="Strong"/>
        </w:rPr>
        <w:t>Some capabilities may resist full substitution.</w:t>
      </w:r>
      <w:r>
        <w:rPr/>
        <w:br/>
        <w:t>Severe deprivation in bodily integrity or political freedom may not be ethically compensated by additional income, entertainment, or another unrelated benefit.</w:t>
      </w:r>
    </w:p>
    <w:p>
      <w:pPr>
        <w:pStyle w:val="BodyText"/>
        <w:numPr>
          <w:ilvl w:val="0"/>
          <w:numId w:val="141"/>
        </w:numPr>
        <w:tabs>
          <w:tab w:val="clear" w:pos="720"/>
          <w:tab w:val="left" w:pos="0" w:leader="none"/>
        </w:tabs>
        <w:spacing w:before="0" w:after="200"/>
        <w:ind w:hanging="283" w:left="709"/>
        <w:rPr/>
      </w:pPr>
      <w:r>
        <w:rPr>
          <w:rStyle w:val="Strong"/>
        </w:rPr>
        <w:t>Distribution matters.</w:t>
      </w:r>
      <w:r>
        <w:rPr/>
        <w:br/>
        <w:t>High average capability can coexist with severe deprivation among particular individuals or groups. Evaluation should therefore be disaggregated.</w:t>
      </w:r>
    </w:p>
    <w:p>
      <w:pPr>
        <w:pStyle w:val="BodyText"/>
        <w:numPr>
          <w:ilvl w:val="0"/>
          <w:numId w:val="141"/>
        </w:numPr>
        <w:tabs>
          <w:tab w:val="clear" w:pos="720"/>
          <w:tab w:val="left" w:pos="0" w:leader="none"/>
        </w:tabs>
        <w:spacing w:before="0" w:after="200"/>
        <w:ind w:hanging="283" w:left="709"/>
        <w:rPr/>
      </w:pPr>
      <w:r>
        <w:rPr>
          <w:rStyle w:val="Strong"/>
        </w:rPr>
        <w:t>Each person should be considered as an end.</w:t>
      </w:r>
      <w:r>
        <w:rPr/>
        <w:br/>
        <w:t>Nussbaum’s version places particular emphasis on securing capabilities for each person rather than treating the family, institution, or population average as the exclusive unit of evaluation.</w:t>
      </w:r>
    </w:p>
    <w:p>
      <w:pPr>
        <w:pStyle w:val="BodyText"/>
        <w:numPr>
          <w:ilvl w:val="0"/>
          <w:numId w:val="141"/>
        </w:numPr>
        <w:tabs>
          <w:tab w:val="clear" w:pos="720"/>
          <w:tab w:val="left" w:pos="0" w:leader="none"/>
        </w:tabs>
        <w:spacing w:before="0" w:after="200"/>
        <w:ind w:hanging="283" w:left="709"/>
        <w:rPr/>
      </w:pPr>
      <w:r>
        <w:rPr>
          <w:rStyle w:val="Strong"/>
        </w:rPr>
        <w:t>Thresholds may matter more than maximization.</w:t>
      </w:r>
      <w:r>
        <w:rPr/>
        <w:br/>
        <w:t>Nussbaum argues that political institutions should secure at least a threshold level of central capabilities. Below such a threshold, a person may lack the minimum conditions of a life compatible with dignity.</w:t>
      </w:r>
    </w:p>
    <w:p>
      <w:pPr>
        <w:pStyle w:val="BodyText"/>
        <w:numPr>
          <w:ilvl w:val="0"/>
          <w:numId w:val="141"/>
        </w:numPr>
        <w:tabs>
          <w:tab w:val="clear" w:pos="720"/>
          <w:tab w:val="left" w:pos="0" w:leader="none"/>
        </w:tabs>
        <w:spacing w:before="0" w:after="200"/>
        <w:ind w:hanging="283" w:left="709"/>
        <w:rPr/>
      </w:pPr>
      <w:r>
        <w:rPr>
          <w:rStyle w:val="Strong"/>
        </w:rPr>
        <w:t>Capability selection requires justification.</w:t>
      </w:r>
      <w:r>
        <w:rPr/>
        <w:br/>
        <w:t>Sen generally resists prescribing one universally fixed list, emphasizing public reasoning and context. Nussbaum proposes a defined but revisable list of Central Capabilities.</w:t>
      </w:r>
    </w:p>
    <w:p>
      <w:pPr>
        <w:pStyle w:val="BodyText"/>
        <w:numPr>
          <w:ilvl w:val="0"/>
          <w:numId w:val="141"/>
        </w:numPr>
        <w:tabs>
          <w:tab w:val="clear" w:pos="720"/>
          <w:tab w:val="left" w:pos="0" w:leader="none"/>
        </w:tabs>
        <w:spacing w:before="0" w:after="200"/>
        <w:ind w:hanging="283" w:left="709"/>
        <w:rPr/>
      </w:pPr>
      <w:r>
        <w:rPr>
          <w:rStyle w:val="Strong"/>
        </w:rPr>
        <w:t>Public reasoning is part of ethical evaluation.</w:t>
      </w:r>
      <w:r>
        <w:rPr/>
        <w:br/>
        <w:t>Decisions about which capabilities matter, how they should be weighted, and what policies should support them should be open to public scrutiny and participation.</w:t>
      </w:r>
    </w:p>
    <w:p>
      <w:pPr>
        <w:pStyle w:val="BodyText"/>
        <w:numPr>
          <w:ilvl w:val="0"/>
          <w:numId w:val="141"/>
        </w:numPr>
        <w:tabs>
          <w:tab w:val="clear" w:pos="720"/>
          <w:tab w:val="left" w:pos="0" w:leader="none"/>
        </w:tabs>
        <w:spacing w:before="0" w:after="200"/>
        <w:ind w:hanging="283" w:left="709"/>
        <w:rPr/>
      </w:pPr>
      <w:r>
        <w:rPr>
          <w:rStyle w:val="Strong"/>
        </w:rPr>
        <w:t>Choice must be meaningful rather than nominal.</w:t>
      </w:r>
      <w:r>
        <w:rPr/>
        <w:br/>
        <w:t>An option is not a genuine capability when it is inaccessible, unsafe, socially prohibited, prohibitively costly, or available only through unacceptable sacrifice.</w:t>
      </w:r>
    </w:p>
    <w:p>
      <w:pPr>
        <w:pStyle w:val="BodyText"/>
        <w:numPr>
          <w:ilvl w:val="0"/>
          <w:numId w:val="141"/>
        </w:numPr>
        <w:tabs>
          <w:tab w:val="clear" w:pos="720"/>
          <w:tab w:val="left" w:pos="0" w:leader="none"/>
        </w:tabs>
        <w:spacing w:before="0" w:after="200"/>
        <w:ind w:hanging="283" w:left="709"/>
        <w:rPr/>
      </w:pPr>
      <w:r>
        <w:rPr>
          <w:rStyle w:val="Strong"/>
        </w:rPr>
        <w:t>Capabilities should generally be expanded without prescribing functionings.</w:t>
      </w:r>
      <w:r>
        <w:rPr/>
        <w:br/>
        <w:t>Ethical institutions should normally make valuable ways of living available while respecting a person’s decision not to exercise a particular capability.</w:t>
      </w:r>
    </w:p>
    <w:p>
      <w:pPr>
        <w:pStyle w:val="BodyText"/>
        <w:numPr>
          <w:ilvl w:val="0"/>
          <w:numId w:val="141"/>
        </w:numPr>
        <w:tabs>
          <w:tab w:val="clear" w:pos="720"/>
          <w:tab w:val="left" w:pos="0" w:leader="none"/>
        </w:tabs>
        <w:spacing w:before="0" w:after="200"/>
        <w:ind w:hanging="283" w:left="709"/>
        <w:rPr/>
      </w:pPr>
      <w:r>
        <w:rPr>
          <w:rStyle w:val="Strong"/>
        </w:rPr>
        <w:t>Functionings may sometimes require direct attention.</w:t>
      </w:r>
      <w:r>
        <w:rPr/>
        <w:br/>
        <w:t>Where meaningful choice is absent or undeveloped—as with young children, severe cognitive impairment, coercion, or immediate survival needs—achieved functionings may be ethically important in addition to capability.</w:t>
      </w:r>
    </w:p>
    <w:p>
      <w:pPr>
        <w:pStyle w:val="BodyText"/>
        <w:numPr>
          <w:ilvl w:val="0"/>
          <w:numId w:val="141"/>
        </w:numPr>
        <w:tabs>
          <w:tab w:val="clear" w:pos="720"/>
          <w:tab w:val="left" w:pos="0" w:leader="none"/>
        </w:tabs>
        <w:spacing w:before="0" w:after="200"/>
        <w:ind w:hanging="283" w:left="709"/>
        <w:rPr/>
      </w:pPr>
      <w:r>
        <w:rPr>
          <w:rStyle w:val="Strong"/>
        </w:rPr>
        <w:t>Structural conditions shape individual freedom.</w:t>
      </w:r>
      <w:r>
        <w:rPr/>
        <w:br/>
        <w:t>Although capability evaluation often focuses on individuals, capabilities are produced through families, communities, public services, markets, legal systems, technologies, and collective action.</w:t>
      </w:r>
    </w:p>
    <w:p>
      <w:pPr>
        <w:pStyle w:val="BodyText"/>
        <w:numPr>
          <w:ilvl w:val="0"/>
          <w:numId w:val="141"/>
        </w:numPr>
        <w:tabs>
          <w:tab w:val="clear" w:pos="720"/>
          <w:tab w:val="left" w:pos="0" w:leader="none"/>
        </w:tabs>
        <w:spacing w:before="0" w:after="200"/>
        <w:ind w:hanging="283" w:left="709"/>
        <w:rPr/>
      </w:pPr>
      <w:r>
        <w:rPr>
          <w:rStyle w:val="Strong"/>
        </w:rPr>
        <w:t>Some capabilities are relational or collective.</w:t>
      </w:r>
      <w:r>
        <w:rPr/>
        <w:br/>
        <w:t>Political participation, social affiliation, cultural membership, public safety, and environmental quality cannot be created by an individual acting alone.</w:t>
      </w:r>
    </w:p>
    <w:p>
      <w:pPr>
        <w:pStyle w:val="BodyText"/>
        <w:numPr>
          <w:ilvl w:val="0"/>
          <w:numId w:val="141"/>
        </w:numPr>
        <w:tabs>
          <w:tab w:val="clear" w:pos="720"/>
          <w:tab w:val="left" w:pos="0" w:leader="none"/>
        </w:tabs>
        <w:spacing w:before="0" w:after="200"/>
        <w:ind w:hanging="283" w:left="709"/>
        <w:rPr/>
      </w:pPr>
      <w:r>
        <w:rPr>
          <w:rStyle w:val="Strong"/>
        </w:rPr>
        <w:t>Capability security matters.</w:t>
      </w:r>
      <w:r>
        <w:rPr/>
        <w:br/>
        <w:t>A fragile opportunity that may disappear unpredictably is ethically different from a secure and sustainable capability.</w:t>
      </w:r>
    </w:p>
    <w:p>
      <w:pPr>
        <w:pStyle w:val="BodyText"/>
        <w:numPr>
          <w:ilvl w:val="0"/>
          <w:numId w:val="141"/>
        </w:numPr>
        <w:tabs>
          <w:tab w:val="clear" w:pos="720"/>
          <w:tab w:val="left" w:pos="0" w:leader="none"/>
        </w:tabs>
        <w:spacing w:before="0" w:after="200"/>
        <w:ind w:hanging="283" w:left="709"/>
        <w:rPr/>
      </w:pPr>
      <w:r>
        <w:rPr>
          <w:rStyle w:val="Strong"/>
        </w:rPr>
        <w:t>Development should be evaluated as expansion of substantive freedom.</w:t>
      </w:r>
      <w:r>
        <w:rPr/>
        <w:br/>
        <w:t>Economic growth is ethically important only insofar as it supports valuable capabilities rather than functioning as the ultimate objective.</w:t>
      </w:r>
    </w:p>
    <w:p>
      <w:pPr>
        <w:pStyle w:val="Heading3"/>
        <w:rPr/>
      </w:pPr>
      <w:r>
        <w:rPr/>
        <w:t>Nussbaum’s Central Capabilities</w:t>
      </w:r>
    </w:p>
    <w:p>
      <w:pPr>
        <w:pStyle w:val="BodyText"/>
        <w:spacing w:before="0" w:after="200"/>
        <w:rPr/>
      </w:pPr>
      <w:r>
        <w:rPr/>
        <w:t>Nussbaum’s specific capabilities theory identifies ten broad domains that a dignified political order should protect above an appropriate threshold:</w:t>
      </w:r>
    </w:p>
    <w:p>
      <w:pPr>
        <w:pStyle w:val="BodyText"/>
        <w:numPr>
          <w:ilvl w:val="0"/>
          <w:numId w:val="142"/>
        </w:numPr>
        <w:tabs>
          <w:tab w:val="clear" w:pos="720"/>
          <w:tab w:val="left" w:pos="0" w:leader="none"/>
        </w:tabs>
        <w:spacing w:before="0" w:after="200"/>
        <w:ind w:hanging="283" w:left="709"/>
        <w:rPr/>
      </w:pPr>
      <w:r>
        <w:rPr>
          <w:rStyle w:val="Strong"/>
        </w:rPr>
        <w:t>Life</w:t>
      </w:r>
      <w:r>
        <w:rPr/>
        <w:t xml:space="preserve"> — being able to live a life of normal length and not die prematurely.</w:t>
      </w:r>
    </w:p>
    <w:p>
      <w:pPr>
        <w:pStyle w:val="BodyText"/>
        <w:numPr>
          <w:ilvl w:val="0"/>
          <w:numId w:val="142"/>
        </w:numPr>
        <w:tabs>
          <w:tab w:val="clear" w:pos="720"/>
          <w:tab w:val="left" w:pos="0" w:leader="none"/>
        </w:tabs>
        <w:spacing w:before="0" w:after="200"/>
        <w:ind w:hanging="283" w:left="709"/>
        <w:rPr/>
      </w:pPr>
      <w:r>
        <w:rPr>
          <w:rStyle w:val="Strong"/>
        </w:rPr>
        <w:t>Bodily health</w:t>
      </w:r>
      <w:r>
        <w:rPr/>
        <w:t xml:space="preserve"> — being adequately nourished, sheltered, and able to maintain health.</w:t>
      </w:r>
    </w:p>
    <w:p>
      <w:pPr>
        <w:pStyle w:val="BodyText"/>
        <w:numPr>
          <w:ilvl w:val="0"/>
          <w:numId w:val="142"/>
        </w:numPr>
        <w:tabs>
          <w:tab w:val="clear" w:pos="720"/>
          <w:tab w:val="left" w:pos="0" w:leader="none"/>
        </w:tabs>
        <w:spacing w:before="0" w:after="200"/>
        <w:ind w:hanging="283" w:left="709"/>
        <w:rPr/>
      </w:pPr>
      <w:r>
        <w:rPr>
          <w:rStyle w:val="Strong"/>
        </w:rPr>
        <w:t>Bodily integrity</w:t>
      </w:r>
      <w:r>
        <w:rPr/>
        <w:t xml:space="preserve"> — being able to move freely, remain secure against violence, and exercise meaningful reproductive and bodily choice.</w:t>
      </w:r>
    </w:p>
    <w:p>
      <w:pPr>
        <w:pStyle w:val="BodyText"/>
        <w:numPr>
          <w:ilvl w:val="0"/>
          <w:numId w:val="142"/>
        </w:numPr>
        <w:tabs>
          <w:tab w:val="clear" w:pos="720"/>
          <w:tab w:val="left" w:pos="0" w:leader="none"/>
        </w:tabs>
        <w:spacing w:before="0" w:after="200"/>
        <w:ind w:hanging="283" w:left="709"/>
        <w:rPr/>
      </w:pPr>
      <w:r>
        <w:rPr>
          <w:rStyle w:val="Strong"/>
        </w:rPr>
        <w:t>Senses, imagination, and thought</w:t>
      </w:r>
      <w:r>
        <w:rPr/>
        <w:t xml:space="preserve"> — being able to learn, reason, create, communicate, and exercise freedom of expression and religion.</w:t>
      </w:r>
    </w:p>
    <w:p>
      <w:pPr>
        <w:pStyle w:val="BodyText"/>
        <w:numPr>
          <w:ilvl w:val="0"/>
          <w:numId w:val="142"/>
        </w:numPr>
        <w:tabs>
          <w:tab w:val="clear" w:pos="720"/>
          <w:tab w:val="left" w:pos="0" w:leader="none"/>
        </w:tabs>
        <w:spacing w:before="0" w:after="200"/>
        <w:ind w:hanging="283" w:left="709"/>
        <w:rPr/>
      </w:pPr>
      <w:r>
        <w:rPr>
          <w:rStyle w:val="Strong"/>
        </w:rPr>
        <w:t>Emotions</w:t>
      </w:r>
      <w:r>
        <w:rPr/>
        <w:t xml:space="preserve"> — being able to form attachments, love, grieve, experience gratitude, and avoid emotional development dominated by fear or anxiety.</w:t>
      </w:r>
    </w:p>
    <w:p>
      <w:pPr>
        <w:pStyle w:val="BodyText"/>
        <w:numPr>
          <w:ilvl w:val="0"/>
          <w:numId w:val="142"/>
        </w:numPr>
        <w:tabs>
          <w:tab w:val="clear" w:pos="720"/>
          <w:tab w:val="left" w:pos="0" w:leader="none"/>
        </w:tabs>
        <w:spacing w:before="0" w:after="200"/>
        <w:ind w:hanging="283" w:left="709"/>
        <w:rPr/>
      </w:pPr>
      <w:r>
        <w:rPr>
          <w:rStyle w:val="Strong"/>
        </w:rPr>
        <w:t>Practical reason</w:t>
      </w:r>
      <w:r>
        <w:rPr/>
        <w:t xml:space="preserve"> — being able to form a conception of the good and reflect critically on one’s life.</w:t>
      </w:r>
    </w:p>
    <w:p>
      <w:pPr>
        <w:pStyle w:val="BodyText"/>
        <w:numPr>
          <w:ilvl w:val="0"/>
          <w:numId w:val="142"/>
        </w:numPr>
        <w:tabs>
          <w:tab w:val="clear" w:pos="720"/>
          <w:tab w:val="left" w:pos="0" w:leader="none"/>
        </w:tabs>
        <w:spacing w:before="0" w:after="200"/>
        <w:ind w:hanging="283" w:left="709"/>
        <w:rPr/>
      </w:pPr>
      <w:r>
        <w:rPr>
          <w:rStyle w:val="Strong"/>
        </w:rPr>
        <w:t>Affiliation</w:t>
      </w:r>
      <w:r>
        <w:rPr/>
        <w:t xml:space="preserve"> — being able to live with others, participate socially, receive equal respect, and avoid humiliation and discrimination.</w:t>
      </w:r>
    </w:p>
    <w:p>
      <w:pPr>
        <w:pStyle w:val="BodyText"/>
        <w:numPr>
          <w:ilvl w:val="0"/>
          <w:numId w:val="142"/>
        </w:numPr>
        <w:tabs>
          <w:tab w:val="clear" w:pos="720"/>
          <w:tab w:val="left" w:pos="0" w:leader="none"/>
        </w:tabs>
        <w:spacing w:before="0" w:after="200"/>
        <w:ind w:hanging="283" w:left="709"/>
        <w:rPr/>
      </w:pPr>
      <w:r>
        <w:rPr>
          <w:rStyle w:val="Strong"/>
        </w:rPr>
        <w:t>Other species</w:t>
      </w:r>
      <w:r>
        <w:rPr/>
        <w:t xml:space="preserve"> — being able to live with concern for animals, plants, and the natural world.</w:t>
      </w:r>
    </w:p>
    <w:p>
      <w:pPr>
        <w:pStyle w:val="BodyText"/>
        <w:numPr>
          <w:ilvl w:val="0"/>
          <w:numId w:val="142"/>
        </w:numPr>
        <w:tabs>
          <w:tab w:val="clear" w:pos="720"/>
          <w:tab w:val="left" w:pos="0" w:leader="none"/>
        </w:tabs>
        <w:spacing w:before="0" w:after="200"/>
        <w:ind w:hanging="283" w:left="709"/>
        <w:rPr/>
      </w:pPr>
      <w:r>
        <w:rPr>
          <w:rStyle w:val="Strong"/>
        </w:rPr>
        <w:t>Play</w:t>
      </w:r>
      <w:r>
        <w:rPr/>
        <w:t xml:space="preserve"> — being able to laugh, recreate, and enjoy leisure.</w:t>
      </w:r>
    </w:p>
    <w:p>
      <w:pPr>
        <w:pStyle w:val="BodyText"/>
        <w:numPr>
          <w:ilvl w:val="0"/>
          <w:numId w:val="142"/>
        </w:numPr>
        <w:tabs>
          <w:tab w:val="clear" w:pos="720"/>
          <w:tab w:val="left" w:pos="0" w:leader="none"/>
        </w:tabs>
        <w:spacing w:before="0" w:after="200"/>
        <w:ind w:hanging="283" w:left="709"/>
        <w:rPr/>
      </w:pPr>
      <w:r>
        <w:rPr>
          <w:rStyle w:val="Strong"/>
        </w:rPr>
        <w:t>Control over one’s environment</w:t>
      </w:r>
      <w:r>
        <w:rPr/>
        <w:t xml:space="preserve"> — having meaningful political participation and material control, including opportunities to work and hold property.</w:t>
      </w:r>
    </w:p>
    <w:p>
      <w:pPr>
        <w:pStyle w:val="BodyText"/>
        <w:spacing w:before="0" w:after="200"/>
        <w:rPr/>
      </w:pPr>
      <w:r>
        <w:rPr/>
        <w:t xml:space="preserve">Nussbaum’s list and Sen’s more open, public-reasoning-oriented approach are compared in the </w:t>
      </w:r>
      <w:hyperlink r:id="rId110">
        <w:r>
          <w:rPr>
            <w:rStyle w:val="Hyperlink"/>
          </w:rPr>
          <w:t>Stanford Encyclopedia of Philosophy</w:t>
        </w:r>
      </w:hyperlink>
      <w:r>
        <w:rPr/>
        <w:t>.</w:t>
      </w:r>
    </w:p>
    <w:p>
      <w:pPr>
        <w:pStyle w:val="Heading3"/>
        <w:rPr/>
      </w:pPr>
      <w:r>
        <w:rPr/>
        <w:t>Relationship to this framework</w:t>
      </w:r>
    </w:p>
    <w:p>
      <w:pPr>
        <w:pStyle w:val="BodyText"/>
        <w:spacing w:before="0" w:after="200"/>
        <w:rPr/>
      </w:pPr>
      <w:r>
        <w:rPr/>
        <w:t>The Capability Approach provides one of the strongest substantive interpretations of this framework’s concept of Long-Term Flourishing. The relationship is especially close because the proposed framework defines flourishing partly through the preservation and expansion of beneficial future state space. A capability set is similarly concerned with the valuable future beings and doings genuinely available to a person.</w:t>
      </w:r>
    </w:p>
    <w:tbl>
      <w:tblPr>
        <w:tblW w:w="8640" w:type="dxa"/>
        <w:jc w:val="left"/>
        <w:tblInd w:w="28" w:type="dxa"/>
        <w:tblLayout w:type="fixed"/>
        <w:tblCellMar>
          <w:top w:w="28" w:type="dxa"/>
          <w:left w:w="28" w:type="dxa"/>
          <w:bottom w:w="28" w:type="dxa"/>
          <w:right w:w="28" w:type="dxa"/>
        </w:tblCellMar>
      </w:tblPr>
      <w:tblGrid>
        <w:gridCol w:w="2462"/>
        <w:gridCol w:w="6178"/>
      </w:tblGrid>
      <w:tr>
        <w:trPr>
          <w:tblHeader w:val="true"/>
        </w:trPr>
        <w:tc>
          <w:tcPr>
            <w:tcW w:w="2462" w:type="dxa"/>
            <w:tcBorders/>
            <w:vAlign w:val="center"/>
          </w:tcPr>
          <w:p>
            <w:pPr>
              <w:pStyle w:val="TableHeading"/>
              <w:suppressLineNumbers/>
              <w:spacing w:before="0" w:after="200"/>
              <w:jc w:val="center"/>
              <w:rPr/>
            </w:pPr>
            <w:r>
              <w:rPr/>
              <w:t>Capability Approach emphasis</w:t>
            </w:r>
          </w:p>
        </w:tc>
        <w:tc>
          <w:tcPr>
            <w:tcW w:w="6178" w:type="dxa"/>
            <w:tcBorders/>
            <w:vAlign w:val="center"/>
          </w:tcPr>
          <w:p>
            <w:pPr>
              <w:pStyle w:val="TableHeading"/>
              <w:suppressLineNumbers/>
              <w:spacing w:before="0" w:after="200"/>
              <w:jc w:val="center"/>
              <w:rPr/>
            </w:pPr>
            <w:r>
              <w:rPr/>
              <w:t>Relationship to this framework</w:t>
            </w:r>
          </w:p>
        </w:tc>
      </w:tr>
      <w:tr>
        <w:trPr/>
        <w:tc>
          <w:tcPr>
            <w:tcW w:w="2462" w:type="dxa"/>
            <w:tcBorders/>
            <w:vAlign w:val="center"/>
          </w:tcPr>
          <w:p>
            <w:pPr>
              <w:pStyle w:val="TableContents"/>
              <w:widowControl w:val="false"/>
              <w:suppressLineNumbers/>
              <w:spacing w:before="0" w:after="200"/>
              <w:rPr/>
            </w:pPr>
            <w:r>
              <w:rPr/>
              <w:t>Capability set</w:t>
            </w:r>
          </w:p>
        </w:tc>
        <w:tc>
          <w:tcPr>
            <w:tcW w:w="6178" w:type="dxa"/>
            <w:tcBorders/>
            <w:vAlign w:val="center"/>
          </w:tcPr>
          <w:p>
            <w:pPr>
              <w:pStyle w:val="TableContents"/>
              <w:widowControl w:val="false"/>
              <w:suppressLineNumbers/>
              <w:spacing w:before="0" w:after="200"/>
              <w:rPr/>
            </w:pPr>
            <w:r>
              <w:rPr/>
              <w:t>Corresponds to the beneficial future states and activities genuinely available to an entity</w:t>
            </w:r>
          </w:p>
        </w:tc>
      </w:tr>
      <w:tr>
        <w:trPr/>
        <w:tc>
          <w:tcPr>
            <w:tcW w:w="2462" w:type="dxa"/>
            <w:tcBorders/>
            <w:vAlign w:val="center"/>
          </w:tcPr>
          <w:p>
            <w:pPr>
              <w:pStyle w:val="TableContents"/>
              <w:widowControl w:val="false"/>
              <w:suppressLineNumbers/>
              <w:spacing w:before="0" w:after="200"/>
              <w:rPr/>
            </w:pPr>
            <w:r>
              <w:rPr/>
              <w:t>Functionings</w:t>
            </w:r>
          </w:p>
        </w:tc>
        <w:tc>
          <w:tcPr>
            <w:tcW w:w="6178" w:type="dxa"/>
            <w:tcBorders/>
            <w:vAlign w:val="center"/>
          </w:tcPr>
          <w:p>
            <w:pPr>
              <w:pStyle w:val="TableContents"/>
              <w:widowControl w:val="false"/>
              <w:suppressLineNumbers/>
              <w:spacing w:before="0" w:after="200"/>
              <w:rPr/>
            </w:pPr>
            <w:r>
              <w:rPr/>
              <w:t>Correspond to achieved entity states and activities within the World Context</w:t>
            </w:r>
          </w:p>
        </w:tc>
      </w:tr>
      <w:tr>
        <w:trPr/>
        <w:tc>
          <w:tcPr>
            <w:tcW w:w="2462" w:type="dxa"/>
            <w:tcBorders/>
            <w:vAlign w:val="center"/>
          </w:tcPr>
          <w:p>
            <w:pPr>
              <w:pStyle w:val="TableContents"/>
              <w:widowControl w:val="false"/>
              <w:suppressLineNumbers/>
              <w:spacing w:before="0" w:after="200"/>
              <w:rPr/>
            </w:pPr>
            <w:r>
              <w:rPr/>
              <w:t>Real freedom</w:t>
            </w:r>
          </w:p>
        </w:tc>
        <w:tc>
          <w:tcPr>
            <w:tcW w:w="6178" w:type="dxa"/>
            <w:tcBorders/>
            <w:vAlign w:val="center"/>
          </w:tcPr>
          <w:p>
            <w:pPr>
              <w:pStyle w:val="TableContents"/>
              <w:widowControl w:val="false"/>
              <w:suppressLineNumbers/>
              <w:spacing w:before="0" w:after="200"/>
              <w:rPr/>
            </w:pPr>
            <w:r>
              <w:rPr/>
              <w:t>Provides a standard for distinguishing formal possibility from practically reachable future states</w:t>
            </w:r>
          </w:p>
        </w:tc>
      </w:tr>
      <w:tr>
        <w:trPr/>
        <w:tc>
          <w:tcPr>
            <w:tcW w:w="2462" w:type="dxa"/>
            <w:tcBorders/>
            <w:vAlign w:val="center"/>
          </w:tcPr>
          <w:p>
            <w:pPr>
              <w:pStyle w:val="TableContents"/>
              <w:widowControl w:val="false"/>
              <w:suppressLineNumbers/>
              <w:spacing w:before="0" w:after="200"/>
              <w:rPr/>
            </w:pPr>
            <w:r>
              <w:rPr/>
              <w:t>Agency</w:t>
            </w:r>
          </w:p>
        </w:tc>
        <w:tc>
          <w:tcPr>
            <w:tcW w:w="6178" w:type="dxa"/>
            <w:tcBorders/>
            <w:vAlign w:val="center"/>
          </w:tcPr>
          <w:p>
            <w:pPr>
              <w:pStyle w:val="TableContents"/>
              <w:widowControl w:val="false"/>
              <w:suppressLineNumbers/>
              <w:spacing w:before="0" w:after="200"/>
              <w:rPr/>
            </w:pPr>
            <w:r>
              <w:rPr/>
              <w:t>Corresponds to an entity’s ability to form, revise, and pursue objectives</w:t>
            </w:r>
          </w:p>
        </w:tc>
      </w:tr>
      <w:tr>
        <w:trPr/>
        <w:tc>
          <w:tcPr>
            <w:tcW w:w="2462" w:type="dxa"/>
            <w:tcBorders/>
            <w:vAlign w:val="center"/>
          </w:tcPr>
          <w:p>
            <w:pPr>
              <w:pStyle w:val="TableContents"/>
              <w:widowControl w:val="false"/>
              <w:suppressLineNumbers/>
              <w:spacing w:before="0" w:after="200"/>
              <w:rPr/>
            </w:pPr>
            <w:r>
              <w:rPr/>
              <w:t>Well-being</w:t>
            </w:r>
          </w:p>
        </w:tc>
        <w:tc>
          <w:tcPr>
            <w:tcW w:w="6178" w:type="dxa"/>
            <w:tcBorders/>
            <w:vAlign w:val="center"/>
          </w:tcPr>
          <w:p>
            <w:pPr>
              <w:pStyle w:val="TableContents"/>
              <w:widowControl w:val="false"/>
              <w:suppressLineNumbers/>
              <w:spacing w:before="0" w:after="200"/>
              <w:rPr/>
            </w:pPr>
            <w:r>
              <w:rPr/>
              <w:t>Corresponds to dimensions of entity flourishing</w:t>
            </w:r>
          </w:p>
        </w:tc>
      </w:tr>
      <w:tr>
        <w:trPr/>
        <w:tc>
          <w:tcPr>
            <w:tcW w:w="2462" w:type="dxa"/>
            <w:tcBorders/>
            <w:vAlign w:val="center"/>
          </w:tcPr>
          <w:p>
            <w:pPr>
              <w:pStyle w:val="TableContents"/>
              <w:widowControl w:val="false"/>
              <w:suppressLineNumbers/>
              <w:spacing w:before="0" w:after="200"/>
              <w:rPr/>
            </w:pPr>
            <w:r>
              <w:rPr/>
              <w:t>Conversion factors</w:t>
            </w:r>
          </w:p>
        </w:tc>
        <w:tc>
          <w:tcPr>
            <w:tcW w:w="6178" w:type="dxa"/>
            <w:tcBorders/>
            <w:vAlign w:val="center"/>
          </w:tcPr>
          <w:p>
            <w:pPr>
              <w:pStyle w:val="TableContents"/>
              <w:widowControl w:val="false"/>
              <w:suppressLineNumbers/>
              <w:spacing w:before="0" w:after="200"/>
              <w:rPr/>
            </w:pPr>
            <w:r>
              <w:rPr/>
              <w:t>Correspond to personal attributes, Associations, institutions, environmental conditions, and constraints within the World Context</w:t>
            </w:r>
          </w:p>
        </w:tc>
      </w:tr>
      <w:tr>
        <w:trPr/>
        <w:tc>
          <w:tcPr>
            <w:tcW w:w="2462" w:type="dxa"/>
            <w:tcBorders/>
            <w:vAlign w:val="center"/>
          </w:tcPr>
          <w:p>
            <w:pPr>
              <w:pStyle w:val="TableContents"/>
              <w:widowControl w:val="false"/>
              <w:suppressLineNumbers/>
              <w:spacing w:before="0" w:after="200"/>
              <w:rPr/>
            </w:pPr>
            <w:r>
              <w:rPr/>
              <w:t>Capability deprivation</w:t>
            </w:r>
          </w:p>
        </w:tc>
        <w:tc>
          <w:tcPr>
            <w:tcW w:w="6178" w:type="dxa"/>
            <w:tcBorders/>
            <w:vAlign w:val="center"/>
          </w:tcPr>
          <w:p>
            <w:pPr>
              <w:pStyle w:val="TableContents"/>
              <w:widowControl w:val="false"/>
              <w:suppressLineNumbers/>
              <w:spacing w:before="0" w:after="200"/>
              <w:rPr/>
            </w:pPr>
            <w:r>
              <w:rPr/>
              <w:t>Corresponds to a material contraction of beneficial future state space</w:t>
            </w:r>
          </w:p>
        </w:tc>
      </w:tr>
      <w:tr>
        <w:trPr/>
        <w:tc>
          <w:tcPr>
            <w:tcW w:w="2462" w:type="dxa"/>
            <w:tcBorders/>
            <w:vAlign w:val="center"/>
          </w:tcPr>
          <w:p>
            <w:pPr>
              <w:pStyle w:val="TableContents"/>
              <w:widowControl w:val="false"/>
              <w:suppressLineNumbers/>
              <w:spacing w:before="0" w:after="200"/>
              <w:rPr/>
            </w:pPr>
            <w:r>
              <w:rPr/>
              <w:t>Capability expansion</w:t>
            </w:r>
          </w:p>
        </w:tc>
        <w:tc>
          <w:tcPr>
            <w:tcW w:w="6178" w:type="dxa"/>
            <w:tcBorders/>
            <w:vAlign w:val="center"/>
          </w:tcPr>
          <w:p>
            <w:pPr>
              <w:pStyle w:val="TableContents"/>
              <w:widowControl w:val="false"/>
              <w:suppressLineNumbers/>
              <w:spacing w:before="0" w:after="200"/>
              <w:rPr/>
            </w:pPr>
            <w:r>
              <w:rPr/>
              <w:t>Corresponds to an ethically beneficial expansion of reachable, valuable future states</w:t>
            </w:r>
          </w:p>
        </w:tc>
      </w:tr>
      <w:tr>
        <w:trPr/>
        <w:tc>
          <w:tcPr>
            <w:tcW w:w="2462" w:type="dxa"/>
            <w:tcBorders/>
            <w:vAlign w:val="center"/>
          </w:tcPr>
          <w:p>
            <w:pPr>
              <w:pStyle w:val="TableContents"/>
              <w:widowControl w:val="false"/>
              <w:suppressLineNumbers/>
              <w:spacing w:before="0" w:after="200"/>
              <w:rPr/>
            </w:pPr>
            <w:r>
              <w:rPr/>
              <w:t>Adaptive preferences</w:t>
            </w:r>
          </w:p>
        </w:tc>
        <w:tc>
          <w:tcPr>
            <w:tcW w:w="6178" w:type="dxa"/>
            <w:tcBorders/>
            <w:vAlign w:val="center"/>
          </w:tcPr>
          <w:p>
            <w:pPr>
              <w:pStyle w:val="TableContents"/>
              <w:widowControl w:val="false"/>
              <w:suppressLineNumbers/>
              <w:spacing w:before="0" w:after="200"/>
              <w:rPr/>
            </w:pPr>
            <w:r>
              <w:rPr/>
              <w:t>Provides a warning against treating stated satisfaction or current objectives as complete evidence of flourishing</w:t>
            </w:r>
          </w:p>
        </w:tc>
      </w:tr>
      <w:tr>
        <w:trPr/>
        <w:tc>
          <w:tcPr>
            <w:tcW w:w="2462" w:type="dxa"/>
            <w:tcBorders/>
            <w:vAlign w:val="center"/>
          </w:tcPr>
          <w:p>
            <w:pPr>
              <w:pStyle w:val="TableContents"/>
              <w:widowControl w:val="false"/>
              <w:suppressLineNumbers/>
              <w:spacing w:before="0" w:after="200"/>
              <w:rPr/>
            </w:pPr>
            <w:r>
              <w:rPr/>
              <w:t>Human diversity</w:t>
            </w:r>
          </w:p>
        </w:tc>
        <w:tc>
          <w:tcPr>
            <w:tcW w:w="6178" w:type="dxa"/>
            <w:tcBorders/>
            <w:vAlign w:val="center"/>
          </w:tcPr>
          <w:p>
            <w:pPr>
              <w:pStyle w:val="TableContents"/>
              <w:widowControl w:val="false"/>
              <w:suppressLineNumbers/>
              <w:spacing w:before="0" w:after="200"/>
              <w:rPr/>
            </w:pPr>
            <w:r>
              <w:rPr/>
              <w:t>Supports entity-specific analysis rather than assuming identical effects from identical resources</w:t>
            </w:r>
          </w:p>
        </w:tc>
      </w:tr>
      <w:tr>
        <w:trPr/>
        <w:tc>
          <w:tcPr>
            <w:tcW w:w="2462" w:type="dxa"/>
            <w:tcBorders/>
            <w:vAlign w:val="center"/>
          </w:tcPr>
          <w:p>
            <w:pPr>
              <w:pStyle w:val="TableContents"/>
              <w:widowControl w:val="false"/>
              <w:suppressLineNumbers/>
              <w:spacing w:before="0" w:after="200"/>
              <w:rPr/>
            </w:pPr>
            <w:r>
              <w:rPr/>
              <w:t>Public reasoning</w:t>
            </w:r>
          </w:p>
        </w:tc>
        <w:tc>
          <w:tcPr>
            <w:tcW w:w="6178" w:type="dxa"/>
            <w:tcBorders/>
            <w:vAlign w:val="center"/>
          </w:tcPr>
          <w:p>
            <w:pPr>
              <w:pStyle w:val="TableContents"/>
              <w:widowControl w:val="false"/>
              <w:suppressLineNumbers/>
              <w:spacing w:before="0" w:after="200"/>
              <w:rPr/>
            </w:pPr>
            <w:r>
              <w:rPr/>
              <w:t>Supports participatory validation of capability dimensions, assumptions, weights, and thresholds</w:t>
            </w:r>
          </w:p>
        </w:tc>
      </w:tr>
      <w:tr>
        <w:trPr/>
        <w:tc>
          <w:tcPr>
            <w:tcW w:w="2462" w:type="dxa"/>
            <w:tcBorders/>
            <w:vAlign w:val="center"/>
          </w:tcPr>
          <w:p>
            <w:pPr>
              <w:pStyle w:val="TableContents"/>
              <w:widowControl w:val="false"/>
              <w:suppressLineNumbers/>
              <w:spacing w:before="0" w:after="200"/>
              <w:rPr/>
            </w:pPr>
            <w:r>
              <w:rPr/>
              <w:t>Capability thresholds</w:t>
            </w:r>
          </w:p>
        </w:tc>
        <w:tc>
          <w:tcPr>
            <w:tcW w:w="6178" w:type="dxa"/>
            <w:tcBorders/>
            <w:vAlign w:val="center"/>
          </w:tcPr>
          <w:p>
            <w:pPr>
              <w:pStyle w:val="TableContents"/>
              <w:widowControl w:val="false"/>
              <w:suppressLineNumbers/>
              <w:spacing w:before="0" w:after="200"/>
              <w:rPr/>
            </w:pPr>
            <w:r>
              <w:rPr/>
              <w:t>Can provide non-compensable minimum safeguards within transition analysis</w:t>
            </w:r>
          </w:p>
        </w:tc>
      </w:tr>
      <w:tr>
        <w:trPr/>
        <w:tc>
          <w:tcPr>
            <w:tcW w:w="2462" w:type="dxa"/>
            <w:tcBorders/>
            <w:vAlign w:val="center"/>
          </w:tcPr>
          <w:p>
            <w:pPr>
              <w:pStyle w:val="TableContents"/>
              <w:widowControl w:val="false"/>
              <w:suppressLineNumbers/>
              <w:spacing w:before="0" w:after="200"/>
              <w:rPr/>
            </w:pPr>
            <w:r>
              <w:rPr/>
              <w:t>Individual disaggregation</w:t>
            </w:r>
          </w:p>
        </w:tc>
        <w:tc>
          <w:tcPr>
            <w:tcW w:w="6178" w:type="dxa"/>
            <w:tcBorders/>
            <w:vAlign w:val="center"/>
          </w:tcPr>
          <w:p>
            <w:pPr>
              <w:pStyle w:val="TableContents"/>
              <w:widowControl w:val="false"/>
              <w:suppressLineNumbers/>
              <w:spacing w:before="0" w:after="200"/>
              <w:rPr/>
            </w:pPr>
            <w:r>
              <w:rPr/>
              <w:t>Supports examination of each affected entity rather than relying only on aggregate outcomes</w:t>
            </w:r>
          </w:p>
        </w:tc>
      </w:tr>
      <w:tr>
        <w:trPr/>
        <w:tc>
          <w:tcPr>
            <w:tcW w:w="2462" w:type="dxa"/>
            <w:tcBorders/>
            <w:vAlign w:val="center"/>
          </w:tcPr>
          <w:p>
            <w:pPr>
              <w:pStyle w:val="TableContents"/>
              <w:widowControl w:val="false"/>
              <w:suppressLineNumbers/>
              <w:spacing w:before="0" w:after="200"/>
              <w:rPr/>
            </w:pPr>
            <w:r>
              <w:rPr/>
              <w:t>Capability security</w:t>
            </w:r>
          </w:p>
        </w:tc>
        <w:tc>
          <w:tcPr>
            <w:tcW w:w="6178" w:type="dxa"/>
            <w:tcBorders/>
            <w:vAlign w:val="center"/>
          </w:tcPr>
          <w:p>
            <w:pPr>
              <w:pStyle w:val="TableContents"/>
              <w:widowControl w:val="false"/>
              <w:suppressLineNumbers/>
              <w:spacing w:before="0" w:after="200"/>
              <w:rPr/>
            </w:pPr>
            <w:r>
              <w:rPr/>
              <w:t>Corresponds to the durability and long-term availability of beneficial future states</w:t>
            </w:r>
          </w:p>
        </w:tc>
      </w:tr>
      <w:tr>
        <w:trPr/>
        <w:tc>
          <w:tcPr>
            <w:tcW w:w="2462" w:type="dxa"/>
            <w:tcBorders/>
            <w:vAlign w:val="center"/>
          </w:tcPr>
          <w:p>
            <w:pPr>
              <w:pStyle w:val="TableContents"/>
              <w:widowControl w:val="false"/>
              <w:suppressLineNumbers/>
              <w:spacing w:before="0" w:after="200"/>
              <w:rPr/>
            </w:pPr>
            <w:r>
              <w:rPr/>
              <w:t>Collective capabilities</w:t>
            </w:r>
          </w:p>
        </w:tc>
        <w:tc>
          <w:tcPr>
            <w:tcW w:w="6178" w:type="dxa"/>
            <w:tcBorders/>
            <w:vAlign w:val="center"/>
          </w:tcPr>
          <w:p>
            <w:pPr>
              <w:pStyle w:val="TableContents"/>
              <w:widowControl w:val="false"/>
              <w:suppressLineNumbers/>
              <w:spacing w:before="0" w:after="200"/>
              <w:rPr/>
            </w:pPr>
            <w:r>
              <w:rPr/>
              <w:t>Correspond to beneficial possibilities that arise through Associations and institutional coordination</w:t>
            </w:r>
          </w:p>
        </w:tc>
      </w:tr>
      <w:tr>
        <w:trPr/>
        <w:tc>
          <w:tcPr>
            <w:tcW w:w="2462" w:type="dxa"/>
            <w:tcBorders/>
            <w:vAlign w:val="center"/>
          </w:tcPr>
          <w:p>
            <w:pPr>
              <w:pStyle w:val="TableContents"/>
              <w:widowControl w:val="false"/>
              <w:suppressLineNumbers/>
              <w:spacing w:before="0" w:after="200"/>
              <w:rPr/>
            </w:pPr>
            <w:r>
              <w:rPr/>
              <w:t>Multidimensional poverty</w:t>
            </w:r>
          </w:p>
        </w:tc>
        <w:tc>
          <w:tcPr>
            <w:tcW w:w="6178" w:type="dxa"/>
            <w:tcBorders/>
            <w:vAlign w:val="center"/>
          </w:tcPr>
          <w:p>
            <w:pPr>
              <w:pStyle w:val="TableContents"/>
              <w:widowControl w:val="false"/>
              <w:suppressLineNumbers/>
              <w:spacing w:before="0" w:after="200"/>
              <w:rPr/>
            </w:pPr>
            <w:r>
              <w:rPr/>
              <w:t>Provides an operational model for analyzing simultaneous deprivation across several state dimensions</w:t>
            </w:r>
          </w:p>
        </w:tc>
      </w:tr>
      <w:tr>
        <w:trPr/>
        <w:tc>
          <w:tcPr>
            <w:tcW w:w="2462" w:type="dxa"/>
            <w:tcBorders/>
            <w:vAlign w:val="center"/>
          </w:tcPr>
          <w:p>
            <w:pPr>
              <w:pStyle w:val="TableContents"/>
              <w:widowControl w:val="false"/>
              <w:suppressLineNumbers/>
              <w:spacing w:before="0" w:after="200"/>
              <w:rPr/>
            </w:pPr>
            <w:r>
              <w:rPr/>
              <w:t>Agency development</w:t>
            </w:r>
          </w:p>
        </w:tc>
        <w:tc>
          <w:tcPr>
            <w:tcW w:w="6178" w:type="dxa"/>
            <w:tcBorders/>
            <w:vAlign w:val="center"/>
          </w:tcPr>
          <w:p>
            <w:pPr>
              <w:pStyle w:val="TableContents"/>
              <w:widowControl w:val="false"/>
              <w:suppressLineNumbers/>
              <w:spacing w:before="0" w:after="200"/>
              <w:rPr/>
            </w:pPr>
            <w:r>
              <w:rPr/>
              <w:t>Corresponds to the adaptive development of moral agents</w:t>
            </w:r>
          </w:p>
        </w:tc>
      </w:tr>
      <w:tr>
        <w:trPr/>
        <w:tc>
          <w:tcPr>
            <w:tcW w:w="2462" w:type="dxa"/>
            <w:tcBorders/>
            <w:vAlign w:val="center"/>
          </w:tcPr>
          <w:p>
            <w:pPr>
              <w:pStyle w:val="TableContents"/>
              <w:widowControl w:val="false"/>
              <w:suppressLineNumbers/>
              <w:spacing w:before="0" w:after="200"/>
              <w:rPr/>
            </w:pPr>
            <w:r>
              <w:rPr/>
              <w:t>Structural barriers</w:t>
            </w:r>
          </w:p>
        </w:tc>
        <w:tc>
          <w:tcPr>
            <w:tcW w:w="6178" w:type="dxa"/>
            <w:tcBorders/>
            <w:vAlign w:val="center"/>
          </w:tcPr>
          <w:p>
            <w:pPr>
              <w:pStyle w:val="TableContents"/>
              <w:widowControl w:val="false"/>
              <w:suppressLineNumbers/>
              <w:spacing w:before="0" w:after="200"/>
              <w:rPr/>
            </w:pPr>
            <w:r>
              <w:rPr/>
              <w:t>Correspond to constraints, policies, institutions, and Distributed Policy Effects that limit future choices</w:t>
            </w:r>
          </w:p>
        </w:tc>
      </w:tr>
    </w:tbl>
    <w:p>
      <w:pPr>
        <w:pStyle w:val="BodyText"/>
        <w:spacing w:before="0" w:after="200"/>
        <w:rPr/>
      </w:pPr>
      <w:r>
        <w:rPr/>
        <w:t>The Capability Approach strengthens the framework’s distinction between an entity’s current state and its future possibilities. A person who is currently healthy but lacks access to future healthcare may possess an insecure health capability. A person who is currently employed but cannot leave an abusive employer without losing housing, healthcare, or legal status may exhibit the functioning of employment without possessing meaningful occupational freedom.</w:t>
      </w:r>
    </w:p>
    <w:p>
      <w:pPr>
        <w:pStyle w:val="BodyText"/>
        <w:spacing w:before="0" w:after="200"/>
        <w:rPr/>
      </w:pPr>
      <w:r>
        <w:rPr/>
        <w:t>The approach also clarifies that expanding the number of options is not automatically ethical. Capabilities concern valuable and realistically usable options. Trivial choices, manipulative options, or alternatives available only through unacceptable risk do not necessarily enlarge flourishing.</w:t>
      </w:r>
    </w:p>
    <w:p>
      <w:pPr>
        <w:pStyle w:val="Heading3"/>
        <w:rPr/>
      </w:pPr>
      <w:r>
        <w:rPr/>
        <w:t>Concepts adopted or adapted by this framework</w:t>
      </w:r>
    </w:p>
    <w:tbl>
      <w:tblPr>
        <w:tblW w:w="8640" w:type="dxa"/>
        <w:jc w:val="left"/>
        <w:tblInd w:w="28" w:type="dxa"/>
        <w:tblLayout w:type="fixed"/>
        <w:tblCellMar>
          <w:top w:w="28" w:type="dxa"/>
          <w:left w:w="28" w:type="dxa"/>
          <w:bottom w:w="28" w:type="dxa"/>
          <w:right w:w="28" w:type="dxa"/>
        </w:tblCellMar>
      </w:tblPr>
      <w:tblGrid>
        <w:gridCol w:w="2466"/>
        <w:gridCol w:w="6174"/>
      </w:tblGrid>
      <w:tr>
        <w:trPr>
          <w:tblHeader w:val="true"/>
        </w:trPr>
        <w:tc>
          <w:tcPr>
            <w:tcW w:w="2466" w:type="dxa"/>
            <w:tcBorders/>
            <w:vAlign w:val="center"/>
          </w:tcPr>
          <w:p>
            <w:pPr>
              <w:pStyle w:val="TableHeading"/>
              <w:suppressLineNumbers/>
              <w:spacing w:before="0" w:after="200"/>
              <w:jc w:val="center"/>
              <w:rPr/>
            </w:pPr>
            <w:r>
              <w:rPr/>
              <w:t>Capability concept</w:t>
            </w:r>
          </w:p>
        </w:tc>
        <w:tc>
          <w:tcPr>
            <w:tcW w:w="6174" w:type="dxa"/>
            <w:tcBorders/>
            <w:vAlign w:val="center"/>
          </w:tcPr>
          <w:p>
            <w:pPr>
              <w:pStyle w:val="TableHeading"/>
              <w:suppressLineNumbers/>
              <w:spacing w:before="0" w:after="200"/>
              <w:jc w:val="center"/>
              <w:rPr/>
            </w:pPr>
            <w:r>
              <w:rPr/>
              <w:t>Adoption or adaptation within this framework</w:t>
            </w:r>
          </w:p>
        </w:tc>
      </w:tr>
      <w:tr>
        <w:trPr/>
        <w:tc>
          <w:tcPr>
            <w:tcW w:w="2466" w:type="dxa"/>
            <w:tcBorders/>
            <w:vAlign w:val="center"/>
          </w:tcPr>
          <w:p>
            <w:pPr>
              <w:pStyle w:val="TableContents"/>
              <w:widowControl w:val="false"/>
              <w:suppressLineNumbers/>
              <w:spacing w:before="0" w:after="200"/>
              <w:rPr/>
            </w:pPr>
            <w:r>
              <w:rPr>
                <w:rStyle w:val="Strong"/>
              </w:rPr>
              <w:t>Functionings</w:t>
            </w:r>
          </w:p>
        </w:tc>
        <w:tc>
          <w:tcPr>
            <w:tcW w:w="6174" w:type="dxa"/>
            <w:tcBorders/>
            <w:vAlign w:val="center"/>
          </w:tcPr>
          <w:p>
            <w:pPr>
              <w:pStyle w:val="TableContents"/>
              <w:widowControl w:val="false"/>
              <w:suppressLineNumbers/>
              <w:spacing w:before="0" w:after="200"/>
              <w:rPr/>
            </w:pPr>
            <w:r>
              <w:rPr/>
              <w:t>Represented as actual states and activities achieved by an entity</w:t>
            </w:r>
          </w:p>
        </w:tc>
      </w:tr>
      <w:tr>
        <w:trPr/>
        <w:tc>
          <w:tcPr>
            <w:tcW w:w="2466" w:type="dxa"/>
            <w:tcBorders/>
            <w:vAlign w:val="center"/>
          </w:tcPr>
          <w:p>
            <w:pPr>
              <w:pStyle w:val="TableContents"/>
              <w:widowControl w:val="false"/>
              <w:suppressLineNumbers/>
              <w:spacing w:before="0" w:after="200"/>
              <w:rPr/>
            </w:pPr>
            <w:r>
              <w:rPr>
                <w:rStyle w:val="Strong"/>
              </w:rPr>
              <w:t>Capabilities</w:t>
            </w:r>
          </w:p>
        </w:tc>
        <w:tc>
          <w:tcPr>
            <w:tcW w:w="6174" w:type="dxa"/>
            <w:tcBorders/>
            <w:vAlign w:val="center"/>
          </w:tcPr>
          <w:p>
            <w:pPr>
              <w:pStyle w:val="TableContents"/>
              <w:widowControl w:val="false"/>
              <w:suppressLineNumbers/>
              <w:spacing w:before="0" w:after="200"/>
              <w:rPr/>
            </w:pPr>
            <w:r>
              <w:rPr/>
              <w:t>Represented as valuable and realistically reachable states or activities</w:t>
            </w:r>
          </w:p>
        </w:tc>
      </w:tr>
      <w:tr>
        <w:trPr/>
        <w:tc>
          <w:tcPr>
            <w:tcW w:w="2466" w:type="dxa"/>
            <w:tcBorders/>
            <w:vAlign w:val="center"/>
          </w:tcPr>
          <w:p>
            <w:pPr>
              <w:pStyle w:val="TableContents"/>
              <w:widowControl w:val="false"/>
              <w:suppressLineNumbers/>
              <w:spacing w:before="0" w:after="200"/>
              <w:rPr/>
            </w:pPr>
            <w:r>
              <w:rPr>
                <w:rStyle w:val="Strong"/>
              </w:rPr>
              <w:t>Capability set</w:t>
            </w:r>
          </w:p>
        </w:tc>
        <w:tc>
          <w:tcPr>
            <w:tcW w:w="6174" w:type="dxa"/>
            <w:tcBorders/>
            <w:vAlign w:val="center"/>
          </w:tcPr>
          <w:p>
            <w:pPr>
              <w:pStyle w:val="TableContents"/>
              <w:widowControl w:val="false"/>
              <w:suppressLineNumbers/>
              <w:spacing w:before="0" w:after="200"/>
              <w:rPr/>
            </w:pPr>
            <w:r>
              <w:rPr/>
              <w:t>Adapted as the entity’s beneficial reachable future state space</w:t>
            </w:r>
          </w:p>
        </w:tc>
      </w:tr>
      <w:tr>
        <w:trPr/>
        <w:tc>
          <w:tcPr>
            <w:tcW w:w="2466" w:type="dxa"/>
            <w:tcBorders/>
            <w:vAlign w:val="center"/>
          </w:tcPr>
          <w:p>
            <w:pPr>
              <w:pStyle w:val="TableContents"/>
              <w:widowControl w:val="false"/>
              <w:suppressLineNumbers/>
              <w:spacing w:before="0" w:after="200"/>
              <w:rPr/>
            </w:pPr>
            <w:r>
              <w:rPr>
                <w:rStyle w:val="Strong"/>
              </w:rPr>
              <w:t>Substantive freedom</w:t>
            </w:r>
          </w:p>
        </w:tc>
        <w:tc>
          <w:tcPr>
            <w:tcW w:w="6174" w:type="dxa"/>
            <w:tcBorders/>
            <w:vAlign w:val="center"/>
          </w:tcPr>
          <w:p>
            <w:pPr>
              <w:pStyle w:val="TableContents"/>
              <w:widowControl w:val="false"/>
              <w:suppressLineNumbers/>
              <w:spacing w:before="0" w:after="200"/>
              <w:rPr/>
            </w:pPr>
            <w:r>
              <w:rPr/>
              <w:t>Incorporated as practical, not merely nominal, access to a valuable future state</w:t>
            </w:r>
          </w:p>
        </w:tc>
      </w:tr>
      <w:tr>
        <w:trPr/>
        <w:tc>
          <w:tcPr>
            <w:tcW w:w="2466" w:type="dxa"/>
            <w:tcBorders/>
            <w:vAlign w:val="center"/>
          </w:tcPr>
          <w:p>
            <w:pPr>
              <w:pStyle w:val="TableContents"/>
              <w:widowControl w:val="false"/>
              <w:suppressLineNumbers/>
              <w:spacing w:before="0" w:after="200"/>
              <w:rPr/>
            </w:pPr>
            <w:r>
              <w:rPr>
                <w:rStyle w:val="Strong"/>
              </w:rPr>
              <w:t>Agency</w:t>
            </w:r>
          </w:p>
        </w:tc>
        <w:tc>
          <w:tcPr>
            <w:tcW w:w="6174" w:type="dxa"/>
            <w:tcBorders/>
            <w:vAlign w:val="center"/>
          </w:tcPr>
          <w:p>
            <w:pPr>
              <w:pStyle w:val="TableContents"/>
              <w:widowControl w:val="false"/>
              <w:suppressLineNumbers/>
              <w:spacing w:before="0" w:after="200"/>
              <w:rPr/>
            </w:pPr>
            <w:r>
              <w:rPr/>
              <w:t>Reflected in the ability to establish, revise, and pursue objectives and participate in decisions</w:t>
            </w:r>
          </w:p>
        </w:tc>
      </w:tr>
      <w:tr>
        <w:trPr/>
        <w:tc>
          <w:tcPr>
            <w:tcW w:w="2466" w:type="dxa"/>
            <w:tcBorders/>
            <w:vAlign w:val="center"/>
          </w:tcPr>
          <w:p>
            <w:pPr>
              <w:pStyle w:val="TableContents"/>
              <w:widowControl w:val="false"/>
              <w:suppressLineNumbers/>
              <w:spacing w:before="0" w:after="200"/>
              <w:rPr/>
            </w:pPr>
            <w:r>
              <w:rPr>
                <w:rStyle w:val="Strong"/>
              </w:rPr>
              <w:t>Well-being freedom</w:t>
            </w:r>
          </w:p>
        </w:tc>
        <w:tc>
          <w:tcPr>
            <w:tcW w:w="6174" w:type="dxa"/>
            <w:tcBorders/>
            <w:vAlign w:val="center"/>
          </w:tcPr>
          <w:p>
            <w:pPr>
              <w:pStyle w:val="TableContents"/>
              <w:widowControl w:val="false"/>
              <w:suppressLineNumbers/>
              <w:spacing w:before="0" w:after="200"/>
              <w:rPr/>
            </w:pPr>
            <w:r>
              <w:rPr/>
              <w:t>Reflected in opportunities to achieve states that contribute to the entity’s own flourishing</w:t>
            </w:r>
          </w:p>
        </w:tc>
      </w:tr>
      <w:tr>
        <w:trPr/>
        <w:tc>
          <w:tcPr>
            <w:tcW w:w="2466" w:type="dxa"/>
            <w:tcBorders/>
            <w:vAlign w:val="center"/>
          </w:tcPr>
          <w:p>
            <w:pPr>
              <w:pStyle w:val="TableContents"/>
              <w:widowControl w:val="false"/>
              <w:suppressLineNumbers/>
              <w:spacing w:before="0" w:after="200"/>
              <w:rPr/>
            </w:pPr>
            <w:r>
              <w:rPr>
                <w:rStyle w:val="Strong"/>
              </w:rPr>
              <w:t>Agency freedom</w:t>
            </w:r>
          </w:p>
        </w:tc>
        <w:tc>
          <w:tcPr>
            <w:tcW w:w="6174" w:type="dxa"/>
            <w:tcBorders/>
            <w:vAlign w:val="center"/>
          </w:tcPr>
          <w:p>
            <w:pPr>
              <w:pStyle w:val="TableContents"/>
              <w:widowControl w:val="false"/>
              <w:suppressLineNumbers/>
              <w:spacing w:before="0" w:after="200"/>
              <w:rPr/>
            </w:pPr>
            <w:r>
              <w:rPr/>
              <w:t>Reflected in opportunities to pursue ethically legitimate objectives, including concern for others</w:t>
            </w:r>
          </w:p>
        </w:tc>
      </w:tr>
      <w:tr>
        <w:trPr/>
        <w:tc>
          <w:tcPr>
            <w:tcW w:w="2466" w:type="dxa"/>
            <w:tcBorders/>
            <w:vAlign w:val="center"/>
          </w:tcPr>
          <w:p>
            <w:pPr>
              <w:pStyle w:val="TableContents"/>
              <w:widowControl w:val="false"/>
              <w:suppressLineNumbers/>
              <w:spacing w:before="0" w:after="200"/>
              <w:rPr/>
            </w:pPr>
            <w:r>
              <w:rPr>
                <w:rStyle w:val="Strong"/>
              </w:rPr>
              <w:t>Opportunity freedom</w:t>
            </w:r>
          </w:p>
        </w:tc>
        <w:tc>
          <w:tcPr>
            <w:tcW w:w="6174" w:type="dxa"/>
            <w:tcBorders/>
            <w:vAlign w:val="center"/>
          </w:tcPr>
          <w:p>
            <w:pPr>
              <w:pStyle w:val="TableContents"/>
              <w:widowControl w:val="false"/>
              <w:suppressLineNumbers/>
              <w:spacing w:before="0" w:after="200"/>
              <w:rPr/>
            </w:pPr>
            <w:r>
              <w:rPr/>
              <w:t>Incorporated through analysis of the quality and range of available alternatives</w:t>
            </w:r>
          </w:p>
        </w:tc>
      </w:tr>
      <w:tr>
        <w:trPr/>
        <w:tc>
          <w:tcPr>
            <w:tcW w:w="2466" w:type="dxa"/>
            <w:tcBorders/>
            <w:vAlign w:val="center"/>
          </w:tcPr>
          <w:p>
            <w:pPr>
              <w:pStyle w:val="TableContents"/>
              <w:widowControl w:val="false"/>
              <w:suppressLineNumbers/>
              <w:spacing w:before="0" w:after="200"/>
              <w:rPr/>
            </w:pPr>
            <w:r>
              <w:rPr>
                <w:rStyle w:val="Strong"/>
              </w:rPr>
              <w:t>Process freedom</w:t>
            </w:r>
          </w:p>
        </w:tc>
        <w:tc>
          <w:tcPr>
            <w:tcW w:w="6174" w:type="dxa"/>
            <w:tcBorders/>
            <w:vAlign w:val="center"/>
          </w:tcPr>
          <w:p>
            <w:pPr>
              <w:pStyle w:val="TableContents"/>
              <w:widowControl w:val="false"/>
              <w:suppressLineNumbers/>
              <w:spacing w:before="0" w:after="200"/>
              <w:rPr/>
            </w:pPr>
            <w:r>
              <w:rPr/>
              <w:t>Incorporated through evaluation of whether decisions are made without coercion, deception, or exclusion</w:t>
            </w:r>
          </w:p>
        </w:tc>
      </w:tr>
      <w:tr>
        <w:trPr/>
        <w:tc>
          <w:tcPr>
            <w:tcW w:w="2466" w:type="dxa"/>
            <w:tcBorders/>
            <w:vAlign w:val="center"/>
          </w:tcPr>
          <w:p>
            <w:pPr>
              <w:pStyle w:val="TableContents"/>
              <w:widowControl w:val="false"/>
              <w:suppressLineNumbers/>
              <w:spacing w:before="0" w:after="200"/>
              <w:rPr/>
            </w:pPr>
            <w:r>
              <w:rPr>
                <w:rStyle w:val="Strong"/>
              </w:rPr>
              <w:t>Conversion factors</w:t>
            </w:r>
          </w:p>
        </w:tc>
        <w:tc>
          <w:tcPr>
            <w:tcW w:w="6174" w:type="dxa"/>
            <w:tcBorders/>
            <w:vAlign w:val="center"/>
          </w:tcPr>
          <w:p>
            <w:pPr>
              <w:pStyle w:val="TableContents"/>
              <w:widowControl w:val="false"/>
              <w:suppressLineNumbers/>
              <w:spacing w:before="0" w:after="200"/>
              <w:rPr/>
            </w:pPr>
            <w:r>
              <w:rPr/>
              <w:t>Adapted as personal, social, institutional, technological, and environmental conditions affecting what an entity can do with available resources</w:t>
            </w:r>
          </w:p>
        </w:tc>
      </w:tr>
      <w:tr>
        <w:trPr/>
        <w:tc>
          <w:tcPr>
            <w:tcW w:w="2466" w:type="dxa"/>
            <w:tcBorders/>
            <w:vAlign w:val="center"/>
          </w:tcPr>
          <w:p>
            <w:pPr>
              <w:pStyle w:val="TableContents"/>
              <w:widowControl w:val="false"/>
              <w:suppressLineNumbers/>
              <w:spacing w:before="0" w:after="200"/>
              <w:rPr/>
            </w:pPr>
            <w:r>
              <w:rPr>
                <w:rStyle w:val="Strong"/>
              </w:rPr>
              <w:t>Means–ends distinction</w:t>
            </w:r>
          </w:p>
        </w:tc>
        <w:tc>
          <w:tcPr>
            <w:tcW w:w="6174" w:type="dxa"/>
            <w:tcBorders/>
            <w:vAlign w:val="center"/>
          </w:tcPr>
          <w:p>
            <w:pPr>
              <w:pStyle w:val="TableContents"/>
              <w:widowControl w:val="false"/>
              <w:suppressLineNumbers/>
              <w:spacing w:before="0" w:after="200"/>
              <w:rPr/>
            </w:pPr>
            <w:r>
              <w:rPr/>
              <w:t>Incorporated by treating resources, wealth, technology, and services as inputs rather than final ethical outcomes</w:t>
            </w:r>
          </w:p>
        </w:tc>
      </w:tr>
      <w:tr>
        <w:trPr/>
        <w:tc>
          <w:tcPr>
            <w:tcW w:w="2466" w:type="dxa"/>
            <w:tcBorders/>
            <w:vAlign w:val="center"/>
          </w:tcPr>
          <w:p>
            <w:pPr>
              <w:pStyle w:val="TableContents"/>
              <w:widowControl w:val="false"/>
              <w:suppressLineNumbers/>
              <w:spacing w:before="0" w:after="200"/>
              <w:rPr/>
            </w:pPr>
            <w:r>
              <w:rPr>
                <w:rStyle w:val="Strong"/>
              </w:rPr>
              <w:t>Capability deprivation</w:t>
            </w:r>
          </w:p>
        </w:tc>
        <w:tc>
          <w:tcPr>
            <w:tcW w:w="6174" w:type="dxa"/>
            <w:tcBorders/>
            <w:vAlign w:val="center"/>
          </w:tcPr>
          <w:p>
            <w:pPr>
              <w:pStyle w:val="TableContents"/>
              <w:widowControl w:val="false"/>
              <w:suppressLineNumbers/>
              <w:spacing w:before="0" w:after="200"/>
              <w:rPr/>
            </w:pPr>
            <w:r>
              <w:rPr/>
              <w:t>Adapted as the loss or absence of valuable future possibilities</w:t>
            </w:r>
          </w:p>
        </w:tc>
      </w:tr>
      <w:tr>
        <w:trPr/>
        <w:tc>
          <w:tcPr>
            <w:tcW w:w="2466" w:type="dxa"/>
            <w:tcBorders/>
            <w:vAlign w:val="center"/>
          </w:tcPr>
          <w:p>
            <w:pPr>
              <w:pStyle w:val="TableContents"/>
              <w:widowControl w:val="false"/>
              <w:suppressLineNumbers/>
              <w:spacing w:before="0" w:after="200"/>
              <w:rPr/>
            </w:pPr>
            <w:r>
              <w:rPr>
                <w:rStyle w:val="Strong"/>
              </w:rPr>
              <w:t>Adaptive preferences</w:t>
            </w:r>
          </w:p>
        </w:tc>
        <w:tc>
          <w:tcPr>
            <w:tcW w:w="6174" w:type="dxa"/>
            <w:tcBorders/>
            <w:vAlign w:val="center"/>
          </w:tcPr>
          <w:p>
            <w:pPr>
              <w:pStyle w:val="TableContents"/>
              <w:widowControl w:val="false"/>
              <w:suppressLineNumbers/>
              <w:spacing w:before="0" w:after="200"/>
              <w:rPr/>
            </w:pPr>
            <w:r>
              <w:rPr/>
              <w:t>Incorporated as a warning that preferences may reflect deprivation, manipulation, or restricted expectations</w:t>
            </w:r>
          </w:p>
        </w:tc>
      </w:tr>
      <w:tr>
        <w:trPr/>
        <w:tc>
          <w:tcPr>
            <w:tcW w:w="2466" w:type="dxa"/>
            <w:tcBorders/>
            <w:vAlign w:val="center"/>
          </w:tcPr>
          <w:p>
            <w:pPr>
              <w:pStyle w:val="TableContents"/>
              <w:widowControl w:val="false"/>
              <w:suppressLineNumbers/>
              <w:spacing w:before="0" w:after="200"/>
              <w:rPr/>
            </w:pPr>
            <w:r>
              <w:rPr>
                <w:rStyle w:val="Strong"/>
              </w:rPr>
              <w:t>Capability security</w:t>
            </w:r>
          </w:p>
        </w:tc>
        <w:tc>
          <w:tcPr>
            <w:tcW w:w="6174" w:type="dxa"/>
            <w:tcBorders/>
            <w:vAlign w:val="center"/>
          </w:tcPr>
          <w:p>
            <w:pPr>
              <w:pStyle w:val="TableContents"/>
              <w:widowControl w:val="false"/>
              <w:suppressLineNumbers/>
              <w:spacing w:before="0" w:after="200"/>
              <w:rPr/>
            </w:pPr>
            <w:r>
              <w:rPr/>
              <w:t>Reflected in the durability, reliability, and resilience of valuable opportunities over time</w:t>
            </w:r>
          </w:p>
        </w:tc>
      </w:tr>
      <w:tr>
        <w:trPr/>
        <w:tc>
          <w:tcPr>
            <w:tcW w:w="2466" w:type="dxa"/>
            <w:tcBorders/>
            <w:vAlign w:val="center"/>
          </w:tcPr>
          <w:p>
            <w:pPr>
              <w:pStyle w:val="TableContents"/>
              <w:widowControl w:val="false"/>
              <w:suppressLineNumbers/>
              <w:spacing w:before="0" w:after="200"/>
              <w:rPr/>
            </w:pPr>
            <w:r>
              <w:rPr>
                <w:rStyle w:val="Strong"/>
              </w:rPr>
              <w:t>Thresholds</w:t>
            </w:r>
          </w:p>
        </w:tc>
        <w:tc>
          <w:tcPr>
            <w:tcW w:w="6174" w:type="dxa"/>
            <w:tcBorders/>
            <w:vAlign w:val="center"/>
          </w:tcPr>
          <w:p>
            <w:pPr>
              <w:pStyle w:val="TableContents"/>
              <w:widowControl w:val="false"/>
              <w:suppressLineNumbers/>
              <w:spacing w:before="0" w:after="200"/>
              <w:rPr/>
            </w:pPr>
            <w:r>
              <w:rPr/>
              <w:t>Adapted as minimum capability conditions below which trade-offs require special justification</w:t>
            </w:r>
          </w:p>
        </w:tc>
      </w:tr>
      <w:tr>
        <w:trPr/>
        <w:tc>
          <w:tcPr>
            <w:tcW w:w="2466" w:type="dxa"/>
            <w:tcBorders/>
            <w:vAlign w:val="center"/>
          </w:tcPr>
          <w:p>
            <w:pPr>
              <w:pStyle w:val="TableContents"/>
              <w:widowControl w:val="false"/>
              <w:suppressLineNumbers/>
              <w:spacing w:before="0" w:after="200"/>
              <w:rPr/>
            </w:pPr>
            <w:r>
              <w:rPr>
                <w:rStyle w:val="Strong"/>
              </w:rPr>
              <w:t>Central capabilities</w:t>
            </w:r>
          </w:p>
        </w:tc>
        <w:tc>
          <w:tcPr>
            <w:tcW w:w="6174" w:type="dxa"/>
            <w:tcBorders/>
            <w:vAlign w:val="center"/>
          </w:tcPr>
          <w:p>
            <w:pPr>
              <w:pStyle w:val="TableContents"/>
              <w:widowControl w:val="false"/>
              <w:suppressLineNumbers/>
              <w:spacing w:before="0" w:after="200"/>
              <w:rPr/>
            </w:pPr>
            <w:r>
              <w:rPr/>
              <w:t>Available as a human-specific dimensional profile for interpreting Long-Term Flourishing</w:t>
            </w:r>
          </w:p>
        </w:tc>
      </w:tr>
      <w:tr>
        <w:trPr/>
        <w:tc>
          <w:tcPr>
            <w:tcW w:w="2466" w:type="dxa"/>
            <w:tcBorders/>
            <w:vAlign w:val="center"/>
          </w:tcPr>
          <w:p>
            <w:pPr>
              <w:pStyle w:val="TableContents"/>
              <w:widowControl w:val="false"/>
              <w:suppressLineNumbers/>
              <w:spacing w:before="0" w:after="200"/>
              <w:rPr/>
            </w:pPr>
            <w:r>
              <w:rPr>
                <w:rStyle w:val="Strong"/>
              </w:rPr>
              <w:t>Each person as an end</w:t>
            </w:r>
          </w:p>
        </w:tc>
        <w:tc>
          <w:tcPr>
            <w:tcW w:w="6174" w:type="dxa"/>
            <w:tcBorders/>
            <w:vAlign w:val="center"/>
          </w:tcPr>
          <w:p>
            <w:pPr>
              <w:pStyle w:val="TableContents"/>
              <w:widowControl w:val="false"/>
              <w:suppressLineNumbers/>
              <w:spacing w:before="0" w:after="200"/>
              <w:rPr/>
            </w:pPr>
            <w:r>
              <w:rPr/>
              <w:t>Incorporated through entity-level disaggregation and protection against sacrificing individuals to aggregate improvement</w:t>
            </w:r>
          </w:p>
        </w:tc>
      </w:tr>
      <w:tr>
        <w:trPr/>
        <w:tc>
          <w:tcPr>
            <w:tcW w:w="2466" w:type="dxa"/>
            <w:tcBorders/>
            <w:vAlign w:val="center"/>
          </w:tcPr>
          <w:p>
            <w:pPr>
              <w:pStyle w:val="TableContents"/>
              <w:widowControl w:val="false"/>
              <w:suppressLineNumbers/>
              <w:spacing w:before="0" w:after="200"/>
              <w:rPr/>
            </w:pPr>
            <w:r>
              <w:rPr>
                <w:rStyle w:val="Strong"/>
              </w:rPr>
              <w:t>Public reasoning</w:t>
            </w:r>
          </w:p>
        </w:tc>
        <w:tc>
          <w:tcPr>
            <w:tcW w:w="6174" w:type="dxa"/>
            <w:tcBorders/>
            <w:vAlign w:val="center"/>
          </w:tcPr>
          <w:p>
            <w:pPr>
              <w:pStyle w:val="TableContents"/>
              <w:widowControl w:val="false"/>
              <w:suppressLineNumbers/>
              <w:spacing w:before="0" w:after="200"/>
              <w:rPr/>
            </w:pPr>
            <w:r>
              <w:rPr/>
              <w:t>Adapted as participatory review of values, thresholds, evidence, and capability selection</w:t>
            </w:r>
          </w:p>
        </w:tc>
      </w:tr>
      <w:tr>
        <w:trPr/>
        <w:tc>
          <w:tcPr>
            <w:tcW w:w="2466" w:type="dxa"/>
            <w:tcBorders/>
            <w:vAlign w:val="center"/>
          </w:tcPr>
          <w:p>
            <w:pPr>
              <w:pStyle w:val="TableContents"/>
              <w:widowControl w:val="false"/>
              <w:suppressLineNumbers/>
              <w:spacing w:before="0" w:after="200"/>
              <w:rPr/>
            </w:pPr>
            <w:r>
              <w:rPr>
                <w:rStyle w:val="Strong"/>
              </w:rPr>
              <w:t>Collective capabilities</w:t>
            </w:r>
          </w:p>
        </w:tc>
        <w:tc>
          <w:tcPr>
            <w:tcW w:w="6174" w:type="dxa"/>
            <w:tcBorders/>
            <w:vAlign w:val="center"/>
          </w:tcPr>
          <w:p>
            <w:pPr>
              <w:pStyle w:val="TableContents"/>
              <w:widowControl w:val="false"/>
              <w:suppressLineNumbers/>
              <w:spacing w:before="0" w:after="200"/>
              <w:rPr/>
            </w:pPr>
            <w:r>
              <w:rPr/>
              <w:t>Represented as opportunities that depend on relationships, institutions, shared infrastructure, or collective action</w:t>
            </w:r>
          </w:p>
        </w:tc>
      </w:tr>
      <w:tr>
        <w:trPr/>
        <w:tc>
          <w:tcPr>
            <w:tcW w:w="2466" w:type="dxa"/>
            <w:tcBorders/>
            <w:vAlign w:val="center"/>
          </w:tcPr>
          <w:p>
            <w:pPr>
              <w:pStyle w:val="TableContents"/>
              <w:widowControl w:val="false"/>
              <w:suppressLineNumbers/>
              <w:spacing w:before="0" w:after="200"/>
              <w:rPr/>
            </w:pPr>
            <w:r>
              <w:rPr>
                <w:rStyle w:val="Strong"/>
              </w:rPr>
              <w:t>Multidimensional evaluation</w:t>
            </w:r>
          </w:p>
        </w:tc>
        <w:tc>
          <w:tcPr>
            <w:tcW w:w="6174" w:type="dxa"/>
            <w:tcBorders/>
            <w:vAlign w:val="center"/>
          </w:tcPr>
          <w:p>
            <w:pPr>
              <w:pStyle w:val="TableContents"/>
              <w:widowControl w:val="false"/>
              <w:suppressLineNumbers/>
              <w:spacing w:before="0" w:after="200"/>
              <w:rPr/>
            </w:pPr>
            <w:r>
              <w:rPr/>
              <w:t>Reflected in the state-vector conception of flourishing</w:t>
            </w:r>
          </w:p>
        </w:tc>
      </w:tr>
      <w:tr>
        <w:trPr/>
        <w:tc>
          <w:tcPr>
            <w:tcW w:w="2466" w:type="dxa"/>
            <w:tcBorders/>
            <w:vAlign w:val="center"/>
          </w:tcPr>
          <w:p>
            <w:pPr>
              <w:pStyle w:val="TableContents"/>
              <w:widowControl w:val="false"/>
              <w:suppressLineNumbers/>
              <w:spacing w:before="0" w:after="200"/>
              <w:rPr/>
            </w:pPr>
            <w:r>
              <w:rPr>
                <w:rStyle w:val="Strong"/>
              </w:rPr>
              <w:t>Multidimensional deprivation</w:t>
            </w:r>
          </w:p>
        </w:tc>
        <w:tc>
          <w:tcPr>
            <w:tcW w:w="6174" w:type="dxa"/>
            <w:tcBorders/>
            <w:vAlign w:val="center"/>
          </w:tcPr>
          <w:p>
            <w:pPr>
              <w:pStyle w:val="TableContents"/>
              <w:widowControl w:val="false"/>
              <w:suppressLineNumbers/>
              <w:spacing w:before="0" w:after="200"/>
              <w:rPr/>
            </w:pPr>
            <w:r>
              <w:rPr/>
              <w:t>Adapted as simultaneous shortfalls across multiple ethically important state dimensions</w:t>
            </w:r>
          </w:p>
        </w:tc>
      </w:tr>
      <w:tr>
        <w:trPr/>
        <w:tc>
          <w:tcPr>
            <w:tcW w:w="2466" w:type="dxa"/>
            <w:tcBorders/>
            <w:vAlign w:val="center"/>
          </w:tcPr>
          <w:p>
            <w:pPr>
              <w:pStyle w:val="TableContents"/>
              <w:widowControl w:val="false"/>
              <w:suppressLineNumbers/>
              <w:spacing w:before="0" w:after="200"/>
              <w:rPr/>
            </w:pPr>
            <w:r>
              <w:rPr>
                <w:rStyle w:val="Strong"/>
              </w:rPr>
              <w:t>Capability selection</w:t>
            </w:r>
          </w:p>
        </w:tc>
        <w:tc>
          <w:tcPr>
            <w:tcW w:w="6174" w:type="dxa"/>
            <w:tcBorders/>
            <w:vAlign w:val="center"/>
          </w:tcPr>
          <w:p>
            <w:pPr>
              <w:pStyle w:val="TableContents"/>
              <w:widowControl w:val="false"/>
              <w:suppressLineNumbers/>
              <w:spacing w:before="0" w:after="200"/>
              <w:rPr/>
            </w:pPr>
            <w:r>
              <w:rPr/>
              <w:t>Incorporated through context-sensitive identification of valuable entity-specific possibilities</w:t>
            </w:r>
          </w:p>
        </w:tc>
      </w:tr>
      <w:tr>
        <w:trPr/>
        <w:tc>
          <w:tcPr>
            <w:tcW w:w="2466" w:type="dxa"/>
            <w:tcBorders/>
            <w:vAlign w:val="center"/>
          </w:tcPr>
          <w:p>
            <w:pPr>
              <w:pStyle w:val="TableContents"/>
              <w:widowControl w:val="false"/>
              <w:suppressLineNumbers/>
              <w:spacing w:before="0" w:after="200"/>
              <w:rPr/>
            </w:pPr>
            <w:r>
              <w:rPr>
                <w:rStyle w:val="Strong"/>
              </w:rPr>
              <w:t>Capability weighting</w:t>
            </w:r>
          </w:p>
        </w:tc>
        <w:tc>
          <w:tcPr>
            <w:tcW w:w="6174" w:type="dxa"/>
            <w:tcBorders/>
            <w:vAlign w:val="center"/>
          </w:tcPr>
          <w:p>
            <w:pPr>
              <w:pStyle w:val="TableContents"/>
              <w:widowControl w:val="false"/>
              <w:suppressLineNumbers/>
              <w:spacing w:before="0" w:after="200"/>
              <w:rPr/>
            </w:pPr>
            <w:r>
              <w:rPr/>
              <w:t>Treated as an explicit, contestable ethical judgment rather than an automatic technical output</w:t>
            </w:r>
          </w:p>
        </w:tc>
      </w:tr>
      <w:tr>
        <w:trPr/>
        <w:tc>
          <w:tcPr>
            <w:tcW w:w="2466" w:type="dxa"/>
            <w:tcBorders/>
            <w:vAlign w:val="center"/>
          </w:tcPr>
          <w:p>
            <w:pPr>
              <w:pStyle w:val="TableContents"/>
              <w:widowControl w:val="false"/>
              <w:suppressLineNumbers/>
              <w:spacing w:before="0" w:after="200"/>
              <w:rPr/>
            </w:pPr>
            <w:r>
              <w:rPr>
                <w:rStyle w:val="Strong"/>
              </w:rPr>
              <w:t>Human diversity</w:t>
            </w:r>
          </w:p>
        </w:tc>
        <w:tc>
          <w:tcPr>
            <w:tcW w:w="6174" w:type="dxa"/>
            <w:tcBorders/>
            <w:vAlign w:val="center"/>
          </w:tcPr>
          <w:p>
            <w:pPr>
              <w:pStyle w:val="TableContents"/>
              <w:widowControl w:val="false"/>
              <w:suppressLineNumbers/>
              <w:spacing w:before="0" w:after="200"/>
              <w:rPr/>
            </w:pPr>
            <w:r>
              <w:rPr/>
              <w:t>Incorporated through entity-specific conversion factors and differentiated effects</w:t>
            </w:r>
          </w:p>
        </w:tc>
      </w:tr>
      <w:tr>
        <w:trPr/>
        <w:tc>
          <w:tcPr>
            <w:tcW w:w="2466" w:type="dxa"/>
            <w:tcBorders/>
            <w:vAlign w:val="center"/>
          </w:tcPr>
          <w:p>
            <w:pPr>
              <w:pStyle w:val="TableContents"/>
              <w:widowControl w:val="false"/>
              <w:suppressLineNumbers/>
              <w:spacing w:before="0" w:after="200"/>
              <w:rPr/>
            </w:pPr>
            <w:r>
              <w:rPr>
                <w:rStyle w:val="Strong"/>
              </w:rPr>
              <w:t>Control over environment</w:t>
            </w:r>
          </w:p>
        </w:tc>
        <w:tc>
          <w:tcPr>
            <w:tcW w:w="6174" w:type="dxa"/>
            <w:tcBorders/>
            <w:vAlign w:val="center"/>
          </w:tcPr>
          <w:p>
            <w:pPr>
              <w:pStyle w:val="TableContents"/>
              <w:widowControl w:val="false"/>
              <w:suppressLineNumbers/>
              <w:spacing w:before="0" w:after="200"/>
              <w:rPr/>
            </w:pPr>
            <w:r>
              <w:rPr/>
              <w:t>Reflected in meaningful participation, political voice, material security, and influence over relevant decisions</w:t>
            </w:r>
          </w:p>
        </w:tc>
      </w:tr>
      <w:tr>
        <w:trPr/>
        <w:tc>
          <w:tcPr>
            <w:tcW w:w="2466" w:type="dxa"/>
            <w:tcBorders/>
            <w:vAlign w:val="center"/>
          </w:tcPr>
          <w:p>
            <w:pPr>
              <w:pStyle w:val="TableContents"/>
              <w:widowControl w:val="false"/>
              <w:suppressLineNumbers/>
              <w:spacing w:before="0" w:after="200"/>
              <w:rPr/>
            </w:pPr>
            <w:r>
              <w:rPr>
                <w:rStyle w:val="Strong"/>
              </w:rPr>
              <w:t>Practical reason</w:t>
            </w:r>
          </w:p>
        </w:tc>
        <w:tc>
          <w:tcPr>
            <w:tcW w:w="6174" w:type="dxa"/>
            <w:tcBorders/>
            <w:vAlign w:val="center"/>
          </w:tcPr>
          <w:p>
            <w:pPr>
              <w:pStyle w:val="TableContents"/>
              <w:widowControl w:val="false"/>
              <w:suppressLineNumbers/>
              <w:spacing w:before="0" w:after="200"/>
              <w:rPr/>
            </w:pPr>
            <w:r>
              <w:rPr/>
              <w:t>Reflected in the adaptive development of moral agency and critical reflection</w:t>
            </w:r>
          </w:p>
        </w:tc>
      </w:tr>
      <w:tr>
        <w:trPr/>
        <w:tc>
          <w:tcPr>
            <w:tcW w:w="2466" w:type="dxa"/>
            <w:tcBorders/>
            <w:vAlign w:val="center"/>
          </w:tcPr>
          <w:p>
            <w:pPr>
              <w:pStyle w:val="TableContents"/>
              <w:widowControl w:val="false"/>
              <w:suppressLineNumbers/>
              <w:spacing w:before="0" w:after="200"/>
              <w:rPr/>
            </w:pPr>
            <w:r>
              <w:rPr>
                <w:rStyle w:val="Strong"/>
              </w:rPr>
              <w:t>Affiliation</w:t>
            </w:r>
          </w:p>
        </w:tc>
        <w:tc>
          <w:tcPr>
            <w:tcW w:w="6174" w:type="dxa"/>
            <w:tcBorders/>
            <w:vAlign w:val="center"/>
          </w:tcPr>
          <w:p>
            <w:pPr>
              <w:pStyle w:val="TableContents"/>
              <w:widowControl w:val="false"/>
              <w:suppressLineNumbers/>
              <w:spacing w:before="0" w:after="200"/>
              <w:rPr/>
            </w:pPr>
            <w:r>
              <w:rPr/>
              <w:t>Reflected in Associations, belonging, participation, non-humiliation, and reciprocal social support</w:t>
            </w:r>
          </w:p>
        </w:tc>
      </w:tr>
    </w:tbl>
    <w:p>
      <w:pPr>
        <w:pStyle w:val="Heading3"/>
        <w:rPr/>
      </w:pPr>
      <w:r>
        <w:rPr/>
        <w:t>Similarities</w:t>
      </w:r>
    </w:p>
    <w:p>
      <w:pPr>
        <w:pStyle w:val="BodyText"/>
        <w:numPr>
          <w:ilvl w:val="0"/>
          <w:numId w:val="143"/>
        </w:numPr>
        <w:tabs>
          <w:tab w:val="clear" w:pos="720"/>
          <w:tab w:val="left" w:pos="0" w:leader="none"/>
        </w:tabs>
        <w:spacing w:before="0" w:after="200"/>
        <w:ind w:hanging="283" w:left="709"/>
        <w:rPr/>
      </w:pPr>
      <w:r>
        <w:rPr>
          <w:rStyle w:val="Strong"/>
        </w:rPr>
        <w:t>Both define flourishing as multidimensional.</w:t>
      </w:r>
      <w:r>
        <w:rPr/>
        <w:br/>
        <w:t>Neither approach reduces a good state to income, preference satisfaction, pleasure, or survival.</w:t>
      </w:r>
    </w:p>
    <w:p>
      <w:pPr>
        <w:pStyle w:val="BodyText"/>
        <w:numPr>
          <w:ilvl w:val="0"/>
          <w:numId w:val="143"/>
        </w:numPr>
        <w:tabs>
          <w:tab w:val="clear" w:pos="720"/>
          <w:tab w:val="left" w:pos="0" w:leader="none"/>
        </w:tabs>
        <w:spacing w:before="0" w:after="200"/>
        <w:ind w:hanging="283" w:left="709"/>
        <w:rPr/>
      </w:pPr>
      <w:r>
        <w:rPr>
          <w:rStyle w:val="Strong"/>
        </w:rPr>
        <w:t>Both distinguish means from ends.</w:t>
      </w:r>
      <w:r>
        <w:rPr/>
        <w:br/>
        <w:t>Resources and technologies are ethically valuable partly because of the beneficial states and capacities they make possible.</w:t>
      </w:r>
    </w:p>
    <w:p>
      <w:pPr>
        <w:pStyle w:val="BodyText"/>
        <w:numPr>
          <w:ilvl w:val="0"/>
          <w:numId w:val="143"/>
        </w:numPr>
        <w:tabs>
          <w:tab w:val="clear" w:pos="720"/>
          <w:tab w:val="left" w:pos="0" w:leader="none"/>
        </w:tabs>
        <w:spacing w:before="0" w:after="200"/>
        <w:ind w:hanging="283" w:left="709"/>
        <w:rPr/>
      </w:pPr>
      <w:r>
        <w:rPr>
          <w:rStyle w:val="Strong"/>
        </w:rPr>
        <w:t>Both focus on future possibilities.</w:t>
      </w:r>
      <w:r>
        <w:rPr/>
        <w:br/>
        <w:t>The framework’s beneficial future state space closely parallels a capability set.</w:t>
      </w:r>
    </w:p>
    <w:p>
      <w:pPr>
        <w:pStyle w:val="BodyText"/>
        <w:numPr>
          <w:ilvl w:val="0"/>
          <w:numId w:val="143"/>
        </w:numPr>
        <w:tabs>
          <w:tab w:val="clear" w:pos="720"/>
          <w:tab w:val="left" w:pos="0" w:leader="none"/>
        </w:tabs>
        <w:spacing w:before="0" w:after="200"/>
        <w:ind w:hanging="283" w:left="709"/>
        <w:rPr/>
      </w:pPr>
      <w:r>
        <w:rPr>
          <w:rStyle w:val="Strong"/>
        </w:rPr>
        <w:t>Both recognize entity diversity.</w:t>
      </w:r>
      <w:r>
        <w:rPr/>
        <w:br/>
        <w:t>Identical interventions can produce different effects because entities have different characteristics, relationships, and environments.</w:t>
      </w:r>
    </w:p>
    <w:p>
      <w:pPr>
        <w:pStyle w:val="BodyText"/>
        <w:numPr>
          <w:ilvl w:val="0"/>
          <w:numId w:val="143"/>
        </w:numPr>
        <w:tabs>
          <w:tab w:val="clear" w:pos="720"/>
          <w:tab w:val="left" w:pos="0" w:leader="none"/>
        </w:tabs>
        <w:spacing w:before="0" w:after="200"/>
        <w:ind w:hanging="283" w:left="709"/>
        <w:rPr/>
      </w:pPr>
      <w:r>
        <w:rPr>
          <w:rStyle w:val="Strong"/>
        </w:rPr>
        <w:t>Both examine contextual constraints.</w:t>
      </w:r>
      <w:r>
        <w:rPr/>
        <w:br/>
        <w:t>Formal opportunity is insufficient when social, institutional, physical, or informational conditions make the opportunity unusable.</w:t>
      </w:r>
    </w:p>
    <w:p>
      <w:pPr>
        <w:pStyle w:val="BodyText"/>
        <w:numPr>
          <w:ilvl w:val="0"/>
          <w:numId w:val="143"/>
        </w:numPr>
        <w:tabs>
          <w:tab w:val="clear" w:pos="720"/>
          <w:tab w:val="left" w:pos="0" w:leader="none"/>
        </w:tabs>
        <w:spacing w:before="0" w:after="200"/>
        <w:ind w:hanging="283" w:left="709"/>
        <w:rPr/>
      </w:pPr>
      <w:r>
        <w:rPr>
          <w:rStyle w:val="Strong"/>
        </w:rPr>
        <w:t>Both recognize agency as part of flourishing.</w:t>
      </w:r>
      <w:r>
        <w:rPr/>
        <w:br/>
        <w:t>A person’s ability to participate in shaping their future matters in addition to the resulting welfare state.</w:t>
      </w:r>
    </w:p>
    <w:p>
      <w:pPr>
        <w:pStyle w:val="BodyText"/>
        <w:numPr>
          <w:ilvl w:val="0"/>
          <w:numId w:val="143"/>
        </w:numPr>
        <w:tabs>
          <w:tab w:val="clear" w:pos="720"/>
          <w:tab w:val="left" w:pos="0" w:leader="none"/>
        </w:tabs>
        <w:spacing w:before="0" w:after="200"/>
        <w:ind w:hanging="283" w:left="709"/>
        <w:rPr/>
      </w:pPr>
      <w:r>
        <w:rPr>
          <w:rStyle w:val="Strong"/>
        </w:rPr>
        <w:t>Both resist exclusive reliance on achieved outcomes.</w:t>
      </w:r>
      <w:r>
        <w:rPr/>
        <w:br/>
        <w:t>The pathway, available alternatives, coercion, and opportunity set remain ethically relevant.</w:t>
      </w:r>
    </w:p>
    <w:p>
      <w:pPr>
        <w:pStyle w:val="BodyText"/>
        <w:numPr>
          <w:ilvl w:val="0"/>
          <w:numId w:val="143"/>
        </w:numPr>
        <w:tabs>
          <w:tab w:val="clear" w:pos="720"/>
          <w:tab w:val="left" w:pos="0" w:leader="none"/>
        </w:tabs>
        <w:spacing w:before="0" w:after="200"/>
        <w:ind w:hanging="283" w:left="709"/>
        <w:rPr/>
      </w:pPr>
      <w:r>
        <w:rPr>
          <w:rStyle w:val="Strong"/>
        </w:rPr>
        <w:t>Both resist exclusive reliance on subjective satisfaction.</w:t>
      </w:r>
      <w:r>
        <w:rPr/>
        <w:br/>
        <w:t>Satisfaction may reflect adaptation to deprivation, manipulation, lack of information, or restricted expectations.</w:t>
      </w:r>
    </w:p>
    <w:p>
      <w:pPr>
        <w:pStyle w:val="BodyText"/>
        <w:numPr>
          <w:ilvl w:val="0"/>
          <w:numId w:val="143"/>
        </w:numPr>
        <w:tabs>
          <w:tab w:val="clear" w:pos="720"/>
          <w:tab w:val="left" w:pos="0" w:leader="none"/>
        </w:tabs>
        <w:spacing w:before="0" w:after="200"/>
        <w:ind w:hanging="283" w:left="709"/>
        <w:rPr/>
      </w:pPr>
      <w:r>
        <w:rPr>
          <w:rStyle w:val="Strong"/>
        </w:rPr>
        <w:t>Both support disaggregated analysis.</w:t>
      </w:r>
      <w:r>
        <w:rPr/>
        <w:br/>
        <w:t>Aggregate improvement can conceal severe deprivation among particular entities.</w:t>
      </w:r>
    </w:p>
    <w:p>
      <w:pPr>
        <w:pStyle w:val="BodyText"/>
        <w:numPr>
          <w:ilvl w:val="0"/>
          <w:numId w:val="143"/>
        </w:numPr>
        <w:tabs>
          <w:tab w:val="clear" w:pos="720"/>
          <w:tab w:val="left" w:pos="0" w:leader="none"/>
        </w:tabs>
        <w:spacing w:before="0" w:after="200"/>
        <w:ind w:hanging="283" w:left="709"/>
        <w:rPr/>
      </w:pPr>
      <w:r>
        <w:rPr>
          <w:rStyle w:val="Strong"/>
        </w:rPr>
        <w:t>Both recognize long-term security.</w:t>
      </w:r>
      <w:r>
        <w:rPr/>
        <w:br/>
        <w:t>A temporary or fragile opportunity does not provide the same flourishing as a durable capability.</w:t>
      </w:r>
    </w:p>
    <w:p>
      <w:pPr>
        <w:pStyle w:val="BodyText"/>
        <w:numPr>
          <w:ilvl w:val="0"/>
          <w:numId w:val="143"/>
        </w:numPr>
        <w:tabs>
          <w:tab w:val="clear" w:pos="720"/>
          <w:tab w:val="left" w:pos="0" w:leader="none"/>
        </w:tabs>
        <w:spacing w:before="0" w:after="200"/>
        <w:ind w:hanging="283" w:left="709"/>
        <w:rPr/>
      </w:pPr>
      <w:r>
        <w:rPr>
          <w:rStyle w:val="Strong"/>
        </w:rPr>
        <w:t>Both treat institutions as conversion structures.</w:t>
      </w:r>
      <w:r>
        <w:rPr/>
        <w:br/>
        <w:t>Policies, infrastructure, norms, technology, and authority affect whether resources become usable opportunities.</w:t>
      </w:r>
    </w:p>
    <w:p>
      <w:pPr>
        <w:pStyle w:val="BodyText"/>
        <w:numPr>
          <w:ilvl w:val="0"/>
          <w:numId w:val="143"/>
        </w:numPr>
        <w:tabs>
          <w:tab w:val="clear" w:pos="720"/>
          <w:tab w:val="left" w:pos="0" w:leader="none"/>
        </w:tabs>
        <w:spacing w:before="0" w:after="200"/>
        <w:ind w:hanging="283" w:left="709"/>
        <w:rPr/>
      </w:pPr>
      <w:r>
        <w:rPr>
          <w:rStyle w:val="Strong"/>
        </w:rPr>
        <w:t>Both recognize developmental agency.</w:t>
      </w:r>
      <w:r>
        <w:rPr/>
        <w:br/>
        <w:t>Education, information, experience, and institutional support can improve an agent’s capacity to choose and act.</w:t>
      </w:r>
    </w:p>
    <w:p>
      <w:pPr>
        <w:pStyle w:val="BodyText"/>
        <w:numPr>
          <w:ilvl w:val="0"/>
          <w:numId w:val="143"/>
        </w:numPr>
        <w:tabs>
          <w:tab w:val="clear" w:pos="720"/>
          <w:tab w:val="left" w:pos="0" w:leader="none"/>
        </w:tabs>
        <w:spacing w:before="0" w:after="200"/>
        <w:ind w:hanging="283" w:left="709"/>
        <w:rPr/>
      </w:pPr>
      <w:r>
        <w:rPr>
          <w:rStyle w:val="Strong"/>
        </w:rPr>
        <w:t>Both support public and participatory reasoning.</w:t>
      </w:r>
      <w:r>
        <w:rPr/>
        <w:br/>
        <w:t>Affected parties can contribute to identifying valuable states and contextual barriers.</w:t>
      </w:r>
    </w:p>
    <w:p>
      <w:pPr>
        <w:pStyle w:val="BodyText"/>
        <w:numPr>
          <w:ilvl w:val="0"/>
          <w:numId w:val="143"/>
        </w:numPr>
        <w:tabs>
          <w:tab w:val="clear" w:pos="720"/>
          <w:tab w:val="left" w:pos="0" w:leader="none"/>
        </w:tabs>
        <w:spacing w:before="0" w:after="200"/>
        <w:ind w:hanging="283" w:left="709"/>
        <w:rPr/>
      </w:pPr>
      <w:r>
        <w:rPr>
          <w:rStyle w:val="Strong"/>
        </w:rPr>
        <w:t>Both reject simple aggregation as a complete moral test.</w:t>
      </w:r>
      <w:r>
        <w:rPr/>
        <w:br/>
        <w:t>Gains in one dimension or for one group may not compensate for severe losses elsewhere.</w:t>
      </w:r>
    </w:p>
    <w:p>
      <w:pPr>
        <w:pStyle w:val="BodyText"/>
        <w:numPr>
          <w:ilvl w:val="0"/>
          <w:numId w:val="143"/>
        </w:numPr>
        <w:tabs>
          <w:tab w:val="clear" w:pos="720"/>
          <w:tab w:val="left" w:pos="0" w:leader="none"/>
        </w:tabs>
        <w:spacing w:before="0" w:after="200"/>
        <w:ind w:hanging="283" w:left="709"/>
        <w:rPr/>
      </w:pPr>
      <w:r>
        <w:rPr>
          <w:rStyle w:val="Strong"/>
        </w:rPr>
        <w:t>Both can accommodate thresholds.</w:t>
      </w:r>
      <w:r>
        <w:rPr/>
        <w:br/>
        <w:t>Minimum capability protections can constrain otherwise favorable aggregate transitions.</w:t>
      </w:r>
    </w:p>
    <w:p>
      <w:pPr>
        <w:pStyle w:val="BodyText"/>
        <w:numPr>
          <w:ilvl w:val="0"/>
          <w:numId w:val="143"/>
        </w:numPr>
        <w:tabs>
          <w:tab w:val="clear" w:pos="720"/>
          <w:tab w:val="left" w:pos="0" w:leader="none"/>
        </w:tabs>
        <w:spacing w:before="0" w:after="200"/>
        <w:ind w:hanging="283" w:left="709"/>
        <w:rPr/>
      </w:pPr>
      <w:r>
        <w:rPr>
          <w:rStyle w:val="Strong"/>
        </w:rPr>
        <w:t>Both recognize collective and relational conditions.</w:t>
      </w:r>
      <w:r>
        <w:rPr/>
        <w:br/>
        <w:t>Many valuable opportunities depend on communities, institutions, and shared resources.</w:t>
      </w:r>
    </w:p>
    <w:p>
      <w:pPr>
        <w:pStyle w:val="BodyText"/>
        <w:numPr>
          <w:ilvl w:val="0"/>
          <w:numId w:val="143"/>
        </w:numPr>
        <w:tabs>
          <w:tab w:val="clear" w:pos="720"/>
          <w:tab w:val="left" w:pos="0" w:leader="none"/>
        </w:tabs>
        <w:spacing w:before="0" w:after="200"/>
        <w:ind w:hanging="283" w:left="709"/>
        <w:rPr/>
      </w:pPr>
      <w:r>
        <w:rPr>
          <w:rStyle w:val="Strong"/>
        </w:rPr>
        <w:t>Both can evaluate capability contraction as harm.</w:t>
      </w:r>
      <w:r>
        <w:rPr/>
        <w:br/>
        <w:t>An action may be harmful because it eliminates valuable future options even if it does not immediately worsen an observed functioning.</w:t>
      </w:r>
    </w:p>
    <w:p>
      <w:pPr>
        <w:pStyle w:val="Heading3"/>
        <w:rPr/>
      </w:pPr>
      <w:r>
        <w:rPr/>
        <w:t>Differences</w:t>
      </w:r>
    </w:p>
    <w:tbl>
      <w:tblPr>
        <w:tblW w:w="8640" w:type="dxa"/>
        <w:jc w:val="left"/>
        <w:tblInd w:w="28" w:type="dxa"/>
        <w:tblLayout w:type="fixed"/>
        <w:tblCellMar>
          <w:top w:w="28" w:type="dxa"/>
          <w:left w:w="28" w:type="dxa"/>
          <w:bottom w:w="28" w:type="dxa"/>
          <w:right w:w="28" w:type="dxa"/>
        </w:tblCellMar>
      </w:tblPr>
      <w:tblGrid>
        <w:gridCol w:w="1977"/>
        <w:gridCol w:w="2774"/>
        <w:gridCol w:w="3889"/>
      </w:tblGrid>
      <w:tr>
        <w:trPr>
          <w:tblHeader w:val="true"/>
        </w:trPr>
        <w:tc>
          <w:tcPr>
            <w:tcW w:w="1977" w:type="dxa"/>
            <w:tcBorders/>
            <w:vAlign w:val="center"/>
          </w:tcPr>
          <w:p>
            <w:pPr>
              <w:pStyle w:val="TableHeading"/>
              <w:suppressLineNumbers/>
              <w:spacing w:before="0" w:after="200"/>
              <w:jc w:val="center"/>
              <w:rPr/>
            </w:pPr>
            <w:r>
              <w:rPr/>
              <w:t>Dimension</w:t>
            </w:r>
          </w:p>
        </w:tc>
        <w:tc>
          <w:tcPr>
            <w:tcW w:w="2774" w:type="dxa"/>
            <w:tcBorders/>
            <w:vAlign w:val="center"/>
          </w:tcPr>
          <w:p>
            <w:pPr>
              <w:pStyle w:val="TableHeading"/>
              <w:suppressLineNumbers/>
              <w:spacing w:before="0" w:after="200"/>
              <w:jc w:val="center"/>
              <w:rPr/>
            </w:pPr>
            <w:r>
              <w:rPr/>
              <w:t>Capability Approach</w:t>
            </w:r>
          </w:p>
        </w:tc>
        <w:tc>
          <w:tcPr>
            <w:tcW w:w="3889" w:type="dxa"/>
            <w:tcBorders/>
            <w:vAlign w:val="center"/>
          </w:tcPr>
          <w:p>
            <w:pPr>
              <w:pStyle w:val="TableHeading"/>
              <w:suppressLineNumbers/>
              <w:spacing w:before="0" w:after="200"/>
              <w:jc w:val="center"/>
              <w:rPr/>
            </w:pPr>
            <w:r>
              <w:rPr/>
              <w:t>This framework</w:t>
            </w:r>
          </w:p>
        </w:tc>
      </w:tr>
      <w:tr>
        <w:trPr/>
        <w:tc>
          <w:tcPr>
            <w:tcW w:w="1977" w:type="dxa"/>
            <w:tcBorders/>
            <w:vAlign w:val="center"/>
          </w:tcPr>
          <w:p>
            <w:pPr>
              <w:pStyle w:val="TableContents"/>
              <w:widowControl w:val="false"/>
              <w:suppressLineNumbers/>
              <w:spacing w:before="0" w:after="200"/>
              <w:rPr/>
            </w:pPr>
            <w:r>
              <w:rPr>
                <w:rStyle w:val="Strong"/>
              </w:rPr>
              <w:t>Primary evaluative focus</w:t>
            </w:r>
          </w:p>
        </w:tc>
        <w:tc>
          <w:tcPr>
            <w:tcW w:w="2774" w:type="dxa"/>
            <w:tcBorders/>
            <w:vAlign w:val="center"/>
          </w:tcPr>
          <w:p>
            <w:pPr>
              <w:pStyle w:val="TableContents"/>
              <w:widowControl w:val="false"/>
              <w:suppressLineNumbers/>
              <w:spacing w:before="0" w:after="200"/>
              <w:rPr/>
            </w:pPr>
            <w:r>
              <w:rPr/>
              <w:t>What persons are genuinely able to do and be</w:t>
            </w:r>
          </w:p>
        </w:tc>
        <w:tc>
          <w:tcPr>
            <w:tcW w:w="3889" w:type="dxa"/>
            <w:tcBorders/>
            <w:vAlign w:val="center"/>
          </w:tcPr>
          <w:p>
            <w:pPr>
              <w:pStyle w:val="TableContents"/>
              <w:widowControl w:val="false"/>
              <w:suppressLineNumbers/>
              <w:spacing w:before="0" w:after="200"/>
              <w:rPr/>
            </w:pPr>
            <w:r>
              <w:rPr/>
              <w:t>Complete World Context Transition produced by an Assessed Action</w:t>
            </w:r>
          </w:p>
        </w:tc>
      </w:tr>
      <w:tr>
        <w:trPr/>
        <w:tc>
          <w:tcPr>
            <w:tcW w:w="1977" w:type="dxa"/>
            <w:tcBorders/>
            <w:vAlign w:val="center"/>
          </w:tcPr>
          <w:p>
            <w:pPr>
              <w:pStyle w:val="TableContents"/>
              <w:widowControl w:val="false"/>
              <w:suppressLineNumbers/>
              <w:spacing w:before="0" w:after="200"/>
              <w:rPr/>
            </w:pPr>
            <w:r>
              <w:rPr>
                <w:rStyle w:val="Strong"/>
              </w:rPr>
              <w:t>Primary subjects</w:t>
            </w:r>
          </w:p>
        </w:tc>
        <w:tc>
          <w:tcPr>
            <w:tcW w:w="2774" w:type="dxa"/>
            <w:tcBorders/>
            <w:vAlign w:val="center"/>
          </w:tcPr>
          <w:p>
            <w:pPr>
              <w:pStyle w:val="TableContents"/>
              <w:widowControl w:val="false"/>
              <w:suppressLineNumbers/>
              <w:spacing w:before="0" w:after="200"/>
              <w:rPr/>
            </w:pPr>
            <w:r>
              <w:rPr/>
              <w:t>Predominantly individual human persons; some versions include animals and collective capabilities</w:t>
            </w:r>
          </w:p>
        </w:tc>
        <w:tc>
          <w:tcPr>
            <w:tcW w:w="3889" w:type="dxa"/>
            <w:tcBorders/>
            <w:vAlign w:val="center"/>
          </w:tcPr>
          <w:p>
            <w:pPr>
              <w:pStyle w:val="TableContents"/>
              <w:widowControl w:val="false"/>
              <w:suppressLineNumbers/>
              <w:spacing w:before="0" w:after="200"/>
              <w:rPr/>
            </w:pPr>
            <w:r>
              <w:rPr/>
              <w:t>All relevant persistent adaptive entities, potentially including humans, animals, ecosystems, institutions, and artificial systems</w:t>
            </w:r>
          </w:p>
        </w:tc>
      </w:tr>
      <w:tr>
        <w:trPr/>
        <w:tc>
          <w:tcPr>
            <w:tcW w:w="1977" w:type="dxa"/>
            <w:tcBorders/>
            <w:vAlign w:val="center"/>
          </w:tcPr>
          <w:p>
            <w:pPr>
              <w:pStyle w:val="TableContents"/>
              <w:widowControl w:val="false"/>
              <w:suppressLineNumbers/>
              <w:spacing w:before="0" w:after="200"/>
              <w:rPr/>
            </w:pPr>
            <w:r>
              <w:rPr>
                <w:rStyle w:val="Strong"/>
              </w:rPr>
              <w:t>Normative structure</w:t>
            </w:r>
          </w:p>
        </w:tc>
        <w:tc>
          <w:tcPr>
            <w:tcW w:w="2774" w:type="dxa"/>
            <w:tcBorders/>
            <w:vAlign w:val="center"/>
          </w:tcPr>
          <w:p>
            <w:pPr>
              <w:pStyle w:val="TableContents"/>
              <w:widowControl w:val="false"/>
              <w:suppressLineNumbers/>
              <w:spacing w:before="0" w:after="200"/>
              <w:rPr/>
            </w:pPr>
            <w:r>
              <w:rPr/>
              <w:t>A flexible evaluative framework; particular capability theories add further principles</w:t>
            </w:r>
          </w:p>
        </w:tc>
        <w:tc>
          <w:tcPr>
            <w:tcW w:w="3889" w:type="dxa"/>
            <w:tcBorders/>
            <w:vAlign w:val="center"/>
          </w:tcPr>
          <w:p>
            <w:pPr>
              <w:pStyle w:val="TableContents"/>
              <w:widowControl w:val="false"/>
              <w:suppressLineNumbers/>
              <w:spacing w:before="0" w:after="200"/>
              <w:rPr/>
            </w:pPr>
            <w:r>
              <w:rPr/>
              <w:t>Organized around a specified Foundational Axiom</w:t>
            </w:r>
          </w:p>
        </w:tc>
      </w:tr>
      <w:tr>
        <w:trPr/>
        <w:tc>
          <w:tcPr>
            <w:tcW w:w="1977" w:type="dxa"/>
            <w:tcBorders/>
            <w:vAlign w:val="center"/>
          </w:tcPr>
          <w:p>
            <w:pPr>
              <w:pStyle w:val="TableContents"/>
              <w:widowControl w:val="false"/>
              <w:suppressLineNumbers/>
              <w:spacing w:before="0" w:after="200"/>
              <w:rPr/>
            </w:pPr>
            <w:r>
              <w:rPr>
                <w:rStyle w:val="Strong"/>
              </w:rPr>
              <w:t>Unit of advantage</w:t>
            </w:r>
          </w:p>
        </w:tc>
        <w:tc>
          <w:tcPr>
            <w:tcW w:w="2774" w:type="dxa"/>
            <w:tcBorders/>
            <w:vAlign w:val="center"/>
          </w:tcPr>
          <w:p>
            <w:pPr>
              <w:pStyle w:val="TableContents"/>
              <w:widowControl w:val="false"/>
              <w:suppressLineNumbers/>
              <w:spacing w:before="0" w:after="200"/>
              <w:rPr/>
            </w:pPr>
            <w:r>
              <w:rPr/>
              <w:t>Capabilities and functionings</w:t>
            </w:r>
          </w:p>
        </w:tc>
        <w:tc>
          <w:tcPr>
            <w:tcW w:w="3889" w:type="dxa"/>
            <w:tcBorders/>
            <w:vAlign w:val="center"/>
          </w:tcPr>
          <w:p>
            <w:pPr>
              <w:pStyle w:val="TableContents"/>
              <w:widowControl w:val="false"/>
              <w:suppressLineNumbers/>
              <w:spacing w:before="0" w:after="200"/>
              <w:rPr/>
            </w:pPr>
            <w:r>
              <w:rPr/>
              <w:t>Multidimensional Long-Term Flourishing and beneficial future state space</w:t>
            </w:r>
          </w:p>
        </w:tc>
      </w:tr>
      <w:tr>
        <w:trPr/>
        <w:tc>
          <w:tcPr>
            <w:tcW w:w="1977" w:type="dxa"/>
            <w:tcBorders/>
            <w:vAlign w:val="center"/>
          </w:tcPr>
          <w:p>
            <w:pPr>
              <w:pStyle w:val="TableContents"/>
              <w:widowControl w:val="false"/>
              <w:suppressLineNumbers/>
              <w:spacing w:before="0" w:after="200"/>
              <w:rPr/>
            </w:pPr>
            <w:r>
              <w:rPr>
                <w:rStyle w:val="Strong"/>
              </w:rPr>
              <w:t>Freedom</w:t>
            </w:r>
          </w:p>
        </w:tc>
        <w:tc>
          <w:tcPr>
            <w:tcW w:w="2774" w:type="dxa"/>
            <w:tcBorders/>
            <w:vAlign w:val="center"/>
          </w:tcPr>
          <w:p>
            <w:pPr>
              <w:pStyle w:val="TableContents"/>
              <w:widowControl w:val="false"/>
              <w:suppressLineNumbers/>
              <w:spacing w:before="0" w:after="200"/>
              <w:rPr/>
            </w:pPr>
            <w:r>
              <w:rPr/>
              <w:t>Often treated as intrinsically and instrumentally valuable</w:t>
            </w:r>
          </w:p>
        </w:tc>
        <w:tc>
          <w:tcPr>
            <w:tcW w:w="3889" w:type="dxa"/>
            <w:tcBorders/>
            <w:vAlign w:val="center"/>
          </w:tcPr>
          <w:p>
            <w:pPr>
              <w:pStyle w:val="TableContents"/>
              <w:widowControl w:val="false"/>
              <w:suppressLineNumbers/>
              <w:spacing w:before="0" w:after="200"/>
              <w:rPr/>
            </w:pPr>
            <w:r>
              <w:rPr/>
              <w:t>Treated as one important dimension of flourishing, subject to compatibility with other entities</w:t>
            </w:r>
          </w:p>
        </w:tc>
      </w:tr>
      <w:tr>
        <w:trPr/>
        <w:tc>
          <w:tcPr>
            <w:tcW w:w="1977" w:type="dxa"/>
            <w:tcBorders/>
            <w:vAlign w:val="center"/>
          </w:tcPr>
          <w:p>
            <w:pPr>
              <w:pStyle w:val="TableContents"/>
              <w:widowControl w:val="false"/>
              <w:suppressLineNumbers/>
              <w:spacing w:before="0" w:after="200"/>
              <w:rPr/>
            </w:pPr>
            <w:r>
              <w:rPr>
                <w:rStyle w:val="Strong"/>
              </w:rPr>
              <w:t>Capability list</w:t>
            </w:r>
          </w:p>
        </w:tc>
        <w:tc>
          <w:tcPr>
            <w:tcW w:w="2774" w:type="dxa"/>
            <w:tcBorders/>
            <w:vAlign w:val="center"/>
          </w:tcPr>
          <w:p>
            <w:pPr>
              <w:pStyle w:val="TableContents"/>
              <w:widowControl w:val="false"/>
              <w:suppressLineNumbers/>
              <w:spacing w:before="0" w:after="200"/>
              <w:rPr/>
            </w:pPr>
            <w:r>
              <w:rPr/>
              <w:t>Sen avoids a universal fixed list; Nussbaum proposes ten Central Capabilities</w:t>
            </w:r>
          </w:p>
        </w:tc>
        <w:tc>
          <w:tcPr>
            <w:tcW w:w="3889" w:type="dxa"/>
            <w:tcBorders/>
            <w:vAlign w:val="center"/>
          </w:tcPr>
          <w:p>
            <w:pPr>
              <w:pStyle w:val="TableContents"/>
              <w:widowControl w:val="false"/>
              <w:suppressLineNumbers/>
              <w:spacing w:before="0" w:after="200"/>
              <w:rPr/>
            </w:pPr>
            <w:r>
              <w:rPr/>
              <w:t>Does not prescribe one universal dimensional list</w:t>
            </w:r>
          </w:p>
        </w:tc>
      </w:tr>
      <w:tr>
        <w:trPr/>
        <w:tc>
          <w:tcPr>
            <w:tcW w:w="1977" w:type="dxa"/>
            <w:tcBorders/>
            <w:vAlign w:val="center"/>
          </w:tcPr>
          <w:p>
            <w:pPr>
              <w:pStyle w:val="TableContents"/>
              <w:widowControl w:val="false"/>
              <w:suppressLineNumbers/>
              <w:spacing w:before="0" w:after="200"/>
              <w:rPr/>
            </w:pPr>
            <w:r>
              <w:rPr>
                <w:rStyle w:val="Strong"/>
              </w:rPr>
              <w:t>Thresholds</w:t>
            </w:r>
          </w:p>
        </w:tc>
        <w:tc>
          <w:tcPr>
            <w:tcW w:w="2774" w:type="dxa"/>
            <w:tcBorders/>
            <w:vAlign w:val="center"/>
          </w:tcPr>
          <w:p>
            <w:pPr>
              <w:pStyle w:val="TableContents"/>
              <w:widowControl w:val="false"/>
              <w:suppressLineNumbers/>
              <w:spacing w:before="0" w:after="200"/>
              <w:rPr/>
            </w:pPr>
            <w:r>
              <w:rPr/>
              <w:t>Central to Nussbaum’s theory; less fixed in Sen’s approach</w:t>
            </w:r>
          </w:p>
        </w:tc>
        <w:tc>
          <w:tcPr>
            <w:tcW w:w="3889" w:type="dxa"/>
            <w:tcBorders/>
            <w:vAlign w:val="center"/>
          </w:tcPr>
          <w:p>
            <w:pPr>
              <w:pStyle w:val="TableContents"/>
              <w:widowControl w:val="false"/>
              <w:suppressLineNumbers/>
              <w:spacing w:before="0" w:after="200"/>
              <w:rPr/>
            </w:pPr>
            <w:r>
              <w:rPr/>
              <w:t>Can incorporate thresholds but does not make a particular list or threshold structure foundational</w:t>
            </w:r>
          </w:p>
        </w:tc>
      </w:tr>
      <w:tr>
        <w:trPr/>
        <w:tc>
          <w:tcPr>
            <w:tcW w:w="1977" w:type="dxa"/>
            <w:tcBorders/>
            <w:vAlign w:val="center"/>
          </w:tcPr>
          <w:p>
            <w:pPr>
              <w:pStyle w:val="TableContents"/>
              <w:widowControl w:val="false"/>
              <w:suppressLineNumbers/>
              <w:spacing w:before="0" w:after="200"/>
              <w:rPr/>
            </w:pPr>
            <w:r>
              <w:rPr>
                <w:rStyle w:val="Strong"/>
              </w:rPr>
              <w:t>Public reasoning</w:t>
            </w:r>
          </w:p>
        </w:tc>
        <w:tc>
          <w:tcPr>
            <w:tcW w:w="2774" w:type="dxa"/>
            <w:tcBorders/>
            <w:vAlign w:val="center"/>
          </w:tcPr>
          <w:p>
            <w:pPr>
              <w:pStyle w:val="TableContents"/>
              <w:widowControl w:val="false"/>
              <w:suppressLineNumbers/>
              <w:spacing w:before="0" w:after="200"/>
              <w:rPr/>
            </w:pPr>
            <w:r>
              <w:rPr/>
              <w:t>Central to selecting and evaluating capabilities in Sen’s account</w:t>
            </w:r>
          </w:p>
        </w:tc>
        <w:tc>
          <w:tcPr>
            <w:tcW w:w="3889" w:type="dxa"/>
            <w:tcBorders/>
            <w:vAlign w:val="center"/>
          </w:tcPr>
          <w:p>
            <w:pPr>
              <w:pStyle w:val="TableContents"/>
              <w:widowControl w:val="false"/>
              <w:suppressLineNumbers/>
              <w:spacing w:before="0" w:after="200"/>
              <w:rPr/>
            </w:pPr>
            <w:r>
              <w:rPr/>
              <w:t>Supported but not necessarily required by the abstract architecture</w:t>
            </w:r>
          </w:p>
        </w:tc>
      </w:tr>
      <w:tr>
        <w:trPr/>
        <w:tc>
          <w:tcPr>
            <w:tcW w:w="1977" w:type="dxa"/>
            <w:tcBorders/>
            <w:vAlign w:val="center"/>
          </w:tcPr>
          <w:p>
            <w:pPr>
              <w:pStyle w:val="TableContents"/>
              <w:widowControl w:val="false"/>
              <w:suppressLineNumbers/>
              <w:spacing w:before="0" w:after="200"/>
              <w:rPr/>
            </w:pPr>
            <w:r>
              <w:rPr>
                <w:rStyle w:val="Strong"/>
              </w:rPr>
              <w:t>Functionings</w:t>
            </w:r>
          </w:p>
        </w:tc>
        <w:tc>
          <w:tcPr>
            <w:tcW w:w="2774" w:type="dxa"/>
            <w:tcBorders/>
            <w:vAlign w:val="center"/>
          </w:tcPr>
          <w:p>
            <w:pPr>
              <w:pStyle w:val="TableContents"/>
              <w:widowControl w:val="false"/>
              <w:suppressLineNumbers/>
              <w:spacing w:before="0" w:after="200"/>
              <w:rPr/>
            </w:pPr>
            <w:r>
              <w:rPr/>
              <w:t>Distinguished sharply from capabilities</w:t>
            </w:r>
          </w:p>
        </w:tc>
        <w:tc>
          <w:tcPr>
            <w:tcW w:w="3889" w:type="dxa"/>
            <w:tcBorders/>
            <w:vAlign w:val="center"/>
          </w:tcPr>
          <w:p>
            <w:pPr>
              <w:pStyle w:val="TableContents"/>
              <w:widowControl w:val="false"/>
              <w:suppressLineNumbers/>
              <w:spacing w:before="0" w:after="200"/>
              <w:rPr/>
            </w:pPr>
            <w:r>
              <w:rPr/>
              <w:t>Actual states and reachable future states can both be represented within the transition</w:t>
            </w:r>
          </w:p>
        </w:tc>
      </w:tr>
      <w:tr>
        <w:trPr/>
        <w:tc>
          <w:tcPr>
            <w:tcW w:w="1977" w:type="dxa"/>
            <w:tcBorders/>
            <w:vAlign w:val="center"/>
          </w:tcPr>
          <w:p>
            <w:pPr>
              <w:pStyle w:val="TableContents"/>
              <w:widowControl w:val="false"/>
              <w:suppressLineNumbers/>
              <w:spacing w:before="0" w:after="200"/>
              <w:rPr/>
            </w:pPr>
            <w:r>
              <w:rPr>
                <w:rStyle w:val="Strong"/>
              </w:rPr>
              <w:t>Causal modeling</w:t>
            </w:r>
          </w:p>
        </w:tc>
        <w:tc>
          <w:tcPr>
            <w:tcW w:w="2774" w:type="dxa"/>
            <w:tcBorders/>
            <w:vAlign w:val="center"/>
          </w:tcPr>
          <w:p>
            <w:pPr>
              <w:pStyle w:val="TableContents"/>
              <w:widowControl w:val="false"/>
              <w:suppressLineNumbers/>
              <w:spacing w:before="0" w:after="200"/>
              <w:rPr/>
            </w:pPr>
            <w:r>
              <w:rPr/>
              <w:t>Does not prescribe a complete causal or computational method</w:t>
            </w:r>
          </w:p>
        </w:tc>
        <w:tc>
          <w:tcPr>
            <w:tcW w:w="3889" w:type="dxa"/>
            <w:tcBorders/>
            <w:vAlign w:val="center"/>
          </w:tcPr>
          <w:p>
            <w:pPr>
              <w:pStyle w:val="TableContents"/>
              <w:widowControl w:val="false"/>
              <w:suppressLineNumbers/>
              <w:spacing w:before="0" w:after="200"/>
              <w:rPr/>
            </w:pPr>
            <w:r>
              <w:rPr/>
              <w:t>Explicitly concerned with causal transitions, uncertainty, probabilities, and alternative actions</w:t>
            </w:r>
          </w:p>
        </w:tc>
      </w:tr>
      <w:tr>
        <w:trPr/>
        <w:tc>
          <w:tcPr>
            <w:tcW w:w="1977" w:type="dxa"/>
            <w:tcBorders/>
            <w:vAlign w:val="center"/>
          </w:tcPr>
          <w:p>
            <w:pPr>
              <w:pStyle w:val="TableContents"/>
              <w:widowControl w:val="false"/>
              <w:suppressLineNumbers/>
              <w:spacing w:before="0" w:after="200"/>
              <w:rPr/>
            </w:pPr>
            <w:r>
              <w:rPr>
                <w:rStyle w:val="Strong"/>
              </w:rPr>
              <w:t>Responsibility</w:t>
            </w:r>
          </w:p>
        </w:tc>
        <w:tc>
          <w:tcPr>
            <w:tcW w:w="2774" w:type="dxa"/>
            <w:tcBorders/>
            <w:vAlign w:val="center"/>
          </w:tcPr>
          <w:p>
            <w:pPr>
              <w:pStyle w:val="TableContents"/>
              <w:widowControl w:val="false"/>
              <w:suppressLineNumbers/>
              <w:spacing w:before="0" w:after="200"/>
              <w:rPr/>
            </w:pPr>
            <w:r>
              <w:rPr/>
              <w:t>Primarily evaluates advantage, development, freedom, and social arrangements</w:t>
            </w:r>
          </w:p>
        </w:tc>
        <w:tc>
          <w:tcPr>
            <w:tcW w:w="3889" w:type="dxa"/>
            <w:tcBorders/>
            <w:vAlign w:val="center"/>
          </w:tcPr>
          <w:p>
            <w:pPr>
              <w:pStyle w:val="TableContents"/>
              <w:widowControl w:val="false"/>
              <w:suppressLineNumbers/>
              <w:spacing w:before="0" w:after="200"/>
              <w:rPr/>
            </w:pPr>
            <w:r>
              <w:rPr/>
              <w:t>Separately evaluates causal effect and responsibility</w:t>
            </w:r>
          </w:p>
        </w:tc>
      </w:tr>
      <w:tr>
        <w:trPr/>
        <w:tc>
          <w:tcPr>
            <w:tcW w:w="1977" w:type="dxa"/>
            <w:tcBorders/>
            <w:vAlign w:val="center"/>
          </w:tcPr>
          <w:p>
            <w:pPr>
              <w:pStyle w:val="TableContents"/>
              <w:widowControl w:val="false"/>
              <w:suppressLineNumbers/>
              <w:spacing w:before="0" w:after="200"/>
              <w:rPr/>
            </w:pPr>
            <w:r>
              <w:rPr>
                <w:rStyle w:val="Strong"/>
              </w:rPr>
              <w:t>System effects</w:t>
            </w:r>
          </w:p>
        </w:tc>
        <w:tc>
          <w:tcPr>
            <w:tcW w:w="2774" w:type="dxa"/>
            <w:tcBorders/>
            <w:vAlign w:val="center"/>
          </w:tcPr>
          <w:p>
            <w:pPr>
              <w:pStyle w:val="TableContents"/>
              <w:widowControl w:val="false"/>
              <w:suppressLineNumbers/>
              <w:spacing w:before="0" w:after="200"/>
              <w:rPr/>
            </w:pPr>
            <w:r>
              <w:rPr/>
              <w:t>Recognizes social and collective conditions but generally retains an individual evaluative focus</w:t>
            </w:r>
          </w:p>
        </w:tc>
        <w:tc>
          <w:tcPr>
            <w:tcW w:w="3889" w:type="dxa"/>
            <w:tcBorders/>
            <w:vAlign w:val="center"/>
          </w:tcPr>
          <w:p>
            <w:pPr>
              <w:pStyle w:val="TableContents"/>
              <w:widowControl w:val="false"/>
              <w:suppressLineNumbers/>
              <w:spacing w:before="0" w:after="200"/>
              <w:rPr/>
            </w:pPr>
            <w:r>
              <w:rPr/>
              <w:t>Explicitly evaluates system-level, institutional, ecological, and Distributed Policy Effects</w:t>
            </w:r>
          </w:p>
        </w:tc>
      </w:tr>
      <w:tr>
        <w:trPr/>
        <w:tc>
          <w:tcPr>
            <w:tcW w:w="1977" w:type="dxa"/>
            <w:tcBorders/>
            <w:vAlign w:val="center"/>
          </w:tcPr>
          <w:p>
            <w:pPr>
              <w:pStyle w:val="TableContents"/>
              <w:widowControl w:val="false"/>
              <w:suppressLineNumbers/>
              <w:spacing w:before="0" w:after="200"/>
              <w:rPr/>
            </w:pPr>
            <w:r>
              <w:rPr>
                <w:rStyle w:val="Strong"/>
              </w:rPr>
              <w:t>Adaptive systems</w:t>
            </w:r>
          </w:p>
        </w:tc>
        <w:tc>
          <w:tcPr>
            <w:tcW w:w="2774" w:type="dxa"/>
            <w:tcBorders/>
            <w:vAlign w:val="center"/>
          </w:tcPr>
          <w:p>
            <w:pPr>
              <w:pStyle w:val="TableContents"/>
              <w:widowControl w:val="false"/>
              <w:suppressLineNumbers/>
              <w:spacing w:before="0" w:after="200"/>
              <w:rPr/>
            </w:pPr>
            <w:r>
              <w:rPr/>
              <w:t>Human agency and social development are central</w:t>
            </w:r>
          </w:p>
        </w:tc>
        <w:tc>
          <w:tcPr>
            <w:tcW w:w="3889" w:type="dxa"/>
            <w:tcBorders/>
            <w:vAlign w:val="center"/>
          </w:tcPr>
          <w:p>
            <w:pPr>
              <w:pStyle w:val="TableContents"/>
              <w:widowControl w:val="false"/>
              <w:suppressLineNumbers/>
              <w:spacing w:before="0" w:after="200"/>
              <w:rPr/>
            </w:pPr>
            <w:r>
              <w:rPr/>
              <w:t>Includes broader categories of adaptive and autopoietic entities</w:t>
            </w:r>
          </w:p>
        </w:tc>
      </w:tr>
      <w:tr>
        <w:trPr/>
        <w:tc>
          <w:tcPr>
            <w:tcW w:w="1977" w:type="dxa"/>
            <w:tcBorders/>
            <w:vAlign w:val="center"/>
          </w:tcPr>
          <w:p>
            <w:pPr>
              <w:pStyle w:val="TableContents"/>
              <w:widowControl w:val="false"/>
              <w:suppressLineNumbers/>
              <w:spacing w:before="0" w:after="200"/>
              <w:rPr/>
            </w:pPr>
            <w:r>
              <w:rPr>
                <w:rStyle w:val="Strong"/>
              </w:rPr>
              <w:t>Aggregation</w:t>
            </w:r>
          </w:p>
        </w:tc>
        <w:tc>
          <w:tcPr>
            <w:tcW w:w="2774" w:type="dxa"/>
            <w:tcBorders/>
            <w:vAlign w:val="center"/>
          </w:tcPr>
          <w:p>
            <w:pPr>
              <w:pStyle w:val="TableContents"/>
              <w:widowControl w:val="false"/>
              <w:suppressLineNumbers/>
              <w:spacing w:before="0" w:after="200"/>
              <w:rPr/>
            </w:pPr>
            <w:r>
              <w:rPr/>
              <w:t>Often cautious about weighting and aggregating capabilities</w:t>
            </w:r>
          </w:p>
        </w:tc>
        <w:tc>
          <w:tcPr>
            <w:tcW w:w="3889" w:type="dxa"/>
            <w:tcBorders/>
            <w:vAlign w:val="center"/>
          </w:tcPr>
          <w:p>
            <w:pPr>
              <w:pStyle w:val="TableContents"/>
              <w:widowControl w:val="false"/>
              <w:suppressLineNumbers/>
              <w:spacing w:before="0" w:after="200"/>
              <w:rPr/>
            </w:pPr>
            <w:r>
              <w:rPr/>
              <w:t>Permits aggregate metrics as evidence but does not treat them as substitutes for the complete transition</w:t>
            </w:r>
          </w:p>
        </w:tc>
      </w:tr>
      <w:tr>
        <w:trPr/>
        <w:tc>
          <w:tcPr>
            <w:tcW w:w="1977" w:type="dxa"/>
            <w:tcBorders/>
            <w:vAlign w:val="center"/>
          </w:tcPr>
          <w:p>
            <w:pPr>
              <w:pStyle w:val="TableContents"/>
              <w:widowControl w:val="false"/>
              <w:suppressLineNumbers/>
              <w:spacing w:before="0" w:after="200"/>
              <w:rPr/>
            </w:pPr>
            <w:r>
              <w:rPr>
                <w:rStyle w:val="Strong"/>
              </w:rPr>
              <w:t>Moral-agent development</w:t>
            </w:r>
          </w:p>
        </w:tc>
        <w:tc>
          <w:tcPr>
            <w:tcW w:w="2774" w:type="dxa"/>
            <w:tcBorders/>
            <w:vAlign w:val="center"/>
          </w:tcPr>
          <w:p>
            <w:pPr>
              <w:pStyle w:val="TableContents"/>
              <w:widowControl w:val="false"/>
              <w:suppressLineNumbers/>
              <w:spacing w:before="0" w:after="200"/>
              <w:rPr/>
            </w:pPr>
            <w:r>
              <w:rPr/>
              <w:t>Agency expansion is important but not always framed as moral-policy development</w:t>
            </w:r>
          </w:p>
        </w:tc>
        <w:tc>
          <w:tcPr>
            <w:tcW w:w="3889" w:type="dxa"/>
            <w:tcBorders/>
            <w:vAlign w:val="center"/>
          </w:tcPr>
          <w:p>
            <w:pPr>
              <w:pStyle w:val="TableContents"/>
              <w:widowControl w:val="false"/>
              <w:suppressLineNumbers/>
              <w:spacing w:before="0" w:after="200"/>
              <w:rPr/>
            </w:pPr>
            <w:r>
              <w:rPr/>
              <w:t>Explicitly includes the adaptive development of moral agents</w:t>
            </w:r>
          </w:p>
        </w:tc>
      </w:tr>
      <w:tr>
        <w:trPr/>
        <w:tc>
          <w:tcPr>
            <w:tcW w:w="1977" w:type="dxa"/>
            <w:tcBorders/>
            <w:vAlign w:val="center"/>
          </w:tcPr>
          <w:p>
            <w:pPr>
              <w:pStyle w:val="TableContents"/>
              <w:widowControl w:val="false"/>
              <w:suppressLineNumbers/>
              <w:spacing w:before="0" w:after="200"/>
              <w:rPr/>
            </w:pPr>
            <w:r>
              <w:rPr>
                <w:rStyle w:val="Strong"/>
              </w:rPr>
              <w:t>Temporal emphasis</w:t>
            </w:r>
          </w:p>
        </w:tc>
        <w:tc>
          <w:tcPr>
            <w:tcW w:w="2774" w:type="dxa"/>
            <w:tcBorders/>
            <w:vAlign w:val="center"/>
          </w:tcPr>
          <w:p>
            <w:pPr>
              <w:pStyle w:val="TableContents"/>
              <w:widowControl w:val="false"/>
              <w:suppressLineNumbers/>
              <w:spacing w:before="0" w:after="200"/>
              <w:rPr/>
            </w:pPr>
            <w:r>
              <w:rPr/>
              <w:t>Can address present and future capability, but applications often evaluate current capability deprivation</w:t>
            </w:r>
          </w:p>
        </w:tc>
        <w:tc>
          <w:tcPr>
            <w:tcW w:w="3889" w:type="dxa"/>
            <w:tcBorders/>
            <w:vAlign w:val="center"/>
          </w:tcPr>
          <w:p>
            <w:pPr>
              <w:pStyle w:val="TableContents"/>
              <w:widowControl w:val="false"/>
              <w:suppressLineNumbers/>
              <w:spacing w:before="0" w:after="200"/>
              <w:rPr/>
            </w:pPr>
            <w:r>
              <w:rPr/>
              <w:t>Explicitly structured around multiple horizons and long-term effects</w:t>
            </w:r>
          </w:p>
        </w:tc>
      </w:tr>
      <w:tr>
        <w:trPr/>
        <w:tc>
          <w:tcPr>
            <w:tcW w:w="1977" w:type="dxa"/>
            <w:tcBorders/>
            <w:vAlign w:val="center"/>
          </w:tcPr>
          <w:p>
            <w:pPr>
              <w:pStyle w:val="TableContents"/>
              <w:widowControl w:val="false"/>
              <w:suppressLineNumbers/>
              <w:spacing w:before="0" w:after="200"/>
              <w:rPr/>
            </w:pPr>
            <w:r>
              <w:rPr>
                <w:rStyle w:val="Strong"/>
              </w:rPr>
              <w:t>Implementation</w:t>
            </w:r>
          </w:p>
        </w:tc>
        <w:tc>
          <w:tcPr>
            <w:tcW w:w="2774" w:type="dxa"/>
            <w:tcBorders/>
            <w:vAlign w:val="center"/>
          </w:tcPr>
          <w:p>
            <w:pPr>
              <w:pStyle w:val="TableContents"/>
              <w:widowControl w:val="false"/>
              <w:suppressLineNumbers/>
              <w:spacing w:before="0" w:after="200"/>
              <w:rPr/>
            </w:pPr>
            <w:r>
              <w:rPr/>
              <w:t>Frequently applied through public policy, development indicators, and justice analysis</w:t>
            </w:r>
          </w:p>
        </w:tc>
        <w:tc>
          <w:tcPr>
            <w:tcW w:w="3889" w:type="dxa"/>
            <w:tcBorders/>
            <w:vAlign w:val="center"/>
          </w:tcPr>
          <w:p>
            <w:pPr>
              <w:pStyle w:val="TableContents"/>
              <w:widowControl w:val="false"/>
              <w:suppressLineNumbers/>
              <w:spacing w:before="0" w:after="200"/>
              <w:rPr/>
            </w:pPr>
            <w:r>
              <w:rPr/>
              <w:t>Intended as an implementation-neutral and potentially computational ethical architecture</w:t>
            </w:r>
          </w:p>
        </w:tc>
      </w:tr>
    </w:tbl>
    <w:p>
      <w:pPr>
        <w:pStyle w:val="BodyText"/>
        <w:spacing w:before="0" w:after="200"/>
        <w:rPr/>
      </w:pPr>
      <w:r>
        <w:rPr/>
        <w:t>One important difference concerns moral scope. Capability theories usually begin with human persons. The proposed framework includes a broader category of persistent adaptive entities. A direct transfer of human capabilities to animals, ecosystems, corporations, or artificial systems would therefore be inappropriate. Each entity type requires a defensible account of what beneficial states, agency, integrity, adaptation, and flourishing mean for it.</w:t>
      </w:r>
    </w:p>
    <w:p>
      <w:pPr>
        <w:pStyle w:val="BodyText"/>
        <w:spacing w:before="0" w:after="200"/>
        <w:rPr/>
      </w:pPr>
      <w:r>
        <w:rPr/>
        <w:t>A second difference concerns option expansion. The Capability Approach values substantive freedom, but the framework must also consider the effects of an entity’s options on other entities. Expanding one agent’s capability to extract resources, manipulate others, or deploy dangerous technology is not necessarily an ethical improvement. Only valuable and mutually compatible capabilities should count positively.</w:t>
      </w:r>
    </w:p>
    <w:p>
      <w:pPr>
        <w:pStyle w:val="Heading3"/>
        <w:rPr/>
      </w:pPr>
      <w:r>
        <w:rPr/>
        <w:t>Potential integration opportunities</w:t>
      </w:r>
    </w:p>
    <w:p>
      <w:pPr>
        <w:pStyle w:val="BodyText"/>
        <w:numPr>
          <w:ilvl w:val="0"/>
          <w:numId w:val="144"/>
        </w:numPr>
        <w:tabs>
          <w:tab w:val="clear" w:pos="720"/>
          <w:tab w:val="left" w:pos="0" w:leader="none"/>
        </w:tabs>
        <w:spacing w:before="0" w:after="200"/>
        <w:ind w:hanging="283" w:left="709"/>
        <w:rPr/>
      </w:pPr>
      <w:r>
        <w:rPr>
          <w:rStyle w:val="Strong"/>
        </w:rPr>
        <w:t>Represent capability sets explicitly.</w:t>
      </w:r>
      <w:r>
        <w:rPr/>
        <w:br/>
        <w:t>For each substantially affected entity, the framework could identify valuable reachable states before and after the Assessed Action. Ethical evaluation would then include changes to the size, quality, diversity, security, and accessibility of that capability set.</w:t>
      </w:r>
    </w:p>
    <w:p>
      <w:pPr>
        <w:pStyle w:val="BodyText"/>
        <w:numPr>
          <w:ilvl w:val="0"/>
          <w:numId w:val="144"/>
        </w:numPr>
        <w:tabs>
          <w:tab w:val="clear" w:pos="720"/>
          <w:tab w:val="left" w:pos="0" w:leader="none"/>
        </w:tabs>
        <w:spacing w:before="0" w:after="200"/>
        <w:ind w:hanging="283" w:left="709"/>
        <w:rPr/>
      </w:pPr>
      <w:r>
        <w:rPr>
          <w:rStyle w:val="Strong"/>
        </w:rPr>
        <w:t>Separate resources, capabilities, choices, and functionings.</w:t>
      </w:r>
      <w:r>
        <w:rPr/>
        <w:br/>
        <w:t>The assessment should distinguish the following sequence:</w:t>
      </w:r>
    </w:p>
    <w:p>
      <w:pPr>
        <w:pStyle w:val="BodyText"/>
        <w:numPr>
          <w:ilvl w:val="0"/>
          <w:numId w:val="0"/>
        </w:numPr>
        <w:spacing w:before="0" w:after="200"/>
        <w:ind w:hanging="0" w:left="0"/>
        <w:rPr/>
      </w:pPr>
      <w:r>
        <w:rPr>
          <w:rStyle w:val="Strong"/>
        </w:rPr>
        <w:t>Resources → Conversion factors → Capabilities → Choice → Functionings → Feedback</w:t>
      </w:r>
    </w:p>
    <w:p>
      <w:pPr>
        <w:pStyle w:val="BodyText"/>
        <w:numPr>
          <w:ilvl w:val="0"/>
          <w:numId w:val="0"/>
        </w:numPr>
        <w:spacing w:before="0" w:after="200"/>
        <w:ind w:hanging="0" w:left="0"/>
        <w:rPr/>
      </w:pPr>
      <w:r>
        <w:rPr/>
        <w:t>This would prevent a resource transfer or formal permission from being misclassified as an achieved ethical benefit.</w:t>
      </w:r>
    </w:p>
    <w:p>
      <w:pPr>
        <w:pStyle w:val="BodyText"/>
        <w:numPr>
          <w:ilvl w:val="0"/>
          <w:numId w:val="144"/>
        </w:numPr>
        <w:tabs>
          <w:tab w:val="clear" w:pos="720"/>
          <w:tab w:val="left" w:pos="0" w:leader="none"/>
        </w:tabs>
        <w:spacing w:before="0" w:after="200"/>
        <w:ind w:hanging="283" w:left="709"/>
        <w:rPr/>
      </w:pPr>
      <w:r>
        <w:rPr>
          <w:rStyle w:val="Strong"/>
        </w:rPr>
        <w:t>Create a conversion-factor registry.</w:t>
      </w:r>
      <w:r>
        <w:rPr/>
        <w:br/>
        <w:t>Relevant conversion factors could be grouped as:</w:t>
      </w:r>
    </w:p>
    <w:p>
      <w:pPr>
        <w:pStyle w:val="BodyText"/>
        <w:numPr>
          <w:ilvl w:val="1"/>
          <w:numId w:val="144"/>
        </w:numPr>
        <w:tabs>
          <w:tab w:val="clear" w:pos="720"/>
          <w:tab w:val="left" w:pos="0" w:leader="none"/>
        </w:tabs>
        <w:spacing w:before="0" w:after="200"/>
        <w:ind w:hanging="283" w:left="1418"/>
        <w:rPr/>
      </w:pPr>
      <w:r>
        <w:rPr/>
        <w:t>Personal;</w:t>
      </w:r>
    </w:p>
    <w:p>
      <w:pPr>
        <w:pStyle w:val="BodyText"/>
        <w:numPr>
          <w:ilvl w:val="1"/>
          <w:numId w:val="144"/>
        </w:numPr>
        <w:tabs>
          <w:tab w:val="clear" w:pos="720"/>
          <w:tab w:val="left" w:pos="0" w:leader="none"/>
        </w:tabs>
        <w:spacing w:before="0" w:after="200"/>
        <w:ind w:hanging="283" w:left="1418"/>
        <w:rPr/>
      </w:pPr>
      <w:r>
        <w:rPr/>
        <w:t>Social and cultural;</w:t>
      </w:r>
    </w:p>
    <w:p>
      <w:pPr>
        <w:pStyle w:val="BodyText"/>
        <w:numPr>
          <w:ilvl w:val="1"/>
          <w:numId w:val="144"/>
        </w:numPr>
        <w:tabs>
          <w:tab w:val="clear" w:pos="720"/>
          <w:tab w:val="left" w:pos="0" w:leader="none"/>
        </w:tabs>
        <w:spacing w:before="0" w:after="200"/>
        <w:ind w:hanging="283" w:left="1418"/>
        <w:rPr/>
      </w:pPr>
      <w:r>
        <w:rPr/>
        <w:t>Institutional and legal;</w:t>
      </w:r>
    </w:p>
    <w:p>
      <w:pPr>
        <w:pStyle w:val="BodyText"/>
        <w:numPr>
          <w:ilvl w:val="1"/>
          <w:numId w:val="144"/>
        </w:numPr>
        <w:tabs>
          <w:tab w:val="clear" w:pos="720"/>
          <w:tab w:val="left" w:pos="0" w:leader="none"/>
        </w:tabs>
        <w:spacing w:before="0" w:after="200"/>
        <w:ind w:hanging="283" w:left="1418"/>
        <w:rPr/>
      </w:pPr>
      <w:r>
        <w:rPr/>
        <w:t>Technological and informational;</w:t>
      </w:r>
    </w:p>
    <w:p>
      <w:pPr>
        <w:pStyle w:val="BodyText"/>
        <w:numPr>
          <w:ilvl w:val="1"/>
          <w:numId w:val="144"/>
        </w:numPr>
        <w:tabs>
          <w:tab w:val="clear" w:pos="720"/>
          <w:tab w:val="left" w:pos="0" w:leader="none"/>
        </w:tabs>
        <w:spacing w:before="0" w:after="200"/>
        <w:ind w:hanging="283" w:left="1418"/>
        <w:rPr/>
      </w:pPr>
      <w:r>
        <w:rPr/>
        <w:t>Environmental and infrastructural; and</w:t>
      </w:r>
    </w:p>
    <w:p>
      <w:pPr>
        <w:pStyle w:val="BodyText"/>
        <w:numPr>
          <w:ilvl w:val="1"/>
          <w:numId w:val="144"/>
        </w:numPr>
        <w:tabs>
          <w:tab w:val="clear" w:pos="720"/>
          <w:tab w:val="left" w:pos="0" w:leader="none"/>
        </w:tabs>
        <w:spacing w:before="0" w:after="200"/>
        <w:ind w:hanging="283" w:left="1418"/>
        <w:rPr/>
      </w:pPr>
      <w:r>
        <w:rPr/>
        <w:t>Relational.</w:t>
      </w:r>
    </w:p>
    <w:p>
      <w:pPr>
        <w:pStyle w:val="BodyText"/>
        <w:numPr>
          <w:ilvl w:val="0"/>
          <w:numId w:val="144"/>
        </w:numPr>
        <w:tabs>
          <w:tab w:val="clear" w:pos="720"/>
          <w:tab w:val="left" w:pos="0" w:leader="none"/>
        </w:tabs>
        <w:spacing w:before="0" w:after="200"/>
        <w:ind w:hanging="283" w:left="709"/>
        <w:rPr/>
      </w:pPr>
      <w:r>
        <w:rPr>
          <w:rStyle w:val="Strong"/>
        </w:rPr>
        <w:t>Add an effective-access test.</w:t>
      </w:r>
      <w:r>
        <w:rPr/>
        <w:br/>
        <w:t>For every claimed opportunity, ask whether the entity has the knowledge, skill, time, safety, infrastructure, permission, social acceptance, material resources, and practical ability required to use it.</w:t>
      </w:r>
    </w:p>
    <w:p>
      <w:pPr>
        <w:pStyle w:val="BodyText"/>
        <w:numPr>
          <w:ilvl w:val="0"/>
          <w:numId w:val="144"/>
        </w:numPr>
        <w:tabs>
          <w:tab w:val="clear" w:pos="720"/>
          <w:tab w:val="left" w:pos="0" w:leader="none"/>
        </w:tabs>
        <w:spacing w:before="0" w:after="200"/>
        <w:ind w:hanging="283" w:left="709"/>
        <w:rPr/>
      </w:pPr>
      <w:r>
        <w:rPr>
          <w:rStyle w:val="Strong"/>
        </w:rPr>
        <w:t>Distinguish formal rights from real capabilities.</w:t>
      </w:r>
      <w:r>
        <w:rPr/>
        <w:br/>
        <w:t>A right should be evaluated through both its legal recognition and its effective exercise. Barriers to use should be identified separately.</w:t>
      </w:r>
    </w:p>
    <w:p>
      <w:pPr>
        <w:pStyle w:val="BodyText"/>
        <w:numPr>
          <w:ilvl w:val="0"/>
          <w:numId w:val="144"/>
        </w:numPr>
        <w:tabs>
          <w:tab w:val="clear" w:pos="720"/>
          <w:tab w:val="left" w:pos="0" w:leader="none"/>
        </w:tabs>
        <w:spacing w:before="0" w:after="200"/>
        <w:ind w:hanging="283" w:left="709"/>
        <w:rPr/>
      </w:pPr>
      <w:r>
        <w:rPr>
          <w:rStyle w:val="Strong"/>
        </w:rPr>
        <w:t>Produce separate opportunity and achievement findings.</w:t>
      </w:r>
      <w:r>
        <w:rPr/>
        <w:br/>
        <w:t>Each assessment could report:</w:t>
      </w:r>
    </w:p>
    <w:p>
      <w:pPr>
        <w:pStyle w:val="BodyText"/>
        <w:numPr>
          <w:ilvl w:val="1"/>
          <w:numId w:val="144"/>
        </w:numPr>
        <w:tabs>
          <w:tab w:val="clear" w:pos="720"/>
          <w:tab w:val="left" w:pos="0" w:leader="none"/>
        </w:tabs>
        <w:spacing w:before="0" w:after="200"/>
        <w:ind w:hanging="283" w:left="1418"/>
        <w:rPr/>
      </w:pPr>
      <w:r>
        <w:rPr/>
        <w:t>Changes in resources;</w:t>
      </w:r>
    </w:p>
    <w:p>
      <w:pPr>
        <w:pStyle w:val="BodyText"/>
        <w:numPr>
          <w:ilvl w:val="1"/>
          <w:numId w:val="144"/>
        </w:numPr>
        <w:tabs>
          <w:tab w:val="clear" w:pos="720"/>
          <w:tab w:val="left" w:pos="0" w:leader="none"/>
        </w:tabs>
        <w:spacing w:before="0" w:after="200"/>
        <w:ind w:hanging="283" w:left="1418"/>
        <w:rPr/>
      </w:pPr>
      <w:r>
        <w:rPr/>
        <w:t>Changes in capabilities;</w:t>
      </w:r>
    </w:p>
    <w:p>
      <w:pPr>
        <w:pStyle w:val="BodyText"/>
        <w:numPr>
          <w:ilvl w:val="1"/>
          <w:numId w:val="144"/>
        </w:numPr>
        <w:tabs>
          <w:tab w:val="clear" w:pos="720"/>
          <w:tab w:val="left" w:pos="0" w:leader="none"/>
        </w:tabs>
        <w:spacing w:before="0" w:after="200"/>
        <w:ind w:hanging="283" w:left="1418"/>
        <w:rPr/>
      </w:pPr>
      <w:r>
        <w:rPr/>
        <w:t>Changes in chosen functionings;</w:t>
      </w:r>
    </w:p>
    <w:p>
      <w:pPr>
        <w:pStyle w:val="BodyText"/>
        <w:numPr>
          <w:ilvl w:val="1"/>
          <w:numId w:val="144"/>
        </w:numPr>
        <w:tabs>
          <w:tab w:val="clear" w:pos="720"/>
          <w:tab w:val="left" w:pos="0" w:leader="none"/>
        </w:tabs>
        <w:spacing w:before="0" w:after="200"/>
        <w:ind w:hanging="283" w:left="1418"/>
        <w:rPr/>
      </w:pPr>
      <w:r>
        <w:rPr/>
        <w:t>Changes in agency; and</w:t>
      </w:r>
    </w:p>
    <w:p>
      <w:pPr>
        <w:pStyle w:val="BodyText"/>
        <w:numPr>
          <w:ilvl w:val="1"/>
          <w:numId w:val="144"/>
        </w:numPr>
        <w:tabs>
          <w:tab w:val="clear" w:pos="720"/>
          <w:tab w:val="left" w:pos="0" w:leader="none"/>
        </w:tabs>
        <w:spacing w:before="0" w:after="200"/>
        <w:ind w:hanging="283" w:left="1418"/>
        <w:rPr/>
      </w:pPr>
      <w:r>
        <w:rPr/>
        <w:t>Changes in the security of future capabilities.</w:t>
      </w:r>
    </w:p>
    <w:p>
      <w:pPr>
        <w:pStyle w:val="BodyText"/>
        <w:numPr>
          <w:ilvl w:val="0"/>
          <w:numId w:val="144"/>
        </w:numPr>
        <w:tabs>
          <w:tab w:val="clear" w:pos="720"/>
          <w:tab w:val="left" w:pos="0" w:leader="none"/>
        </w:tabs>
        <w:spacing w:before="0" w:after="200"/>
        <w:ind w:hanging="283" w:left="709"/>
        <w:rPr/>
      </w:pPr>
      <w:r>
        <w:rPr>
          <w:rStyle w:val="Strong"/>
        </w:rPr>
        <w:t>Add an agency-versus-well-being analysis.</w:t>
      </w:r>
      <w:r>
        <w:rPr/>
        <w:br/>
        <w:t>An intervention may improve health or safety while reducing autonomy, or expand agency while creating personal risk. These effects should be represented separately before reaching an overall conclusion.</w:t>
      </w:r>
    </w:p>
    <w:p>
      <w:pPr>
        <w:pStyle w:val="BodyText"/>
        <w:numPr>
          <w:ilvl w:val="0"/>
          <w:numId w:val="144"/>
        </w:numPr>
        <w:tabs>
          <w:tab w:val="clear" w:pos="720"/>
          <w:tab w:val="left" w:pos="0" w:leader="none"/>
        </w:tabs>
        <w:spacing w:before="0" w:after="200"/>
        <w:ind w:hanging="283" w:left="709"/>
        <w:rPr/>
      </w:pPr>
      <w:r>
        <w:rPr>
          <w:rStyle w:val="Strong"/>
        </w:rPr>
        <w:t>Create human capability profiles.</w:t>
      </w:r>
      <w:r>
        <w:rPr/>
        <w:br/>
        <w:t>Nussbaum’s ten Central Capabilities can serve as a starting profile for human applications, subject to contextual revision and public reasoning.</w:t>
      </w:r>
    </w:p>
    <w:p>
      <w:pPr>
        <w:pStyle w:val="BodyText"/>
        <w:numPr>
          <w:ilvl w:val="0"/>
          <w:numId w:val="144"/>
        </w:numPr>
        <w:tabs>
          <w:tab w:val="clear" w:pos="720"/>
          <w:tab w:val="left" w:pos="0" w:leader="none"/>
        </w:tabs>
        <w:spacing w:before="0" w:after="200"/>
        <w:ind w:hanging="283" w:left="709"/>
        <w:rPr/>
      </w:pPr>
      <w:r>
        <w:rPr>
          <w:rStyle w:val="Strong"/>
        </w:rPr>
        <w:t>Use capability thresholds as safeguards.</w:t>
      </w:r>
      <w:r>
        <w:rPr/>
        <w:br/>
        <w:t>The framework could identify minimum conditions below which gains in other dimensions do not ordinarily compensate for the deprivation.</w:t>
      </w:r>
    </w:p>
    <w:p>
      <w:pPr>
        <w:pStyle w:val="BodyText"/>
        <w:numPr>
          <w:ilvl w:val="0"/>
          <w:numId w:val="144"/>
        </w:numPr>
        <w:tabs>
          <w:tab w:val="clear" w:pos="720"/>
          <w:tab w:val="left" w:pos="0" w:leader="none"/>
        </w:tabs>
        <w:spacing w:before="0" w:after="200"/>
        <w:ind w:hanging="283" w:left="709"/>
        <w:rPr/>
      </w:pPr>
      <w:r>
        <w:rPr>
          <w:rStyle w:val="Strong"/>
        </w:rPr>
        <w:t>Adopt an “each entity” disaggregation requirement.</w:t>
      </w:r>
      <w:r>
        <w:rPr/>
        <w:br/>
        <w:t>High-stakes assessments should examine the distribution of capabilities rather than relying on population averages or aggregate gains.</w:t>
      </w:r>
    </w:p>
    <w:p>
      <w:pPr>
        <w:pStyle w:val="BodyText"/>
        <w:numPr>
          <w:ilvl w:val="0"/>
          <w:numId w:val="144"/>
        </w:numPr>
        <w:tabs>
          <w:tab w:val="clear" w:pos="720"/>
          <w:tab w:val="left" w:pos="0" w:leader="none"/>
        </w:tabs>
        <w:spacing w:before="0" w:after="200"/>
        <w:ind w:hanging="283" w:left="709"/>
        <w:rPr/>
      </w:pPr>
      <w:r>
        <w:rPr>
          <w:rStyle w:val="Strong"/>
        </w:rPr>
        <w:t>Add multidimensional deprivation profiles.</w:t>
      </w:r>
      <w:r>
        <w:rPr/>
        <w:br/>
        <w:t xml:space="preserve">The Alkire–Foster method offers an example of identifying simultaneous deprivations using context-specific dimensions and indicators. OPHI explains its use in </w:t>
      </w:r>
      <w:hyperlink r:id="rId111">
        <w:r>
          <w:rPr>
            <w:rStyle w:val="Hyperlink"/>
          </w:rPr>
          <w:t>multidimensional poverty measurement</w:t>
        </w:r>
      </w:hyperlink>
      <w:r>
        <w:rPr/>
        <w:t>.</w:t>
      </w:r>
    </w:p>
    <w:p>
      <w:pPr>
        <w:pStyle w:val="BodyText"/>
        <w:numPr>
          <w:ilvl w:val="0"/>
          <w:numId w:val="144"/>
        </w:numPr>
        <w:tabs>
          <w:tab w:val="clear" w:pos="720"/>
          <w:tab w:val="left" w:pos="0" w:leader="none"/>
        </w:tabs>
        <w:spacing w:before="0" w:after="200"/>
        <w:ind w:hanging="283" w:left="709"/>
        <w:rPr/>
      </w:pPr>
      <w:r>
        <w:rPr>
          <w:rStyle w:val="Strong"/>
        </w:rPr>
        <w:t>Distinguish capability quantity from capability quality.</w:t>
      </w:r>
      <w:r>
        <w:rPr/>
        <w:br/>
        <w:t>Additional options should be evaluated for value, accessibility, safety, dignity, and compatibility—not counted indiscriminately.</w:t>
      </w:r>
    </w:p>
    <w:p>
      <w:pPr>
        <w:pStyle w:val="BodyText"/>
        <w:numPr>
          <w:ilvl w:val="0"/>
          <w:numId w:val="144"/>
        </w:numPr>
        <w:tabs>
          <w:tab w:val="clear" w:pos="720"/>
          <w:tab w:val="left" w:pos="0" w:leader="none"/>
        </w:tabs>
        <w:spacing w:before="0" w:after="200"/>
        <w:ind w:hanging="283" w:left="709"/>
        <w:rPr/>
      </w:pPr>
      <w:r>
        <w:rPr>
          <w:rStyle w:val="Strong"/>
        </w:rPr>
        <w:t>Evaluate option diversity.</w:t>
      </w:r>
      <w:r>
        <w:rPr/>
        <w:br/>
        <w:t>Ten minor variations of the same constrained path may provide less meaningful freedom than two substantively different and viable alternatives.</w:t>
      </w:r>
    </w:p>
    <w:p>
      <w:pPr>
        <w:pStyle w:val="BodyText"/>
        <w:numPr>
          <w:ilvl w:val="0"/>
          <w:numId w:val="144"/>
        </w:numPr>
        <w:tabs>
          <w:tab w:val="clear" w:pos="720"/>
          <w:tab w:val="left" w:pos="0" w:leader="none"/>
        </w:tabs>
        <w:spacing w:before="0" w:after="200"/>
        <w:ind w:hanging="283" w:left="709"/>
        <w:rPr/>
      </w:pPr>
      <w:r>
        <w:rPr>
          <w:rStyle w:val="Strong"/>
        </w:rPr>
        <w:t>Evaluate option independence.</w:t>
      </w:r>
      <w:r>
        <w:rPr/>
        <w:br/>
        <w:t>Options should not be treated as independent when they depend on the same fragile infrastructure, employer, institution, technology, or source of authority.</w:t>
      </w:r>
    </w:p>
    <w:p>
      <w:pPr>
        <w:pStyle w:val="BodyText"/>
        <w:numPr>
          <w:ilvl w:val="0"/>
          <w:numId w:val="144"/>
        </w:numPr>
        <w:tabs>
          <w:tab w:val="clear" w:pos="720"/>
          <w:tab w:val="left" w:pos="0" w:leader="none"/>
        </w:tabs>
        <w:spacing w:before="0" w:after="200"/>
        <w:ind w:hanging="283" w:left="709"/>
        <w:rPr/>
      </w:pPr>
      <w:r>
        <w:rPr>
          <w:rStyle w:val="Strong"/>
        </w:rPr>
        <w:t>Add a capability-security measure.</w:t>
      </w:r>
      <w:r>
        <w:rPr/>
        <w:br/>
        <w:t>Assessments should consider whether valuable opportunities are stable, predictable, legally protected, resilient to foreseeable shocks, and available over an appropriate time horizon.</w:t>
      </w:r>
    </w:p>
    <w:p>
      <w:pPr>
        <w:pStyle w:val="BodyText"/>
        <w:numPr>
          <w:ilvl w:val="0"/>
          <w:numId w:val="144"/>
        </w:numPr>
        <w:tabs>
          <w:tab w:val="clear" w:pos="720"/>
          <w:tab w:val="left" w:pos="0" w:leader="none"/>
        </w:tabs>
        <w:spacing w:before="0" w:after="200"/>
        <w:ind w:hanging="283" w:left="709"/>
        <w:rPr/>
      </w:pPr>
      <w:r>
        <w:rPr>
          <w:rStyle w:val="Strong"/>
        </w:rPr>
        <w:t>Include adaptive-preference review.</w:t>
      </w:r>
      <w:r>
        <w:rPr/>
        <w:br/>
        <w:t>When preferences appear to endorse deprivation, assessors should examine whether they were formed under coercion, discrimination, isolation, manipulation, misinformation, or a lack of visible alternatives.</w:t>
      </w:r>
    </w:p>
    <w:p>
      <w:pPr>
        <w:pStyle w:val="BodyText"/>
        <w:numPr>
          <w:ilvl w:val="0"/>
          <w:numId w:val="144"/>
        </w:numPr>
        <w:tabs>
          <w:tab w:val="clear" w:pos="720"/>
          <w:tab w:val="left" w:pos="0" w:leader="none"/>
        </w:tabs>
        <w:spacing w:before="0" w:after="200"/>
        <w:ind w:hanging="283" w:left="709"/>
        <w:rPr/>
      </w:pPr>
      <w:r>
        <w:rPr>
          <w:rStyle w:val="Strong"/>
        </w:rPr>
        <w:t>Avoid replacing preference with paternalism.</w:t>
      </w:r>
      <w:r>
        <w:rPr/>
        <w:br/>
        <w:t>Adaptive-preference analysis should prompt inquiry and capability expansion, not automatic dismissal of a person’s stated values. The goal should generally be to create meaningful alternatives and informed reflection.</w:t>
      </w:r>
    </w:p>
    <w:p>
      <w:pPr>
        <w:pStyle w:val="BodyText"/>
        <w:numPr>
          <w:ilvl w:val="0"/>
          <w:numId w:val="144"/>
        </w:numPr>
        <w:tabs>
          <w:tab w:val="clear" w:pos="720"/>
          <w:tab w:val="left" w:pos="0" w:leader="none"/>
        </w:tabs>
        <w:spacing w:before="0" w:after="200"/>
        <w:ind w:hanging="283" w:left="709"/>
        <w:rPr/>
      </w:pPr>
      <w:r>
        <w:rPr>
          <w:rStyle w:val="Strong"/>
        </w:rPr>
        <w:t>Use public reasoning to select capability dimensions.</w:t>
      </w:r>
      <w:r>
        <w:rPr/>
        <w:br/>
        <w:t>Capability lists, weights, thresholds, and indicators should be informed by affected parties, domain expertise, human rights, empirical evidence, and transparent ethical argument.</w:t>
      </w:r>
    </w:p>
    <w:p>
      <w:pPr>
        <w:pStyle w:val="BodyText"/>
        <w:numPr>
          <w:ilvl w:val="0"/>
          <w:numId w:val="144"/>
        </w:numPr>
        <w:tabs>
          <w:tab w:val="clear" w:pos="720"/>
          <w:tab w:val="left" w:pos="0" w:leader="none"/>
        </w:tabs>
        <w:spacing w:before="0" w:after="200"/>
        <w:ind w:hanging="283" w:left="709"/>
        <w:rPr/>
      </w:pPr>
      <w:r>
        <w:rPr>
          <w:rStyle w:val="Strong"/>
        </w:rPr>
        <w:t>Protect dissent within public reasoning.</w:t>
      </w:r>
      <w:r>
        <w:rPr/>
        <w:br/>
        <w:t>Majority agreement should not be treated as sufficient when minorities, dependent parties, or stigmatized groups face capability deprivation.</w:t>
      </w:r>
    </w:p>
    <w:p>
      <w:pPr>
        <w:pStyle w:val="BodyText"/>
        <w:numPr>
          <w:ilvl w:val="0"/>
          <w:numId w:val="144"/>
        </w:numPr>
        <w:tabs>
          <w:tab w:val="clear" w:pos="720"/>
          <w:tab w:val="left" w:pos="0" w:leader="none"/>
        </w:tabs>
        <w:spacing w:before="0" w:after="200"/>
        <w:ind w:hanging="283" w:left="709"/>
        <w:rPr/>
      </w:pPr>
      <w:r>
        <w:rPr>
          <w:rStyle w:val="Strong"/>
        </w:rPr>
        <w:t>Add intersectional conversion analysis.</w:t>
      </w:r>
      <w:r>
        <w:rPr/>
        <w:br/>
        <w:t>Conversion factors may interact. Disability, gender, poverty, geography, caregiving obligations, and discrimination can combine to produce barriers greater than the sum of their separate effects.</w:t>
      </w:r>
    </w:p>
    <w:p>
      <w:pPr>
        <w:pStyle w:val="BodyText"/>
        <w:numPr>
          <w:ilvl w:val="0"/>
          <w:numId w:val="144"/>
        </w:numPr>
        <w:tabs>
          <w:tab w:val="clear" w:pos="720"/>
          <w:tab w:val="left" w:pos="0" w:leader="none"/>
        </w:tabs>
        <w:spacing w:before="0" w:after="200"/>
        <w:ind w:hanging="283" w:left="709"/>
        <w:rPr/>
      </w:pPr>
      <w:r>
        <w:rPr>
          <w:rStyle w:val="Strong"/>
        </w:rPr>
        <w:t>Integrate disability and dependency explicitly.</w:t>
      </w:r>
      <w:r>
        <w:rPr/>
        <w:br/>
        <w:t>The framework should not assume an independent, fully informed, physically able agent. Capabilities may depend on care, assistance, accessible design, supported decision-making, and durable public services.</w:t>
      </w:r>
    </w:p>
    <w:p>
      <w:pPr>
        <w:pStyle w:val="BodyText"/>
        <w:numPr>
          <w:ilvl w:val="0"/>
          <w:numId w:val="144"/>
        </w:numPr>
        <w:tabs>
          <w:tab w:val="clear" w:pos="720"/>
          <w:tab w:val="left" w:pos="0" w:leader="none"/>
        </w:tabs>
        <w:spacing w:before="0" w:after="200"/>
        <w:ind w:hanging="283" w:left="709"/>
        <w:rPr/>
      </w:pPr>
      <w:r>
        <w:rPr>
          <w:rStyle w:val="Strong"/>
        </w:rPr>
        <w:t>Represent collective capabilities.</w:t>
      </w:r>
      <w:r>
        <w:rPr/>
        <w:br/>
        <w:t>Some capabilities—political participation, cultural practice, public safety, scientific inquiry, and ecological stewardship—exist only through coordinated relationships and institutions.</w:t>
      </w:r>
    </w:p>
    <w:p>
      <w:pPr>
        <w:pStyle w:val="BodyText"/>
        <w:numPr>
          <w:ilvl w:val="0"/>
          <w:numId w:val="144"/>
        </w:numPr>
        <w:tabs>
          <w:tab w:val="clear" w:pos="720"/>
          <w:tab w:val="left" w:pos="0" w:leader="none"/>
        </w:tabs>
        <w:spacing w:before="0" w:after="200"/>
        <w:ind w:hanging="283" w:left="709"/>
        <w:rPr/>
      </w:pPr>
      <w:r>
        <w:rPr>
          <w:rStyle w:val="Strong"/>
        </w:rPr>
        <w:t>Distinguish collective capability from institutional self-preservation.</w:t>
      </w:r>
      <w:r>
        <w:rPr/>
        <w:br/>
        <w:t>An institution should be valued for the capabilities it creates, not simply because it persists or expands its authority.</w:t>
      </w:r>
    </w:p>
    <w:p>
      <w:pPr>
        <w:pStyle w:val="BodyText"/>
        <w:numPr>
          <w:ilvl w:val="0"/>
          <w:numId w:val="144"/>
        </w:numPr>
        <w:tabs>
          <w:tab w:val="clear" w:pos="720"/>
          <w:tab w:val="left" w:pos="0" w:leader="none"/>
        </w:tabs>
        <w:spacing w:before="0" w:after="200"/>
        <w:ind w:hanging="283" w:left="709"/>
        <w:rPr/>
      </w:pPr>
      <w:r>
        <w:rPr>
          <w:rStyle w:val="Strong"/>
        </w:rPr>
        <w:t>Extend the approach to future generations.</w:t>
      </w:r>
      <w:r>
        <w:rPr/>
        <w:br/>
        <w:t>Environmental and institutional decisions should be evaluated according to the valuable options they preserve or eliminate for future persons.</w:t>
      </w:r>
    </w:p>
    <w:p>
      <w:pPr>
        <w:pStyle w:val="BodyText"/>
        <w:numPr>
          <w:ilvl w:val="0"/>
          <w:numId w:val="144"/>
        </w:numPr>
        <w:tabs>
          <w:tab w:val="clear" w:pos="720"/>
          <w:tab w:val="left" w:pos="0" w:leader="none"/>
        </w:tabs>
        <w:spacing w:before="0" w:after="200"/>
        <w:ind w:hanging="283" w:left="709"/>
        <w:rPr/>
      </w:pPr>
      <w:r>
        <w:rPr>
          <w:rStyle w:val="Strong"/>
        </w:rPr>
        <w:t>Develop entity-specific capability profiles.</w:t>
      </w:r>
      <w:r>
        <w:rPr/>
        <w:br/>
        <w:t>Human capability dimensions should not be automatically imposed on nonhuman entities. Biological, ecological, institutional, and artificial entities require separate, evidence-based profiles.</w:t>
      </w:r>
    </w:p>
    <w:p>
      <w:pPr>
        <w:pStyle w:val="BodyText"/>
        <w:numPr>
          <w:ilvl w:val="0"/>
          <w:numId w:val="144"/>
        </w:numPr>
        <w:tabs>
          <w:tab w:val="clear" w:pos="720"/>
          <w:tab w:val="left" w:pos="0" w:leader="none"/>
        </w:tabs>
        <w:spacing w:before="0" w:after="200"/>
        <w:ind w:hanging="283" w:left="709"/>
        <w:rPr/>
      </w:pPr>
      <w:r>
        <w:rPr>
          <w:rStyle w:val="Strong"/>
        </w:rPr>
        <w:t>Protect low-agency entities.</w:t>
      </w:r>
      <w:r>
        <w:rPr/>
        <w:br/>
        <w:t>Infants, severely impaired persons, animals, and other entities may have ethically important capabilities even when they cannot articulate preferences or exercise conventional agency.</w:t>
      </w:r>
    </w:p>
    <w:p>
      <w:pPr>
        <w:pStyle w:val="BodyText"/>
        <w:numPr>
          <w:ilvl w:val="0"/>
          <w:numId w:val="144"/>
        </w:numPr>
        <w:tabs>
          <w:tab w:val="clear" w:pos="720"/>
          <w:tab w:val="left" w:pos="0" w:leader="none"/>
        </w:tabs>
        <w:spacing w:before="0" w:after="200"/>
        <w:ind w:hanging="283" w:left="709"/>
        <w:rPr/>
      </w:pPr>
      <w:r>
        <w:rPr>
          <w:rStyle w:val="Strong"/>
        </w:rPr>
        <w:t>Connect capabilities with responsibility.</w:t>
      </w:r>
      <w:r>
        <w:rPr/>
        <w:br/>
        <w:t>The framework should distinguish between having the capability to act and having a duty to exercise that capability. Authority, role, knowledge, risk, and the needs of others affect whether an unused capability creates responsibility.</w:t>
      </w:r>
    </w:p>
    <w:p>
      <w:pPr>
        <w:pStyle w:val="BodyText"/>
        <w:numPr>
          <w:ilvl w:val="0"/>
          <w:numId w:val="144"/>
        </w:numPr>
        <w:tabs>
          <w:tab w:val="clear" w:pos="720"/>
          <w:tab w:val="left" w:pos="0" w:leader="none"/>
        </w:tabs>
        <w:spacing w:before="0" w:after="200"/>
        <w:ind w:hanging="283" w:left="709"/>
        <w:rPr/>
      </w:pPr>
      <w:r>
        <w:rPr>
          <w:rStyle w:val="Strong"/>
        </w:rPr>
        <w:t>Analyze capability concentration.</w:t>
      </w:r>
      <w:r>
        <w:rPr/>
        <w:br/>
        <w:t>Expanding the capabilities of already powerful entities may contract the capabilities of others. The distribution of control over technology, information, capital, and institutions should therefore be evaluated.</w:t>
      </w:r>
    </w:p>
    <w:p>
      <w:pPr>
        <w:pStyle w:val="BodyText"/>
        <w:numPr>
          <w:ilvl w:val="0"/>
          <w:numId w:val="144"/>
        </w:numPr>
        <w:tabs>
          <w:tab w:val="clear" w:pos="720"/>
          <w:tab w:val="left" w:pos="0" w:leader="none"/>
        </w:tabs>
        <w:spacing w:before="0" w:after="200"/>
        <w:ind w:hanging="283" w:left="709"/>
        <w:rPr/>
      </w:pPr>
      <w:r>
        <w:rPr>
          <w:rStyle w:val="Strong"/>
        </w:rPr>
        <w:t>Identify capability dependency and lock-in.</w:t>
      </w:r>
      <w:r>
        <w:rPr/>
        <w:br/>
        <w:t>A capability that depends entirely on one employer, platform, government, caregiver, or proprietary system may be fragile and vulnerable to coercion.</w:t>
      </w:r>
    </w:p>
    <w:p>
      <w:pPr>
        <w:pStyle w:val="BodyText"/>
        <w:numPr>
          <w:ilvl w:val="0"/>
          <w:numId w:val="144"/>
        </w:numPr>
        <w:tabs>
          <w:tab w:val="clear" w:pos="720"/>
          <w:tab w:val="left" w:pos="0" w:leader="none"/>
        </w:tabs>
        <w:spacing w:before="0" w:after="200"/>
        <w:ind w:hanging="283" w:left="709"/>
        <w:rPr/>
      </w:pPr>
      <w:r>
        <w:rPr>
          <w:rStyle w:val="Strong"/>
        </w:rPr>
        <w:t>Evaluate exit capabilities.</w:t>
      </w:r>
      <w:r>
        <w:rPr/>
        <w:br/>
        <w:t>The practical ability to leave an employment relationship, service, community, platform, political arrangement, or technological system is an important protection against domination.</w:t>
      </w:r>
    </w:p>
    <w:p>
      <w:pPr>
        <w:pStyle w:val="BodyText"/>
        <w:numPr>
          <w:ilvl w:val="0"/>
          <w:numId w:val="144"/>
        </w:numPr>
        <w:tabs>
          <w:tab w:val="clear" w:pos="720"/>
          <w:tab w:val="left" w:pos="0" w:leader="none"/>
        </w:tabs>
        <w:spacing w:before="0" w:after="200"/>
        <w:ind w:hanging="283" w:left="709"/>
        <w:rPr/>
      </w:pPr>
      <w:r>
        <w:rPr>
          <w:rStyle w:val="Strong"/>
        </w:rPr>
        <w:t>Evaluate voice capabilities.</w:t>
      </w:r>
      <w:r>
        <w:rPr/>
        <w:br/>
        <w:t>Where exit is impractical or undesirable, entities should possess meaningful opportunities to question, appeal, participate, and influence relevant decisions.</w:t>
      </w:r>
    </w:p>
    <w:p>
      <w:pPr>
        <w:pStyle w:val="BodyText"/>
        <w:numPr>
          <w:ilvl w:val="0"/>
          <w:numId w:val="144"/>
        </w:numPr>
        <w:tabs>
          <w:tab w:val="clear" w:pos="720"/>
          <w:tab w:val="left" w:pos="0" w:leader="none"/>
        </w:tabs>
        <w:spacing w:before="0" w:after="200"/>
        <w:ind w:hanging="283" w:left="709"/>
        <w:rPr/>
      </w:pPr>
      <w:r>
        <w:rPr>
          <w:rStyle w:val="Strong"/>
        </w:rPr>
        <w:t>Add capability repair obligations.</w:t>
      </w:r>
      <w:r>
        <w:rPr/>
        <w:br/>
        <w:t>When an action contracts an entity’s capabilities, repair should address not only compensation but also restoration of access, agency, trust, knowledge, health, relationships, or institutional standing.</w:t>
      </w:r>
    </w:p>
    <w:p>
      <w:pPr>
        <w:pStyle w:val="BodyText"/>
        <w:numPr>
          <w:ilvl w:val="0"/>
          <w:numId w:val="144"/>
        </w:numPr>
        <w:tabs>
          <w:tab w:val="clear" w:pos="720"/>
          <w:tab w:val="left" w:pos="0" w:leader="none"/>
        </w:tabs>
        <w:spacing w:before="0" w:after="200"/>
        <w:ind w:hanging="283" w:left="709"/>
        <w:rPr/>
      </w:pPr>
      <w:r>
        <w:rPr>
          <w:rStyle w:val="Strong"/>
        </w:rPr>
        <w:t>Use multi-criteria evaluation without forced commensuration.</w:t>
      </w:r>
      <w:r>
        <w:rPr/>
        <w:br/>
        <w:t>Capability dimensions should remain visible even when a summary judgment is required. Severe deprivation should not disappear inside a composite score.</w:t>
      </w:r>
    </w:p>
    <w:p>
      <w:pPr>
        <w:pStyle w:val="BodyText"/>
        <w:numPr>
          <w:ilvl w:val="0"/>
          <w:numId w:val="144"/>
        </w:numPr>
        <w:tabs>
          <w:tab w:val="clear" w:pos="720"/>
          <w:tab w:val="left" w:pos="0" w:leader="none"/>
        </w:tabs>
        <w:spacing w:before="0" w:after="200"/>
        <w:ind w:hanging="283" w:left="709"/>
        <w:rPr/>
      </w:pPr>
      <w:r>
        <w:rPr>
          <w:rStyle w:val="Strong"/>
        </w:rPr>
        <w:t>Monitor capability trajectories.</w:t>
      </w:r>
      <w:r>
        <w:rPr/>
        <w:br/>
        <w:t>Assessments should examine whether capabilities are expanding, contracting, becoming more secure, or becoming dependent on increasingly fragile conditions.</w:t>
      </w:r>
    </w:p>
    <w:p>
      <w:pPr>
        <w:pStyle w:val="BodyText"/>
        <w:numPr>
          <w:ilvl w:val="0"/>
          <w:numId w:val="144"/>
        </w:numPr>
        <w:tabs>
          <w:tab w:val="clear" w:pos="720"/>
          <w:tab w:val="left" w:pos="0" w:leader="none"/>
        </w:tabs>
        <w:spacing w:before="0" w:after="200"/>
        <w:ind w:hanging="283" w:left="709"/>
        <w:rPr/>
      </w:pPr>
      <w:r>
        <w:rPr>
          <w:rStyle w:val="Strong"/>
        </w:rPr>
        <w:t>Evaluate Distributed Policy Effects as capability effects.</w:t>
      </w:r>
      <w:r>
        <w:rPr/>
        <w:br/>
        <w:t>Actions that normalize discrimination, deception, surveillance, or arbitrary authority may reduce the future capabilities of observers and affected groups even without immediate material harm.</w:t>
      </w:r>
    </w:p>
    <w:p>
      <w:pPr>
        <w:pStyle w:val="BodyText"/>
        <w:numPr>
          <w:ilvl w:val="0"/>
          <w:numId w:val="144"/>
        </w:numPr>
        <w:tabs>
          <w:tab w:val="clear" w:pos="720"/>
          <w:tab w:val="left" w:pos="0" w:leader="none"/>
        </w:tabs>
        <w:spacing w:before="0" w:after="200"/>
        <w:ind w:hanging="283" w:left="709"/>
        <w:rPr/>
      </w:pPr>
      <w:r>
        <w:rPr>
          <w:rStyle w:val="Strong"/>
        </w:rPr>
        <w:t>Integrate capability expansion into moral-agent development.</w:t>
      </w:r>
      <w:r>
        <w:rPr/>
        <w:br/>
        <w:t>Education, access to information, critical reflection, emotional development, and participation can expand an agent’s capability to make better ethical decisions.</w:t>
      </w:r>
    </w:p>
    <w:p>
      <w:pPr>
        <w:pStyle w:val="BodyText"/>
        <w:spacing w:before="0" w:after="200"/>
        <w:rPr/>
      </w:pPr>
      <w:r>
        <w:rPr/>
        <w:t>The Capability Approach offers a particularly strong interpretation of the framework’s commitment to Long-Term Flourishing. It directs attention away from what entities merely possess or currently achieve and toward the valuable futures they can genuinely reach. Its principal contribution is the insistence that ethical assessment distinguish resources from real freedom, formal permission from effective access, observed functioning from voluntary choice, and aggregate improvement from the capabilities of each affected entity.</w:t>
      </w:r>
    </w:p>
    <w:p>
      <w:pPr>
        <w:pStyle w:val="Heading2"/>
        <w:rPr/>
      </w:pPr>
      <w:r>
        <w:rPr/>
        <w:t>Environmental Ethics, Including Deep Ecology</w:t>
      </w:r>
    </w:p>
    <w:p>
      <w:pPr>
        <w:pStyle w:val="BodyText"/>
        <w:spacing w:before="0" w:after="200"/>
        <w:rPr/>
      </w:pPr>
      <w:r>
        <w:rPr/>
        <w:t>Environmental ethics examines the moral relationship between human beings and the nonhuman world, including individual organisms, species, populations, ecosystems, landscapes, ecological processes, and the biosphere. Deep Ecology is a more specific ecocentric movement within this broader field. It argues that nonhuman life has value independently of its usefulness to humans and that ecological responsibility requires more than controlling pollution or managing resources for continued human consumption.</w:t>
      </w:r>
    </w:p>
    <w:p>
      <w:pPr>
        <w:pStyle w:val="BodyText"/>
        <w:spacing w:before="0" w:after="200"/>
        <w:rPr/>
      </w:pPr>
      <w:r>
        <w:rPr/>
        <w:t>Deep Ecology challenges anthropocentrism—the assumption that human interests define the ultimate measure of value. It understands humans as participants within ecological communities rather than as external owners, managers, or masters of nature. Its strongest versions emphasize the inherent worth of human and nonhuman life, biological richness and diversity, restraint of nonvital consumption, ecological self-realization, and fundamental changes to economic, technological, and ideological structures.</w:t>
      </w:r>
    </w:p>
    <w:p>
      <w:pPr>
        <w:pStyle w:val="BodyText"/>
        <w:spacing w:before="0" w:after="200"/>
        <w:rPr/>
      </w:pPr>
      <w:r>
        <w:rPr/>
        <w:t>Environmental ethics is considerably more diverse. It includes anthropocentric conservation, animal ethics, biocentrism, ecocentrism, the land ethic, ecofeminism, social ecology, environmental justice, Indigenous environmental philosophy, and theories of sustainability and intergenerational responsibility. These positions disagree about whether primary value belongs to sentient individuals, all living organisms, species, ecosystems, ecological processes, human–nature relationships, or some combination.</w:t>
      </w:r>
    </w:p>
    <w:p>
      <w:pPr>
        <w:pStyle w:val="BodyText"/>
        <w:spacing w:before="0" w:after="200"/>
        <w:rPr/>
      </w:pPr>
      <w:r>
        <w:rPr/>
        <w:t xml:space="preserve">This comparison therefore treats Environmental Ethics / Deep Ecology as a family of related approaches while identifying the distinctive claims of Deep Ecology. The </w:t>
      </w:r>
      <w:hyperlink r:id="rId112">
        <w:r>
          <w:rPr>
            <w:rStyle w:val="Hyperlink"/>
          </w:rPr>
          <w:t>Stanford Encyclopedia of Philosophy</w:t>
        </w:r>
      </w:hyperlink>
      <w:r>
        <w:rPr/>
        <w:t xml:space="preserve"> defines environmental ethics as the study of humanity’s moral relationship with the environment and the value and moral status of its nonhuman contents. It describes Deep Ecology as rejecting exclusively human-centered valuation and affirming the value of living beings independently of their usefulness to humans.</w:t>
      </w:r>
    </w:p>
    <w:p>
      <w:pPr>
        <w:pStyle w:val="Heading3"/>
        <w:spacing w:before="0" w:after="200"/>
        <w:ind w:hanging="0" w:left="0"/>
        <w:rPr>
          <w:rFonts w:ascii="Aptos" w:hAnsi="Aptos"/>
          <w:color w:val="auto"/>
        </w:rPr>
      </w:pPr>
      <w:r>
        <w:rPr>
          <w:rFonts w:ascii="Aptos" w:hAnsi="Aptos"/>
          <w:color w:val="auto"/>
        </w:rPr>
        <w:t>Primary Experts</w:t>
      </w:r>
    </w:p>
    <w:tbl>
      <w:tblPr>
        <w:tblW w:w="8640" w:type="dxa"/>
        <w:jc w:val="left"/>
        <w:tblInd w:w="28" w:type="dxa"/>
        <w:tblLayout w:type="fixed"/>
        <w:tblCellMar>
          <w:top w:w="28" w:type="dxa"/>
          <w:left w:w="28" w:type="dxa"/>
          <w:bottom w:w="28" w:type="dxa"/>
          <w:right w:w="28" w:type="dxa"/>
        </w:tblCellMar>
      </w:tblPr>
      <w:tblGrid>
        <w:gridCol w:w="1335"/>
        <w:gridCol w:w="729"/>
        <w:gridCol w:w="2196"/>
        <w:gridCol w:w="4380"/>
      </w:tblGrid>
      <w:tr>
        <w:trPr>
          <w:tblHeader w:val="true"/>
        </w:trPr>
        <w:tc>
          <w:tcPr>
            <w:tcW w:w="1335" w:type="dxa"/>
            <w:tcBorders/>
            <w:vAlign w:val="center"/>
          </w:tcPr>
          <w:p>
            <w:pPr>
              <w:pStyle w:val="TableHeading"/>
              <w:suppressLineNumbers/>
              <w:spacing w:before="0" w:after="200"/>
              <w:jc w:val="center"/>
              <w:rPr/>
            </w:pPr>
            <w:r>
              <w:rPr/>
              <w:t>Expert</w:t>
            </w:r>
          </w:p>
        </w:tc>
        <w:tc>
          <w:tcPr>
            <w:tcW w:w="729" w:type="dxa"/>
            <w:tcBorders/>
            <w:vAlign w:val="center"/>
          </w:tcPr>
          <w:p>
            <w:pPr>
              <w:pStyle w:val="TableHeading"/>
              <w:spacing w:before="0" w:after="200"/>
              <w:jc w:val="right"/>
              <w:rPr/>
            </w:pPr>
            <w:r>
              <w:rPr/>
              <w:t>Life</w:t>
            </w:r>
          </w:p>
        </w:tc>
        <w:tc>
          <w:tcPr>
            <w:tcW w:w="2196" w:type="dxa"/>
            <w:tcBorders/>
            <w:vAlign w:val="center"/>
          </w:tcPr>
          <w:p>
            <w:pPr>
              <w:pStyle w:val="TableHeading"/>
              <w:suppressLineNumbers/>
              <w:spacing w:before="0" w:after="200"/>
              <w:jc w:val="center"/>
              <w:rPr/>
            </w:pPr>
            <w:r>
              <w:rPr/>
              <w:t>Associated institution(s)</w:t>
            </w:r>
          </w:p>
        </w:tc>
        <w:tc>
          <w:tcPr>
            <w:tcW w:w="4380" w:type="dxa"/>
            <w:tcBorders/>
            <w:vAlign w:val="center"/>
          </w:tcPr>
          <w:p>
            <w:pPr>
              <w:pStyle w:val="TableHeading"/>
              <w:suppressLineNumbers/>
              <w:spacing w:before="0" w:after="200"/>
              <w:jc w:val="center"/>
              <w:rPr/>
            </w:pPr>
            <w:r>
              <w:rPr/>
              <w:t>Principal contribution</w:t>
            </w:r>
          </w:p>
        </w:tc>
      </w:tr>
      <w:tr>
        <w:trPr/>
        <w:tc>
          <w:tcPr>
            <w:tcW w:w="1335" w:type="dxa"/>
            <w:tcBorders/>
            <w:vAlign w:val="center"/>
          </w:tcPr>
          <w:p>
            <w:pPr>
              <w:pStyle w:val="TableContents"/>
              <w:widowControl w:val="false"/>
              <w:suppressLineNumbers/>
              <w:spacing w:before="0" w:after="200"/>
              <w:rPr/>
            </w:pPr>
            <w:r>
              <w:rPr>
                <w:rStyle w:val="Strong"/>
              </w:rPr>
              <w:t>Aldo Leopold</w:t>
            </w:r>
          </w:p>
        </w:tc>
        <w:tc>
          <w:tcPr>
            <w:tcW w:w="729" w:type="dxa"/>
            <w:tcBorders/>
            <w:vAlign w:val="center"/>
          </w:tcPr>
          <w:p>
            <w:pPr>
              <w:pStyle w:val="TableContents"/>
              <w:spacing w:before="0" w:after="200"/>
              <w:jc w:val="right"/>
              <w:rPr/>
            </w:pPr>
            <w:r>
              <w:rPr>
                <w:rStyle w:val="Strong"/>
              </w:rPr>
              <w:t>1887–1948</w:t>
            </w:r>
          </w:p>
        </w:tc>
        <w:tc>
          <w:tcPr>
            <w:tcW w:w="2196" w:type="dxa"/>
            <w:tcBorders/>
            <w:vAlign w:val="center"/>
          </w:tcPr>
          <w:p>
            <w:pPr>
              <w:pStyle w:val="TableContents"/>
              <w:widowControl w:val="false"/>
              <w:suppressLineNumbers/>
              <w:spacing w:before="0" w:after="200"/>
              <w:rPr/>
            </w:pPr>
            <w:r>
              <w:rPr/>
              <w:t>United States Forest Service; University of Wisconsin–Madison</w:t>
            </w:r>
          </w:p>
        </w:tc>
        <w:tc>
          <w:tcPr>
            <w:tcW w:w="4380" w:type="dxa"/>
            <w:tcBorders/>
            <w:vAlign w:val="center"/>
          </w:tcPr>
          <w:p>
            <w:pPr>
              <w:pStyle w:val="TableContents"/>
              <w:widowControl w:val="false"/>
              <w:suppressLineNumbers/>
              <w:spacing w:before="0" w:after="200"/>
              <w:rPr/>
            </w:pPr>
            <w:r>
              <w:rPr/>
              <w:t>Developed the land ethic, which expanded moral community to include soils, waters, plants, animals, and the interconnected land community. Emphasized ecological integrity, community membership, conservation, and ecological conscience.</w:t>
            </w:r>
          </w:p>
        </w:tc>
      </w:tr>
      <w:tr>
        <w:trPr/>
        <w:tc>
          <w:tcPr>
            <w:tcW w:w="1335" w:type="dxa"/>
            <w:tcBorders/>
            <w:vAlign w:val="center"/>
          </w:tcPr>
          <w:p>
            <w:pPr>
              <w:pStyle w:val="TableContents"/>
              <w:widowControl w:val="false"/>
              <w:suppressLineNumbers/>
              <w:spacing w:before="0" w:after="200"/>
              <w:rPr/>
            </w:pPr>
            <w:r>
              <w:rPr>
                <w:rStyle w:val="Strong"/>
              </w:rPr>
              <w:t>Rachel Carson</w:t>
            </w:r>
          </w:p>
        </w:tc>
        <w:tc>
          <w:tcPr>
            <w:tcW w:w="729" w:type="dxa"/>
            <w:tcBorders/>
            <w:vAlign w:val="center"/>
          </w:tcPr>
          <w:p>
            <w:pPr>
              <w:pStyle w:val="TableContents"/>
              <w:spacing w:before="0" w:after="200"/>
              <w:jc w:val="right"/>
              <w:rPr/>
            </w:pPr>
            <w:r>
              <w:rPr>
                <w:rStyle w:val="Strong"/>
              </w:rPr>
              <w:t>1907–1964</w:t>
            </w:r>
          </w:p>
        </w:tc>
        <w:tc>
          <w:tcPr>
            <w:tcW w:w="2196" w:type="dxa"/>
            <w:tcBorders/>
            <w:vAlign w:val="center"/>
          </w:tcPr>
          <w:p>
            <w:pPr>
              <w:pStyle w:val="TableContents"/>
              <w:widowControl w:val="false"/>
              <w:suppressLineNumbers/>
              <w:spacing w:before="0" w:after="200"/>
              <w:rPr/>
            </w:pPr>
            <w:r>
              <w:rPr/>
              <w:t>United States Bureau of Fisheries and U.S. Fish and Wildlife Service</w:t>
            </w:r>
          </w:p>
        </w:tc>
        <w:tc>
          <w:tcPr>
            <w:tcW w:w="4380" w:type="dxa"/>
            <w:tcBorders/>
            <w:vAlign w:val="center"/>
          </w:tcPr>
          <w:p>
            <w:pPr>
              <w:pStyle w:val="TableContents"/>
              <w:widowControl w:val="false"/>
              <w:suppressLineNumbers/>
              <w:spacing w:before="0" w:after="200"/>
              <w:rPr/>
            </w:pPr>
            <w:r>
              <w:rPr/>
              <w:t>Demonstrated the systemic, cumulative, and unintended ecological effects of chemical pesticides. Helped establish modern environmental awareness and precautionary analysis of technological intervention.</w:t>
            </w:r>
          </w:p>
        </w:tc>
      </w:tr>
      <w:tr>
        <w:trPr/>
        <w:tc>
          <w:tcPr>
            <w:tcW w:w="1335" w:type="dxa"/>
            <w:tcBorders/>
            <w:vAlign w:val="center"/>
          </w:tcPr>
          <w:p>
            <w:pPr>
              <w:pStyle w:val="TableContents"/>
              <w:widowControl w:val="false"/>
              <w:suppressLineNumbers/>
              <w:spacing w:before="0" w:after="200"/>
              <w:rPr/>
            </w:pPr>
            <w:r>
              <w:rPr>
                <w:rStyle w:val="Strong"/>
              </w:rPr>
              <w:t>Arne Næss</w:t>
            </w:r>
          </w:p>
        </w:tc>
        <w:tc>
          <w:tcPr>
            <w:tcW w:w="729" w:type="dxa"/>
            <w:tcBorders/>
            <w:vAlign w:val="center"/>
          </w:tcPr>
          <w:p>
            <w:pPr>
              <w:pStyle w:val="TableContents"/>
              <w:spacing w:before="0" w:after="200"/>
              <w:jc w:val="right"/>
              <w:rPr/>
            </w:pPr>
            <w:r>
              <w:rPr>
                <w:rStyle w:val="Strong"/>
              </w:rPr>
              <w:t>1912–2009</w:t>
            </w:r>
          </w:p>
        </w:tc>
        <w:tc>
          <w:tcPr>
            <w:tcW w:w="2196" w:type="dxa"/>
            <w:tcBorders/>
            <w:vAlign w:val="center"/>
          </w:tcPr>
          <w:p>
            <w:pPr>
              <w:pStyle w:val="TableContents"/>
              <w:widowControl w:val="false"/>
              <w:suppressLineNumbers/>
              <w:spacing w:before="0" w:after="200"/>
              <w:rPr/>
            </w:pPr>
            <w:r>
              <w:rPr/>
              <w:t>University of Oslo</w:t>
            </w:r>
          </w:p>
        </w:tc>
        <w:tc>
          <w:tcPr>
            <w:tcW w:w="4380" w:type="dxa"/>
            <w:tcBorders/>
            <w:vAlign w:val="center"/>
          </w:tcPr>
          <w:p>
            <w:pPr>
              <w:pStyle w:val="TableContents"/>
              <w:widowControl w:val="false"/>
              <w:suppressLineNumbers/>
              <w:spacing w:before="0" w:after="200"/>
              <w:rPr/>
            </w:pPr>
            <w:r>
              <w:rPr/>
              <w:t>Coined “Deep Ecology,” developed Ecosophy T, distinguished deep from shallow environmentalism, and emphasized ecological self-realization, relational identity, biodiversity, and the intrinsic value of human and nonhuman life.</w:t>
            </w:r>
          </w:p>
        </w:tc>
      </w:tr>
      <w:tr>
        <w:trPr/>
        <w:tc>
          <w:tcPr>
            <w:tcW w:w="1335" w:type="dxa"/>
            <w:tcBorders/>
            <w:vAlign w:val="center"/>
          </w:tcPr>
          <w:p>
            <w:pPr>
              <w:pStyle w:val="TableContents"/>
              <w:widowControl w:val="false"/>
              <w:suppressLineNumbers/>
              <w:spacing w:before="0" w:after="200"/>
              <w:rPr/>
            </w:pPr>
            <w:r>
              <w:rPr>
                <w:rStyle w:val="Strong"/>
              </w:rPr>
              <w:t>George Sessions</w:t>
            </w:r>
          </w:p>
        </w:tc>
        <w:tc>
          <w:tcPr>
            <w:tcW w:w="729" w:type="dxa"/>
            <w:tcBorders/>
            <w:vAlign w:val="center"/>
          </w:tcPr>
          <w:p>
            <w:pPr>
              <w:pStyle w:val="TableContents"/>
              <w:spacing w:before="0" w:after="200"/>
              <w:jc w:val="right"/>
              <w:rPr/>
            </w:pPr>
            <w:r>
              <w:rPr>
                <w:rStyle w:val="Strong"/>
              </w:rPr>
              <w:t>1938–2016</w:t>
            </w:r>
          </w:p>
        </w:tc>
        <w:tc>
          <w:tcPr>
            <w:tcW w:w="2196" w:type="dxa"/>
            <w:tcBorders/>
            <w:vAlign w:val="center"/>
          </w:tcPr>
          <w:p>
            <w:pPr>
              <w:pStyle w:val="TableContents"/>
              <w:widowControl w:val="false"/>
              <w:suppressLineNumbers/>
              <w:spacing w:before="0" w:after="200"/>
              <w:rPr/>
            </w:pPr>
            <w:r>
              <w:rPr/>
              <w:t>Sierra College</w:t>
            </w:r>
          </w:p>
        </w:tc>
        <w:tc>
          <w:tcPr>
            <w:tcW w:w="4380" w:type="dxa"/>
            <w:tcBorders/>
            <w:vAlign w:val="center"/>
          </w:tcPr>
          <w:p>
            <w:pPr>
              <w:pStyle w:val="TableContents"/>
              <w:widowControl w:val="false"/>
              <w:suppressLineNumbers/>
              <w:spacing w:before="0" w:after="200"/>
              <w:rPr/>
            </w:pPr>
            <w:r>
              <w:rPr/>
              <w:t>Co-developed the eight-point Deep Ecology Platform with Næss and helped articulate Deep Ecology as a broadly accessible ecological movement rather than one closed philosophical doctrine.</w:t>
            </w:r>
          </w:p>
        </w:tc>
      </w:tr>
      <w:tr>
        <w:trPr/>
        <w:tc>
          <w:tcPr>
            <w:tcW w:w="1335" w:type="dxa"/>
            <w:tcBorders/>
            <w:vAlign w:val="center"/>
          </w:tcPr>
          <w:p>
            <w:pPr>
              <w:pStyle w:val="TableContents"/>
              <w:widowControl w:val="false"/>
              <w:suppressLineNumbers/>
              <w:spacing w:before="0" w:after="200"/>
              <w:rPr/>
            </w:pPr>
            <w:r>
              <w:rPr>
                <w:rStyle w:val="Strong"/>
              </w:rPr>
              <w:t>Holmes Rolston III</w:t>
            </w:r>
          </w:p>
        </w:tc>
        <w:tc>
          <w:tcPr>
            <w:tcW w:w="729" w:type="dxa"/>
            <w:tcBorders/>
            <w:vAlign w:val="center"/>
          </w:tcPr>
          <w:p>
            <w:pPr>
              <w:pStyle w:val="TableContents"/>
              <w:spacing w:before="0" w:after="200"/>
              <w:jc w:val="right"/>
              <w:rPr/>
            </w:pPr>
            <w:r>
              <w:rPr>
                <w:rStyle w:val="Strong"/>
              </w:rPr>
              <w:t>1932–2025</w:t>
            </w:r>
          </w:p>
        </w:tc>
        <w:tc>
          <w:tcPr>
            <w:tcW w:w="2196" w:type="dxa"/>
            <w:tcBorders/>
            <w:vAlign w:val="center"/>
          </w:tcPr>
          <w:p>
            <w:pPr>
              <w:pStyle w:val="TableContents"/>
              <w:widowControl w:val="false"/>
              <w:suppressLineNumbers/>
              <w:spacing w:before="0" w:after="200"/>
              <w:rPr/>
            </w:pPr>
            <w:r>
              <w:rPr/>
              <w:t>Colorado State University</w:t>
            </w:r>
          </w:p>
        </w:tc>
        <w:tc>
          <w:tcPr>
            <w:tcW w:w="4380" w:type="dxa"/>
            <w:tcBorders/>
            <w:vAlign w:val="center"/>
          </w:tcPr>
          <w:p>
            <w:pPr>
              <w:pStyle w:val="TableContents"/>
              <w:widowControl w:val="false"/>
              <w:suppressLineNumbers/>
              <w:spacing w:before="0" w:after="200"/>
              <w:rPr/>
            </w:pPr>
            <w:r>
              <w:rPr/>
              <w:t>Developed influential accounts of intrinsic value in organisms, species, ecosystems, evolutionary processes, and wild nature. Helped establish environmental ethics as an academic discipline.</w:t>
            </w:r>
          </w:p>
        </w:tc>
      </w:tr>
      <w:tr>
        <w:trPr/>
        <w:tc>
          <w:tcPr>
            <w:tcW w:w="1335" w:type="dxa"/>
            <w:tcBorders/>
            <w:vAlign w:val="center"/>
          </w:tcPr>
          <w:p>
            <w:pPr>
              <w:pStyle w:val="TableContents"/>
              <w:widowControl w:val="false"/>
              <w:suppressLineNumbers/>
              <w:spacing w:before="0" w:after="200"/>
              <w:rPr/>
            </w:pPr>
            <w:r>
              <w:rPr>
                <w:rStyle w:val="Strong"/>
              </w:rPr>
              <w:t>J. Baird Callicott</w:t>
            </w:r>
          </w:p>
        </w:tc>
        <w:tc>
          <w:tcPr>
            <w:tcW w:w="729" w:type="dxa"/>
            <w:tcBorders/>
            <w:vAlign w:val="center"/>
          </w:tcPr>
          <w:p>
            <w:pPr>
              <w:pStyle w:val="TableContents"/>
              <w:spacing w:before="0" w:after="200"/>
              <w:jc w:val="right"/>
              <w:rPr/>
            </w:pPr>
            <w:r>
              <w:rPr>
                <w:rStyle w:val="Strong"/>
              </w:rPr>
              <w:t>1941–</w:t>
            </w:r>
          </w:p>
        </w:tc>
        <w:tc>
          <w:tcPr>
            <w:tcW w:w="2196" w:type="dxa"/>
            <w:tcBorders/>
            <w:vAlign w:val="center"/>
          </w:tcPr>
          <w:p>
            <w:pPr>
              <w:pStyle w:val="TableContents"/>
              <w:widowControl w:val="false"/>
              <w:suppressLineNumbers/>
              <w:spacing w:before="0" w:after="200"/>
              <w:rPr/>
            </w:pPr>
            <w:r>
              <w:rPr/>
              <w:t>University of Wisconsin–Stevens Point; University of North Texas</w:t>
            </w:r>
          </w:p>
        </w:tc>
        <w:tc>
          <w:tcPr>
            <w:tcW w:w="4380" w:type="dxa"/>
            <w:tcBorders/>
            <w:vAlign w:val="center"/>
          </w:tcPr>
          <w:p>
            <w:pPr>
              <w:pStyle w:val="TableContents"/>
              <w:widowControl w:val="false"/>
              <w:suppressLineNumbers/>
              <w:spacing w:before="0" w:after="200"/>
              <w:rPr/>
            </w:pPr>
            <w:r>
              <w:rPr/>
              <w:t>Became a leading interpreter and philosophical developer of Leopold’s land ethic and advanced holistic, community-based environmental ethics.</w:t>
            </w:r>
          </w:p>
        </w:tc>
      </w:tr>
      <w:tr>
        <w:trPr/>
        <w:tc>
          <w:tcPr>
            <w:tcW w:w="1335" w:type="dxa"/>
            <w:tcBorders/>
            <w:vAlign w:val="center"/>
          </w:tcPr>
          <w:p>
            <w:pPr>
              <w:pStyle w:val="TableContents"/>
              <w:widowControl w:val="false"/>
              <w:suppressLineNumbers/>
              <w:spacing w:before="0" w:after="200"/>
              <w:rPr/>
            </w:pPr>
            <w:r>
              <w:rPr>
                <w:rStyle w:val="Strong"/>
              </w:rPr>
              <w:t>Val Plumwood</w:t>
            </w:r>
          </w:p>
        </w:tc>
        <w:tc>
          <w:tcPr>
            <w:tcW w:w="729" w:type="dxa"/>
            <w:tcBorders/>
            <w:vAlign w:val="center"/>
          </w:tcPr>
          <w:p>
            <w:pPr>
              <w:pStyle w:val="TableContents"/>
              <w:spacing w:before="0" w:after="200"/>
              <w:jc w:val="right"/>
              <w:rPr/>
            </w:pPr>
            <w:r>
              <w:rPr>
                <w:rStyle w:val="Strong"/>
              </w:rPr>
              <w:t>1939–2008</w:t>
            </w:r>
          </w:p>
        </w:tc>
        <w:tc>
          <w:tcPr>
            <w:tcW w:w="2196" w:type="dxa"/>
            <w:tcBorders/>
            <w:vAlign w:val="center"/>
          </w:tcPr>
          <w:p>
            <w:pPr>
              <w:pStyle w:val="TableContents"/>
              <w:widowControl w:val="false"/>
              <w:suppressLineNumbers/>
              <w:spacing w:before="0" w:after="200"/>
              <w:rPr/>
            </w:pPr>
            <w:r>
              <w:rPr/>
              <w:t>Australian National University; University of Sydney; other visiting appointments</w:t>
            </w:r>
          </w:p>
        </w:tc>
        <w:tc>
          <w:tcPr>
            <w:tcW w:w="4380" w:type="dxa"/>
            <w:tcBorders/>
            <w:vAlign w:val="center"/>
          </w:tcPr>
          <w:p>
            <w:pPr>
              <w:pStyle w:val="TableContents"/>
              <w:widowControl w:val="false"/>
              <w:suppressLineNumbers/>
              <w:spacing w:before="0" w:after="200"/>
              <w:rPr/>
            </w:pPr>
            <w:r>
              <w:rPr/>
              <w:t>Developed an ecofeminist critique of anthropocentrism, human–nature dualism, rational mastery, colonialism, and the linked subordination of women, marginalized peoples, and nonhuman nature.</w:t>
            </w:r>
          </w:p>
        </w:tc>
      </w:tr>
      <w:tr>
        <w:trPr/>
        <w:tc>
          <w:tcPr>
            <w:tcW w:w="1335" w:type="dxa"/>
            <w:tcBorders/>
            <w:vAlign w:val="center"/>
          </w:tcPr>
          <w:p>
            <w:pPr>
              <w:pStyle w:val="TableContents"/>
              <w:widowControl w:val="false"/>
              <w:suppressLineNumbers/>
              <w:spacing w:before="0" w:after="200"/>
              <w:rPr/>
            </w:pPr>
            <w:r>
              <w:rPr>
                <w:rStyle w:val="Strong"/>
              </w:rPr>
              <w:t>Murray Bookchin</w:t>
            </w:r>
          </w:p>
        </w:tc>
        <w:tc>
          <w:tcPr>
            <w:tcW w:w="729" w:type="dxa"/>
            <w:tcBorders/>
            <w:vAlign w:val="center"/>
          </w:tcPr>
          <w:p>
            <w:pPr>
              <w:pStyle w:val="TableContents"/>
              <w:spacing w:before="0" w:after="200"/>
              <w:jc w:val="right"/>
              <w:rPr/>
            </w:pPr>
            <w:r>
              <w:rPr>
                <w:rStyle w:val="Strong"/>
              </w:rPr>
              <w:t>1921–2006</w:t>
            </w:r>
          </w:p>
        </w:tc>
        <w:tc>
          <w:tcPr>
            <w:tcW w:w="2196" w:type="dxa"/>
            <w:tcBorders/>
            <w:vAlign w:val="center"/>
          </w:tcPr>
          <w:p>
            <w:pPr>
              <w:pStyle w:val="TableContents"/>
              <w:widowControl w:val="false"/>
              <w:suppressLineNumbers/>
              <w:spacing w:before="0" w:after="200"/>
              <w:rPr/>
            </w:pPr>
            <w:r>
              <w:rPr/>
              <w:t>Institute for Social Ecology; Ramapo College of New Jersey</w:t>
            </w:r>
          </w:p>
        </w:tc>
        <w:tc>
          <w:tcPr>
            <w:tcW w:w="4380" w:type="dxa"/>
            <w:tcBorders/>
            <w:vAlign w:val="center"/>
          </w:tcPr>
          <w:p>
            <w:pPr>
              <w:pStyle w:val="TableContents"/>
              <w:widowControl w:val="false"/>
              <w:suppressLineNumbers/>
              <w:spacing w:before="0" w:after="200"/>
              <w:rPr/>
            </w:pPr>
            <w:r>
              <w:rPr/>
              <w:t>Developed social ecology and criticized versions of Deep Ecology that neglected hierarchy, domination, political economy, and social injustice. Serves as an important internal corrective to ecocentric analysis.</w:t>
            </w:r>
          </w:p>
        </w:tc>
      </w:tr>
    </w:tbl>
    <w:p>
      <w:pPr>
        <w:pStyle w:val="BodyText"/>
        <w:spacing w:before="0" w:after="200"/>
        <w:rPr/>
      </w:pPr>
      <w:r>
        <w:rPr/>
        <w:t xml:space="preserve">Leopold’s career and influence on environmental ethics are summarized by the </w:t>
      </w:r>
      <w:hyperlink r:id="rId113">
        <w:r>
          <w:rPr>
            <w:rStyle w:val="Hyperlink"/>
          </w:rPr>
          <w:t>U.S. Fish and Wildlife Service</w:t>
        </w:r>
      </w:hyperlink>
      <w:r>
        <w:rPr/>
        <w:t xml:space="preserve">. Næss is recognized as the founder of Deep Ecology by </w:t>
      </w:r>
      <w:hyperlink r:id="rId114">
        <w:r>
          <w:rPr>
            <w:rStyle w:val="Hyperlink"/>
          </w:rPr>
          <w:t>Open Air Philosophy</w:t>
        </w:r>
      </w:hyperlink>
      <w:r>
        <w:rPr/>
        <w:t xml:space="preserve">. Sessions’s work and long association with Sierra College are documented in the </w:t>
      </w:r>
      <w:hyperlink r:id="rId115">
        <w:r>
          <w:rPr>
            <w:rStyle w:val="Hyperlink"/>
          </w:rPr>
          <w:t>George Sessions archival finding aid</w:t>
        </w:r>
      </w:hyperlink>
      <w:r>
        <w:rPr/>
        <w:t xml:space="preserve">. Colorado State University describes Rolston’s role in establishing environmental ethics in its </w:t>
      </w:r>
      <w:hyperlink r:id="rId116">
        <w:r>
          <w:rPr>
            <w:rStyle w:val="Hyperlink"/>
          </w:rPr>
          <w:t>2025 memorial</w:t>
        </w:r>
      </w:hyperlink>
      <w:r>
        <w:rPr/>
        <w:t xml:space="preserve">. Callicott’s work on the land ethic is summarized by the </w:t>
      </w:r>
      <w:hyperlink r:id="rId117">
        <w:r>
          <w:rPr>
            <w:rStyle w:val="Hyperlink"/>
          </w:rPr>
          <w:t>Aldo Leopold Foundation</w:t>
        </w:r>
      </w:hyperlink>
      <w:r>
        <w:rPr/>
        <w:t xml:space="preserve">. Plumwood’s ecofeminist environmental philosophy is described by the </w:t>
      </w:r>
      <w:hyperlink r:id="rId118">
        <w:r>
          <w:rPr>
            <w:rStyle w:val="Hyperlink"/>
          </w:rPr>
          <w:t>Val Plumwood foundation</w:t>
        </w:r>
      </w:hyperlink>
      <w:r>
        <w:rPr/>
        <w:t xml:space="preserve">, while Bookchin’s work and institutional affiliations are summarized by the </w:t>
      </w:r>
      <w:hyperlink r:id="rId119">
        <w:r>
          <w:rPr>
            <w:rStyle w:val="Hyperlink"/>
          </w:rPr>
          <w:t>Institute for Social Ecology</w:t>
        </w:r>
      </w:hyperlink>
      <w:r>
        <w:rPr/>
        <w:t>.</w:t>
      </w:r>
    </w:p>
    <w:p>
      <w:pPr>
        <w:pStyle w:val="Heading3"/>
        <w:rPr/>
      </w:pPr>
      <w:r>
        <w:rPr/>
        <w:t>Core assumptions</w:t>
      </w:r>
    </w:p>
    <w:p>
      <w:pPr>
        <w:pStyle w:val="BodyText"/>
        <w:spacing w:before="0" w:after="200"/>
        <w:rPr/>
      </w:pPr>
      <w:r>
        <w:rPr/>
        <w:t>Because the field contains competing theories, the following assumptions identify influential environmental and Deep Ecology positions rather than doctrines accepted unanimously by every environmental ethicist.</w:t>
      </w:r>
    </w:p>
    <w:p>
      <w:pPr>
        <w:pStyle w:val="BodyText"/>
        <w:numPr>
          <w:ilvl w:val="0"/>
          <w:numId w:val="150"/>
        </w:numPr>
        <w:tabs>
          <w:tab w:val="clear" w:pos="720"/>
          <w:tab w:val="left" w:pos="0" w:leader="none"/>
        </w:tabs>
        <w:spacing w:before="0" w:after="200"/>
        <w:ind w:hanging="283" w:left="709"/>
        <w:rPr/>
      </w:pPr>
      <w:r>
        <w:rPr>
          <w:rStyle w:val="Strong"/>
        </w:rPr>
        <w:t>The nonhuman world has moral significance.</w:t>
      </w:r>
      <w:r>
        <w:rPr/>
        <w:br/>
        <w:t>Ethical reasoning must extend beyond direct effects on present human beings.</w:t>
      </w:r>
    </w:p>
    <w:p>
      <w:pPr>
        <w:pStyle w:val="BodyText"/>
        <w:numPr>
          <w:ilvl w:val="0"/>
          <w:numId w:val="150"/>
        </w:numPr>
        <w:tabs>
          <w:tab w:val="clear" w:pos="720"/>
          <w:tab w:val="left" w:pos="0" w:leader="none"/>
        </w:tabs>
        <w:spacing w:before="0" w:after="200"/>
        <w:ind w:hanging="283" w:left="709"/>
        <w:rPr/>
      </w:pPr>
      <w:r>
        <w:rPr>
          <w:rStyle w:val="Strong"/>
        </w:rPr>
        <w:t>At least some nonhuman entities possess value independently of their usefulness to humans.</w:t>
      </w:r>
      <w:r>
        <w:rPr/>
        <w:br/>
        <w:t>Animals, plants, species, ecosystems, and ecological processes should not be treated solely as resources or instruments.</w:t>
      </w:r>
    </w:p>
    <w:p>
      <w:pPr>
        <w:pStyle w:val="BodyText"/>
        <w:numPr>
          <w:ilvl w:val="0"/>
          <w:numId w:val="150"/>
        </w:numPr>
        <w:tabs>
          <w:tab w:val="clear" w:pos="720"/>
          <w:tab w:val="left" w:pos="0" w:leader="none"/>
        </w:tabs>
        <w:spacing w:before="0" w:after="200"/>
        <w:ind w:hanging="283" w:left="709"/>
        <w:rPr/>
      </w:pPr>
      <w:r>
        <w:rPr>
          <w:rStyle w:val="Strong"/>
        </w:rPr>
        <w:t>Humans are members of ecological communities.</w:t>
      </w:r>
      <w:r>
        <w:rPr/>
        <w:br/>
        <w:t>Humanity exists within biological, climatic, geological, and evolutionary systems. Human flourishing depends on these relationships.</w:t>
      </w:r>
    </w:p>
    <w:p>
      <w:pPr>
        <w:pStyle w:val="BodyText"/>
        <w:numPr>
          <w:ilvl w:val="0"/>
          <w:numId w:val="150"/>
        </w:numPr>
        <w:tabs>
          <w:tab w:val="clear" w:pos="720"/>
          <w:tab w:val="left" w:pos="0" w:leader="none"/>
        </w:tabs>
        <w:spacing w:before="0" w:after="200"/>
        <w:ind w:hanging="283" w:left="709"/>
        <w:rPr/>
      </w:pPr>
      <w:r>
        <w:rPr>
          <w:rStyle w:val="Strong"/>
        </w:rPr>
        <w:t>Anthropocentrism is ethically and ecologically inadequate.</w:t>
      </w:r>
      <w:r>
        <w:rPr/>
        <w:br/>
        <w:t>Human preferences cannot automatically determine the moral importance of every environmental effect.</w:t>
      </w:r>
    </w:p>
    <w:p>
      <w:pPr>
        <w:pStyle w:val="BodyText"/>
        <w:numPr>
          <w:ilvl w:val="0"/>
          <w:numId w:val="150"/>
        </w:numPr>
        <w:tabs>
          <w:tab w:val="clear" w:pos="720"/>
          <w:tab w:val="left" w:pos="0" w:leader="none"/>
        </w:tabs>
        <w:spacing w:before="0" w:after="200"/>
        <w:ind w:hanging="283" w:left="709"/>
        <w:rPr/>
      </w:pPr>
      <w:r>
        <w:rPr>
          <w:rStyle w:val="Strong"/>
        </w:rPr>
        <w:t>Deep Ecology distinguishes shallow reform from fundamental ecological change.</w:t>
      </w:r>
      <w:r>
        <w:rPr/>
        <w:br/>
        <w:t>“Shallow” environmentalism reduces pollution or resource depletion primarily to protect human health and prosperity. Deep Ecology questions the economic, cultural, and metaphysical assumptions that permit the nonhuman world to be treated as an expendable resource.</w:t>
      </w:r>
    </w:p>
    <w:p>
      <w:pPr>
        <w:pStyle w:val="BodyText"/>
        <w:numPr>
          <w:ilvl w:val="0"/>
          <w:numId w:val="150"/>
        </w:numPr>
        <w:tabs>
          <w:tab w:val="clear" w:pos="720"/>
          <w:tab w:val="left" w:pos="0" w:leader="none"/>
        </w:tabs>
        <w:spacing w:before="0" w:after="200"/>
        <w:ind w:hanging="283" w:left="709"/>
        <w:rPr/>
      </w:pPr>
      <w:r>
        <w:rPr>
          <w:rStyle w:val="Strong"/>
        </w:rPr>
        <w:t>Human and nonhuman flourishing have inherent value.</w:t>
      </w:r>
      <w:r>
        <w:rPr/>
        <w:br/>
        <w:t>The Deep Ecology Platform treats the flourishing of both as valuable independently of narrow human utility.</w:t>
      </w:r>
    </w:p>
    <w:p>
      <w:pPr>
        <w:pStyle w:val="BodyText"/>
        <w:numPr>
          <w:ilvl w:val="0"/>
          <w:numId w:val="150"/>
        </w:numPr>
        <w:tabs>
          <w:tab w:val="clear" w:pos="720"/>
          <w:tab w:val="left" w:pos="0" w:leader="none"/>
        </w:tabs>
        <w:spacing w:before="0" w:after="200"/>
        <w:ind w:hanging="283" w:left="709"/>
        <w:rPr/>
      </w:pPr>
      <w:r>
        <w:rPr>
          <w:rStyle w:val="Strong"/>
        </w:rPr>
        <w:t>Biological richness and diversity are valuable.</w:t>
      </w:r>
      <w:r>
        <w:rPr/>
        <w:br/>
        <w:t>Biodiversity matters not only because it supplies services to humans but also because it expresses ecological variety, evolutionary history, resilience, and forms of life with their own modes of flourishing.</w:t>
      </w:r>
    </w:p>
    <w:p>
      <w:pPr>
        <w:pStyle w:val="BodyText"/>
        <w:numPr>
          <w:ilvl w:val="0"/>
          <w:numId w:val="150"/>
        </w:numPr>
        <w:tabs>
          <w:tab w:val="clear" w:pos="720"/>
          <w:tab w:val="left" w:pos="0" w:leader="none"/>
        </w:tabs>
        <w:spacing w:before="0" w:after="200"/>
        <w:ind w:hanging="283" w:left="709"/>
        <w:rPr/>
      </w:pPr>
      <w:r>
        <w:rPr>
          <w:rStyle w:val="Strong"/>
        </w:rPr>
        <w:t>Moral standing need not require human-like rationality.</w:t>
      </w:r>
      <w:r>
        <w:rPr/>
        <w:br/>
        <w:t>An organism does not need language, contractual capacity, or reflective moral agency to be morally considerable.</w:t>
      </w:r>
    </w:p>
    <w:p>
      <w:pPr>
        <w:pStyle w:val="BodyText"/>
        <w:numPr>
          <w:ilvl w:val="0"/>
          <w:numId w:val="150"/>
        </w:numPr>
        <w:tabs>
          <w:tab w:val="clear" w:pos="720"/>
          <w:tab w:val="left" w:pos="0" w:leader="none"/>
        </w:tabs>
        <w:spacing w:before="0" w:after="200"/>
        <w:ind w:hanging="283" w:left="709"/>
        <w:rPr/>
      </w:pPr>
      <w:r>
        <w:rPr>
          <w:rStyle w:val="Strong"/>
        </w:rPr>
        <w:t>Moral patients and moral agents are distinct.</w:t>
      </w:r>
      <w:r>
        <w:rPr/>
        <w:br/>
        <w:t>Nonhuman entities may be affected by moral action even when they cannot understand duties, participate in deliberation, or reciprocate.</w:t>
      </w:r>
    </w:p>
    <w:p>
      <w:pPr>
        <w:pStyle w:val="BodyText"/>
        <w:numPr>
          <w:ilvl w:val="0"/>
          <w:numId w:val="150"/>
        </w:numPr>
        <w:tabs>
          <w:tab w:val="clear" w:pos="720"/>
          <w:tab w:val="left" w:pos="0" w:leader="none"/>
        </w:tabs>
        <w:spacing w:before="0" w:after="200"/>
        <w:ind w:hanging="283" w:left="709"/>
        <w:rPr/>
      </w:pPr>
      <w:r>
        <w:rPr>
          <w:rStyle w:val="Strong"/>
        </w:rPr>
        <w:t>Ecological wholes may possess morally relevant properties.</w:t>
      </w:r>
      <w:r>
        <w:rPr/>
        <w:br/>
        <w:t>Species, ecosystems, watersheds, and landscapes possess organization, integrity, resilience, diversity, and evolutionary potential that cannot be reduced to the welfare of individual organisms.</w:t>
      </w:r>
    </w:p>
    <w:p>
      <w:pPr>
        <w:pStyle w:val="BodyText"/>
        <w:numPr>
          <w:ilvl w:val="0"/>
          <w:numId w:val="150"/>
        </w:numPr>
        <w:tabs>
          <w:tab w:val="clear" w:pos="720"/>
          <w:tab w:val="left" w:pos="0" w:leader="none"/>
        </w:tabs>
        <w:spacing w:before="0" w:after="200"/>
        <w:ind w:hanging="283" w:left="709"/>
        <w:rPr/>
      </w:pPr>
      <w:r>
        <w:rPr>
          <w:rStyle w:val="Strong"/>
        </w:rPr>
        <w:t>Individual and holistic value can conflict.</w:t>
      </w:r>
      <w:r>
        <w:rPr/>
        <w:br/>
        <w:t>Protecting an ecosystem, species, or ecological process may require harming some organisms, creating a tension between animal-centered and ecosystem-centered ethics.</w:t>
      </w:r>
    </w:p>
    <w:p>
      <w:pPr>
        <w:pStyle w:val="BodyText"/>
        <w:numPr>
          <w:ilvl w:val="0"/>
          <w:numId w:val="150"/>
        </w:numPr>
        <w:tabs>
          <w:tab w:val="clear" w:pos="720"/>
          <w:tab w:val="left" w:pos="0" w:leader="none"/>
        </w:tabs>
        <w:spacing w:before="0" w:after="200"/>
        <w:ind w:hanging="283" w:left="709"/>
        <w:rPr/>
      </w:pPr>
      <w:r>
        <w:rPr>
          <w:rStyle w:val="Strong"/>
        </w:rPr>
        <w:t>Ecological relationships are constitutive.</w:t>
      </w:r>
      <w:r>
        <w:rPr/>
        <w:br/>
        <w:t>Predation, decomposition, competition, symbiosis, migration, pollination, disturbance, and nutrient cycling help constitute ecological systems. Nature is not properly understood as a collection of independent objects.</w:t>
      </w:r>
    </w:p>
    <w:p>
      <w:pPr>
        <w:pStyle w:val="BodyText"/>
        <w:numPr>
          <w:ilvl w:val="0"/>
          <w:numId w:val="150"/>
        </w:numPr>
        <w:tabs>
          <w:tab w:val="clear" w:pos="720"/>
          <w:tab w:val="left" w:pos="0" w:leader="none"/>
        </w:tabs>
        <w:spacing w:before="0" w:after="200"/>
        <w:ind w:hanging="283" w:left="709"/>
        <w:rPr/>
      </w:pPr>
      <w:r>
        <w:rPr>
          <w:rStyle w:val="Strong"/>
        </w:rPr>
        <w:t>Ecological systems are dynamic.</w:t>
      </w:r>
      <w:r>
        <w:rPr/>
        <w:br/>
        <w:t>Environmental ethics should not equate goodness with static equilibrium. Disturbance, succession, adaptation, and evolutionary change are normal ecological processes.</w:t>
      </w:r>
    </w:p>
    <w:p>
      <w:pPr>
        <w:pStyle w:val="BodyText"/>
        <w:numPr>
          <w:ilvl w:val="0"/>
          <w:numId w:val="150"/>
        </w:numPr>
        <w:tabs>
          <w:tab w:val="clear" w:pos="720"/>
          <w:tab w:val="left" w:pos="0" w:leader="none"/>
        </w:tabs>
        <w:spacing w:before="0" w:after="200"/>
        <w:ind w:hanging="283" w:left="709"/>
        <w:rPr/>
      </w:pPr>
      <w:r>
        <w:rPr>
          <w:rStyle w:val="Strong"/>
        </w:rPr>
        <w:t>Interdependence does not imply that every relationship is benign.</w:t>
      </w:r>
      <w:r>
        <w:rPr/>
        <w:br/>
        <w:t>Ecological relationships can involve harm, death, competition, disease, and displacement. Ecological value therefore cannot be reduced to harmony or the absence of conflict.</w:t>
      </w:r>
    </w:p>
    <w:p>
      <w:pPr>
        <w:pStyle w:val="BodyText"/>
        <w:numPr>
          <w:ilvl w:val="0"/>
          <w:numId w:val="150"/>
        </w:numPr>
        <w:tabs>
          <w:tab w:val="clear" w:pos="720"/>
          <w:tab w:val="left" w:pos="0" w:leader="none"/>
        </w:tabs>
        <w:spacing w:before="0" w:after="200"/>
        <w:ind w:hanging="283" w:left="709"/>
        <w:rPr/>
      </w:pPr>
      <w:r>
        <w:rPr>
          <w:rStyle w:val="Strong"/>
        </w:rPr>
        <w:t>The ecological self is relationally extended.</w:t>
      </w:r>
      <w:r>
        <w:rPr/>
        <w:br/>
        <w:t>Næss’s self-realization treats mature identity as expanding beyond the isolated ego to include relationships with other beings and the larger ecological world.</w:t>
      </w:r>
    </w:p>
    <w:p>
      <w:pPr>
        <w:pStyle w:val="BodyText"/>
        <w:numPr>
          <w:ilvl w:val="0"/>
          <w:numId w:val="150"/>
        </w:numPr>
        <w:tabs>
          <w:tab w:val="clear" w:pos="720"/>
          <w:tab w:val="left" w:pos="0" w:leader="none"/>
        </w:tabs>
        <w:spacing w:before="0" w:after="200"/>
        <w:ind w:hanging="283" w:left="709"/>
        <w:rPr/>
      </w:pPr>
      <w:r>
        <w:rPr>
          <w:rStyle w:val="Strong"/>
        </w:rPr>
        <w:t>Environmental harm can be a form of self-harm.</w:t>
      </w:r>
      <w:r>
        <w:rPr/>
        <w:br/>
        <w:t>Because human identity and flourishing are ecologically embedded, destroying the nonhuman world damages the larger systems of which humans are part.</w:t>
      </w:r>
    </w:p>
    <w:p>
      <w:pPr>
        <w:pStyle w:val="BodyText"/>
        <w:numPr>
          <w:ilvl w:val="0"/>
          <w:numId w:val="150"/>
        </w:numPr>
        <w:tabs>
          <w:tab w:val="clear" w:pos="720"/>
          <w:tab w:val="left" w:pos="0" w:leader="none"/>
        </w:tabs>
        <w:spacing w:before="0" w:after="200"/>
        <w:ind w:hanging="283" w:left="709"/>
        <w:rPr/>
      </w:pPr>
      <w:r>
        <w:rPr>
          <w:rStyle w:val="Strong"/>
        </w:rPr>
        <w:t>Humanity should distinguish vital needs from nonvital consumption.</w:t>
      </w:r>
      <w:r>
        <w:rPr/>
        <w:br/>
        <w:t>Deep Ecology permits ecological interference for vital needs while challenging destruction motivated primarily by luxury, status, convenience, or unnecessary accumulation.</w:t>
      </w:r>
    </w:p>
    <w:p>
      <w:pPr>
        <w:pStyle w:val="BodyText"/>
        <w:numPr>
          <w:ilvl w:val="0"/>
          <w:numId w:val="150"/>
        </w:numPr>
        <w:tabs>
          <w:tab w:val="clear" w:pos="720"/>
          <w:tab w:val="left" w:pos="0" w:leader="none"/>
        </w:tabs>
        <w:spacing w:before="0" w:after="200"/>
        <w:ind w:hanging="283" w:left="709"/>
        <w:rPr/>
      </w:pPr>
      <w:r>
        <w:rPr>
          <w:rStyle w:val="Strong"/>
        </w:rPr>
        <w:t>Cumulative interference matters.</w:t>
      </w:r>
      <w:r>
        <w:rPr/>
        <w:br/>
        <w:t>An action that appears minor in isolation may be harmful when repeated across actors, locations, or generations.</w:t>
      </w:r>
    </w:p>
    <w:p>
      <w:pPr>
        <w:pStyle w:val="BodyText"/>
        <w:numPr>
          <w:ilvl w:val="0"/>
          <w:numId w:val="150"/>
        </w:numPr>
        <w:tabs>
          <w:tab w:val="clear" w:pos="720"/>
          <w:tab w:val="left" w:pos="0" w:leader="none"/>
        </w:tabs>
        <w:spacing w:before="0" w:after="200"/>
        <w:ind w:hanging="283" w:left="709"/>
        <w:rPr/>
      </w:pPr>
      <w:r>
        <w:rPr>
          <w:rStyle w:val="Strong"/>
        </w:rPr>
        <w:t>Ecological limits are real.</w:t>
      </w:r>
      <w:r>
        <w:rPr/>
        <w:br/>
        <w:t>Energy, material, land, water, atmospheric, and regenerative constraints cannot always be overcome by technology or economic substitution.</w:t>
      </w:r>
    </w:p>
    <w:p>
      <w:pPr>
        <w:pStyle w:val="BodyText"/>
        <w:numPr>
          <w:ilvl w:val="0"/>
          <w:numId w:val="150"/>
        </w:numPr>
        <w:tabs>
          <w:tab w:val="clear" w:pos="720"/>
          <w:tab w:val="left" w:pos="0" w:leader="none"/>
        </w:tabs>
        <w:spacing w:before="0" w:after="200"/>
        <w:ind w:hanging="283" w:left="709"/>
        <w:rPr/>
      </w:pPr>
      <w:r>
        <w:rPr>
          <w:rStyle w:val="Strong"/>
        </w:rPr>
        <w:t>Some environmental losses are irreversible.</w:t>
      </w:r>
      <w:r>
        <w:rPr/>
        <w:br/>
        <w:t>Extinction, evolutionary loss, destroyed ancient ecosystems, depleted soils, and some climatic transitions cannot be fully restored within morally relevant time horizons.</w:t>
      </w:r>
    </w:p>
    <w:p>
      <w:pPr>
        <w:pStyle w:val="BodyText"/>
        <w:numPr>
          <w:ilvl w:val="0"/>
          <w:numId w:val="150"/>
        </w:numPr>
        <w:tabs>
          <w:tab w:val="clear" w:pos="720"/>
          <w:tab w:val="left" w:pos="0" w:leader="none"/>
        </w:tabs>
        <w:spacing w:before="0" w:after="200"/>
        <w:ind w:hanging="283" w:left="709"/>
        <w:rPr/>
      </w:pPr>
      <w:r>
        <w:rPr>
          <w:rStyle w:val="Strong"/>
        </w:rPr>
        <w:t>Substitution has limits.</w:t>
      </w:r>
      <w:r>
        <w:rPr/>
        <w:br/>
        <w:t>Financial compensation, artificial habitat, or gains elsewhere may not replace a unique species, ecological relationship, culturally important landscape, or evolutionary process.</w:t>
      </w:r>
    </w:p>
    <w:p>
      <w:pPr>
        <w:pStyle w:val="BodyText"/>
        <w:numPr>
          <w:ilvl w:val="0"/>
          <w:numId w:val="150"/>
        </w:numPr>
        <w:tabs>
          <w:tab w:val="clear" w:pos="720"/>
          <w:tab w:val="left" w:pos="0" w:leader="none"/>
        </w:tabs>
        <w:spacing w:before="0" w:after="200"/>
        <w:ind w:hanging="283" w:left="709"/>
        <w:rPr/>
      </w:pPr>
      <w:r>
        <w:rPr>
          <w:rStyle w:val="Strong"/>
        </w:rPr>
        <w:t>Uncertainty should not automatically favor intervention.</w:t>
      </w:r>
      <w:r>
        <w:rPr/>
        <w:br/>
        <w:t>Where possible harm is severe, widespread, persistent, or irreversible, incomplete knowledge can strengthen the case for precaution.</w:t>
      </w:r>
    </w:p>
    <w:p>
      <w:pPr>
        <w:pStyle w:val="BodyText"/>
        <w:numPr>
          <w:ilvl w:val="0"/>
          <w:numId w:val="150"/>
        </w:numPr>
        <w:tabs>
          <w:tab w:val="clear" w:pos="720"/>
          <w:tab w:val="left" w:pos="0" w:leader="none"/>
        </w:tabs>
        <w:spacing w:before="0" w:after="200"/>
        <w:ind w:hanging="283" w:left="709"/>
        <w:rPr/>
      </w:pPr>
      <w:r>
        <w:rPr>
          <w:rStyle w:val="Strong"/>
        </w:rPr>
        <w:t>The burden of proof may fall on the party proposing disruptive intervention.</w:t>
      </w:r>
      <w:r>
        <w:rPr/>
        <w:br/>
        <w:t>This is especially relevant when the intervention benefits the actor while exposing ecosystems or less powerful communities to long-term risks.</w:t>
      </w:r>
    </w:p>
    <w:p>
      <w:pPr>
        <w:pStyle w:val="BodyText"/>
        <w:numPr>
          <w:ilvl w:val="0"/>
          <w:numId w:val="150"/>
        </w:numPr>
        <w:tabs>
          <w:tab w:val="clear" w:pos="720"/>
          <w:tab w:val="left" w:pos="0" w:leader="none"/>
        </w:tabs>
        <w:spacing w:before="0" w:after="200"/>
        <w:ind w:hanging="283" w:left="709"/>
        <w:rPr/>
      </w:pPr>
      <w:r>
        <w:rPr>
          <w:rStyle w:val="Strong"/>
        </w:rPr>
        <w:t>Environmental responsibility is intergenerational.</w:t>
      </w:r>
      <w:r>
        <w:rPr/>
        <w:br/>
        <w:t>Present actors should preserve ecological conditions and evolutionary possibilities for future beings.</w:t>
      </w:r>
    </w:p>
    <w:p>
      <w:pPr>
        <w:pStyle w:val="BodyText"/>
        <w:numPr>
          <w:ilvl w:val="0"/>
          <w:numId w:val="150"/>
        </w:numPr>
        <w:tabs>
          <w:tab w:val="clear" w:pos="720"/>
          <w:tab w:val="left" w:pos="0" w:leader="none"/>
        </w:tabs>
        <w:spacing w:before="0" w:after="200"/>
        <w:ind w:hanging="283" w:left="709"/>
        <w:rPr/>
      </w:pPr>
      <w:r>
        <w:rPr>
          <w:rStyle w:val="Strong"/>
        </w:rPr>
        <w:t>Environmental responsibility is spatially distributed.</w:t>
      </w:r>
      <w:r>
        <w:rPr/>
        <w:br/>
        <w:t>Consumption and production in one location can create ecological burdens in distant communities and ecosystems.</w:t>
      </w:r>
    </w:p>
    <w:p>
      <w:pPr>
        <w:pStyle w:val="BodyText"/>
        <w:numPr>
          <w:ilvl w:val="0"/>
          <w:numId w:val="150"/>
        </w:numPr>
        <w:tabs>
          <w:tab w:val="clear" w:pos="720"/>
          <w:tab w:val="left" w:pos="0" w:leader="none"/>
        </w:tabs>
        <w:spacing w:before="0" w:after="200"/>
        <w:ind w:hanging="283" w:left="709"/>
        <w:rPr/>
      </w:pPr>
      <w:r>
        <w:rPr>
          <w:rStyle w:val="Strong"/>
        </w:rPr>
        <w:t>The absence of a human observer does not eliminate value.</w:t>
      </w:r>
      <w:r>
        <w:rPr/>
        <w:br/>
        <w:t>Wilderness, species, and ecological processes can remain valuable even when no person directly experiences or uses them.</w:t>
      </w:r>
    </w:p>
    <w:p>
      <w:pPr>
        <w:pStyle w:val="BodyText"/>
        <w:numPr>
          <w:ilvl w:val="0"/>
          <w:numId w:val="150"/>
        </w:numPr>
        <w:tabs>
          <w:tab w:val="clear" w:pos="720"/>
          <w:tab w:val="left" w:pos="0" w:leader="none"/>
        </w:tabs>
        <w:spacing w:before="0" w:after="200"/>
        <w:ind w:hanging="283" w:left="709"/>
        <w:rPr/>
      </w:pPr>
      <w:r>
        <w:rPr>
          <w:rStyle w:val="Strong"/>
        </w:rPr>
        <w:t>Ecological science is ethically relevant but not ethically complete.</w:t>
      </w:r>
      <w:r>
        <w:rPr/>
        <w:br/>
        <w:t>Science can describe system functions, population trends, and causal relationships, but it does not by itself determine what should be valued or protected.</w:t>
      </w:r>
    </w:p>
    <w:p>
      <w:pPr>
        <w:pStyle w:val="BodyText"/>
        <w:numPr>
          <w:ilvl w:val="0"/>
          <w:numId w:val="150"/>
        </w:numPr>
        <w:tabs>
          <w:tab w:val="clear" w:pos="720"/>
          <w:tab w:val="left" w:pos="0" w:leader="none"/>
        </w:tabs>
        <w:spacing w:before="0" w:after="200"/>
        <w:ind w:hanging="283" w:left="709"/>
        <w:rPr/>
      </w:pPr>
      <w:r>
        <w:rPr>
          <w:rStyle w:val="Strong"/>
        </w:rPr>
        <w:t>Environmental ethics requires institutional change.</w:t>
      </w:r>
      <w:r>
        <w:rPr/>
        <w:br/>
        <w:t>Individual lifestyle changes may be insufficient when laws, markets, technologies, infrastructure, and political systems reward ecological degradation.</w:t>
      </w:r>
    </w:p>
    <w:p>
      <w:pPr>
        <w:pStyle w:val="BodyText"/>
        <w:numPr>
          <w:ilvl w:val="0"/>
          <w:numId w:val="150"/>
        </w:numPr>
        <w:tabs>
          <w:tab w:val="clear" w:pos="720"/>
          <w:tab w:val="left" w:pos="0" w:leader="none"/>
        </w:tabs>
        <w:spacing w:before="0" w:after="200"/>
        <w:ind w:hanging="283" w:left="709"/>
        <w:rPr/>
      </w:pPr>
      <w:r>
        <w:rPr>
          <w:rStyle w:val="Strong"/>
        </w:rPr>
        <w:t>Environmental justice is inseparable from ecological policy.</w:t>
      </w:r>
      <w:r>
        <w:rPr/>
        <w:br/>
        <w:t>Environmental burdens and conservation restrictions are often distributed through class, race, gender, colonial history, political exclusion, and unequal control of land.</w:t>
      </w:r>
    </w:p>
    <w:p>
      <w:pPr>
        <w:pStyle w:val="BodyText"/>
        <w:numPr>
          <w:ilvl w:val="0"/>
          <w:numId w:val="150"/>
        </w:numPr>
        <w:tabs>
          <w:tab w:val="clear" w:pos="720"/>
          <w:tab w:val="left" w:pos="0" w:leader="none"/>
        </w:tabs>
        <w:spacing w:before="0" w:after="200"/>
        <w:ind w:hanging="283" w:left="709"/>
        <w:rPr/>
      </w:pPr>
      <w:r>
        <w:rPr>
          <w:rStyle w:val="Strong"/>
        </w:rPr>
        <w:t>Human hierarchy and domination may contribute to environmental domination.</w:t>
      </w:r>
      <w:r>
        <w:rPr/>
        <w:br/>
        <w:t>Social ecology and ecofeminism argue that environmental degradation cannot be understood fully without examining political, economic, patriarchal, and colonial structures.</w:t>
      </w:r>
    </w:p>
    <w:p>
      <w:pPr>
        <w:pStyle w:val="BodyText"/>
        <w:numPr>
          <w:ilvl w:val="0"/>
          <w:numId w:val="150"/>
        </w:numPr>
        <w:tabs>
          <w:tab w:val="clear" w:pos="720"/>
          <w:tab w:val="left" w:pos="0" w:leader="none"/>
        </w:tabs>
        <w:spacing w:before="0" w:after="200"/>
        <w:ind w:hanging="283" w:left="709"/>
        <w:rPr/>
      </w:pPr>
      <w:r>
        <w:rPr>
          <w:rStyle w:val="Strong"/>
        </w:rPr>
        <w:t>Conservation can itself become unjust.</w:t>
      </w:r>
      <w:r>
        <w:rPr/>
        <w:br/>
        <w:t>Protecting wilderness or biodiversity can harm Indigenous peoples and local communities when it relies on dispossession, exclusion, militarized enforcement, or denial of customary relationships with land.</w:t>
      </w:r>
    </w:p>
    <w:p>
      <w:pPr>
        <w:pStyle w:val="BodyText"/>
        <w:numPr>
          <w:ilvl w:val="0"/>
          <w:numId w:val="150"/>
        </w:numPr>
        <w:tabs>
          <w:tab w:val="clear" w:pos="720"/>
          <w:tab w:val="left" w:pos="0" w:leader="none"/>
        </w:tabs>
        <w:spacing w:before="0" w:after="200"/>
        <w:ind w:hanging="283" w:left="709"/>
        <w:rPr/>
      </w:pPr>
      <w:r>
        <w:rPr>
          <w:rStyle w:val="Strong"/>
        </w:rPr>
        <w:t>Ecological knowledge is plural.</w:t>
      </w:r>
      <w:r>
        <w:rPr/>
        <w:br/>
        <w:t>Scientific, local, Indigenous, historical, and experiential knowledge may each reveal relevant environmental relationships and changes.</w:t>
      </w:r>
    </w:p>
    <w:p>
      <w:pPr>
        <w:pStyle w:val="BodyText"/>
        <w:numPr>
          <w:ilvl w:val="0"/>
          <w:numId w:val="150"/>
        </w:numPr>
        <w:tabs>
          <w:tab w:val="clear" w:pos="720"/>
          <w:tab w:val="left" w:pos="0" w:leader="none"/>
        </w:tabs>
        <w:spacing w:before="0" w:after="200"/>
        <w:ind w:hanging="283" w:left="709"/>
        <w:rPr/>
      </w:pPr>
      <w:r>
        <w:rPr>
          <w:rStyle w:val="Strong"/>
        </w:rPr>
        <w:t>Restoration does not automatically erase harm.</w:t>
      </w:r>
      <w:r>
        <w:rPr/>
        <w:br/>
        <w:t>Restored ecosystems may differ from those destroyed, and restoration promises may be uncertain or delayed.</w:t>
      </w:r>
    </w:p>
    <w:p>
      <w:pPr>
        <w:pStyle w:val="BodyText"/>
        <w:numPr>
          <w:ilvl w:val="0"/>
          <w:numId w:val="150"/>
        </w:numPr>
        <w:tabs>
          <w:tab w:val="clear" w:pos="720"/>
          <w:tab w:val="left" w:pos="0" w:leader="none"/>
        </w:tabs>
        <w:spacing w:before="0" w:after="200"/>
        <w:ind w:hanging="283" w:left="709"/>
        <w:rPr/>
      </w:pPr>
      <w:r>
        <w:rPr>
          <w:rStyle w:val="Strong"/>
        </w:rPr>
        <w:t>Moral education should cultivate ecological identification and restraint.</w:t>
      </w:r>
      <w:r>
        <w:rPr/>
        <w:br/>
        <w:t>Environmental responsibility is not only compliance with rules; it involves developing attention, humility, care, and ecological awareness.</w:t>
      </w:r>
    </w:p>
    <w:p>
      <w:pPr>
        <w:pStyle w:val="Heading3"/>
        <w:rPr/>
      </w:pPr>
      <w:r>
        <w:rPr/>
        <w:t>The Deep Ecology Platform</w:t>
      </w:r>
    </w:p>
    <w:p>
      <w:pPr>
        <w:pStyle w:val="BodyText"/>
        <w:spacing w:before="0" w:after="200"/>
        <w:rPr/>
      </w:pPr>
      <w:r>
        <w:rPr/>
        <w:t>Næss and Sessions articulated eight broad principles intended to unite people with different philosophical or religious foundations:</w:t>
      </w:r>
    </w:p>
    <w:p>
      <w:pPr>
        <w:pStyle w:val="BodyText"/>
        <w:numPr>
          <w:ilvl w:val="0"/>
          <w:numId w:val="151"/>
        </w:numPr>
        <w:tabs>
          <w:tab w:val="clear" w:pos="720"/>
          <w:tab w:val="left" w:pos="0" w:leader="none"/>
        </w:tabs>
        <w:spacing w:before="0" w:after="200"/>
        <w:ind w:hanging="283" w:left="709"/>
        <w:rPr/>
      </w:pPr>
      <w:r>
        <w:rPr/>
        <w:t>Human and nonhuman flourishing have value in themselves.</w:t>
      </w:r>
    </w:p>
    <w:p>
      <w:pPr>
        <w:pStyle w:val="BodyText"/>
        <w:numPr>
          <w:ilvl w:val="0"/>
          <w:numId w:val="151"/>
        </w:numPr>
        <w:tabs>
          <w:tab w:val="clear" w:pos="720"/>
          <w:tab w:val="left" w:pos="0" w:leader="none"/>
        </w:tabs>
        <w:spacing w:before="0" w:after="200"/>
        <w:ind w:hanging="283" w:left="709"/>
        <w:rPr/>
      </w:pPr>
      <w:r>
        <w:rPr/>
        <w:t>The richness, diversity, and interdependence of life contribute to that value.</w:t>
      </w:r>
    </w:p>
    <w:p>
      <w:pPr>
        <w:pStyle w:val="BodyText"/>
        <w:numPr>
          <w:ilvl w:val="0"/>
          <w:numId w:val="151"/>
        </w:numPr>
        <w:tabs>
          <w:tab w:val="clear" w:pos="720"/>
          <w:tab w:val="left" w:pos="0" w:leader="none"/>
        </w:tabs>
        <w:spacing w:before="0" w:after="200"/>
        <w:ind w:hanging="283" w:left="709"/>
        <w:rPr/>
      </w:pPr>
      <w:r>
        <w:rPr/>
        <w:t>Humans are not justified in reducing biological richness and diversity except for vital needs.</w:t>
      </w:r>
    </w:p>
    <w:p>
      <w:pPr>
        <w:pStyle w:val="BodyText"/>
        <w:numPr>
          <w:ilvl w:val="0"/>
          <w:numId w:val="151"/>
        </w:numPr>
        <w:tabs>
          <w:tab w:val="clear" w:pos="720"/>
          <w:tab w:val="left" w:pos="0" w:leader="none"/>
        </w:tabs>
        <w:spacing w:before="0" w:after="200"/>
        <w:ind w:hanging="283" w:left="709"/>
        <w:rPr/>
      </w:pPr>
      <w:r>
        <w:rPr/>
        <w:t>Present human interference with the nonhuman world is excessive.</w:t>
      </w:r>
    </w:p>
    <w:p>
      <w:pPr>
        <w:pStyle w:val="BodyText"/>
        <w:numPr>
          <w:ilvl w:val="0"/>
          <w:numId w:val="151"/>
        </w:numPr>
        <w:tabs>
          <w:tab w:val="clear" w:pos="720"/>
          <w:tab w:val="left" w:pos="0" w:leader="none"/>
        </w:tabs>
        <w:spacing w:before="0" w:after="200"/>
        <w:ind w:hanging="283" w:left="709"/>
        <w:rPr/>
      </w:pPr>
      <w:r>
        <w:rPr/>
        <w:t>The platform historically associated ecological flourishing with a substantial long-term reduction in human population.</w:t>
      </w:r>
    </w:p>
    <w:p>
      <w:pPr>
        <w:pStyle w:val="BodyText"/>
        <w:numPr>
          <w:ilvl w:val="0"/>
          <w:numId w:val="151"/>
        </w:numPr>
        <w:tabs>
          <w:tab w:val="clear" w:pos="720"/>
          <w:tab w:val="left" w:pos="0" w:leader="none"/>
        </w:tabs>
        <w:spacing w:before="0" w:after="200"/>
        <w:ind w:hanging="283" w:left="709"/>
        <w:rPr/>
      </w:pPr>
      <w:r>
        <w:rPr/>
        <w:t>Economic, technological, and ideological policies require fundamental change.</w:t>
      </w:r>
    </w:p>
    <w:p>
      <w:pPr>
        <w:pStyle w:val="BodyText"/>
        <w:numPr>
          <w:ilvl w:val="0"/>
          <w:numId w:val="151"/>
        </w:numPr>
        <w:tabs>
          <w:tab w:val="clear" w:pos="720"/>
          <w:tab w:val="left" w:pos="0" w:leader="none"/>
        </w:tabs>
        <w:spacing w:before="0" w:after="200"/>
        <w:ind w:hanging="283" w:left="709"/>
        <w:rPr/>
      </w:pPr>
      <w:r>
        <w:rPr/>
        <w:t>Cultural priorities should shift from continually increasing material standards toward quality of life.</w:t>
      </w:r>
    </w:p>
    <w:p>
      <w:pPr>
        <w:pStyle w:val="BodyText"/>
        <w:numPr>
          <w:ilvl w:val="0"/>
          <w:numId w:val="151"/>
        </w:numPr>
        <w:tabs>
          <w:tab w:val="clear" w:pos="720"/>
          <w:tab w:val="left" w:pos="0" w:leader="none"/>
        </w:tabs>
        <w:spacing w:before="0" w:after="200"/>
        <w:ind w:hanging="283" w:left="709"/>
        <w:rPr/>
      </w:pPr>
      <w:r>
        <w:rPr/>
        <w:t>Those who accept the principles acquire an obligation to support corresponding change.</w:t>
      </w:r>
    </w:p>
    <w:p>
      <w:pPr>
        <w:pStyle w:val="BodyText"/>
        <w:spacing w:before="0" w:after="200"/>
        <w:rPr/>
      </w:pPr>
      <w:r>
        <w:rPr/>
        <w:t xml:space="preserve">The original platform is reproduced by </w:t>
      </w:r>
      <w:hyperlink r:id="rId120">
        <w:r>
          <w:rPr>
            <w:rStyle w:val="Hyperlink"/>
          </w:rPr>
          <w:t>Work That Reconnects</w:t>
        </w:r>
      </w:hyperlink>
      <w:r>
        <w:rPr/>
        <w:t>. Its population principle is among its most ethically controversial elements. It must not be interpreted as authorizing coercive population control, discrimination, forced displacement, restrictions targeting marginalized populations, or the devaluation of existing human lives. Any adaptation into this framework must remain governed by reproductive autonomy, human rights, informed participation, environmental justice, and equitable attention to consumption and resource concentration.</w:t>
      </w:r>
    </w:p>
    <w:p>
      <w:pPr>
        <w:pStyle w:val="Heading3"/>
        <w:rPr/>
      </w:pPr>
      <w:r>
        <w:rPr/>
        <w:t>Relationship to this framework</w:t>
      </w:r>
    </w:p>
    <w:p>
      <w:pPr>
        <w:pStyle w:val="BodyText"/>
        <w:spacing w:before="0" w:after="200"/>
        <w:rPr/>
      </w:pPr>
      <w:r>
        <w:rPr/>
        <w:t>Environmental Ethics and Deep Ecology strongly support the proposed framework’s extension of moral concern beyond human beings. The Foundational Axiom expressly includes relevant persistent adaptive entities, including autopoietic entities. This creates a natural basis for considering organisms, populations, ecological communities, and other living systems.</w:t>
      </w:r>
    </w:p>
    <w:tbl>
      <w:tblPr>
        <w:tblW w:w="8640" w:type="dxa"/>
        <w:jc w:val="left"/>
        <w:tblInd w:w="28" w:type="dxa"/>
        <w:tblLayout w:type="fixed"/>
        <w:tblCellMar>
          <w:top w:w="28" w:type="dxa"/>
          <w:left w:w="28" w:type="dxa"/>
          <w:bottom w:w="28" w:type="dxa"/>
          <w:right w:w="28" w:type="dxa"/>
        </w:tblCellMar>
      </w:tblPr>
      <w:tblGrid>
        <w:gridCol w:w="2659"/>
        <w:gridCol w:w="5981"/>
      </w:tblGrid>
      <w:tr>
        <w:trPr>
          <w:tblHeader w:val="true"/>
        </w:trPr>
        <w:tc>
          <w:tcPr>
            <w:tcW w:w="2659" w:type="dxa"/>
            <w:tcBorders/>
            <w:vAlign w:val="center"/>
          </w:tcPr>
          <w:p>
            <w:pPr>
              <w:pStyle w:val="TableHeading"/>
              <w:suppressLineNumbers/>
              <w:spacing w:before="0" w:after="200"/>
              <w:jc w:val="center"/>
              <w:rPr/>
            </w:pPr>
            <w:r>
              <w:rPr/>
              <w:t>Environmental emphasis</w:t>
            </w:r>
          </w:p>
        </w:tc>
        <w:tc>
          <w:tcPr>
            <w:tcW w:w="5981" w:type="dxa"/>
            <w:tcBorders/>
            <w:vAlign w:val="center"/>
          </w:tcPr>
          <w:p>
            <w:pPr>
              <w:pStyle w:val="TableHeading"/>
              <w:suppressLineNumbers/>
              <w:spacing w:before="0" w:after="200"/>
              <w:jc w:val="center"/>
              <w:rPr/>
            </w:pPr>
            <w:r>
              <w:rPr/>
              <w:t>Relationship to this framework</w:t>
            </w:r>
          </w:p>
        </w:tc>
      </w:tr>
      <w:tr>
        <w:trPr/>
        <w:tc>
          <w:tcPr>
            <w:tcW w:w="2659" w:type="dxa"/>
            <w:tcBorders/>
            <w:vAlign w:val="center"/>
          </w:tcPr>
          <w:p>
            <w:pPr>
              <w:pStyle w:val="TableContents"/>
              <w:widowControl w:val="false"/>
              <w:suppressLineNumbers/>
              <w:spacing w:before="0" w:after="200"/>
              <w:rPr/>
            </w:pPr>
            <w:r>
              <w:rPr/>
              <w:t>Inherent value of nonhuman life</w:t>
            </w:r>
          </w:p>
        </w:tc>
        <w:tc>
          <w:tcPr>
            <w:tcW w:w="5981" w:type="dxa"/>
            <w:tcBorders/>
            <w:vAlign w:val="center"/>
          </w:tcPr>
          <w:p>
            <w:pPr>
              <w:pStyle w:val="TableContents"/>
              <w:widowControl w:val="false"/>
              <w:suppressLineNumbers/>
              <w:spacing w:before="0" w:after="200"/>
              <w:rPr/>
            </w:pPr>
            <w:r>
              <w:rPr/>
              <w:t>Supports treating nonhuman entities as direct objects of ethical concern rather than as human resources</w:t>
            </w:r>
          </w:p>
        </w:tc>
      </w:tr>
      <w:tr>
        <w:trPr/>
        <w:tc>
          <w:tcPr>
            <w:tcW w:w="2659" w:type="dxa"/>
            <w:tcBorders/>
            <w:vAlign w:val="center"/>
          </w:tcPr>
          <w:p>
            <w:pPr>
              <w:pStyle w:val="TableContents"/>
              <w:widowControl w:val="false"/>
              <w:suppressLineNumbers/>
              <w:spacing w:before="0" w:after="200"/>
              <w:rPr/>
            </w:pPr>
            <w:r>
              <w:rPr/>
              <w:t>Humans as ecological participants</w:t>
            </w:r>
          </w:p>
        </w:tc>
        <w:tc>
          <w:tcPr>
            <w:tcW w:w="5981" w:type="dxa"/>
            <w:tcBorders/>
            <w:vAlign w:val="center"/>
          </w:tcPr>
          <w:p>
            <w:pPr>
              <w:pStyle w:val="TableContents"/>
              <w:widowControl w:val="false"/>
              <w:suppressLineNumbers/>
              <w:spacing w:before="0" w:after="200"/>
              <w:rPr/>
            </w:pPr>
            <w:r>
              <w:rPr/>
              <w:t>Corresponds to representation through Associations and World Context rather than isolated agency</w:t>
            </w:r>
          </w:p>
        </w:tc>
      </w:tr>
      <w:tr>
        <w:trPr/>
        <w:tc>
          <w:tcPr>
            <w:tcW w:w="2659" w:type="dxa"/>
            <w:tcBorders/>
            <w:vAlign w:val="center"/>
          </w:tcPr>
          <w:p>
            <w:pPr>
              <w:pStyle w:val="TableContents"/>
              <w:widowControl w:val="false"/>
              <w:suppressLineNumbers/>
              <w:spacing w:before="0" w:after="200"/>
              <w:rPr/>
            </w:pPr>
            <w:r>
              <w:rPr/>
              <w:t>Biotic community</w:t>
            </w:r>
          </w:p>
        </w:tc>
        <w:tc>
          <w:tcPr>
            <w:tcW w:w="5981" w:type="dxa"/>
            <w:tcBorders/>
            <w:vAlign w:val="center"/>
          </w:tcPr>
          <w:p>
            <w:pPr>
              <w:pStyle w:val="TableContents"/>
              <w:widowControl w:val="false"/>
              <w:suppressLineNumbers/>
              <w:spacing w:before="0" w:after="200"/>
              <w:rPr/>
            </w:pPr>
            <w:r>
              <w:rPr/>
              <w:t>Corresponds to networks of persistent entities, dependencies, and ecological relationships</w:t>
            </w:r>
          </w:p>
        </w:tc>
      </w:tr>
      <w:tr>
        <w:trPr/>
        <w:tc>
          <w:tcPr>
            <w:tcW w:w="2659" w:type="dxa"/>
            <w:tcBorders/>
            <w:vAlign w:val="center"/>
          </w:tcPr>
          <w:p>
            <w:pPr>
              <w:pStyle w:val="TableContents"/>
              <w:widowControl w:val="false"/>
              <w:suppressLineNumbers/>
              <w:spacing w:before="0" w:after="200"/>
              <w:rPr/>
            </w:pPr>
            <w:r>
              <w:rPr/>
              <w:t>Ecological interdependence</w:t>
            </w:r>
          </w:p>
        </w:tc>
        <w:tc>
          <w:tcPr>
            <w:tcW w:w="5981" w:type="dxa"/>
            <w:tcBorders/>
            <w:vAlign w:val="center"/>
          </w:tcPr>
          <w:p>
            <w:pPr>
              <w:pStyle w:val="TableContents"/>
              <w:widowControl w:val="false"/>
              <w:suppressLineNumbers/>
              <w:spacing w:before="0" w:after="200"/>
              <w:rPr/>
            </w:pPr>
            <w:r>
              <w:rPr/>
              <w:t>Reflected in Associations, indirect effects, feedback, and complete World Context Transitions</w:t>
            </w:r>
          </w:p>
        </w:tc>
      </w:tr>
      <w:tr>
        <w:trPr/>
        <w:tc>
          <w:tcPr>
            <w:tcW w:w="2659" w:type="dxa"/>
            <w:tcBorders/>
            <w:vAlign w:val="center"/>
          </w:tcPr>
          <w:p>
            <w:pPr>
              <w:pStyle w:val="TableContents"/>
              <w:widowControl w:val="false"/>
              <w:suppressLineNumbers/>
              <w:spacing w:before="0" w:after="200"/>
              <w:rPr/>
            </w:pPr>
            <w:r>
              <w:rPr/>
              <w:t>Autopoietic life</w:t>
            </w:r>
          </w:p>
        </w:tc>
        <w:tc>
          <w:tcPr>
            <w:tcW w:w="5981" w:type="dxa"/>
            <w:tcBorders/>
            <w:vAlign w:val="center"/>
          </w:tcPr>
          <w:p>
            <w:pPr>
              <w:pStyle w:val="TableContents"/>
              <w:widowControl w:val="false"/>
              <w:suppressLineNumbers/>
              <w:spacing w:before="0" w:after="200"/>
              <w:rPr/>
            </w:pPr>
            <w:r>
              <w:rPr/>
              <w:t>Explicitly recognized by the Foundational Axiom</w:t>
            </w:r>
          </w:p>
        </w:tc>
      </w:tr>
      <w:tr>
        <w:trPr/>
        <w:tc>
          <w:tcPr>
            <w:tcW w:w="2659" w:type="dxa"/>
            <w:tcBorders/>
            <w:vAlign w:val="center"/>
          </w:tcPr>
          <w:p>
            <w:pPr>
              <w:pStyle w:val="TableContents"/>
              <w:widowControl w:val="false"/>
              <w:suppressLineNumbers/>
              <w:spacing w:before="0" w:after="200"/>
              <w:rPr/>
            </w:pPr>
            <w:r>
              <w:rPr/>
              <w:t>Biodiversity</w:t>
            </w:r>
          </w:p>
        </w:tc>
        <w:tc>
          <w:tcPr>
            <w:tcW w:w="5981" w:type="dxa"/>
            <w:tcBorders/>
            <w:vAlign w:val="center"/>
          </w:tcPr>
          <w:p>
            <w:pPr>
              <w:pStyle w:val="TableContents"/>
              <w:widowControl w:val="false"/>
              <w:suppressLineNumbers/>
              <w:spacing w:before="0" w:after="200"/>
              <w:rPr/>
            </w:pPr>
            <w:r>
              <w:rPr/>
              <w:t>Can be represented as a multidimensional system property affecting present and future flourishing</w:t>
            </w:r>
          </w:p>
        </w:tc>
      </w:tr>
      <w:tr>
        <w:trPr/>
        <w:tc>
          <w:tcPr>
            <w:tcW w:w="2659" w:type="dxa"/>
            <w:tcBorders/>
            <w:vAlign w:val="center"/>
          </w:tcPr>
          <w:p>
            <w:pPr>
              <w:pStyle w:val="TableContents"/>
              <w:widowControl w:val="false"/>
              <w:suppressLineNumbers/>
              <w:spacing w:before="0" w:after="200"/>
              <w:rPr/>
            </w:pPr>
            <w:r>
              <w:rPr/>
              <w:t>Ecological integrity</w:t>
            </w:r>
          </w:p>
        </w:tc>
        <w:tc>
          <w:tcPr>
            <w:tcW w:w="5981" w:type="dxa"/>
            <w:tcBorders/>
            <w:vAlign w:val="center"/>
          </w:tcPr>
          <w:p>
            <w:pPr>
              <w:pStyle w:val="TableContents"/>
              <w:widowControl w:val="false"/>
              <w:suppressLineNumbers/>
              <w:spacing w:before="0" w:after="200"/>
              <w:rPr/>
            </w:pPr>
            <w:r>
              <w:rPr/>
              <w:t>Corresponds to sustained functional, relational, and adaptive capacities</w:t>
            </w:r>
          </w:p>
        </w:tc>
      </w:tr>
      <w:tr>
        <w:trPr/>
        <w:tc>
          <w:tcPr>
            <w:tcW w:w="2659" w:type="dxa"/>
            <w:tcBorders/>
            <w:vAlign w:val="center"/>
          </w:tcPr>
          <w:p>
            <w:pPr>
              <w:pStyle w:val="TableContents"/>
              <w:widowControl w:val="false"/>
              <w:suppressLineNumbers/>
              <w:spacing w:before="0" w:after="200"/>
              <w:rPr/>
            </w:pPr>
            <w:r>
              <w:rPr/>
              <w:t>Long ecological horizons</w:t>
            </w:r>
          </w:p>
        </w:tc>
        <w:tc>
          <w:tcPr>
            <w:tcW w:w="5981" w:type="dxa"/>
            <w:tcBorders/>
            <w:vAlign w:val="center"/>
          </w:tcPr>
          <w:p>
            <w:pPr>
              <w:pStyle w:val="TableContents"/>
              <w:widowControl w:val="false"/>
              <w:suppressLineNumbers/>
              <w:spacing w:before="0" w:after="200"/>
              <w:rPr/>
            </w:pPr>
            <w:r>
              <w:rPr/>
              <w:t>Correspond to the framework’s use of multiple time horizons</w:t>
            </w:r>
          </w:p>
        </w:tc>
      </w:tr>
      <w:tr>
        <w:trPr/>
        <w:tc>
          <w:tcPr>
            <w:tcW w:w="2659" w:type="dxa"/>
            <w:tcBorders/>
            <w:vAlign w:val="center"/>
          </w:tcPr>
          <w:p>
            <w:pPr>
              <w:pStyle w:val="TableContents"/>
              <w:widowControl w:val="false"/>
              <w:suppressLineNumbers/>
              <w:spacing w:before="0" w:after="200"/>
              <w:rPr/>
            </w:pPr>
            <w:r>
              <w:rPr/>
              <w:t>Cumulative effects</w:t>
            </w:r>
          </w:p>
        </w:tc>
        <w:tc>
          <w:tcPr>
            <w:tcW w:w="5981" w:type="dxa"/>
            <w:tcBorders/>
            <w:vAlign w:val="center"/>
          </w:tcPr>
          <w:p>
            <w:pPr>
              <w:pStyle w:val="TableContents"/>
              <w:widowControl w:val="false"/>
              <w:suppressLineNumbers/>
              <w:spacing w:before="0" w:after="200"/>
              <w:rPr/>
            </w:pPr>
            <w:r>
              <w:rPr/>
              <w:t>Can be included in the complete transition and Distributed Policy Effects</w:t>
            </w:r>
          </w:p>
        </w:tc>
      </w:tr>
      <w:tr>
        <w:trPr/>
        <w:tc>
          <w:tcPr>
            <w:tcW w:w="2659" w:type="dxa"/>
            <w:tcBorders/>
            <w:vAlign w:val="center"/>
          </w:tcPr>
          <w:p>
            <w:pPr>
              <w:pStyle w:val="TableContents"/>
              <w:widowControl w:val="false"/>
              <w:suppressLineNumbers/>
              <w:spacing w:before="0" w:after="200"/>
              <w:rPr/>
            </w:pPr>
            <w:r>
              <w:rPr/>
              <w:t>Trophic and ecological cascades</w:t>
            </w:r>
          </w:p>
        </w:tc>
        <w:tc>
          <w:tcPr>
            <w:tcW w:w="5981" w:type="dxa"/>
            <w:tcBorders/>
            <w:vAlign w:val="center"/>
          </w:tcPr>
          <w:p>
            <w:pPr>
              <w:pStyle w:val="TableContents"/>
              <w:widowControl w:val="false"/>
              <w:suppressLineNumbers/>
              <w:spacing w:before="0" w:after="200"/>
              <w:rPr/>
            </w:pPr>
            <w:r>
              <w:rPr/>
              <w:t>Correspond to indirect causal transitions across associated entities</w:t>
            </w:r>
          </w:p>
        </w:tc>
      </w:tr>
      <w:tr>
        <w:trPr/>
        <w:tc>
          <w:tcPr>
            <w:tcW w:w="2659" w:type="dxa"/>
            <w:tcBorders/>
            <w:vAlign w:val="center"/>
          </w:tcPr>
          <w:p>
            <w:pPr>
              <w:pStyle w:val="TableContents"/>
              <w:widowControl w:val="false"/>
              <w:suppressLineNumbers/>
              <w:spacing w:before="0" w:after="200"/>
              <w:rPr/>
            </w:pPr>
            <w:r>
              <w:rPr/>
              <w:t>Ecological limits</w:t>
            </w:r>
          </w:p>
        </w:tc>
        <w:tc>
          <w:tcPr>
            <w:tcW w:w="5981" w:type="dxa"/>
            <w:tcBorders/>
            <w:vAlign w:val="center"/>
          </w:tcPr>
          <w:p>
            <w:pPr>
              <w:pStyle w:val="TableContents"/>
              <w:widowControl w:val="false"/>
              <w:suppressLineNumbers/>
              <w:spacing w:before="0" w:after="200"/>
              <w:rPr/>
            </w:pPr>
            <w:r>
              <w:rPr/>
              <w:t>Correspond to constraints on reachable future states and long-term viability</w:t>
            </w:r>
          </w:p>
        </w:tc>
      </w:tr>
      <w:tr>
        <w:trPr/>
        <w:tc>
          <w:tcPr>
            <w:tcW w:w="2659" w:type="dxa"/>
            <w:tcBorders/>
            <w:vAlign w:val="center"/>
          </w:tcPr>
          <w:p>
            <w:pPr>
              <w:pStyle w:val="TableContents"/>
              <w:widowControl w:val="false"/>
              <w:suppressLineNumbers/>
              <w:spacing w:before="0" w:after="200"/>
              <w:rPr/>
            </w:pPr>
            <w:r>
              <w:rPr/>
              <w:t>Irreversibility</w:t>
            </w:r>
          </w:p>
        </w:tc>
        <w:tc>
          <w:tcPr>
            <w:tcW w:w="5981" w:type="dxa"/>
            <w:tcBorders/>
            <w:vAlign w:val="center"/>
          </w:tcPr>
          <w:p>
            <w:pPr>
              <w:pStyle w:val="TableContents"/>
              <w:widowControl w:val="false"/>
              <w:suppressLineNumbers/>
              <w:spacing w:before="0" w:after="200"/>
              <w:rPr/>
            </w:pPr>
            <w:r>
              <w:rPr/>
              <w:t>Affects probability, severity, precaution, and the value of preserving future options</w:t>
            </w:r>
          </w:p>
        </w:tc>
      </w:tr>
      <w:tr>
        <w:trPr/>
        <w:tc>
          <w:tcPr>
            <w:tcW w:w="2659" w:type="dxa"/>
            <w:tcBorders/>
            <w:vAlign w:val="center"/>
          </w:tcPr>
          <w:p>
            <w:pPr>
              <w:pStyle w:val="TableContents"/>
              <w:widowControl w:val="false"/>
              <w:suppressLineNumbers/>
              <w:spacing w:before="0" w:after="200"/>
              <w:rPr/>
            </w:pPr>
            <w:r>
              <w:rPr/>
              <w:t>Environmental uncertainty</w:t>
            </w:r>
          </w:p>
        </w:tc>
        <w:tc>
          <w:tcPr>
            <w:tcW w:w="5981" w:type="dxa"/>
            <w:tcBorders/>
            <w:vAlign w:val="center"/>
          </w:tcPr>
          <w:p>
            <w:pPr>
              <w:pStyle w:val="TableContents"/>
              <w:widowControl w:val="false"/>
              <w:suppressLineNumbers/>
              <w:spacing w:before="0" w:after="200"/>
              <w:rPr/>
            </w:pPr>
            <w:r>
              <w:rPr/>
              <w:t>Corresponds to explicit probability, model limitations, and scenario analysis</w:t>
            </w:r>
          </w:p>
        </w:tc>
      </w:tr>
      <w:tr>
        <w:trPr/>
        <w:tc>
          <w:tcPr>
            <w:tcW w:w="2659" w:type="dxa"/>
            <w:tcBorders/>
            <w:vAlign w:val="center"/>
          </w:tcPr>
          <w:p>
            <w:pPr>
              <w:pStyle w:val="TableContents"/>
              <w:widowControl w:val="false"/>
              <w:suppressLineNumbers/>
              <w:spacing w:before="0" w:after="200"/>
              <w:rPr/>
            </w:pPr>
            <w:r>
              <w:rPr/>
              <w:t>Intergenerational responsibility</w:t>
            </w:r>
          </w:p>
        </w:tc>
        <w:tc>
          <w:tcPr>
            <w:tcW w:w="5981" w:type="dxa"/>
            <w:tcBorders/>
            <w:vAlign w:val="center"/>
          </w:tcPr>
          <w:p>
            <w:pPr>
              <w:pStyle w:val="TableContents"/>
              <w:widowControl w:val="false"/>
              <w:suppressLineNumbers/>
              <w:spacing w:before="0" w:after="200"/>
              <w:rPr/>
            </w:pPr>
            <w:r>
              <w:rPr/>
              <w:t>Corresponds to preservation of beneficial future state space</w:t>
            </w:r>
          </w:p>
        </w:tc>
      </w:tr>
      <w:tr>
        <w:trPr/>
        <w:tc>
          <w:tcPr>
            <w:tcW w:w="2659" w:type="dxa"/>
            <w:tcBorders/>
            <w:vAlign w:val="center"/>
          </w:tcPr>
          <w:p>
            <w:pPr>
              <w:pStyle w:val="TableContents"/>
              <w:widowControl w:val="false"/>
              <w:suppressLineNumbers/>
              <w:spacing w:before="0" w:after="200"/>
              <w:rPr/>
            </w:pPr>
            <w:r>
              <w:rPr/>
              <w:t>Ecological self-realization</w:t>
            </w:r>
          </w:p>
        </w:tc>
        <w:tc>
          <w:tcPr>
            <w:tcW w:w="5981" w:type="dxa"/>
            <w:tcBorders/>
            <w:vAlign w:val="center"/>
          </w:tcPr>
          <w:p>
            <w:pPr>
              <w:pStyle w:val="TableContents"/>
              <w:widowControl w:val="false"/>
              <w:suppressLineNumbers/>
              <w:spacing w:before="0" w:after="200"/>
              <w:rPr/>
            </w:pPr>
            <w:r>
              <w:rPr/>
              <w:t>Relates to moral-agent development and expansion of the agent’s recognized moral community</w:t>
            </w:r>
          </w:p>
        </w:tc>
      </w:tr>
      <w:tr>
        <w:trPr/>
        <w:tc>
          <w:tcPr>
            <w:tcW w:w="2659" w:type="dxa"/>
            <w:tcBorders/>
            <w:vAlign w:val="center"/>
          </w:tcPr>
          <w:p>
            <w:pPr>
              <w:pStyle w:val="TableContents"/>
              <w:widowControl w:val="false"/>
              <w:suppressLineNumbers/>
              <w:spacing w:before="0" w:after="200"/>
              <w:rPr/>
            </w:pPr>
            <w:r>
              <w:rPr/>
              <w:t>Vital versus nonvital needs</w:t>
            </w:r>
          </w:p>
        </w:tc>
        <w:tc>
          <w:tcPr>
            <w:tcW w:w="5981" w:type="dxa"/>
            <w:tcBorders/>
            <w:vAlign w:val="center"/>
          </w:tcPr>
          <w:p>
            <w:pPr>
              <w:pStyle w:val="TableContents"/>
              <w:widowControl w:val="false"/>
              <w:suppressLineNumbers/>
              <w:spacing w:before="0" w:after="200"/>
              <w:rPr/>
            </w:pPr>
            <w:r>
              <w:rPr/>
              <w:t>Can inform proportionality and justification of environmentally harmful actions</w:t>
            </w:r>
          </w:p>
        </w:tc>
      </w:tr>
      <w:tr>
        <w:trPr/>
        <w:tc>
          <w:tcPr>
            <w:tcW w:w="2659" w:type="dxa"/>
            <w:tcBorders/>
            <w:vAlign w:val="center"/>
          </w:tcPr>
          <w:p>
            <w:pPr>
              <w:pStyle w:val="TableContents"/>
              <w:widowControl w:val="false"/>
              <w:suppressLineNumbers/>
              <w:spacing w:before="0" w:after="200"/>
              <w:rPr/>
            </w:pPr>
            <w:r>
              <w:rPr/>
              <w:t>Environmental justice</w:t>
            </w:r>
          </w:p>
        </w:tc>
        <w:tc>
          <w:tcPr>
            <w:tcW w:w="5981" w:type="dxa"/>
            <w:tcBorders/>
            <w:vAlign w:val="center"/>
          </w:tcPr>
          <w:p>
            <w:pPr>
              <w:pStyle w:val="TableContents"/>
              <w:widowControl w:val="false"/>
              <w:suppressLineNumbers/>
              <w:spacing w:before="0" w:after="200"/>
              <w:rPr/>
            </w:pPr>
            <w:r>
              <w:rPr/>
              <w:t>Corresponds to entity-level distribution, role responsibility, authority, and unequal exposure</w:t>
            </w:r>
          </w:p>
        </w:tc>
      </w:tr>
      <w:tr>
        <w:trPr/>
        <w:tc>
          <w:tcPr>
            <w:tcW w:w="2659" w:type="dxa"/>
            <w:tcBorders/>
            <w:vAlign w:val="center"/>
          </w:tcPr>
          <w:p>
            <w:pPr>
              <w:pStyle w:val="TableContents"/>
              <w:widowControl w:val="false"/>
              <w:suppressLineNumbers/>
              <w:spacing w:before="0" w:after="200"/>
              <w:rPr/>
            </w:pPr>
            <w:r>
              <w:rPr/>
              <w:t>Restoration</w:t>
            </w:r>
          </w:p>
        </w:tc>
        <w:tc>
          <w:tcPr>
            <w:tcW w:w="5981" w:type="dxa"/>
            <w:tcBorders/>
            <w:vAlign w:val="center"/>
          </w:tcPr>
          <w:p>
            <w:pPr>
              <w:pStyle w:val="TableContents"/>
              <w:widowControl w:val="false"/>
              <w:suppressLineNumbers/>
              <w:spacing w:before="0" w:after="200"/>
              <w:rPr/>
            </w:pPr>
            <w:r>
              <w:rPr/>
              <w:t>Can be evaluated as a transition intended to recover damaged capacities and relationships</w:t>
            </w:r>
          </w:p>
        </w:tc>
      </w:tr>
      <w:tr>
        <w:trPr/>
        <w:tc>
          <w:tcPr>
            <w:tcW w:w="2659" w:type="dxa"/>
            <w:tcBorders/>
            <w:vAlign w:val="center"/>
          </w:tcPr>
          <w:p>
            <w:pPr>
              <w:pStyle w:val="TableContents"/>
              <w:widowControl w:val="false"/>
              <w:suppressLineNumbers/>
              <w:spacing w:before="0" w:after="200"/>
              <w:rPr/>
            </w:pPr>
            <w:r>
              <w:rPr/>
              <w:t>Systemic policy change</w:t>
            </w:r>
          </w:p>
        </w:tc>
        <w:tc>
          <w:tcPr>
            <w:tcW w:w="5981" w:type="dxa"/>
            <w:tcBorders/>
            <w:vAlign w:val="center"/>
          </w:tcPr>
          <w:p>
            <w:pPr>
              <w:pStyle w:val="TableContents"/>
              <w:widowControl w:val="false"/>
              <w:suppressLineNumbers/>
              <w:spacing w:before="0" w:after="200"/>
              <w:rPr/>
            </w:pPr>
            <w:r>
              <w:rPr/>
              <w:t>Corresponds to actions that modify institutional rules, incentives, technologies, and future policies</w:t>
            </w:r>
          </w:p>
        </w:tc>
      </w:tr>
    </w:tbl>
    <w:p>
      <w:pPr>
        <w:pStyle w:val="BodyText"/>
        <w:spacing w:before="0" w:after="200"/>
        <w:rPr/>
      </w:pPr>
      <w:r>
        <w:rPr/>
        <w:t>The framework also contributes analytical structure that Deep Ecology does not always provide. It distinguishes direct effects, indirect effects, probabilities, responsibility, roles, time horizons, and feasible alternatives. It can evaluate environmental values without assuming that every conflict has a simple ecocentric answer.</w:t>
      </w:r>
    </w:p>
    <w:p>
      <w:pPr>
        <w:pStyle w:val="BodyText"/>
        <w:spacing w:before="0" w:after="200"/>
        <w:rPr/>
      </w:pPr>
      <w:r>
        <w:rPr/>
        <w:t>The relationship is particularly strong around beneficial future state space. An intact ecological system preserves evolutionary, adaptive, biological, and relational possibilities. Extinction, fragmentation, pollution, and climate destabilization can severely contract those possibilities even before every resulting harm becomes observable.</w:t>
      </w:r>
    </w:p>
    <w:p>
      <w:pPr>
        <w:pStyle w:val="Heading3"/>
        <w:rPr/>
      </w:pPr>
      <w:r>
        <w:rPr/>
        <w:t>Concepts adopted or adapted by this framework</w:t>
      </w:r>
    </w:p>
    <w:tbl>
      <w:tblPr>
        <w:tblW w:w="8640" w:type="dxa"/>
        <w:jc w:val="left"/>
        <w:tblInd w:w="28" w:type="dxa"/>
        <w:tblLayout w:type="fixed"/>
        <w:tblCellMar>
          <w:top w:w="28" w:type="dxa"/>
          <w:left w:w="28" w:type="dxa"/>
          <w:bottom w:w="28" w:type="dxa"/>
          <w:right w:w="28" w:type="dxa"/>
        </w:tblCellMar>
      </w:tblPr>
      <w:tblGrid>
        <w:gridCol w:w="2966"/>
        <w:gridCol w:w="5674"/>
      </w:tblGrid>
      <w:tr>
        <w:trPr>
          <w:tblHeader w:val="true"/>
        </w:trPr>
        <w:tc>
          <w:tcPr>
            <w:tcW w:w="2966" w:type="dxa"/>
            <w:tcBorders/>
            <w:vAlign w:val="center"/>
          </w:tcPr>
          <w:p>
            <w:pPr>
              <w:pStyle w:val="TableHeading"/>
              <w:suppressLineNumbers/>
              <w:spacing w:before="0" w:after="200"/>
              <w:jc w:val="center"/>
              <w:rPr/>
            </w:pPr>
            <w:r>
              <w:rPr/>
              <w:t>Environmental concept</w:t>
            </w:r>
          </w:p>
        </w:tc>
        <w:tc>
          <w:tcPr>
            <w:tcW w:w="5674" w:type="dxa"/>
            <w:tcBorders/>
            <w:vAlign w:val="center"/>
          </w:tcPr>
          <w:p>
            <w:pPr>
              <w:pStyle w:val="TableHeading"/>
              <w:suppressLineNumbers/>
              <w:spacing w:before="0" w:after="200"/>
              <w:jc w:val="center"/>
              <w:rPr/>
            </w:pPr>
            <w:r>
              <w:rPr/>
              <w:t>Adoption or adaptation</w:t>
            </w:r>
          </w:p>
        </w:tc>
      </w:tr>
      <w:tr>
        <w:trPr/>
        <w:tc>
          <w:tcPr>
            <w:tcW w:w="2966" w:type="dxa"/>
            <w:tcBorders/>
            <w:vAlign w:val="center"/>
          </w:tcPr>
          <w:p>
            <w:pPr>
              <w:pStyle w:val="TableContents"/>
              <w:widowControl w:val="false"/>
              <w:suppressLineNumbers/>
              <w:spacing w:before="0" w:after="200"/>
              <w:rPr/>
            </w:pPr>
            <w:r>
              <w:rPr>
                <w:rStyle w:val="Strong"/>
              </w:rPr>
              <w:t>Intrinsic or inherent value</w:t>
            </w:r>
          </w:p>
        </w:tc>
        <w:tc>
          <w:tcPr>
            <w:tcW w:w="5674" w:type="dxa"/>
            <w:tcBorders/>
            <w:vAlign w:val="center"/>
          </w:tcPr>
          <w:p>
            <w:pPr>
              <w:pStyle w:val="TableContents"/>
              <w:widowControl w:val="false"/>
              <w:suppressLineNumbers/>
              <w:spacing w:before="0" w:after="200"/>
              <w:rPr/>
            </w:pPr>
            <w:r>
              <w:rPr/>
              <w:t>Recognition that nonhuman entities may matter independently of their usefulness to humans</w:t>
            </w:r>
          </w:p>
        </w:tc>
      </w:tr>
      <w:tr>
        <w:trPr/>
        <w:tc>
          <w:tcPr>
            <w:tcW w:w="2966" w:type="dxa"/>
            <w:tcBorders/>
            <w:vAlign w:val="center"/>
          </w:tcPr>
          <w:p>
            <w:pPr>
              <w:pStyle w:val="TableContents"/>
              <w:widowControl w:val="false"/>
              <w:suppressLineNumbers/>
              <w:spacing w:before="0" w:after="200"/>
              <w:rPr/>
            </w:pPr>
            <w:r>
              <w:rPr>
                <w:rStyle w:val="Strong"/>
              </w:rPr>
              <w:t>Moral considerability</w:t>
            </w:r>
          </w:p>
        </w:tc>
        <w:tc>
          <w:tcPr>
            <w:tcW w:w="5674" w:type="dxa"/>
            <w:tcBorders/>
            <w:vAlign w:val="center"/>
          </w:tcPr>
          <w:p>
            <w:pPr>
              <w:pStyle w:val="TableContents"/>
              <w:widowControl w:val="false"/>
              <w:suppressLineNumbers/>
              <w:spacing w:before="0" w:after="200"/>
              <w:rPr/>
            </w:pPr>
            <w:r>
              <w:rPr/>
              <w:t>Inclusion of nonhuman entities as direct subjects of ethical effects</w:t>
            </w:r>
          </w:p>
        </w:tc>
      </w:tr>
      <w:tr>
        <w:trPr/>
        <w:tc>
          <w:tcPr>
            <w:tcW w:w="2966" w:type="dxa"/>
            <w:tcBorders/>
            <w:vAlign w:val="center"/>
          </w:tcPr>
          <w:p>
            <w:pPr>
              <w:pStyle w:val="TableContents"/>
              <w:widowControl w:val="false"/>
              <w:suppressLineNumbers/>
              <w:spacing w:before="0" w:after="200"/>
              <w:rPr/>
            </w:pPr>
            <w:r>
              <w:rPr>
                <w:rStyle w:val="Strong"/>
              </w:rPr>
              <w:t>Land community</w:t>
            </w:r>
          </w:p>
        </w:tc>
        <w:tc>
          <w:tcPr>
            <w:tcW w:w="5674" w:type="dxa"/>
            <w:tcBorders/>
            <w:vAlign w:val="center"/>
          </w:tcPr>
          <w:p>
            <w:pPr>
              <w:pStyle w:val="TableContents"/>
              <w:widowControl w:val="false"/>
              <w:suppressLineNumbers/>
              <w:spacing w:before="0" w:after="200"/>
              <w:rPr/>
            </w:pPr>
            <w:r>
              <w:rPr/>
              <w:t>Representation of soils, waters, organisms, ecological relationships, and human participants as an interconnected context</w:t>
            </w:r>
          </w:p>
        </w:tc>
      </w:tr>
      <w:tr>
        <w:trPr/>
        <w:tc>
          <w:tcPr>
            <w:tcW w:w="2966" w:type="dxa"/>
            <w:tcBorders/>
            <w:vAlign w:val="center"/>
          </w:tcPr>
          <w:p>
            <w:pPr>
              <w:pStyle w:val="TableContents"/>
              <w:widowControl w:val="false"/>
              <w:suppressLineNumbers/>
              <w:spacing w:before="0" w:after="200"/>
              <w:rPr/>
            </w:pPr>
            <w:r>
              <w:rPr>
                <w:rStyle w:val="Strong"/>
              </w:rPr>
              <w:t>Ecocentrism</w:t>
            </w:r>
          </w:p>
        </w:tc>
        <w:tc>
          <w:tcPr>
            <w:tcW w:w="5674" w:type="dxa"/>
            <w:tcBorders/>
            <w:vAlign w:val="center"/>
          </w:tcPr>
          <w:p>
            <w:pPr>
              <w:pStyle w:val="TableContents"/>
              <w:widowControl w:val="false"/>
              <w:suppressLineNumbers/>
              <w:spacing w:before="0" w:after="200"/>
              <w:rPr/>
            </w:pPr>
            <w:r>
              <w:rPr/>
              <w:t>Requirement to evaluate ecosystem-level effects rather than only human preferences</w:t>
            </w:r>
          </w:p>
        </w:tc>
      </w:tr>
      <w:tr>
        <w:trPr/>
        <w:tc>
          <w:tcPr>
            <w:tcW w:w="2966" w:type="dxa"/>
            <w:tcBorders/>
            <w:vAlign w:val="center"/>
          </w:tcPr>
          <w:p>
            <w:pPr>
              <w:pStyle w:val="TableContents"/>
              <w:widowControl w:val="false"/>
              <w:suppressLineNumbers/>
              <w:spacing w:before="0" w:after="200"/>
              <w:rPr/>
            </w:pPr>
            <w:r>
              <w:rPr>
                <w:rStyle w:val="Strong"/>
              </w:rPr>
              <w:t>Biocentrism</w:t>
            </w:r>
          </w:p>
        </w:tc>
        <w:tc>
          <w:tcPr>
            <w:tcW w:w="5674" w:type="dxa"/>
            <w:tcBorders/>
            <w:vAlign w:val="center"/>
          </w:tcPr>
          <w:p>
            <w:pPr>
              <w:pStyle w:val="TableContents"/>
              <w:widowControl w:val="false"/>
              <w:suppressLineNumbers/>
              <w:spacing w:before="0" w:after="200"/>
              <w:rPr/>
            </w:pPr>
            <w:r>
              <w:rPr/>
              <w:t>Recognition that living organisms may possess entity-specific forms of flourishing</w:t>
            </w:r>
          </w:p>
        </w:tc>
      </w:tr>
      <w:tr>
        <w:trPr/>
        <w:tc>
          <w:tcPr>
            <w:tcW w:w="2966" w:type="dxa"/>
            <w:tcBorders/>
            <w:vAlign w:val="center"/>
          </w:tcPr>
          <w:p>
            <w:pPr>
              <w:pStyle w:val="TableContents"/>
              <w:widowControl w:val="false"/>
              <w:suppressLineNumbers/>
              <w:spacing w:before="0" w:after="200"/>
              <w:rPr/>
            </w:pPr>
            <w:r>
              <w:rPr>
                <w:rStyle w:val="Strong"/>
              </w:rPr>
              <w:t>Ecological self</w:t>
            </w:r>
          </w:p>
        </w:tc>
        <w:tc>
          <w:tcPr>
            <w:tcW w:w="5674" w:type="dxa"/>
            <w:tcBorders/>
            <w:vAlign w:val="center"/>
          </w:tcPr>
          <w:p>
            <w:pPr>
              <w:pStyle w:val="TableContents"/>
              <w:widowControl w:val="false"/>
              <w:suppressLineNumbers/>
              <w:spacing w:before="0" w:after="200"/>
              <w:rPr/>
            </w:pPr>
            <w:r>
              <w:rPr/>
              <w:t>Expansion of the moral agent’s recognized identity and obligations beyond the isolated individual</w:t>
            </w:r>
          </w:p>
        </w:tc>
      </w:tr>
      <w:tr>
        <w:trPr/>
        <w:tc>
          <w:tcPr>
            <w:tcW w:w="2966" w:type="dxa"/>
            <w:tcBorders/>
            <w:vAlign w:val="center"/>
          </w:tcPr>
          <w:p>
            <w:pPr>
              <w:pStyle w:val="TableContents"/>
              <w:widowControl w:val="false"/>
              <w:suppressLineNumbers/>
              <w:spacing w:before="0" w:after="200"/>
              <w:rPr/>
            </w:pPr>
            <w:r>
              <w:rPr>
                <w:rStyle w:val="Strong"/>
              </w:rPr>
              <w:t>Biospheric egalitarianism</w:t>
            </w:r>
          </w:p>
        </w:tc>
        <w:tc>
          <w:tcPr>
            <w:tcW w:w="5674" w:type="dxa"/>
            <w:tcBorders/>
            <w:vAlign w:val="center"/>
          </w:tcPr>
          <w:p>
            <w:pPr>
              <w:pStyle w:val="TableContents"/>
              <w:widowControl w:val="false"/>
              <w:suppressLineNumbers/>
              <w:spacing w:before="0" w:after="200"/>
              <w:rPr/>
            </w:pPr>
            <w:r>
              <w:rPr/>
              <w:t>Adapted as a rejection of automatic human supremacy, without assuming identical treatment of every entity</w:t>
            </w:r>
          </w:p>
        </w:tc>
      </w:tr>
      <w:tr>
        <w:trPr/>
        <w:tc>
          <w:tcPr>
            <w:tcW w:w="2966" w:type="dxa"/>
            <w:tcBorders/>
            <w:vAlign w:val="center"/>
          </w:tcPr>
          <w:p>
            <w:pPr>
              <w:pStyle w:val="TableContents"/>
              <w:widowControl w:val="false"/>
              <w:suppressLineNumbers/>
              <w:spacing w:before="0" w:after="200"/>
              <w:rPr/>
            </w:pPr>
            <w:r>
              <w:rPr>
                <w:rStyle w:val="Strong"/>
              </w:rPr>
              <w:t>Biodiversity</w:t>
            </w:r>
          </w:p>
        </w:tc>
        <w:tc>
          <w:tcPr>
            <w:tcW w:w="5674" w:type="dxa"/>
            <w:tcBorders/>
            <w:vAlign w:val="center"/>
          </w:tcPr>
          <w:p>
            <w:pPr>
              <w:pStyle w:val="TableContents"/>
              <w:widowControl w:val="false"/>
              <w:suppressLineNumbers/>
              <w:spacing w:before="0" w:after="200"/>
              <w:rPr/>
            </w:pPr>
            <w:r>
              <w:rPr/>
              <w:t>Representation of genetic, species, functional, ecosystem, and landscape diversity</w:t>
            </w:r>
          </w:p>
        </w:tc>
      </w:tr>
      <w:tr>
        <w:trPr/>
        <w:tc>
          <w:tcPr>
            <w:tcW w:w="2966" w:type="dxa"/>
            <w:tcBorders/>
            <w:vAlign w:val="center"/>
          </w:tcPr>
          <w:p>
            <w:pPr>
              <w:pStyle w:val="TableContents"/>
              <w:widowControl w:val="false"/>
              <w:suppressLineNumbers/>
              <w:spacing w:before="0" w:after="200"/>
              <w:rPr/>
            </w:pPr>
            <w:r>
              <w:rPr>
                <w:rStyle w:val="Strong"/>
              </w:rPr>
              <w:t>Ecological integrity</w:t>
            </w:r>
          </w:p>
        </w:tc>
        <w:tc>
          <w:tcPr>
            <w:tcW w:w="5674" w:type="dxa"/>
            <w:tcBorders/>
            <w:vAlign w:val="center"/>
          </w:tcPr>
          <w:p>
            <w:pPr>
              <w:pStyle w:val="TableContents"/>
              <w:widowControl w:val="false"/>
              <w:suppressLineNumbers/>
              <w:spacing w:before="0" w:after="200"/>
              <w:rPr/>
            </w:pPr>
            <w:r>
              <w:rPr/>
              <w:t>Sustained organization, function, composition, connectivity, and adaptive potential</w:t>
            </w:r>
          </w:p>
        </w:tc>
      </w:tr>
      <w:tr>
        <w:trPr/>
        <w:tc>
          <w:tcPr>
            <w:tcW w:w="2966" w:type="dxa"/>
            <w:tcBorders/>
            <w:vAlign w:val="center"/>
          </w:tcPr>
          <w:p>
            <w:pPr>
              <w:pStyle w:val="TableContents"/>
              <w:widowControl w:val="false"/>
              <w:suppressLineNumbers/>
              <w:spacing w:before="0" w:after="200"/>
              <w:rPr/>
            </w:pPr>
            <w:r>
              <w:rPr>
                <w:rStyle w:val="Strong"/>
              </w:rPr>
              <w:t>Ecological health</w:t>
            </w:r>
          </w:p>
        </w:tc>
        <w:tc>
          <w:tcPr>
            <w:tcW w:w="5674" w:type="dxa"/>
            <w:tcBorders/>
            <w:vAlign w:val="center"/>
          </w:tcPr>
          <w:p>
            <w:pPr>
              <w:pStyle w:val="TableContents"/>
              <w:widowControl w:val="false"/>
              <w:suppressLineNumbers/>
              <w:spacing w:before="0" w:after="200"/>
              <w:rPr/>
            </w:pPr>
            <w:r>
              <w:rPr/>
              <w:t>A context-dependent profile of system functioning rather than a single static state</w:t>
            </w:r>
          </w:p>
        </w:tc>
      </w:tr>
      <w:tr>
        <w:trPr/>
        <w:tc>
          <w:tcPr>
            <w:tcW w:w="2966" w:type="dxa"/>
            <w:tcBorders/>
            <w:vAlign w:val="center"/>
          </w:tcPr>
          <w:p>
            <w:pPr>
              <w:pStyle w:val="TableContents"/>
              <w:widowControl w:val="false"/>
              <w:suppressLineNumbers/>
              <w:spacing w:before="0" w:after="200"/>
              <w:rPr/>
            </w:pPr>
            <w:r>
              <w:rPr>
                <w:rStyle w:val="Strong"/>
              </w:rPr>
              <w:t>Wildness and naturalness</w:t>
            </w:r>
          </w:p>
        </w:tc>
        <w:tc>
          <w:tcPr>
            <w:tcW w:w="5674" w:type="dxa"/>
            <w:tcBorders/>
            <w:vAlign w:val="center"/>
          </w:tcPr>
          <w:p>
            <w:pPr>
              <w:pStyle w:val="TableContents"/>
              <w:widowControl w:val="false"/>
              <w:suppressLineNumbers/>
              <w:spacing w:before="0" w:after="200"/>
              <w:rPr/>
            </w:pPr>
            <w:r>
              <w:rPr/>
              <w:t>Potential values associated with self-organization, freedom from domination, and continuity of ecological processes</w:t>
            </w:r>
          </w:p>
        </w:tc>
      </w:tr>
      <w:tr>
        <w:trPr/>
        <w:tc>
          <w:tcPr>
            <w:tcW w:w="2966" w:type="dxa"/>
            <w:tcBorders/>
            <w:vAlign w:val="center"/>
          </w:tcPr>
          <w:p>
            <w:pPr>
              <w:pStyle w:val="TableContents"/>
              <w:widowControl w:val="false"/>
              <w:suppressLineNumbers/>
              <w:spacing w:before="0" w:after="200"/>
              <w:rPr/>
            </w:pPr>
            <w:r>
              <w:rPr>
                <w:rStyle w:val="Strong"/>
              </w:rPr>
              <w:t>Evolutionary potential</w:t>
            </w:r>
          </w:p>
        </w:tc>
        <w:tc>
          <w:tcPr>
            <w:tcW w:w="5674" w:type="dxa"/>
            <w:tcBorders/>
            <w:vAlign w:val="center"/>
          </w:tcPr>
          <w:p>
            <w:pPr>
              <w:pStyle w:val="TableContents"/>
              <w:widowControl w:val="false"/>
              <w:suppressLineNumbers/>
              <w:spacing w:before="0" w:after="200"/>
              <w:rPr/>
            </w:pPr>
            <w:r>
              <w:rPr/>
              <w:t>Preservation of future adaptation, diversification, and ecological possibility</w:t>
            </w:r>
          </w:p>
        </w:tc>
      </w:tr>
      <w:tr>
        <w:trPr/>
        <w:tc>
          <w:tcPr>
            <w:tcW w:w="2966" w:type="dxa"/>
            <w:tcBorders/>
            <w:vAlign w:val="center"/>
          </w:tcPr>
          <w:p>
            <w:pPr>
              <w:pStyle w:val="TableContents"/>
              <w:widowControl w:val="false"/>
              <w:suppressLineNumbers/>
              <w:spacing w:before="0" w:after="200"/>
              <w:rPr/>
            </w:pPr>
            <w:r>
              <w:rPr>
                <w:rStyle w:val="Strong"/>
              </w:rPr>
              <w:t>Ecological resilience</w:t>
            </w:r>
          </w:p>
        </w:tc>
        <w:tc>
          <w:tcPr>
            <w:tcW w:w="5674" w:type="dxa"/>
            <w:tcBorders/>
            <w:vAlign w:val="center"/>
          </w:tcPr>
          <w:p>
            <w:pPr>
              <w:pStyle w:val="TableContents"/>
              <w:widowControl w:val="false"/>
              <w:suppressLineNumbers/>
              <w:spacing w:before="0" w:after="200"/>
              <w:rPr/>
            </w:pPr>
            <w:r>
              <w:rPr/>
              <w:t>Capacity to absorb disturbance while maintaining or reorganizing into ethically defensible functions</w:t>
            </w:r>
          </w:p>
        </w:tc>
      </w:tr>
      <w:tr>
        <w:trPr/>
        <w:tc>
          <w:tcPr>
            <w:tcW w:w="2966" w:type="dxa"/>
            <w:tcBorders/>
            <w:vAlign w:val="center"/>
          </w:tcPr>
          <w:p>
            <w:pPr>
              <w:pStyle w:val="TableContents"/>
              <w:widowControl w:val="false"/>
              <w:suppressLineNumbers/>
              <w:spacing w:before="0" w:after="200"/>
              <w:rPr/>
            </w:pPr>
            <w:r>
              <w:rPr>
                <w:rStyle w:val="Strong"/>
              </w:rPr>
              <w:t>Carrying capacity and ecological limits</w:t>
            </w:r>
          </w:p>
        </w:tc>
        <w:tc>
          <w:tcPr>
            <w:tcW w:w="5674" w:type="dxa"/>
            <w:tcBorders/>
            <w:vAlign w:val="center"/>
          </w:tcPr>
          <w:p>
            <w:pPr>
              <w:pStyle w:val="TableContents"/>
              <w:widowControl w:val="false"/>
              <w:suppressLineNumbers/>
              <w:spacing w:before="0" w:after="200"/>
              <w:rPr/>
            </w:pPr>
            <w:r>
              <w:rPr/>
              <w:t>Constraints on resource use, population pressure, waste, and future system states</w:t>
            </w:r>
          </w:p>
        </w:tc>
      </w:tr>
      <w:tr>
        <w:trPr/>
        <w:tc>
          <w:tcPr>
            <w:tcW w:w="2966" w:type="dxa"/>
            <w:tcBorders/>
            <w:vAlign w:val="center"/>
          </w:tcPr>
          <w:p>
            <w:pPr>
              <w:pStyle w:val="TableContents"/>
              <w:widowControl w:val="false"/>
              <w:suppressLineNumbers/>
              <w:spacing w:before="0" w:after="200"/>
              <w:rPr/>
            </w:pPr>
            <w:r>
              <w:rPr>
                <w:rStyle w:val="Strong"/>
              </w:rPr>
              <w:t>Vital needs</w:t>
            </w:r>
          </w:p>
        </w:tc>
        <w:tc>
          <w:tcPr>
            <w:tcW w:w="5674" w:type="dxa"/>
            <w:tcBorders/>
            <w:vAlign w:val="center"/>
          </w:tcPr>
          <w:p>
            <w:pPr>
              <w:pStyle w:val="TableContents"/>
              <w:widowControl w:val="false"/>
              <w:suppressLineNumbers/>
              <w:spacing w:before="0" w:after="200"/>
              <w:rPr/>
            </w:pPr>
            <w:r>
              <w:rPr/>
              <w:t>A proportionality test for environmentally harmful interference</w:t>
            </w:r>
          </w:p>
        </w:tc>
      </w:tr>
      <w:tr>
        <w:trPr/>
        <w:tc>
          <w:tcPr>
            <w:tcW w:w="2966" w:type="dxa"/>
            <w:tcBorders/>
            <w:vAlign w:val="center"/>
          </w:tcPr>
          <w:p>
            <w:pPr>
              <w:pStyle w:val="TableContents"/>
              <w:widowControl w:val="false"/>
              <w:suppressLineNumbers/>
              <w:spacing w:before="0" w:after="200"/>
              <w:rPr/>
            </w:pPr>
            <w:r>
              <w:rPr>
                <w:rStyle w:val="Strong"/>
              </w:rPr>
              <w:t>Ecological footprint</w:t>
            </w:r>
          </w:p>
        </w:tc>
        <w:tc>
          <w:tcPr>
            <w:tcW w:w="5674" w:type="dxa"/>
            <w:tcBorders/>
            <w:vAlign w:val="center"/>
          </w:tcPr>
          <w:p>
            <w:pPr>
              <w:pStyle w:val="TableContents"/>
              <w:widowControl w:val="false"/>
              <w:suppressLineNumbers/>
              <w:spacing w:before="0" w:after="200"/>
              <w:rPr/>
            </w:pPr>
            <w:r>
              <w:rPr/>
              <w:t>Spatially distributed resource demand and environmental burden</w:t>
            </w:r>
          </w:p>
        </w:tc>
      </w:tr>
      <w:tr>
        <w:trPr/>
        <w:tc>
          <w:tcPr>
            <w:tcW w:w="2966" w:type="dxa"/>
            <w:tcBorders/>
            <w:vAlign w:val="center"/>
          </w:tcPr>
          <w:p>
            <w:pPr>
              <w:pStyle w:val="TableContents"/>
              <w:widowControl w:val="false"/>
              <w:suppressLineNumbers/>
              <w:spacing w:before="0" w:after="200"/>
              <w:rPr/>
            </w:pPr>
            <w:r>
              <w:rPr>
                <w:rStyle w:val="Strong"/>
              </w:rPr>
              <w:t>Cumulative effects</w:t>
            </w:r>
          </w:p>
        </w:tc>
        <w:tc>
          <w:tcPr>
            <w:tcW w:w="5674" w:type="dxa"/>
            <w:tcBorders/>
            <w:vAlign w:val="center"/>
          </w:tcPr>
          <w:p>
            <w:pPr>
              <w:pStyle w:val="TableContents"/>
              <w:widowControl w:val="false"/>
              <w:suppressLineNumbers/>
              <w:spacing w:before="0" w:after="200"/>
              <w:rPr/>
            </w:pPr>
            <w:r>
              <w:rPr/>
              <w:t>Aggregate impacts arising through repetition across actors, locations, and time</w:t>
            </w:r>
          </w:p>
        </w:tc>
      </w:tr>
      <w:tr>
        <w:trPr/>
        <w:tc>
          <w:tcPr>
            <w:tcW w:w="2966" w:type="dxa"/>
            <w:tcBorders/>
            <w:vAlign w:val="center"/>
          </w:tcPr>
          <w:p>
            <w:pPr>
              <w:pStyle w:val="TableContents"/>
              <w:widowControl w:val="false"/>
              <w:suppressLineNumbers/>
              <w:spacing w:before="0" w:after="200"/>
              <w:rPr/>
            </w:pPr>
            <w:r>
              <w:rPr>
                <w:rStyle w:val="Strong"/>
              </w:rPr>
              <w:t>Trophic cascades</w:t>
            </w:r>
          </w:p>
        </w:tc>
        <w:tc>
          <w:tcPr>
            <w:tcW w:w="5674" w:type="dxa"/>
            <w:tcBorders/>
            <w:vAlign w:val="center"/>
          </w:tcPr>
          <w:p>
            <w:pPr>
              <w:pStyle w:val="TableContents"/>
              <w:widowControl w:val="false"/>
              <w:suppressLineNumbers/>
              <w:spacing w:before="0" w:after="200"/>
              <w:rPr/>
            </w:pPr>
            <w:r>
              <w:rPr/>
              <w:t>Indirect transitions propagated through ecological relationships</w:t>
            </w:r>
          </w:p>
        </w:tc>
      </w:tr>
      <w:tr>
        <w:trPr/>
        <w:tc>
          <w:tcPr>
            <w:tcW w:w="2966" w:type="dxa"/>
            <w:tcBorders/>
            <w:vAlign w:val="center"/>
          </w:tcPr>
          <w:p>
            <w:pPr>
              <w:pStyle w:val="TableContents"/>
              <w:widowControl w:val="false"/>
              <w:suppressLineNumbers/>
              <w:spacing w:before="0" w:after="200"/>
              <w:rPr/>
            </w:pPr>
            <w:r>
              <w:rPr>
                <w:rStyle w:val="Strong"/>
              </w:rPr>
              <w:t>Thresholds and tipping points</w:t>
            </w:r>
          </w:p>
        </w:tc>
        <w:tc>
          <w:tcPr>
            <w:tcW w:w="5674" w:type="dxa"/>
            <w:tcBorders/>
            <w:vAlign w:val="center"/>
          </w:tcPr>
          <w:p>
            <w:pPr>
              <w:pStyle w:val="TableContents"/>
              <w:widowControl w:val="false"/>
              <w:suppressLineNumbers/>
              <w:spacing w:before="0" w:after="200"/>
              <w:rPr/>
            </w:pPr>
            <w:r>
              <w:rPr/>
              <w:t>Conditions under which gradual pressure may produce abrupt system change</w:t>
            </w:r>
          </w:p>
        </w:tc>
      </w:tr>
      <w:tr>
        <w:trPr/>
        <w:tc>
          <w:tcPr>
            <w:tcW w:w="2966" w:type="dxa"/>
            <w:tcBorders/>
            <w:vAlign w:val="center"/>
          </w:tcPr>
          <w:p>
            <w:pPr>
              <w:pStyle w:val="TableContents"/>
              <w:widowControl w:val="false"/>
              <w:suppressLineNumbers/>
              <w:spacing w:before="0" w:after="200"/>
              <w:rPr/>
            </w:pPr>
            <w:r>
              <w:rPr>
                <w:rStyle w:val="Strong"/>
              </w:rPr>
              <w:t>Irreversibility</w:t>
            </w:r>
          </w:p>
        </w:tc>
        <w:tc>
          <w:tcPr>
            <w:tcW w:w="5674" w:type="dxa"/>
            <w:tcBorders/>
            <w:vAlign w:val="center"/>
          </w:tcPr>
          <w:p>
            <w:pPr>
              <w:pStyle w:val="TableContents"/>
              <w:widowControl w:val="false"/>
              <w:suppressLineNumbers/>
              <w:spacing w:before="0" w:after="200"/>
              <w:rPr/>
            </w:pPr>
            <w:r>
              <w:rPr/>
              <w:t>Loss that cannot be restored within relevant biological, cultural, or moral horizons</w:t>
            </w:r>
          </w:p>
        </w:tc>
      </w:tr>
      <w:tr>
        <w:trPr/>
        <w:tc>
          <w:tcPr>
            <w:tcW w:w="2966" w:type="dxa"/>
            <w:tcBorders/>
            <w:vAlign w:val="center"/>
          </w:tcPr>
          <w:p>
            <w:pPr>
              <w:pStyle w:val="TableContents"/>
              <w:widowControl w:val="false"/>
              <w:suppressLineNumbers/>
              <w:spacing w:before="0" w:after="200"/>
              <w:rPr/>
            </w:pPr>
            <w:r>
              <w:rPr>
                <w:rStyle w:val="Strong"/>
              </w:rPr>
              <w:t>Precaution</w:t>
            </w:r>
          </w:p>
        </w:tc>
        <w:tc>
          <w:tcPr>
            <w:tcW w:w="5674" w:type="dxa"/>
            <w:tcBorders/>
            <w:vAlign w:val="center"/>
          </w:tcPr>
          <w:p>
            <w:pPr>
              <w:pStyle w:val="TableContents"/>
              <w:widowControl w:val="false"/>
              <w:suppressLineNumbers/>
              <w:spacing w:before="0" w:after="200"/>
              <w:rPr/>
            </w:pPr>
            <w:r>
              <w:rPr/>
              <w:t>Heightened care where plausible harm is severe, uncertain, widespread, or irreversible</w:t>
            </w:r>
          </w:p>
        </w:tc>
      </w:tr>
      <w:tr>
        <w:trPr/>
        <w:tc>
          <w:tcPr>
            <w:tcW w:w="2966" w:type="dxa"/>
            <w:tcBorders/>
            <w:vAlign w:val="center"/>
          </w:tcPr>
          <w:p>
            <w:pPr>
              <w:pStyle w:val="TableContents"/>
              <w:widowControl w:val="false"/>
              <w:suppressLineNumbers/>
              <w:spacing w:before="0" w:after="200"/>
              <w:rPr/>
            </w:pPr>
            <w:r>
              <w:rPr>
                <w:rStyle w:val="Strong"/>
              </w:rPr>
              <w:t>Intergenerational responsibility</w:t>
            </w:r>
          </w:p>
        </w:tc>
        <w:tc>
          <w:tcPr>
            <w:tcW w:w="5674" w:type="dxa"/>
            <w:tcBorders/>
            <w:vAlign w:val="center"/>
          </w:tcPr>
          <w:p>
            <w:pPr>
              <w:pStyle w:val="TableContents"/>
              <w:widowControl w:val="false"/>
              <w:suppressLineNumbers/>
              <w:spacing w:before="0" w:after="200"/>
              <w:rPr/>
            </w:pPr>
            <w:r>
              <w:rPr/>
              <w:t>Duties to preserve ecological capacities and possibilities for future entities</w:t>
            </w:r>
          </w:p>
        </w:tc>
      </w:tr>
      <w:tr>
        <w:trPr/>
        <w:tc>
          <w:tcPr>
            <w:tcW w:w="2966" w:type="dxa"/>
            <w:tcBorders/>
            <w:vAlign w:val="center"/>
          </w:tcPr>
          <w:p>
            <w:pPr>
              <w:pStyle w:val="TableContents"/>
              <w:widowControl w:val="false"/>
              <w:suppressLineNumbers/>
              <w:spacing w:before="0" w:after="200"/>
              <w:rPr/>
            </w:pPr>
            <w:r>
              <w:rPr>
                <w:rStyle w:val="Strong"/>
              </w:rPr>
              <w:t>Non-substitutability</w:t>
            </w:r>
          </w:p>
        </w:tc>
        <w:tc>
          <w:tcPr>
            <w:tcW w:w="5674" w:type="dxa"/>
            <w:tcBorders/>
            <w:vAlign w:val="center"/>
          </w:tcPr>
          <w:p>
            <w:pPr>
              <w:pStyle w:val="TableContents"/>
              <w:widowControl w:val="false"/>
              <w:suppressLineNumbers/>
              <w:spacing w:before="0" w:after="200"/>
              <w:rPr/>
            </w:pPr>
            <w:r>
              <w:rPr/>
              <w:t>Recognition that some ecological losses cannot be offset by unrelated gains</w:t>
            </w:r>
          </w:p>
        </w:tc>
      </w:tr>
      <w:tr>
        <w:trPr/>
        <w:tc>
          <w:tcPr>
            <w:tcW w:w="2966" w:type="dxa"/>
            <w:tcBorders/>
            <w:vAlign w:val="center"/>
          </w:tcPr>
          <w:p>
            <w:pPr>
              <w:pStyle w:val="TableContents"/>
              <w:widowControl w:val="false"/>
              <w:suppressLineNumbers/>
              <w:spacing w:before="0" w:after="200"/>
              <w:rPr/>
            </w:pPr>
            <w:r>
              <w:rPr>
                <w:rStyle w:val="Strong"/>
              </w:rPr>
              <w:t>Restoration ecology</w:t>
            </w:r>
          </w:p>
        </w:tc>
        <w:tc>
          <w:tcPr>
            <w:tcW w:w="5674" w:type="dxa"/>
            <w:tcBorders/>
            <w:vAlign w:val="center"/>
          </w:tcPr>
          <w:p>
            <w:pPr>
              <w:pStyle w:val="TableContents"/>
              <w:widowControl w:val="false"/>
              <w:suppressLineNumbers/>
              <w:spacing w:before="0" w:after="200"/>
              <w:rPr/>
            </w:pPr>
            <w:r>
              <w:rPr/>
              <w:t>Repair of damaged ecological composition, functions, relationships, and adaptive capacity</w:t>
            </w:r>
          </w:p>
        </w:tc>
      </w:tr>
      <w:tr>
        <w:trPr/>
        <w:tc>
          <w:tcPr>
            <w:tcW w:w="2966" w:type="dxa"/>
            <w:tcBorders/>
            <w:vAlign w:val="center"/>
          </w:tcPr>
          <w:p>
            <w:pPr>
              <w:pStyle w:val="TableContents"/>
              <w:widowControl w:val="false"/>
              <w:suppressLineNumbers/>
              <w:spacing w:before="0" w:after="200"/>
              <w:rPr/>
            </w:pPr>
            <w:r>
              <w:rPr>
                <w:rStyle w:val="Strong"/>
              </w:rPr>
              <w:t>Environmental baseline</w:t>
            </w:r>
          </w:p>
        </w:tc>
        <w:tc>
          <w:tcPr>
            <w:tcW w:w="5674" w:type="dxa"/>
            <w:tcBorders/>
            <w:vAlign w:val="center"/>
          </w:tcPr>
          <w:p>
            <w:pPr>
              <w:pStyle w:val="TableContents"/>
              <w:widowControl w:val="false"/>
              <w:suppressLineNumbers/>
              <w:spacing w:before="0" w:after="200"/>
              <w:rPr/>
            </w:pPr>
            <w:r>
              <w:rPr/>
              <w:t>Reference conditions against which ecological change is assessed</w:t>
            </w:r>
          </w:p>
        </w:tc>
      </w:tr>
      <w:tr>
        <w:trPr/>
        <w:tc>
          <w:tcPr>
            <w:tcW w:w="2966" w:type="dxa"/>
            <w:tcBorders/>
            <w:vAlign w:val="center"/>
          </w:tcPr>
          <w:p>
            <w:pPr>
              <w:pStyle w:val="TableContents"/>
              <w:widowControl w:val="false"/>
              <w:suppressLineNumbers/>
              <w:spacing w:before="0" w:after="200"/>
              <w:rPr/>
            </w:pPr>
            <w:r>
              <w:rPr>
                <w:rStyle w:val="Strong"/>
              </w:rPr>
              <w:t>Environmental justice</w:t>
            </w:r>
          </w:p>
        </w:tc>
        <w:tc>
          <w:tcPr>
            <w:tcW w:w="5674" w:type="dxa"/>
            <w:tcBorders/>
            <w:vAlign w:val="center"/>
          </w:tcPr>
          <w:p>
            <w:pPr>
              <w:pStyle w:val="TableContents"/>
              <w:widowControl w:val="false"/>
              <w:suppressLineNumbers/>
              <w:spacing w:before="0" w:after="200"/>
              <w:rPr/>
            </w:pPr>
            <w:r>
              <w:rPr/>
              <w:t>Evaluation of who receives benefits, burdens, decision authority, and recognition</w:t>
            </w:r>
          </w:p>
        </w:tc>
      </w:tr>
      <w:tr>
        <w:trPr/>
        <w:tc>
          <w:tcPr>
            <w:tcW w:w="2966" w:type="dxa"/>
            <w:tcBorders/>
            <w:vAlign w:val="center"/>
          </w:tcPr>
          <w:p>
            <w:pPr>
              <w:pStyle w:val="TableContents"/>
              <w:widowControl w:val="false"/>
              <w:suppressLineNumbers/>
              <w:spacing w:before="0" w:after="200"/>
              <w:rPr/>
            </w:pPr>
            <w:r>
              <w:rPr>
                <w:rStyle w:val="Strong"/>
              </w:rPr>
              <w:t>Ecological debt</w:t>
            </w:r>
          </w:p>
        </w:tc>
        <w:tc>
          <w:tcPr>
            <w:tcW w:w="5674" w:type="dxa"/>
            <w:tcBorders/>
            <w:vAlign w:val="center"/>
          </w:tcPr>
          <w:p>
            <w:pPr>
              <w:pStyle w:val="TableContents"/>
              <w:widowControl w:val="false"/>
              <w:suppressLineNumbers/>
              <w:spacing w:before="0" w:after="200"/>
              <w:rPr/>
            </w:pPr>
            <w:r>
              <w:rPr/>
              <w:t>Accumulated responsibility arising from historical overuse or transferred environmental burden</w:t>
            </w:r>
          </w:p>
        </w:tc>
      </w:tr>
      <w:tr>
        <w:trPr/>
        <w:tc>
          <w:tcPr>
            <w:tcW w:w="2966" w:type="dxa"/>
            <w:tcBorders/>
            <w:vAlign w:val="center"/>
          </w:tcPr>
          <w:p>
            <w:pPr>
              <w:pStyle w:val="TableContents"/>
              <w:widowControl w:val="false"/>
              <w:suppressLineNumbers/>
              <w:spacing w:before="0" w:after="200"/>
              <w:rPr/>
            </w:pPr>
            <w:r>
              <w:rPr>
                <w:rStyle w:val="Strong"/>
              </w:rPr>
              <w:t>Rights of nature</w:t>
            </w:r>
          </w:p>
        </w:tc>
        <w:tc>
          <w:tcPr>
            <w:tcW w:w="5674" w:type="dxa"/>
            <w:tcBorders/>
            <w:vAlign w:val="center"/>
          </w:tcPr>
          <w:p>
            <w:pPr>
              <w:pStyle w:val="TableContents"/>
              <w:widowControl w:val="false"/>
              <w:suppressLineNumbers/>
              <w:spacing w:before="0" w:after="200"/>
              <w:rPr/>
            </w:pPr>
            <w:r>
              <w:rPr/>
              <w:t>Possible legal or institutional representation for ecosystems and nonhuman entities</w:t>
            </w:r>
          </w:p>
        </w:tc>
      </w:tr>
      <w:tr>
        <w:trPr/>
        <w:tc>
          <w:tcPr>
            <w:tcW w:w="2966" w:type="dxa"/>
            <w:tcBorders/>
            <w:vAlign w:val="center"/>
          </w:tcPr>
          <w:p>
            <w:pPr>
              <w:pStyle w:val="TableContents"/>
              <w:widowControl w:val="false"/>
              <w:suppressLineNumbers/>
              <w:spacing w:before="0" w:after="200"/>
              <w:rPr/>
            </w:pPr>
            <w:r>
              <w:rPr>
                <w:rStyle w:val="Strong"/>
              </w:rPr>
              <w:t>Guardianship</w:t>
            </w:r>
          </w:p>
        </w:tc>
        <w:tc>
          <w:tcPr>
            <w:tcW w:w="5674" w:type="dxa"/>
            <w:tcBorders/>
            <w:vAlign w:val="center"/>
          </w:tcPr>
          <w:p>
            <w:pPr>
              <w:pStyle w:val="TableContents"/>
              <w:widowControl w:val="false"/>
              <w:suppressLineNumbers/>
              <w:spacing w:before="0" w:after="200"/>
              <w:rPr/>
            </w:pPr>
            <w:r>
              <w:rPr/>
              <w:t>Designation of representatives for entities unable to participate directly</w:t>
            </w:r>
          </w:p>
        </w:tc>
      </w:tr>
      <w:tr>
        <w:trPr/>
        <w:tc>
          <w:tcPr>
            <w:tcW w:w="2966" w:type="dxa"/>
            <w:tcBorders/>
            <w:vAlign w:val="center"/>
          </w:tcPr>
          <w:p>
            <w:pPr>
              <w:pStyle w:val="TableContents"/>
              <w:widowControl w:val="false"/>
              <w:suppressLineNumbers/>
              <w:spacing w:before="0" w:after="200"/>
              <w:rPr/>
            </w:pPr>
            <w:r>
              <w:rPr>
                <w:rStyle w:val="Strong"/>
              </w:rPr>
              <w:t>Adaptive management</w:t>
            </w:r>
          </w:p>
        </w:tc>
        <w:tc>
          <w:tcPr>
            <w:tcW w:w="5674" w:type="dxa"/>
            <w:tcBorders/>
            <w:vAlign w:val="center"/>
          </w:tcPr>
          <w:p>
            <w:pPr>
              <w:pStyle w:val="TableContents"/>
              <w:widowControl w:val="false"/>
              <w:suppressLineNumbers/>
              <w:spacing w:before="0" w:after="200"/>
              <w:rPr/>
            </w:pPr>
            <w:r>
              <w:rPr/>
              <w:t>Iterative intervention, monitoring, learning, and correction under ecological uncertainty</w:t>
            </w:r>
          </w:p>
        </w:tc>
      </w:tr>
      <w:tr>
        <w:trPr/>
        <w:tc>
          <w:tcPr>
            <w:tcW w:w="2966" w:type="dxa"/>
            <w:tcBorders/>
            <w:vAlign w:val="center"/>
          </w:tcPr>
          <w:p>
            <w:pPr>
              <w:pStyle w:val="TableContents"/>
              <w:widowControl w:val="false"/>
              <w:suppressLineNumbers/>
              <w:spacing w:before="0" w:after="200"/>
              <w:rPr/>
            </w:pPr>
            <w:r>
              <w:rPr>
                <w:rStyle w:val="Strong"/>
              </w:rPr>
              <w:t>Ecological conscience</w:t>
            </w:r>
          </w:p>
        </w:tc>
        <w:tc>
          <w:tcPr>
            <w:tcW w:w="5674" w:type="dxa"/>
            <w:tcBorders/>
            <w:vAlign w:val="center"/>
          </w:tcPr>
          <w:p>
            <w:pPr>
              <w:pStyle w:val="TableContents"/>
              <w:widowControl w:val="false"/>
              <w:suppressLineNumbers/>
              <w:spacing w:before="0" w:after="200"/>
              <w:rPr/>
            </w:pPr>
            <w:r>
              <w:rPr/>
              <w:t>Moral-agent development oriented toward attention, restraint, and responsibility toward the land community</w:t>
            </w:r>
          </w:p>
        </w:tc>
      </w:tr>
    </w:tbl>
    <w:p>
      <w:pPr>
        <w:pStyle w:val="Heading3"/>
        <w:rPr/>
      </w:pPr>
      <w:r>
        <w:rPr/>
        <w:t>Similarities</w:t>
      </w:r>
    </w:p>
    <w:p>
      <w:pPr>
        <w:pStyle w:val="BodyText"/>
        <w:numPr>
          <w:ilvl w:val="0"/>
          <w:numId w:val="152"/>
        </w:numPr>
        <w:tabs>
          <w:tab w:val="clear" w:pos="720"/>
          <w:tab w:val="left" w:pos="0" w:leader="none"/>
        </w:tabs>
        <w:spacing w:before="0" w:after="200"/>
        <w:ind w:hanging="283" w:left="709"/>
        <w:rPr/>
      </w:pPr>
      <w:r>
        <w:rPr>
          <w:rStyle w:val="Strong"/>
        </w:rPr>
        <w:t>Both reject exclusively human-centered assessment.</w:t>
      </w:r>
      <w:r>
        <w:rPr/>
        <w:br/>
        <w:t>The framework expressly includes relevant nonhuman persistent adaptive entities.</w:t>
      </w:r>
    </w:p>
    <w:p>
      <w:pPr>
        <w:pStyle w:val="BodyText"/>
        <w:numPr>
          <w:ilvl w:val="0"/>
          <w:numId w:val="152"/>
        </w:numPr>
        <w:tabs>
          <w:tab w:val="clear" w:pos="720"/>
          <w:tab w:val="left" w:pos="0" w:leader="none"/>
        </w:tabs>
        <w:spacing w:before="0" w:after="200"/>
        <w:ind w:hanging="283" w:left="709"/>
        <w:rPr/>
      </w:pPr>
      <w:r>
        <w:rPr>
          <w:rStyle w:val="Strong"/>
        </w:rPr>
        <w:t>Both treat entities as relationally embedded.</w:t>
      </w:r>
      <w:r>
        <w:rPr/>
        <w:br/>
        <w:t>Organisms and human agents cannot be evaluated independently of their ecological contexts.</w:t>
      </w:r>
    </w:p>
    <w:p>
      <w:pPr>
        <w:pStyle w:val="BodyText"/>
        <w:numPr>
          <w:ilvl w:val="0"/>
          <w:numId w:val="152"/>
        </w:numPr>
        <w:tabs>
          <w:tab w:val="clear" w:pos="720"/>
          <w:tab w:val="left" w:pos="0" w:leader="none"/>
        </w:tabs>
        <w:spacing w:before="0" w:after="200"/>
        <w:ind w:hanging="283" w:left="709"/>
        <w:rPr/>
      </w:pPr>
      <w:r>
        <w:rPr>
          <w:rStyle w:val="Strong"/>
        </w:rPr>
        <w:t>Both emphasize long-term flourishing.</w:t>
      </w:r>
      <w:r>
        <w:rPr/>
        <w:br/>
        <w:t>Environmental ethics requires attention to ecological and evolutionary horizons extending beyond immediate human benefit.</w:t>
      </w:r>
    </w:p>
    <w:p>
      <w:pPr>
        <w:pStyle w:val="BodyText"/>
        <w:numPr>
          <w:ilvl w:val="0"/>
          <w:numId w:val="152"/>
        </w:numPr>
        <w:tabs>
          <w:tab w:val="clear" w:pos="720"/>
          <w:tab w:val="left" w:pos="0" w:leader="none"/>
        </w:tabs>
        <w:spacing w:before="0" w:after="200"/>
        <w:ind w:hanging="283" w:left="709"/>
        <w:rPr/>
      </w:pPr>
      <w:r>
        <w:rPr>
          <w:rStyle w:val="Strong"/>
        </w:rPr>
        <w:t>Both recognize indirect and systemic effects.</w:t>
      </w:r>
      <w:r>
        <w:rPr/>
        <w:br/>
        <w:t>Environmental harm often travels through food webs, water systems, climate, institutions, and future behavior.</w:t>
      </w:r>
    </w:p>
    <w:p>
      <w:pPr>
        <w:pStyle w:val="BodyText"/>
        <w:numPr>
          <w:ilvl w:val="0"/>
          <w:numId w:val="152"/>
        </w:numPr>
        <w:tabs>
          <w:tab w:val="clear" w:pos="720"/>
          <w:tab w:val="left" w:pos="0" w:leader="none"/>
        </w:tabs>
        <w:spacing w:before="0" w:after="200"/>
        <w:ind w:hanging="283" w:left="709"/>
        <w:rPr/>
      </w:pPr>
      <w:r>
        <w:rPr>
          <w:rStyle w:val="Strong"/>
        </w:rPr>
        <w:t>Both recognize cumulative effects.</w:t>
      </w:r>
      <w:r>
        <w:rPr/>
        <w:br/>
        <w:t>Individually minor actions can jointly produce severe ecological degradation.</w:t>
      </w:r>
    </w:p>
    <w:p>
      <w:pPr>
        <w:pStyle w:val="BodyText"/>
        <w:numPr>
          <w:ilvl w:val="0"/>
          <w:numId w:val="152"/>
        </w:numPr>
        <w:tabs>
          <w:tab w:val="clear" w:pos="720"/>
          <w:tab w:val="left" w:pos="0" w:leader="none"/>
        </w:tabs>
        <w:spacing w:before="0" w:after="200"/>
        <w:ind w:hanging="283" w:left="709"/>
        <w:rPr/>
      </w:pPr>
      <w:r>
        <w:rPr>
          <w:rStyle w:val="Strong"/>
        </w:rPr>
        <w:t>Both consider future possibilities.</w:t>
      </w:r>
      <w:r>
        <w:rPr/>
        <w:br/>
        <w:t>Biodiversity and ecological integrity preserve adaptive and evolutionary state space.</w:t>
      </w:r>
    </w:p>
    <w:p>
      <w:pPr>
        <w:pStyle w:val="BodyText"/>
        <w:numPr>
          <w:ilvl w:val="0"/>
          <w:numId w:val="152"/>
        </w:numPr>
        <w:tabs>
          <w:tab w:val="clear" w:pos="720"/>
          <w:tab w:val="left" w:pos="0" w:leader="none"/>
        </w:tabs>
        <w:spacing w:before="0" w:after="200"/>
        <w:ind w:hanging="283" w:left="709"/>
        <w:rPr/>
      </w:pPr>
      <w:r>
        <w:rPr>
          <w:rStyle w:val="Strong"/>
        </w:rPr>
        <w:t>Both reject simple aggregate substitution.</w:t>
      </w:r>
      <w:r>
        <w:rPr/>
        <w:br/>
        <w:t>Economic benefit or human satisfaction does not automatically compensate for extinction, irreversible ecological loss, or severe harm to nonhuman entities.</w:t>
      </w:r>
    </w:p>
    <w:p>
      <w:pPr>
        <w:pStyle w:val="BodyText"/>
        <w:numPr>
          <w:ilvl w:val="0"/>
          <w:numId w:val="152"/>
        </w:numPr>
        <w:tabs>
          <w:tab w:val="clear" w:pos="720"/>
          <w:tab w:val="left" w:pos="0" w:leader="none"/>
        </w:tabs>
        <w:spacing w:before="0" w:after="200"/>
        <w:ind w:hanging="283" w:left="709"/>
        <w:rPr/>
      </w:pPr>
      <w:r>
        <w:rPr>
          <w:rStyle w:val="Strong"/>
        </w:rPr>
        <w:t>Both recognize uncertainty.</w:t>
      </w:r>
      <w:r>
        <w:rPr/>
        <w:br/>
        <w:t>Environmental decisions frequently depend on incomplete causal models, uncertain thresholds, and multiple scenarios.</w:t>
      </w:r>
    </w:p>
    <w:p>
      <w:pPr>
        <w:pStyle w:val="BodyText"/>
        <w:numPr>
          <w:ilvl w:val="0"/>
          <w:numId w:val="152"/>
        </w:numPr>
        <w:tabs>
          <w:tab w:val="clear" w:pos="720"/>
          <w:tab w:val="left" w:pos="0" w:leader="none"/>
        </w:tabs>
        <w:spacing w:before="0" w:after="200"/>
        <w:ind w:hanging="283" w:left="709"/>
        <w:rPr/>
      </w:pPr>
      <w:r>
        <w:rPr>
          <w:rStyle w:val="Strong"/>
        </w:rPr>
        <w:t>Both support multiple time horizons.</w:t>
      </w:r>
      <w:r>
        <w:rPr/>
        <w:br/>
        <w:t>Immediate benefits may create delayed ecological costs and intergenerational risk.</w:t>
      </w:r>
    </w:p>
    <w:p>
      <w:pPr>
        <w:pStyle w:val="BodyText"/>
        <w:numPr>
          <w:ilvl w:val="0"/>
          <w:numId w:val="152"/>
        </w:numPr>
        <w:tabs>
          <w:tab w:val="clear" w:pos="720"/>
          <w:tab w:val="left" w:pos="0" w:leader="none"/>
        </w:tabs>
        <w:spacing w:before="0" w:after="200"/>
        <w:ind w:hanging="283" w:left="709"/>
        <w:rPr/>
      </w:pPr>
      <w:r>
        <w:rPr>
          <w:rStyle w:val="Strong"/>
        </w:rPr>
        <w:t>Both distinguish causal effect from responsibility.</w:t>
      </w:r>
      <w:r>
        <w:rPr/>
        <w:br/>
        <w:t>Ecological harm may arise through many actors, while responsibility varies with role, knowledge, authority, alternatives, and benefit.</w:t>
      </w:r>
    </w:p>
    <w:p>
      <w:pPr>
        <w:pStyle w:val="BodyText"/>
        <w:numPr>
          <w:ilvl w:val="0"/>
          <w:numId w:val="152"/>
        </w:numPr>
        <w:tabs>
          <w:tab w:val="clear" w:pos="720"/>
          <w:tab w:val="left" w:pos="0" w:leader="none"/>
        </w:tabs>
        <w:spacing w:before="0" w:after="200"/>
        <w:ind w:hanging="283" w:left="709"/>
        <w:rPr/>
      </w:pPr>
      <w:r>
        <w:rPr>
          <w:rStyle w:val="Strong"/>
        </w:rPr>
        <w:t>Both examine institutional and policy effects.</w:t>
      </w:r>
      <w:r>
        <w:rPr/>
        <w:br/>
        <w:t>Laws, markets, infrastructure, technology, and social norms affect environmental behavior.</w:t>
      </w:r>
    </w:p>
    <w:p>
      <w:pPr>
        <w:pStyle w:val="BodyText"/>
        <w:numPr>
          <w:ilvl w:val="0"/>
          <w:numId w:val="152"/>
        </w:numPr>
        <w:tabs>
          <w:tab w:val="clear" w:pos="720"/>
          <w:tab w:val="left" w:pos="0" w:leader="none"/>
        </w:tabs>
        <w:spacing w:before="0" w:after="200"/>
        <w:ind w:hanging="283" w:left="709"/>
        <w:rPr/>
      </w:pPr>
      <w:r>
        <w:rPr>
          <w:rStyle w:val="Strong"/>
        </w:rPr>
        <w:t>Both recognize moral-agent development.</w:t>
      </w:r>
      <w:r>
        <w:rPr/>
        <w:br/>
        <w:t>Ethical stability depends partly on agents learning to recognize environmental relationships and restrain destructive policies.</w:t>
      </w:r>
    </w:p>
    <w:p>
      <w:pPr>
        <w:pStyle w:val="BodyText"/>
        <w:numPr>
          <w:ilvl w:val="0"/>
          <w:numId w:val="152"/>
        </w:numPr>
        <w:tabs>
          <w:tab w:val="clear" w:pos="720"/>
          <w:tab w:val="left" w:pos="0" w:leader="none"/>
        </w:tabs>
        <w:spacing w:before="0" w:after="200"/>
        <w:ind w:hanging="283" w:left="709"/>
        <w:rPr/>
      </w:pPr>
      <w:r>
        <w:rPr>
          <w:rStyle w:val="Strong"/>
        </w:rPr>
        <w:t>Both can support precaution.</w:t>
      </w:r>
      <w:r>
        <w:rPr/>
        <w:br/>
        <w:t>Uncertainty does not require inaction when potential harm is severe or irreversible.</w:t>
      </w:r>
    </w:p>
    <w:p>
      <w:pPr>
        <w:pStyle w:val="BodyText"/>
        <w:numPr>
          <w:ilvl w:val="0"/>
          <w:numId w:val="152"/>
        </w:numPr>
        <w:tabs>
          <w:tab w:val="clear" w:pos="720"/>
          <w:tab w:val="left" w:pos="0" w:leader="none"/>
        </w:tabs>
        <w:spacing w:before="0" w:after="200"/>
        <w:ind w:hanging="283" w:left="709"/>
        <w:rPr/>
      </w:pPr>
      <w:r>
        <w:rPr>
          <w:rStyle w:val="Strong"/>
        </w:rPr>
        <w:t>Both treat flourishing as multidimensional.</w:t>
      </w:r>
      <w:r>
        <w:rPr/>
        <w:br/>
        <w:t>Survival alone is insufficient; relationships, autonomy, resilience, integrity, diversity, and future possibilities also matter.</w:t>
      </w:r>
    </w:p>
    <w:p>
      <w:pPr>
        <w:pStyle w:val="BodyText"/>
        <w:numPr>
          <w:ilvl w:val="0"/>
          <w:numId w:val="152"/>
        </w:numPr>
        <w:tabs>
          <w:tab w:val="clear" w:pos="720"/>
          <w:tab w:val="left" w:pos="0" w:leader="none"/>
        </w:tabs>
        <w:spacing w:before="0" w:after="200"/>
        <w:ind w:hanging="283" w:left="709"/>
        <w:rPr/>
      </w:pPr>
      <w:r>
        <w:rPr>
          <w:rStyle w:val="Strong"/>
        </w:rPr>
        <w:t>Both can evaluate restoration and repair.</w:t>
      </w:r>
      <w:r>
        <w:rPr/>
        <w:br/>
        <w:t>Ethical assessment includes what actions recover damaged entities, relationships, and system capacities.</w:t>
      </w:r>
    </w:p>
    <w:p>
      <w:pPr>
        <w:pStyle w:val="BodyText"/>
        <w:numPr>
          <w:ilvl w:val="0"/>
          <w:numId w:val="152"/>
        </w:numPr>
        <w:tabs>
          <w:tab w:val="clear" w:pos="720"/>
          <w:tab w:val="left" w:pos="0" w:leader="none"/>
        </w:tabs>
        <w:spacing w:before="0" w:after="200"/>
        <w:ind w:hanging="283" w:left="709"/>
        <w:rPr/>
      </w:pPr>
      <w:r>
        <w:rPr>
          <w:rStyle w:val="Strong"/>
        </w:rPr>
        <w:t>Both reject narrow local optimization.</w:t>
      </w:r>
      <w:r>
        <w:rPr/>
        <w:br/>
        <w:t>Human economic or institutional gains must be evaluated against broader ecological effects.</w:t>
      </w:r>
    </w:p>
    <w:p>
      <w:pPr>
        <w:pStyle w:val="BodyText"/>
        <w:numPr>
          <w:ilvl w:val="0"/>
          <w:numId w:val="152"/>
        </w:numPr>
        <w:tabs>
          <w:tab w:val="clear" w:pos="720"/>
          <w:tab w:val="left" w:pos="0" w:leader="none"/>
        </w:tabs>
        <w:spacing w:before="0" w:after="200"/>
        <w:ind w:hanging="283" w:left="709"/>
        <w:rPr/>
      </w:pPr>
      <w:r>
        <w:rPr>
          <w:rStyle w:val="Strong"/>
        </w:rPr>
        <w:t>Both permit structural interventions.</w:t>
      </w:r>
      <w:r>
        <w:rPr/>
        <w:br/>
        <w:t>Ethical action may require changing incentives, technologies, governance, ownership, infrastructure, or cultural objectives.</w:t>
      </w:r>
    </w:p>
    <w:p>
      <w:pPr>
        <w:pStyle w:val="Heading3"/>
        <w:rPr/>
      </w:pPr>
      <w:r>
        <w:rPr/>
        <w:t>Differences</w:t>
      </w:r>
    </w:p>
    <w:tbl>
      <w:tblPr>
        <w:tblW w:w="8640" w:type="dxa"/>
        <w:jc w:val="left"/>
        <w:tblInd w:w="28" w:type="dxa"/>
        <w:tblLayout w:type="fixed"/>
        <w:tblCellMar>
          <w:top w:w="28" w:type="dxa"/>
          <w:left w:w="28" w:type="dxa"/>
          <w:bottom w:w="28" w:type="dxa"/>
          <w:right w:w="28" w:type="dxa"/>
        </w:tblCellMar>
      </w:tblPr>
      <w:tblGrid>
        <w:gridCol w:w="1922"/>
        <w:gridCol w:w="2978"/>
        <w:gridCol w:w="3740"/>
      </w:tblGrid>
      <w:tr>
        <w:trPr>
          <w:tblHeader w:val="true"/>
        </w:trPr>
        <w:tc>
          <w:tcPr>
            <w:tcW w:w="1922" w:type="dxa"/>
            <w:tcBorders/>
            <w:vAlign w:val="center"/>
          </w:tcPr>
          <w:p>
            <w:pPr>
              <w:pStyle w:val="TableHeading"/>
              <w:suppressLineNumbers/>
              <w:spacing w:before="0" w:after="200"/>
              <w:jc w:val="center"/>
              <w:rPr/>
            </w:pPr>
            <w:r>
              <w:rPr/>
              <w:t>Dimension</w:t>
            </w:r>
          </w:p>
        </w:tc>
        <w:tc>
          <w:tcPr>
            <w:tcW w:w="2978" w:type="dxa"/>
            <w:tcBorders/>
            <w:vAlign w:val="center"/>
          </w:tcPr>
          <w:p>
            <w:pPr>
              <w:pStyle w:val="TableHeading"/>
              <w:suppressLineNumbers/>
              <w:spacing w:before="0" w:after="200"/>
              <w:jc w:val="center"/>
              <w:rPr/>
            </w:pPr>
            <w:r>
              <w:rPr/>
              <w:t>Environmental Ethics / Deep Ecology</w:t>
            </w:r>
          </w:p>
        </w:tc>
        <w:tc>
          <w:tcPr>
            <w:tcW w:w="3740" w:type="dxa"/>
            <w:tcBorders/>
            <w:vAlign w:val="center"/>
          </w:tcPr>
          <w:p>
            <w:pPr>
              <w:pStyle w:val="TableHeading"/>
              <w:suppressLineNumbers/>
              <w:spacing w:before="0" w:after="200"/>
              <w:jc w:val="center"/>
              <w:rPr/>
            </w:pPr>
            <w:r>
              <w:rPr/>
              <w:t>This framework</w:t>
            </w:r>
          </w:p>
        </w:tc>
      </w:tr>
      <w:tr>
        <w:trPr/>
        <w:tc>
          <w:tcPr>
            <w:tcW w:w="1922" w:type="dxa"/>
            <w:tcBorders/>
            <w:vAlign w:val="center"/>
          </w:tcPr>
          <w:p>
            <w:pPr>
              <w:pStyle w:val="TableContents"/>
              <w:widowControl w:val="false"/>
              <w:suppressLineNumbers/>
              <w:spacing w:before="0" w:after="200"/>
              <w:rPr/>
            </w:pPr>
            <w:r>
              <w:rPr>
                <w:rStyle w:val="Strong"/>
              </w:rPr>
              <w:t>Primary moral orientation</w:t>
            </w:r>
          </w:p>
        </w:tc>
        <w:tc>
          <w:tcPr>
            <w:tcW w:w="2978" w:type="dxa"/>
            <w:tcBorders/>
            <w:vAlign w:val="center"/>
          </w:tcPr>
          <w:p>
            <w:pPr>
              <w:pStyle w:val="TableContents"/>
              <w:widowControl w:val="false"/>
              <w:suppressLineNumbers/>
              <w:spacing w:before="0" w:after="200"/>
              <w:rPr/>
            </w:pPr>
            <w:r>
              <w:rPr/>
              <w:t>Environmental ethics varies; Deep Ecology is explicitly ecocentric</w:t>
            </w:r>
          </w:p>
        </w:tc>
        <w:tc>
          <w:tcPr>
            <w:tcW w:w="3740" w:type="dxa"/>
            <w:tcBorders/>
            <w:vAlign w:val="center"/>
          </w:tcPr>
          <w:p>
            <w:pPr>
              <w:pStyle w:val="TableContents"/>
              <w:widowControl w:val="false"/>
              <w:suppressLineNumbers/>
              <w:spacing w:before="0" w:after="200"/>
              <w:rPr/>
            </w:pPr>
            <w:r>
              <w:rPr/>
              <w:t>Oriented toward compatible long-term flourishing of all relevant persistent adaptive entities</w:t>
            </w:r>
          </w:p>
        </w:tc>
      </w:tr>
      <w:tr>
        <w:trPr/>
        <w:tc>
          <w:tcPr>
            <w:tcW w:w="1922" w:type="dxa"/>
            <w:tcBorders/>
            <w:vAlign w:val="center"/>
          </w:tcPr>
          <w:p>
            <w:pPr>
              <w:pStyle w:val="TableContents"/>
              <w:widowControl w:val="false"/>
              <w:suppressLineNumbers/>
              <w:spacing w:before="0" w:after="200"/>
              <w:rPr/>
            </w:pPr>
            <w:r>
              <w:rPr>
                <w:rStyle w:val="Strong"/>
              </w:rPr>
              <w:t>Scope of value</w:t>
            </w:r>
          </w:p>
        </w:tc>
        <w:tc>
          <w:tcPr>
            <w:tcW w:w="2978" w:type="dxa"/>
            <w:tcBorders/>
            <w:vAlign w:val="center"/>
          </w:tcPr>
          <w:p>
            <w:pPr>
              <w:pStyle w:val="TableContents"/>
              <w:widowControl w:val="false"/>
              <w:suppressLineNumbers/>
              <w:spacing w:before="0" w:after="200"/>
              <w:rPr/>
            </w:pPr>
            <w:r>
              <w:rPr/>
              <w:t>May include organisms, species, ecosystems, landscapes, ecological processes, and abiotic nature</w:t>
            </w:r>
          </w:p>
        </w:tc>
        <w:tc>
          <w:tcPr>
            <w:tcW w:w="3740" w:type="dxa"/>
            <w:tcBorders/>
            <w:vAlign w:val="center"/>
          </w:tcPr>
          <w:p>
            <w:pPr>
              <w:pStyle w:val="TableContents"/>
              <w:widowControl w:val="false"/>
              <w:suppressLineNumbers/>
              <w:spacing w:before="0" w:after="200"/>
              <w:rPr/>
            </w:pPr>
            <w:r>
              <w:rPr/>
              <w:t>Most directly includes persistent adaptive entities; other environmental values require additional representation</w:t>
            </w:r>
          </w:p>
        </w:tc>
      </w:tr>
      <w:tr>
        <w:trPr/>
        <w:tc>
          <w:tcPr>
            <w:tcW w:w="1922" w:type="dxa"/>
            <w:tcBorders/>
            <w:vAlign w:val="center"/>
          </w:tcPr>
          <w:p>
            <w:pPr>
              <w:pStyle w:val="TableContents"/>
              <w:widowControl w:val="false"/>
              <w:suppressLineNumbers/>
              <w:spacing w:before="0" w:after="200"/>
              <w:rPr/>
            </w:pPr>
            <w:r>
              <w:rPr>
                <w:rStyle w:val="Strong"/>
              </w:rPr>
              <w:t>Human status</w:t>
            </w:r>
          </w:p>
        </w:tc>
        <w:tc>
          <w:tcPr>
            <w:tcW w:w="2978" w:type="dxa"/>
            <w:tcBorders/>
            <w:vAlign w:val="center"/>
          </w:tcPr>
          <w:p>
            <w:pPr>
              <w:pStyle w:val="TableContents"/>
              <w:widowControl w:val="false"/>
              <w:suppressLineNumbers/>
              <w:spacing w:before="0" w:after="200"/>
              <w:rPr/>
            </w:pPr>
            <w:r>
              <w:rPr/>
              <w:t>Deep Ecology rejects automatic human supremacy</w:t>
            </w:r>
          </w:p>
        </w:tc>
        <w:tc>
          <w:tcPr>
            <w:tcW w:w="3740" w:type="dxa"/>
            <w:tcBorders/>
            <w:vAlign w:val="center"/>
          </w:tcPr>
          <w:p>
            <w:pPr>
              <w:pStyle w:val="TableContents"/>
              <w:widowControl w:val="false"/>
              <w:suppressLineNumbers/>
              <w:spacing w:before="0" w:after="200"/>
              <w:rPr/>
            </w:pPr>
            <w:r>
              <w:rPr/>
              <w:t>Humans are one category of relevant entity but may have distinctive agency and responsibility</w:t>
            </w:r>
          </w:p>
        </w:tc>
      </w:tr>
      <w:tr>
        <w:trPr/>
        <w:tc>
          <w:tcPr>
            <w:tcW w:w="1922" w:type="dxa"/>
            <w:tcBorders/>
            <w:vAlign w:val="center"/>
          </w:tcPr>
          <w:p>
            <w:pPr>
              <w:pStyle w:val="TableContents"/>
              <w:widowControl w:val="false"/>
              <w:suppressLineNumbers/>
              <w:spacing w:before="0" w:after="200"/>
              <w:rPr/>
            </w:pPr>
            <w:r>
              <w:rPr>
                <w:rStyle w:val="Strong"/>
              </w:rPr>
              <w:t>Equality</w:t>
            </w:r>
          </w:p>
        </w:tc>
        <w:tc>
          <w:tcPr>
            <w:tcW w:w="2978" w:type="dxa"/>
            <w:tcBorders/>
            <w:vAlign w:val="center"/>
          </w:tcPr>
          <w:p>
            <w:pPr>
              <w:pStyle w:val="TableContents"/>
              <w:widowControl w:val="false"/>
              <w:suppressLineNumbers/>
              <w:spacing w:before="0" w:after="200"/>
              <w:rPr/>
            </w:pPr>
            <w:r>
              <w:rPr/>
              <w:t>Deep Ecology invokes biospheric egalitarianism “in principle”</w:t>
            </w:r>
          </w:p>
        </w:tc>
        <w:tc>
          <w:tcPr>
            <w:tcW w:w="3740" w:type="dxa"/>
            <w:tcBorders/>
            <w:vAlign w:val="center"/>
          </w:tcPr>
          <w:p>
            <w:pPr>
              <w:pStyle w:val="TableContents"/>
              <w:widowControl w:val="false"/>
              <w:suppressLineNumbers/>
              <w:spacing w:before="0" w:after="200"/>
              <w:rPr/>
            </w:pPr>
            <w:r>
              <w:rPr/>
              <w:t>Does not presume equal treatment or identical weighting of all entities</w:t>
            </w:r>
          </w:p>
        </w:tc>
      </w:tr>
      <w:tr>
        <w:trPr/>
        <w:tc>
          <w:tcPr>
            <w:tcW w:w="1922" w:type="dxa"/>
            <w:tcBorders/>
            <w:vAlign w:val="center"/>
          </w:tcPr>
          <w:p>
            <w:pPr>
              <w:pStyle w:val="TableContents"/>
              <w:widowControl w:val="false"/>
              <w:suppressLineNumbers/>
              <w:spacing w:before="0" w:after="200"/>
              <w:rPr/>
            </w:pPr>
            <w:r>
              <w:rPr>
                <w:rStyle w:val="Strong"/>
              </w:rPr>
              <w:t>Ecological wholes</w:t>
            </w:r>
          </w:p>
        </w:tc>
        <w:tc>
          <w:tcPr>
            <w:tcW w:w="2978" w:type="dxa"/>
            <w:tcBorders/>
            <w:vAlign w:val="center"/>
          </w:tcPr>
          <w:p>
            <w:pPr>
              <w:pStyle w:val="TableContents"/>
              <w:widowControl w:val="false"/>
              <w:suppressLineNumbers/>
              <w:spacing w:before="0" w:after="200"/>
              <w:rPr/>
            </w:pPr>
            <w:r>
              <w:rPr/>
              <w:t>Some theories assign direct value to species or ecosystems</w:t>
            </w:r>
          </w:p>
        </w:tc>
        <w:tc>
          <w:tcPr>
            <w:tcW w:w="3740" w:type="dxa"/>
            <w:tcBorders/>
            <w:vAlign w:val="center"/>
          </w:tcPr>
          <w:p>
            <w:pPr>
              <w:pStyle w:val="TableContents"/>
              <w:widowControl w:val="false"/>
              <w:suppressLineNumbers/>
              <w:spacing w:before="0" w:after="200"/>
              <w:rPr/>
            </w:pPr>
            <w:r>
              <w:rPr/>
              <w:t>Requires clarification of whether ecological wholes are entities, contexts, associations, or emergent properties</w:t>
            </w:r>
          </w:p>
        </w:tc>
      </w:tr>
      <w:tr>
        <w:trPr/>
        <w:tc>
          <w:tcPr>
            <w:tcW w:w="1922" w:type="dxa"/>
            <w:tcBorders/>
            <w:vAlign w:val="center"/>
          </w:tcPr>
          <w:p>
            <w:pPr>
              <w:pStyle w:val="TableContents"/>
              <w:widowControl w:val="false"/>
              <w:suppressLineNumbers/>
              <w:spacing w:before="0" w:after="200"/>
              <w:rPr/>
            </w:pPr>
            <w:r>
              <w:rPr>
                <w:rStyle w:val="Strong"/>
              </w:rPr>
              <w:t>Wildness and naturalness</w:t>
            </w:r>
          </w:p>
        </w:tc>
        <w:tc>
          <w:tcPr>
            <w:tcW w:w="2978" w:type="dxa"/>
            <w:tcBorders/>
            <w:vAlign w:val="center"/>
          </w:tcPr>
          <w:p>
            <w:pPr>
              <w:pStyle w:val="TableContents"/>
              <w:widowControl w:val="false"/>
              <w:suppressLineNumbers/>
              <w:spacing w:before="0" w:after="200"/>
              <w:rPr/>
            </w:pPr>
            <w:r>
              <w:rPr/>
              <w:t>Often treated as significant values</w:t>
            </w:r>
          </w:p>
        </w:tc>
        <w:tc>
          <w:tcPr>
            <w:tcW w:w="3740" w:type="dxa"/>
            <w:tcBorders/>
            <w:vAlign w:val="center"/>
          </w:tcPr>
          <w:p>
            <w:pPr>
              <w:pStyle w:val="TableContents"/>
              <w:widowControl w:val="false"/>
              <w:suppressLineNumbers/>
              <w:spacing w:before="0" w:after="200"/>
              <w:rPr/>
            </w:pPr>
            <w:r>
              <w:rPr/>
              <w:t>Not independently foundational unless connected to flourishing, autonomy, integrity, or future possibility</w:t>
            </w:r>
          </w:p>
        </w:tc>
      </w:tr>
      <w:tr>
        <w:trPr/>
        <w:tc>
          <w:tcPr>
            <w:tcW w:w="1922" w:type="dxa"/>
            <w:tcBorders/>
            <w:vAlign w:val="center"/>
          </w:tcPr>
          <w:p>
            <w:pPr>
              <w:pStyle w:val="TableContents"/>
              <w:widowControl w:val="false"/>
              <w:suppressLineNumbers/>
              <w:spacing w:before="0" w:after="200"/>
              <w:rPr/>
            </w:pPr>
            <w:r>
              <w:rPr>
                <w:rStyle w:val="Strong"/>
              </w:rPr>
              <w:t>Stability</w:t>
            </w:r>
          </w:p>
        </w:tc>
        <w:tc>
          <w:tcPr>
            <w:tcW w:w="2978" w:type="dxa"/>
            <w:tcBorders/>
            <w:vAlign w:val="center"/>
          </w:tcPr>
          <w:p>
            <w:pPr>
              <w:pStyle w:val="TableContents"/>
              <w:widowControl w:val="false"/>
              <w:suppressLineNumbers/>
              <w:spacing w:before="0" w:after="200"/>
              <w:rPr/>
            </w:pPr>
            <w:r>
              <w:rPr/>
              <w:t>Some land-ethic formulations historically emphasized ecological stability</w:t>
            </w:r>
          </w:p>
        </w:tc>
        <w:tc>
          <w:tcPr>
            <w:tcW w:w="3740" w:type="dxa"/>
            <w:tcBorders/>
            <w:vAlign w:val="center"/>
          </w:tcPr>
          <w:p>
            <w:pPr>
              <w:pStyle w:val="TableContents"/>
              <w:widowControl w:val="false"/>
              <w:suppressLineNumbers/>
              <w:spacing w:before="0" w:after="200"/>
              <w:rPr/>
            </w:pPr>
            <w:r>
              <w:rPr/>
              <w:t>Does not equate ethical value with static stability; recognizes adaptation and transformation</w:t>
            </w:r>
          </w:p>
        </w:tc>
      </w:tr>
      <w:tr>
        <w:trPr/>
        <w:tc>
          <w:tcPr>
            <w:tcW w:w="1922" w:type="dxa"/>
            <w:tcBorders/>
            <w:vAlign w:val="center"/>
          </w:tcPr>
          <w:p>
            <w:pPr>
              <w:pStyle w:val="TableContents"/>
              <w:widowControl w:val="false"/>
              <w:suppressLineNumbers/>
              <w:spacing w:before="0" w:after="200"/>
              <w:rPr/>
            </w:pPr>
            <w:r>
              <w:rPr>
                <w:rStyle w:val="Strong"/>
              </w:rPr>
              <w:t>Technology</w:t>
            </w:r>
          </w:p>
        </w:tc>
        <w:tc>
          <w:tcPr>
            <w:tcW w:w="2978" w:type="dxa"/>
            <w:tcBorders/>
            <w:vAlign w:val="center"/>
          </w:tcPr>
          <w:p>
            <w:pPr>
              <w:pStyle w:val="TableContents"/>
              <w:widowControl w:val="false"/>
              <w:suppressLineNumbers/>
              <w:spacing w:before="0" w:after="200"/>
              <w:rPr/>
            </w:pPr>
            <w:r>
              <w:rPr/>
              <w:t>Deep Ecology often strongly criticizes industrial technology and material growth</w:t>
            </w:r>
          </w:p>
        </w:tc>
        <w:tc>
          <w:tcPr>
            <w:tcW w:w="3740" w:type="dxa"/>
            <w:tcBorders/>
            <w:vAlign w:val="center"/>
          </w:tcPr>
          <w:p>
            <w:pPr>
              <w:pStyle w:val="TableContents"/>
              <w:widowControl w:val="false"/>
              <w:suppressLineNumbers/>
              <w:spacing w:before="0" w:after="200"/>
              <w:rPr/>
            </w:pPr>
            <w:r>
              <w:rPr/>
              <w:t>Implementation-neutral; evaluates technologies according to their complete transitions</w:t>
            </w:r>
          </w:p>
        </w:tc>
      </w:tr>
      <w:tr>
        <w:trPr/>
        <w:tc>
          <w:tcPr>
            <w:tcW w:w="1922" w:type="dxa"/>
            <w:tcBorders/>
            <w:vAlign w:val="center"/>
          </w:tcPr>
          <w:p>
            <w:pPr>
              <w:pStyle w:val="TableContents"/>
              <w:widowControl w:val="false"/>
              <w:suppressLineNumbers/>
              <w:spacing w:before="0" w:after="200"/>
              <w:rPr/>
            </w:pPr>
            <w:r>
              <w:rPr>
                <w:rStyle w:val="Strong"/>
              </w:rPr>
              <w:t>Consumption</w:t>
            </w:r>
          </w:p>
        </w:tc>
        <w:tc>
          <w:tcPr>
            <w:tcW w:w="2978" w:type="dxa"/>
            <w:tcBorders/>
            <w:vAlign w:val="center"/>
          </w:tcPr>
          <w:p>
            <w:pPr>
              <w:pStyle w:val="TableContents"/>
              <w:widowControl w:val="false"/>
              <w:suppressLineNumbers/>
              <w:spacing w:before="0" w:after="200"/>
              <w:rPr/>
            </w:pPr>
            <w:r>
              <w:rPr/>
              <w:t>Deep Ecology distinguishes vital needs from nonvital consumption</w:t>
            </w:r>
          </w:p>
        </w:tc>
        <w:tc>
          <w:tcPr>
            <w:tcW w:w="3740" w:type="dxa"/>
            <w:tcBorders/>
            <w:vAlign w:val="center"/>
          </w:tcPr>
          <w:p>
            <w:pPr>
              <w:pStyle w:val="TableContents"/>
              <w:widowControl w:val="false"/>
              <w:suppressLineNumbers/>
              <w:spacing w:before="0" w:after="200"/>
              <w:rPr/>
            </w:pPr>
            <w:r>
              <w:rPr/>
              <w:t>Can incorporate the distinction but does not make simple living independently foundational</w:t>
            </w:r>
          </w:p>
        </w:tc>
      </w:tr>
      <w:tr>
        <w:trPr/>
        <w:tc>
          <w:tcPr>
            <w:tcW w:w="1922" w:type="dxa"/>
            <w:tcBorders/>
            <w:vAlign w:val="center"/>
          </w:tcPr>
          <w:p>
            <w:pPr>
              <w:pStyle w:val="TableContents"/>
              <w:widowControl w:val="false"/>
              <w:suppressLineNumbers/>
              <w:spacing w:before="0" w:after="200"/>
              <w:rPr/>
            </w:pPr>
            <w:r>
              <w:rPr>
                <w:rStyle w:val="Strong"/>
              </w:rPr>
              <w:t>Population</w:t>
            </w:r>
          </w:p>
        </w:tc>
        <w:tc>
          <w:tcPr>
            <w:tcW w:w="2978" w:type="dxa"/>
            <w:tcBorders/>
            <w:vAlign w:val="center"/>
          </w:tcPr>
          <w:p>
            <w:pPr>
              <w:pStyle w:val="TableContents"/>
              <w:widowControl w:val="false"/>
              <w:suppressLineNumbers/>
              <w:spacing w:before="0" w:after="200"/>
              <w:rPr/>
            </w:pPr>
            <w:r>
              <w:rPr/>
              <w:t>The historical platform calls for long-term population reduction</w:t>
            </w:r>
          </w:p>
        </w:tc>
        <w:tc>
          <w:tcPr>
            <w:tcW w:w="3740" w:type="dxa"/>
            <w:tcBorders/>
            <w:vAlign w:val="center"/>
          </w:tcPr>
          <w:p>
            <w:pPr>
              <w:pStyle w:val="TableContents"/>
              <w:widowControl w:val="false"/>
              <w:suppressLineNumbers/>
              <w:spacing w:before="0" w:after="200"/>
              <w:rPr/>
            </w:pPr>
            <w:r>
              <w:rPr/>
              <w:t>Must evaluate demographic issues through rights, autonomy, justice, consumption, and noncoercion</w:t>
            </w:r>
          </w:p>
        </w:tc>
      </w:tr>
      <w:tr>
        <w:trPr/>
        <w:tc>
          <w:tcPr>
            <w:tcW w:w="1922" w:type="dxa"/>
            <w:tcBorders/>
            <w:vAlign w:val="center"/>
          </w:tcPr>
          <w:p>
            <w:pPr>
              <w:pStyle w:val="TableContents"/>
              <w:widowControl w:val="false"/>
              <w:suppressLineNumbers/>
              <w:spacing w:before="0" w:after="200"/>
              <w:rPr/>
            </w:pPr>
            <w:r>
              <w:rPr>
                <w:rStyle w:val="Strong"/>
              </w:rPr>
              <w:t>Individual versus whole</w:t>
            </w:r>
          </w:p>
        </w:tc>
        <w:tc>
          <w:tcPr>
            <w:tcW w:w="2978" w:type="dxa"/>
            <w:tcBorders/>
            <w:vAlign w:val="center"/>
          </w:tcPr>
          <w:p>
            <w:pPr>
              <w:pStyle w:val="TableContents"/>
              <w:widowControl w:val="false"/>
              <w:suppressLineNumbers/>
              <w:spacing w:before="0" w:after="200"/>
              <w:rPr/>
            </w:pPr>
            <w:r>
              <w:rPr/>
              <w:t>Ecocentric theories may prioritize ecosystem or species integrity</w:t>
            </w:r>
          </w:p>
        </w:tc>
        <w:tc>
          <w:tcPr>
            <w:tcW w:w="3740" w:type="dxa"/>
            <w:tcBorders/>
            <w:vAlign w:val="center"/>
          </w:tcPr>
          <w:p>
            <w:pPr>
              <w:pStyle w:val="TableContents"/>
              <w:widowControl w:val="false"/>
              <w:suppressLineNumbers/>
              <w:spacing w:before="0" w:after="200"/>
              <w:rPr/>
            </w:pPr>
            <w:r>
              <w:rPr/>
              <w:t>Requires consideration of each relevant entity and compatibility among individual and systemic flourishing</w:t>
            </w:r>
          </w:p>
        </w:tc>
      </w:tr>
      <w:tr>
        <w:trPr/>
        <w:tc>
          <w:tcPr>
            <w:tcW w:w="1922" w:type="dxa"/>
            <w:tcBorders/>
            <w:vAlign w:val="center"/>
          </w:tcPr>
          <w:p>
            <w:pPr>
              <w:pStyle w:val="TableContents"/>
              <w:widowControl w:val="false"/>
              <w:suppressLineNumbers/>
              <w:spacing w:before="0" w:after="200"/>
              <w:rPr/>
            </w:pPr>
            <w:r>
              <w:rPr>
                <w:rStyle w:val="Strong"/>
              </w:rPr>
              <w:t>Political theory</w:t>
            </w:r>
          </w:p>
        </w:tc>
        <w:tc>
          <w:tcPr>
            <w:tcW w:w="2978" w:type="dxa"/>
            <w:tcBorders/>
            <w:vAlign w:val="center"/>
          </w:tcPr>
          <w:p>
            <w:pPr>
              <w:pStyle w:val="TableContents"/>
              <w:widowControl w:val="false"/>
              <w:suppressLineNumbers/>
              <w:spacing w:before="0" w:after="200"/>
              <w:rPr/>
            </w:pPr>
            <w:r>
              <w:rPr/>
              <w:t>Deep Ecology may leave social structure underdeveloped; social ecology and ecofeminism make it central</w:t>
            </w:r>
          </w:p>
        </w:tc>
        <w:tc>
          <w:tcPr>
            <w:tcW w:w="3740" w:type="dxa"/>
            <w:tcBorders/>
            <w:vAlign w:val="center"/>
          </w:tcPr>
          <w:p>
            <w:pPr>
              <w:pStyle w:val="TableContents"/>
              <w:widowControl w:val="false"/>
              <w:suppressLineNumbers/>
              <w:spacing w:before="0" w:after="200"/>
              <w:rPr/>
            </w:pPr>
            <w:r>
              <w:rPr/>
              <w:t>Can represent power and institutions but is not tied to one environmental political theory</w:t>
            </w:r>
          </w:p>
        </w:tc>
      </w:tr>
      <w:tr>
        <w:trPr/>
        <w:tc>
          <w:tcPr>
            <w:tcW w:w="1922" w:type="dxa"/>
            <w:tcBorders/>
            <w:vAlign w:val="center"/>
          </w:tcPr>
          <w:p>
            <w:pPr>
              <w:pStyle w:val="TableContents"/>
              <w:widowControl w:val="false"/>
              <w:suppressLineNumbers/>
              <w:spacing w:before="0" w:after="200"/>
              <w:rPr/>
            </w:pPr>
            <w:r>
              <w:rPr>
                <w:rStyle w:val="Strong"/>
              </w:rPr>
              <w:t>Moral motivation</w:t>
            </w:r>
          </w:p>
        </w:tc>
        <w:tc>
          <w:tcPr>
            <w:tcW w:w="2978" w:type="dxa"/>
            <w:tcBorders/>
            <w:vAlign w:val="center"/>
          </w:tcPr>
          <w:p>
            <w:pPr>
              <w:pStyle w:val="TableContents"/>
              <w:widowControl w:val="false"/>
              <w:suppressLineNumbers/>
              <w:spacing w:before="0" w:after="200"/>
              <w:rPr/>
            </w:pPr>
            <w:r>
              <w:rPr/>
              <w:t>Deep Ecology emphasizes ecological identity and self-realization</w:t>
            </w:r>
          </w:p>
        </w:tc>
        <w:tc>
          <w:tcPr>
            <w:tcW w:w="3740" w:type="dxa"/>
            <w:tcBorders/>
            <w:vAlign w:val="center"/>
          </w:tcPr>
          <w:p>
            <w:pPr>
              <w:pStyle w:val="TableContents"/>
              <w:widowControl w:val="false"/>
              <w:suppressLineNumbers/>
              <w:spacing w:before="0" w:after="200"/>
              <w:rPr/>
            </w:pPr>
            <w:r>
              <w:rPr/>
              <w:t>Emphasizes explainable assessment and adaptive moral-agent development</w:t>
            </w:r>
          </w:p>
        </w:tc>
      </w:tr>
      <w:tr>
        <w:trPr/>
        <w:tc>
          <w:tcPr>
            <w:tcW w:w="1922" w:type="dxa"/>
            <w:tcBorders/>
            <w:vAlign w:val="center"/>
          </w:tcPr>
          <w:p>
            <w:pPr>
              <w:pStyle w:val="TableContents"/>
              <w:widowControl w:val="false"/>
              <w:suppressLineNumbers/>
              <w:spacing w:before="0" w:after="200"/>
              <w:rPr/>
            </w:pPr>
            <w:r>
              <w:rPr>
                <w:rStyle w:val="Strong"/>
              </w:rPr>
              <w:t>Method</w:t>
            </w:r>
          </w:p>
        </w:tc>
        <w:tc>
          <w:tcPr>
            <w:tcW w:w="2978" w:type="dxa"/>
            <w:tcBorders/>
            <w:vAlign w:val="center"/>
          </w:tcPr>
          <w:p>
            <w:pPr>
              <w:pStyle w:val="TableContents"/>
              <w:widowControl w:val="false"/>
              <w:suppressLineNumbers/>
              <w:spacing w:before="0" w:after="200"/>
              <w:rPr/>
            </w:pPr>
            <w:r>
              <w:rPr/>
              <w:t>Philosophical, spiritual, cultural, activist, and ecological</w:t>
            </w:r>
          </w:p>
        </w:tc>
        <w:tc>
          <w:tcPr>
            <w:tcW w:w="3740" w:type="dxa"/>
            <w:tcBorders/>
            <w:vAlign w:val="center"/>
          </w:tcPr>
          <w:p>
            <w:pPr>
              <w:pStyle w:val="TableContents"/>
              <w:widowControl w:val="false"/>
              <w:suppressLineNumbers/>
              <w:spacing w:before="0" w:after="200"/>
              <w:rPr/>
            </w:pPr>
            <w:r>
              <w:rPr/>
              <w:t>Explicit, causal, implementation-neutral, and potentially computational</w:t>
            </w:r>
          </w:p>
        </w:tc>
      </w:tr>
      <w:tr>
        <w:trPr/>
        <w:tc>
          <w:tcPr>
            <w:tcW w:w="1922" w:type="dxa"/>
            <w:tcBorders/>
            <w:vAlign w:val="center"/>
          </w:tcPr>
          <w:p>
            <w:pPr>
              <w:pStyle w:val="TableContents"/>
              <w:widowControl w:val="false"/>
              <w:suppressLineNumbers/>
              <w:spacing w:before="0" w:after="200"/>
              <w:rPr/>
            </w:pPr>
            <w:r>
              <w:rPr>
                <w:rStyle w:val="Strong"/>
              </w:rPr>
              <w:t>Responsibility</w:t>
            </w:r>
          </w:p>
        </w:tc>
        <w:tc>
          <w:tcPr>
            <w:tcW w:w="2978" w:type="dxa"/>
            <w:tcBorders/>
            <w:vAlign w:val="center"/>
          </w:tcPr>
          <w:p>
            <w:pPr>
              <w:pStyle w:val="TableContents"/>
              <w:widowControl w:val="false"/>
              <w:suppressLineNumbers/>
              <w:spacing w:before="0" w:after="200"/>
              <w:rPr/>
            </w:pPr>
            <w:r>
              <w:rPr/>
              <w:t>Often emphasizes collective human responsibility</w:t>
            </w:r>
          </w:p>
        </w:tc>
        <w:tc>
          <w:tcPr>
            <w:tcW w:w="3740" w:type="dxa"/>
            <w:tcBorders/>
            <w:vAlign w:val="center"/>
          </w:tcPr>
          <w:p>
            <w:pPr>
              <w:pStyle w:val="TableContents"/>
              <w:widowControl w:val="false"/>
              <w:suppressLineNumbers/>
              <w:spacing w:before="0" w:after="200"/>
              <w:rPr/>
            </w:pPr>
            <w:r>
              <w:rPr/>
              <w:t>Provides a differentiated responsibility model based on role, knowledge, authority, alternatives, and foreseeability</w:t>
            </w:r>
          </w:p>
        </w:tc>
      </w:tr>
      <w:tr>
        <w:trPr/>
        <w:tc>
          <w:tcPr>
            <w:tcW w:w="1922" w:type="dxa"/>
            <w:tcBorders/>
            <w:vAlign w:val="center"/>
          </w:tcPr>
          <w:p>
            <w:pPr>
              <w:pStyle w:val="TableContents"/>
              <w:widowControl w:val="false"/>
              <w:suppressLineNumbers/>
              <w:spacing w:before="0" w:after="200"/>
              <w:rPr/>
            </w:pPr>
            <w:r>
              <w:rPr>
                <w:rStyle w:val="Strong"/>
              </w:rPr>
              <w:t>Conflict resolution</w:t>
            </w:r>
          </w:p>
        </w:tc>
        <w:tc>
          <w:tcPr>
            <w:tcW w:w="2978" w:type="dxa"/>
            <w:tcBorders/>
            <w:vAlign w:val="center"/>
          </w:tcPr>
          <w:p>
            <w:pPr>
              <w:pStyle w:val="TableContents"/>
              <w:widowControl w:val="false"/>
              <w:suppressLineNumbers/>
              <w:spacing w:before="0" w:after="200"/>
              <w:rPr/>
            </w:pPr>
            <w:r>
              <w:rPr/>
              <w:t>Does not supply one universally accepted procedure for conflicts among human, animal, species, and ecosystem values</w:t>
            </w:r>
          </w:p>
        </w:tc>
        <w:tc>
          <w:tcPr>
            <w:tcW w:w="3740" w:type="dxa"/>
            <w:tcBorders/>
            <w:vAlign w:val="center"/>
          </w:tcPr>
          <w:p>
            <w:pPr>
              <w:pStyle w:val="TableContents"/>
              <w:widowControl w:val="false"/>
              <w:suppressLineNumbers/>
              <w:spacing w:before="0" w:after="200"/>
              <w:rPr/>
            </w:pPr>
            <w:r>
              <w:rPr/>
              <w:t>Can represent alternatives and effects but still requires substantive weighting and priority rules</w:t>
            </w:r>
          </w:p>
        </w:tc>
      </w:tr>
      <w:tr>
        <w:trPr/>
        <w:tc>
          <w:tcPr>
            <w:tcW w:w="1922" w:type="dxa"/>
            <w:tcBorders/>
            <w:vAlign w:val="center"/>
          </w:tcPr>
          <w:p>
            <w:pPr>
              <w:pStyle w:val="TableContents"/>
              <w:widowControl w:val="false"/>
              <w:suppressLineNumbers/>
              <w:spacing w:before="0" w:after="200"/>
              <w:rPr/>
            </w:pPr>
            <w:r>
              <w:rPr>
                <w:rStyle w:val="Strong"/>
              </w:rPr>
              <w:t>Anthropogenic change</w:t>
            </w:r>
          </w:p>
        </w:tc>
        <w:tc>
          <w:tcPr>
            <w:tcW w:w="2978" w:type="dxa"/>
            <w:tcBorders/>
            <w:vAlign w:val="center"/>
          </w:tcPr>
          <w:p>
            <w:pPr>
              <w:pStyle w:val="TableContents"/>
              <w:widowControl w:val="false"/>
              <w:suppressLineNumbers/>
              <w:spacing w:before="0" w:after="200"/>
              <w:rPr/>
            </w:pPr>
            <w:r>
              <w:rPr/>
              <w:t>Often favors limiting human interference</w:t>
            </w:r>
          </w:p>
        </w:tc>
        <w:tc>
          <w:tcPr>
            <w:tcW w:w="3740" w:type="dxa"/>
            <w:tcBorders/>
            <w:vAlign w:val="center"/>
          </w:tcPr>
          <w:p>
            <w:pPr>
              <w:pStyle w:val="TableContents"/>
              <w:widowControl w:val="false"/>
              <w:suppressLineNumbers/>
              <w:spacing w:before="0" w:after="200"/>
              <w:rPr/>
            </w:pPr>
            <w:r>
              <w:rPr/>
              <w:t>Evaluates whether a particular intervention promotes compatible flourishing; some active interventions may be justified</w:t>
            </w:r>
          </w:p>
        </w:tc>
      </w:tr>
      <w:tr>
        <w:trPr/>
        <w:tc>
          <w:tcPr>
            <w:tcW w:w="1922" w:type="dxa"/>
            <w:tcBorders/>
            <w:vAlign w:val="center"/>
          </w:tcPr>
          <w:p>
            <w:pPr>
              <w:pStyle w:val="TableContents"/>
              <w:widowControl w:val="false"/>
              <w:suppressLineNumbers/>
              <w:spacing w:before="0" w:after="200"/>
              <w:rPr/>
            </w:pPr>
            <w:r>
              <w:rPr>
                <w:rStyle w:val="Strong"/>
              </w:rPr>
              <w:t>Moral status of artificial entities</w:t>
            </w:r>
          </w:p>
        </w:tc>
        <w:tc>
          <w:tcPr>
            <w:tcW w:w="2978" w:type="dxa"/>
            <w:tcBorders/>
            <w:vAlign w:val="center"/>
          </w:tcPr>
          <w:p>
            <w:pPr>
              <w:pStyle w:val="TableContents"/>
              <w:widowControl w:val="false"/>
              <w:suppressLineNumbers/>
              <w:spacing w:before="0" w:after="200"/>
              <w:rPr/>
            </w:pPr>
            <w:r>
              <w:rPr/>
              <w:t>Generally not a central concern</w:t>
            </w:r>
          </w:p>
        </w:tc>
        <w:tc>
          <w:tcPr>
            <w:tcW w:w="3740" w:type="dxa"/>
            <w:tcBorders/>
            <w:vAlign w:val="center"/>
          </w:tcPr>
          <w:p>
            <w:pPr>
              <w:pStyle w:val="TableContents"/>
              <w:widowControl w:val="false"/>
              <w:suppressLineNumbers/>
              <w:spacing w:before="0" w:after="200"/>
              <w:rPr/>
            </w:pPr>
            <w:r>
              <w:rPr/>
              <w:t>Explicitly capable of considering artificial persistent adaptive entities</w:t>
            </w:r>
          </w:p>
        </w:tc>
      </w:tr>
    </w:tbl>
    <w:p>
      <w:pPr>
        <w:pStyle w:val="BodyText"/>
        <w:spacing w:before="0" w:after="200"/>
        <w:rPr/>
      </w:pPr>
      <w:r>
        <w:rPr/>
        <w:t xml:space="preserve">A central difference concerns </w:t>
      </w:r>
      <w:r>
        <w:rPr>
          <w:rStyle w:val="Strong"/>
        </w:rPr>
        <w:t>abiotic nature</w:t>
      </w:r>
      <w:r>
        <w:rPr/>
        <w:t>. Rivers, mountains, soils, glaciers, and climate systems may not qualify straightforwardly as adaptive or autopoietic entities, yet environmental philosophies may treat them as intrinsically, culturally, relationally, or ecologically valuable. The framework must avoid excluding them merely because they do not meet a biological definition of life.</w:t>
      </w:r>
    </w:p>
    <w:p>
      <w:pPr>
        <w:pStyle w:val="BodyText"/>
        <w:spacing w:before="0" w:after="200"/>
        <w:rPr/>
      </w:pPr>
      <w:r>
        <w:rPr/>
        <w:t xml:space="preserve">A second difference concerns </w:t>
      </w:r>
      <w:r>
        <w:rPr>
          <w:rStyle w:val="Strong"/>
        </w:rPr>
        <w:t>ecological wholes and individuals</w:t>
      </w:r>
      <w:r>
        <w:rPr/>
        <w:t>. Protecting a species or ecosystem may involve killing invasive organisms, controlling disease vectors, reintroducing predators, or allowing natural predation. Deep Ecology and land ethics may prioritize system integrity, while animal ethics may prioritize individual welfare. The proposed framework must represent both levels rather than presuming that one always overrides the other.</w:t>
      </w:r>
    </w:p>
    <w:p>
      <w:pPr>
        <w:pStyle w:val="Heading3"/>
        <w:rPr/>
      </w:pPr>
      <w:r>
        <w:rPr/>
        <w:t>Potential integration opportunities</w:t>
      </w:r>
    </w:p>
    <w:p>
      <w:pPr>
        <w:pStyle w:val="BodyText"/>
        <w:numPr>
          <w:ilvl w:val="0"/>
          <w:numId w:val="153"/>
        </w:numPr>
        <w:tabs>
          <w:tab w:val="clear" w:pos="720"/>
          <w:tab w:val="left" w:pos="0" w:leader="none"/>
        </w:tabs>
        <w:spacing w:before="0" w:after="200"/>
        <w:ind w:hanging="283" w:left="709"/>
        <w:rPr/>
      </w:pPr>
      <w:r>
        <w:rPr>
          <w:rStyle w:val="Strong"/>
        </w:rPr>
        <w:t>Expand the environmental ontology.</w:t>
      </w:r>
      <w:r>
        <w:rPr/>
        <w:br/>
        <w:t>The framework should represent:</w:t>
      </w:r>
    </w:p>
    <w:p>
      <w:pPr>
        <w:pStyle w:val="BodyText"/>
        <w:numPr>
          <w:ilvl w:val="1"/>
          <w:numId w:val="153"/>
        </w:numPr>
        <w:tabs>
          <w:tab w:val="clear" w:pos="720"/>
          <w:tab w:val="left" w:pos="0" w:leader="none"/>
        </w:tabs>
        <w:spacing w:before="0" w:after="200"/>
        <w:ind w:hanging="283" w:left="1418"/>
        <w:rPr/>
      </w:pPr>
      <w:r>
        <w:rPr/>
        <w:t>Individual organisms;</w:t>
      </w:r>
    </w:p>
    <w:p>
      <w:pPr>
        <w:pStyle w:val="BodyText"/>
        <w:numPr>
          <w:ilvl w:val="1"/>
          <w:numId w:val="153"/>
        </w:numPr>
        <w:tabs>
          <w:tab w:val="clear" w:pos="720"/>
          <w:tab w:val="left" w:pos="0" w:leader="none"/>
        </w:tabs>
        <w:spacing w:before="0" w:after="200"/>
        <w:ind w:hanging="283" w:left="1418"/>
        <w:rPr/>
      </w:pPr>
      <w:r>
        <w:rPr/>
        <w:t>Populations;</w:t>
      </w:r>
    </w:p>
    <w:p>
      <w:pPr>
        <w:pStyle w:val="BodyText"/>
        <w:numPr>
          <w:ilvl w:val="1"/>
          <w:numId w:val="153"/>
        </w:numPr>
        <w:tabs>
          <w:tab w:val="clear" w:pos="720"/>
          <w:tab w:val="left" w:pos="0" w:leader="none"/>
        </w:tabs>
        <w:spacing w:before="0" w:after="200"/>
        <w:ind w:hanging="283" w:left="1418"/>
        <w:rPr/>
      </w:pPr>
      <w:r>
        <w:rPr/>
        <w:t>Species;</w:t>
      </w:r>
    </w:p>
    <w:p>
      <w:pPr>
        <w:pStyle w:val="BodyText"/>
        <w:numPr>
          <w:ilvl w:val="1"/>
          <w:numId w:val="153"/>
        </w:numPr>
        <w:tabs>
          <w:tab w:val="clear" w:pos="720"/>
          <w:tab w:val="left" w:pos="0" w:leader="none"/>
        </w:tabs>
        <w:spacing w:before="0" w:after="200"/>
        <w:ind w:hanging="283" w:left="1418"/>
        <w:rPr/>
      </w:pPr>
      <w:r>
        <w:rPr/>
        <w:t>Ecological communities;</w:t>
      </w:r>
    </w:p>
    <w:p>
      <w:pPr>
        <w:pStyle w:val="BodyText"/>
        <w:numPr>
          <w:ilvl w:val="1"/>
          <w:numId w:val="153"/>
        </w:numPr>
        <w:tabs>
          <w:tab w:val="clear" w:pos="720"/>
          <w:tab w:val="left" w:pos="0" w:leader="none"/>
        </w:tabs>
        <w:spacing w:before="0" w:after="200"/>
        <w:ind w:hanging="283" w:left="1418"/>
        <w:rPr/>
      </w:pPr>
      <w:r>
        <w:rPr/>
        <w:t>Ecosystems;</w:t>
      </w:r>
    </w:p>
    <w:p>
      <w:pPr>
        <w:pStyle w:val="BodyText"/>
        <w:numPr>
          <w:ilvl w:val="1"/>
          <w:numId w:val="153"/>
        </w:numPr>
        <w:tabs>
          <w:tab w:val="clear" w:pos="720"/>
          <w:tab w:val="left" w:pos="0" w:leader="none"/>
        </w:tabs>
        <w:spacing w:before="0" w:after="200"/>
        <w:ind w:hanging="283" w:left="1418"/>
        <w:rPr/>
      </w:pPr>
      <w:r>
        <w:rPr/>
        <w:t>Habitats;</w:t>
      </w:r>
    </w:p>
    <w:p>
      <w:pPr>
        <w:pStyle w:val="BodyText"/>
        <w:numPr>
          <w:ilvl w:val="1"/>
          <w:numId w:val="153"/>
        </w:numPr>
        <w:tabs>
          <w:tab w:val="clear" w:pos="720"/>
          <w:tab w:val="left" w:pos="0" w:leader="none"/>
        </w:tabs>
        <w:spacing w:before="0" w:after="200"/>
        <w:ind w:hanging="283" w:left="1418"/>
        <w:rPr/>
      </w:pPr>
      <w:r>
        <w:rPr/>
        <w:t>Watersheds;</w:t>
      </w:r>
    </w:p>
    <w:p>
      <w:pPr>
        <w:pStyle w:val="BodyText"/>
        <w:numPr>
          <w:ilvl w:val="1"/>
          <w:numId w:val="153"/>
        </w:numPr>
        <w:tabs>
          <w:tab w:val="clear" w:pos="720"/>
          <w:tab w:val="left" w:pos="0" w:leader="none"/>
        </w:tabs>
        <w:spacing w:before="0" w:after="200"/>
        <w:ind w:hanging="283" w:left="1418"/>
        <w:rPr/>
      </w:pPr>
      <w:r>
        <w:rPr/>
        <w:t>Landscapes and seascapes;</w:t>
      </w:r>
    </w:p>
    <w:p>
      <w:pPr>
        <w:pStyle w:val="BodyText"/>
        <w:numPr>
          <w:ilvl w:val="1"/>
          <w:numId w:val="153"/>
        </w:numPr>
        <w:tabs>
          <w:tab w:val="clear" w:pos="720"/>
          <w:tab w:val="left" w:pos="0" w:leader="none"/>
        </w:tabs>
        <w:spacing w:before="0" w:after="200"/>
        <w:ind w:hanging="283" w:left="1418"/>
        <w:rPr/>
      </w:pPr>
      <w:r>
        <w:rPr/>
        <w:t>Soils, rivers, glaciers, and atmospheric systems;</w:t>
      </w:r>
    </w:p>
    <w:p>
      <w:pPr>
        <w:pStyle w:val="BodyText"/>
        <w:numPr>
          <w:ilvl w:val="1"/>
          <w:numId w:val="153"/>
        </w:numPr>
        <w:tabs>
          <w:tab w:val="clear" w:pos="720"/>
          <w:tab w:val="left" w:pos="0" w:leader="none"/>
        </w:tabs>
        <w:spacing w:before="0" w:after="200"/>
        <w:ind w:hanging="283" w:left="1418"/>
        <w:rPr/>
      </w:pPr>
      <w:r>
        <w:rPr/>
        <w:t>Ecological and evolutionary processes; and</w:t>
      </w:r>
    </w:p>
    <w:p>
      <w:pPr>
        <w:pStyle w:val="BodyText"/>
        <w:numPr>
          <w:ilvl w:val="1"/>
          <w:numId w:val="153"/>
        </w:numPr>
        <w:tabs>
          <w:tab w:val="clear" w:pos="720"/>
          <w:tab w:val="left" w:pos="0" w:leader="none"/>
        </w:tabs>
        <w:spacing w:before="0" w:after="200"/>
        <w:ind w:hanging="283" w:left="1418"/>
        <w:rPr/>
      </w:pPr>
      <w:r>
        <w:rPr/>
        <w:t>The biosphere.</w:t>
      </w:r>
    </w:p>
    <w:p>
      <w:pPr>
        <w:pStyle w:val="BodyText"/>
        <w:numPr>
          <w:ilvl w:val="0"/>
          <w:numId w:val="153"/>
        </w:numPr>
        <w:tabs>
          <w:tab w:val="clear" w:pos="720"/>
          <w:tab w:val="left" w:pos="0" w:leader="none"/>
        </w:tabs>
        <w:spacing w:before="0" w:after="200"/>
        <w:ind w:hanging="283" w:left="709"/>
        <w:rPr/>
      </w:pPr>
      <w:r>
        <w:rPr>
          <w:rStyle w:val="Strong"/>
        </w:rPr>
        <w:t>Distinguish entities, collectives, contexts, and processes.</w:t>
      </w:r>
      <w:r>
        <w:rPr/>
        <w:br/>
        <w:t>A species, ecosystem, river, and individual animal may possess different forms of persistence, organization, value, and vulnerability. They should not be forced into one ontological category.</w:t>
      </w:r>
    </w:p>
    <w:p>
      <w:pPr>
        <w:pStyle w:val="BodyText"/>
        <w:numPr>
          <w:ilvl w:val="0"/>
          <w:numId w:val="153"/>
        </w:numPr>
        <w:tabs>
          <w:tab w:val="clear" w:pos="720"/>
          <w:tab w:val="left" w:pos="0" w:leader="none"/>
        </w:tabs>
        <w:spacing w:before="0" w:after="200"/>
        <w:ind w:hanging="283" w:left="709"/>
        <w:rPr/>
      </w:pPr>
      <w:r>
        <w:rPr>
          <w:rStyle w:val="Strong"/>
        </w:rPr>
        <w:t>Add nonadaptive environmental value.</w:t>
      </w:r>
      <w:r>
        <w:rPr/>
        <w:br/>
        <w:t>Landscapes, geological formations, glaciers, and other abiotic features may warrant protection because of uniqueness, relational significance, ecological function, history, beauty, or cultural meaning.</w:t>
      </w:r>
    </w:p>
    <w:p>
      <w:pPr>
        <w:pStyle w:val="BodyText"/>
        <w:numPr>
          <w:ilvl w:val="0"/>
          <w:numId w:val="153"/>
        </w:numPr>
        <w:tabs>
          <w:tab w:val="clear" w:pos="720"/>
          <w:tab w:val="left" w:pos="0" w:leader="none"/>
        </w:tabs>
        <w:spacing w:before="0" w:after="200"/>
        <w:ind w:hanging="283" w:left="709"/>
        <w:rPr/>
      </w:pPr>
      <w:r>
        <w:rPr>
          <w:rStyle w:val="Strong"/>
        </w:rPr>
        <w:t>Create entity-specific flourishing profiles.</w:t>
      </w:r>
      <w:r>
        <w:rPr/>
        <w:br/>
        <w:t>A human, wolf, forest, river, soil community, and artificial system should not share one generic flourishing metric.</w:t>
      </w:r>
    </w:p>
    <w:p>
      <w:pPr>
        <w:pStyle w:val="BodyText"/>
        <w:numPr>
          <w:ilvl w:val="0"/>
          <w:numId w:val="153"/>
        </w:numPr>
        <w:tabs>
          <w:tab w:val="clear" w:pos="720"/>
          <w:tab w:val="left" w:pos="0" w:leader="none"/>
        </w:tabs>
        <w:spacing w:before="0" w:after="200"/>
        <w:ind w:hanging="283" w:left="709"/>
        <w:rPr/>
      </w:pPr>
      <w:r>
        <w:rPr>
          <w:rStyle w:val="Strong"/>
        </w:rPr>
        <w:t>Develop an ecosystem state vector.</w:t>
      </w:r>
      <w:r>
        <w:rPr/>
        <w:br/>
        <w:t>Relevant dimensions could include:</w:t>
      </w:r>
    </w:p>
    <w:p>
      <w:pPr>
        <w:pStyle w:val="BodyText"/>
        <w:numPr>
          <w:ilvl w:val="1"/>
          <w:numId w:val="153"/>
        </w:numPr>
        <w:tabs>
          <w:tab w:val="clear" w:pos="720"/>
          <w:tab w:val="left" w:pos="0" w:leader="none"/>
        </w:tabs>
        <w:spacing w:before="0" w:after="200"/>
        <w:ind w:hanging="283" w:left="1418"/>
        <w:rPr/>
      </w:pPr>
      <w:r>
        <w:rPr/>
        <w:t>Composition;</w:t>
      </w:r>
    </w:p>
    <w:p>
      <w:pPr>
        <w:pStyle w:val="BodyText"/>
        <w:numPr>
          <w:ilvl w:val="1"/>
          <w:numId w:val="153"/>
        </w:numPr>
        <w:tabs>
          <w:tab w:val="clear" w:pos="720"/>
          <w:tab w:val="left" w:pos="0" w:leader="none"/>
        </w:tabs>
        <w:spacing w:before="0" w:after="200"/>
        <w:ind w:hanging="283" w:left="1418"/>
        <w:rPr/>
      </w:pPr>
      <w:r>
        <w:rPr/>
        <w:t>Structure;</w:t>
      </w:r>
    </w:p>
    <w:p>
      <w:pPr>
        <w:pStyle w:val="BodyText"/>
        <w:numPr>
          <w:ilvl w:val="1"/>
          <w:numId w:val="153"/>
        </w:numPr>
        <w:tabs>
          <w:tab w:val="clear" w:pos="720"/>
          <w:tab w:val="left" w:pos="0" w:leader="none"/>
        </w:tabs>
        <w:spacing w:before="0" w:after="200"/>
        <w:ind w:hanging="283" w:left="1418"/>
        <w:rPr/>
      </w:pPr>
      <w:r>
        <w:rPr/>
        <w:t>Function;</w:t>
      </w:r>
    </w:p>
    <w:p>
      <w:pPr>
        <w:pStyle w:val="BodyText"/>
        <w:numPr>
          <w:ilvl w:val="1"/>
          <w:numId w:val="153"/>
        </w:numPr>
        <w:tabs>
          <w:tab w:val="clear" w:pos="720"/>
          <w:tab w:val="left" w:pos="0" w:leader="none"/>
        </w:tabs>
        <w:spacing w:before="0" w:after="200"/>
        <w:ind w:hanging="283" w:left="1418"/>
        <w:rPr/>
      </w:pPr>
      <w:r>
        <w:rPr/>
        <w:t>Connectivity;</w:t>
      </w:r>
    </w:p>
    <w:p>
      <w:pPr>
        <w:pStyle w:val="BodyText"/>
        <w:numPr>
          <w:ilvl w:val="1"/>
          <w:numId w:val="153"/>
        </w:numPr>
        <w:tabs>
          <w:tab w:val="clear" w:pos="720"/>
          <w:tab w:val="left" w:pos="0" w:leader="none"/>
        </w:tabs>
        <w:spacing w:before="0" w:after="200"/>
        <w:ind w:hanging="283" w:left="1418"/>
        <w:rPr/>
      </w:pPr>
      <w:r>
        <w:rPr/>
        <w:t>Productivity;</w:t>
      </w:r>
    </w:p>
    <w:p>
      <w:pPr>
        <w:pStyle w:val="BodyText"/>
        <w:numPr>
          <w:ilvl w:val="1"/>
          <w:numId w:val="153"/>
        </w:numPr>
        <w:tabs>
          <w:tab w:val="clear" w:pos="720"/>
          <w:tab w:val="left" w:pos="0" w:leader="none"/>
        </w:tabs>
        <w:spacing w:before="0" w:after="200"/>
        <w:ind w:hanging="283" w:left="1418"/>
        <w:rPr/>
      </w:pPr>
      <w:r>
        <w:rPr/>
        <w:t>Nutrient cycling;</w:t>
      </w:r>
    </w:p>
    <w:p>
      <w:pPr>
        <w:pStyle w:val="BodyText"/>
        <w:numPr>
          <w:ilvl w:val="1"/>
          <w:numId w:val="153"/>
        </w:numPr>
        <w:tabs>
          <w:tab w:val="clear" w:pos="720"/>
          <w:tab w:val="left" w:pos="0" w:leader="none"/>
        </w:tabs>
        <w:spacing w:before="0" w:after="200"/>
        <w:ind w:hanging="283" w:left="1418"/>
        <w:rPr/>
      </w:pPr>
      <w:r>
        <w:rPr/>
        <w:t>Hydrological condition;</w:t>
      </w:r>
    </w:p>
    <w:p>
      <w:pPr>
        <w:pStyle w:val="BodyText"/>
        <w:numPr>
          <w:ilvl w:val="1"/>
          <w:numId w:val="153"/>
        </w:numPr>
        <w:tabs>
          <w:tab w:val="clear" w:pos="720"/>
          <w:tab w:val="left" w:pos="0" w:leader="none"/>
        </w:tabs>
        <w:spacing w:before="0" w:after="200"/>
        <w:ind w:hanging="283" w:left="1418"/>
        <w:rPr/>
      </w:pPr>
      <w:r>
        <w:rPr/>
        <w:t>Genetic diversity;</w:t>
      </w:r>
    </w:p>
    <w:p>
      <w:pPr>
        <w:pStyle w:val="BodyText"/>
        <w:numPr>
          <w:ilvl w:val="1"/>
          <w:numId w:val="153"/>
        </w:numPr>
        <w:tabs>
          <w:tab w:val="clear" w:pos="720"/>
          <w:tab w:val="left" w:pos="0" w:leader="none"/>
        </w:tabs>
        <w:spacing w:before="0" w:after="200"/>
        <w:ind w:hanging="283" w:left="1418"/>
        <w:rPr/>
      </w:pPr>
      <w:r>
        <w:rPr/>
        <w:t>Species diversity;</w:t>
      </w:r>
    </w:p>
    <w:p>
      <w:pPr>
        <w:pStyle w:val="BodyText"/>
        <w:numPr>
          <w:ilvl w:val="1"/>
          <w:numId w:val="153"/>
        </w:numPr>
        <w:tabs>
          <w:tab w:val="clear" w:pos="720"/>
          <w:tab w:val="left" w:pos="0" w:leader="none"/>
        </w:tabs>
        <w:spacing w:before="0" w:after="200"/>
        <w:ind w:hanging="283" w:left="1418"/>
        <w:rPr/>
      </w:pPr>
      <w:r>
        <w:rPr/>
        <w:t>Functional diversity;</w:t>
      </w:r>
    </w:p>
    <w:p>
      <w:pPr>
        <w:pStyle w:val="BodyText"/>
        <w:numPr>
          <w:ilvl w:val="1"/>
          <w:numId w:val="153"/>
        </w:numPr>
        <w:tabs>
          <w:tab w:val="clear" w:pos="720"/>
          <w:tab w:val="left" w:pos="0" w:leader="none"/>
        </w:tabs>
        <w:spacing w:before="0" w:after="200"/>
        <w:ind w:hanging="283" w:left="1418"/>
        <w:rPr/>
      </w:pPr>
      <w:r>
        <w:rPr/>
        <w:t>Resilience;</w:t>
      </w:r>
    </w:p>
    <w:p>
      <w:pPr>
        <w:pStyle w:val="BodyText"/>
        <w:numPr>
          <w:ilvl w:val="1"/>
          <w:numId w:val="153"/>
        </w:numPr>
        <w:tabs>
          <w:tab w:val="clear" w:pos="720"/>
          <w:tab w:val="left" w:pos="0" w:leader="none"/>
        </w:tabs>
        <w:spacing w:before="0" w:after="200"/>
        <w:ind w:hanging="283" w:left="1418"/>
        <w:rPr/>
      </w:pPr>
      <w:r>
        <w:rPr/>
        <w:t>Evolutionary potential; and</w:t>
      </w:r>
    </w:p>
    <w:p>
      <w:pPr>
        <w:pStyle w:val="BodyText"/>
        <w:numPr>
          <w:ilvl w:val="1"/>
          <w:numId w:val="153"/>
        </w:numPr>
        <w:tabs>
          <w:tab w:val="clear" w:pos="720"/>
          <w:tab w:val="left" w:pos="0" w:leader="none"/>
        </w:tabs>
        <w:spacing w:before="0" w:after="200"/>
        <w:ind w:hanging="283" w:left="1418"/>
        <w:rPr/>
      </w:pPr>
      <w:r>
        <w:rPr/>
        <w:t>Exposure to cumulative pressure.</w:t>
      </w:r>
    </w:p>
    <w:p>
      <w:pPr>
        <w:pStyle w:val="BodyText"/>
        <w:numPr>
          <w:ilvl w:val="0"/>
          <w:numId w:val="153"/>
        </w:numPr>
        <w:tabs>
          <w:tab w:val="clear" w:pos="720"/>
          <w:tab w:val="left" w:pos="0" w:leader="none"/>
        </w:tabs>
        <w:spacing w:before="0" w:after="200"/>
        <w:ind w:hanging="283" w:left="709"/>
        <w:rPr/>
      </w:pPr>
      <w:r>
        <w:rPr>
          <w:rStyle w:val="Strong"/>
        </w:rPr>
        <w:t>Represent biodiversity multidimensionally.</w:t>
      </w:r>
      <w:r>
        <w:rPr/>
        <w:br/>
        <w:t>A single species count is insufficient. Genetic, taxonomic, functional, phylogenetic, habitat, and landscape diversity may each matter.</w:t>
      </w:r>
    </w:p>
    <w:p>
      <w:pPr>
        <w:pStyle w:val="BodyText"/>
        <w:numPr>
          <w:ilvl w:val="0"/>
          <w:numId w:val="153"/>
        </w:numPr>
        <w:tabs>
          <w:tab w:val="clear" w:pos="720"/>
          <w:tab w:val="left" w:pos="0" w:leader="none"/>
        </w:tabs>
        <w:spacing w:before="0" w:after="200"/>
        <w:ind w:hanging="283" w:left="709"/>
        <w:rPr/>
      </w:pPr>
      <w:r>
        <w:rPr>
          <w:rStyle w:val="Strong"/>
        </w:rPr>
        <w:t>Model ecological relationships explicitly.</w:t>
      </w:r>
      <w:r>
        <w:rPr/>
        <w:br/>
        <w:t>Associations should include predation, competition, symbiosis, pollination, seed dispersal, decomposition, migration, parasitism, habitat dependence, and trophic influence.</w:t>
      </w:r>
    </w:p>
    <w:p>
      <w:pPr>
        <w:pStyle w:val="BodyText"/>
        <w:numPr>
          <w:ilvl w:val="0"/>
          <w:numId w:val="153"/>
        </w:numPr>
        <w:tabs>
          <w:tab w:val="clear" w:pos="720"/>
          <w:tab w:val="left" w:pos="0" w:leader="none"/>
        </w:tabs>
        <w:spacing w:before="0" w:after="200"/>
        <w:ind w:hanging="283" w:left="709"/>
        <w:rPr/>
      </w:pPr>
      <w:r>
        <w:rPr>
          <w:rStyle w:val="Strong"/>
        </w:rPr>
        <w:t>Add trophic-cascade analysis.</w:t>
      </w:r>
      <w:r>
        <w:rPr/>
        <w:br/>
        <w:t>Actions affecting predators, keystone species, pollinators, ecosystem engineers, or decomposers should be evaluated for indirect effects across ecological networks.</w:t>
      </w:r>
    </w:p>
    <w:p>
      <w:pPr>
        <w:pStyle w:val="BodyText"/>
        <w:numPr>
          <w:ilvl w:val="0"/>
          <w:numId w:val="153"/>
        </w:numPr>
        <w:tabs>
          <w:tab w:val="clear" w:pos="720"/>
          <w:tab w:val="left" w:pos="0" w:leader="none"/>
        </w:tabs>
        <w:spacing w:before="0" w:after="200"/>
        <w:ind w:hanging="283" w:left="709"/>
        <w:rPr/>
      </w:pPr>
      <w:r>
        <w:rPr>
          <w:rStyle w:val="Strong"/>
        </w:rPr>
        <w:t>Add cumulative-impact analysis.</w:t>
      </w:r>
      <w:r>
        <w:rPr/>
        <w:br/>
        <w:t>The assessment should include the proposed action together with past degradation, existing stressors, reasonably foreseeable projects, and repeated actions by others.</w:t>
      </w:r>
    </w:p>
    <w:p>
      <w:pPr>
        <w:pStyle w:val="BodyText"/>
        <w:numPr>
          <w:ilvl w:val="0"/>
          <w:numId w:val="153"/>
        </w:numPr>
        <w:tabs>
          <w:tab w:val="clear" w:pos="720"/>
          <w:tab w:val="left" w:pos="0" w:leader="none"/>
        </w:tabs>
        <w:spacing w:before="0" w:after="200"/>
        <w:ind w:hanging="283" w:left="709"/>
        <w:rPr/>
      </w:pPr>
      <w:r>
        <w:rPr>
          <w:rStyle w:val="Strong"/>
        </w:rPr>
        <w:t>Use ecological time horizons.</w:t>
      </w:r>
      <w:r>
        <w:rPr/>
        <w:br/>
        <w:t>Relevant periods should reflect organism life cycles, forest succession, soil formation, groundwater recharge, climate response, and evolutionary change—not only human planning cycles.</w:t>
      </w:r>
    </w:p>
    <w:p>
      <w:pPr>
        <w:pStyle w:val="BodyText"/>
        <w:numPr>
          <w:ilvl w:val="0"/>
          <w:numId w:val="153"/>
        </w:numPr>
        <w:tabs>
          <w:tab w:val="clear" w:pos="720"/>
          <w:tab w:val="left" w:pos="0" w:leader="none"/>
        </w:tabs>
        <w:spacing w:before="0" w:after="200"/>
        <w:ind w:hanging="283" w:left="709"/>
        <w:rPr/>
      </w:pPr>
      <w:r>
        <w:rPr>
          <w:rStyle w:val="Strong"/>
        </w:rPr>
        <w:t>Add spatial-scale analysis.</w:t>
      </w:r>
      <w:r>
        <w:rPr/>
        <w:br/>
        <w:t>Effects should be examined at site, habitat, watershed, migration-route, regional, biome, and planetary scales where relevant.</w:t>
      </w:r>
    </w:p>
    <w:p>
      <w:pPr>
        <w:pStyle w:val="BodyText"/>
        <w:numPr>
          <w:ilvl w:val="0"/>
          <w:numId w:val="153"/>
        </w:numPr>
        <w:tabs>
          <w:tab w:val="clear" w:pos="720"/>
          <w:tab w:val="left" w:pos="0" w:leader="none"/>
        </w:tabs>
        <w:spacing w:before="0" w:after="200"/>
        <w:ind w:hanging="283" w:left="709"/>
        <w:rPr/>
      </w:pPr>
      <w:r>
        <w:rPr>
          <w:rStyle w:val="Strong"/>
        </w:rPr>
        <w:t>Model ecological thresholds and tipping points.</w:t>
      </w:r>
      <w:r>
        <w:rPr/>
        <w:br/>
        <w:t>The framework should identify conditions under which gradual pressure may produce abrupt and difficult-to-reverse change.</w:t>
      </w:r>
    </w:p>
    <w:p>
      <w:pPr>
        <w:pStyle w:val="BodyText"/>
        <w:numPr>
          <w:ilvl w:val="0"/>
          <w:numId w:val="153"/>
        </w:numPr>
        <w:tabs>
          <w:tab w:val="clear" w:pos="720"/>
          <w:tab w:val="left" w:pos="0" w:leader="none"/>
        </w:tabs>
        <w:spacing w:before="0" w:after="200"/>
        <w:ind w:hanging="283" w:left="709"/>
        <w:rPr/>
      </w:pPr>
      <w:r>
        <w:rPr>
          <w:rStyle w:val="Strong"/>
        </w:rPr>
        <w:t>Include irreversibility explicitly.</w:t>
      </w:r>
      <w:r>
        <w:rPr/>
        <w:br/>
        <w:t>Extinction, lost evolutionary history, destroyed old-growth systems, and persistent contamination should receive heightened ethical weight.</w:t>
      </w:r>
    </w:p>
    <w:p>
      <w:pPr>
        <w:pStyle w:val="BodyText"/>
        <w:numPr>
          <w:ilvl w:val="0"/>
          <w:numId w:val="153"/>
        </w:numPr>
        <w:tabs>
          <w:tab w:val="clear" w:pos="720"/>
          <w:tab w:val="left" w:pos="0" w:leader="none"/>
        </w:tabs>
        <w:spacing w:before="0" w:after="200"/>
        <w:ind w:hanging="283" w:left="709"/>
        <w:rPr/>
      </w:pPr>
      <w:r>
        <w:rPr>
          <w:rStyle w:val="Strong"/>
        </w:rPr>
        <w:t>Adopt a structured precaution test.</w:t>
      </w:r>
      <w:r>
        <w:rPr/>
        <w:br/>
        <w:t>Relevant questions include:</w:t>
      </w:r>
    </w:p>
    <w:p>
      <w:pPr>
        <w:pStyle w:val="BodyText"/>
        <w:numPr>
          <w:ilvl w:val="1"/>
          <w:numId w:val="153"/>
        </w:numPr>
        <w:tabs>
          <w:tab w:val="clear" w:pos="720"/>
          <w:tab w:val="left" w:pos="0" w:leader="none"/>
        </w:tabs>
        <w:spacing w:before="0" w:after="200"/>
        <w:ind w:hanging="283" w:left="1418"/>
        <w:rPr/>
      </w:pPr>
      <w:r>
        <w:rPr/>
        <w:t>Is the possible harm severe?</w:t>
      </w:r>
    </w:p>
    <w:p>
      <w:pPr>
        <w:pStyle w:val="BodyText"/>
        <w:numPr>
          <w:ilvl w:val="1"/>
          <w:numId w:val="153"/>
        </w:numPr>
        <w:tabs>
          <w:tab w:val="clear" w:pos="720"/>
          <w:tab w:val="left" w:pos="0" w:leader="none"/>
        </w:tabs>
        <w:spacing w:before="0" w:after="200"/>
        <w:ind w:hanging="283" w:left="1418"/>
        <w:rPr/>
      </w:pPr>
      <w:r>
        <w:rPr/>
        <w:t>Is it irreversible or persistent?</w:t>
      </w:r>
    </w:p>
    <w:p>
      <w:pPr>
        <w:pStyle w:val="BodyText"/>
        <w:numPr>
          <w:ilvl w:val="1"/>
          <w:numId w:val="153"/>
        </w:numPr>
        <w:tabs>
          <w:tab w:val="clear" w:pos="720"/>
          <w:tab w:val="left" w:pos="0" w:leader="none"/>
        </w:tabs>
        <w:spacing w:before="0" w:after="200"/>
        <w:ind w:hanging="283" w:left="1418"/>
        <w:rPr/>
      </w:pPr>
      <w:r>
        <w:rPr/>
        <w:t>Are affected entities vulnerable or unrepresented?</w:t>
      </w:r>
    </w:p>
    <w:p>
      <w:pPr>
        <w:pStyle w:val="BodyText"/>
        <w:numPr>
          <w:ilvl w:val="1"/>
          <w:numId w:val="153"/>
        </w:numPr>
        <w:tabs>
          <w:tab w:val="clear" w:pos="720"/>
          <w:tab w:val="left" w:pos="0" w:leader="none"/>
        </w:tabs>
        <w:spacing w:before="0" w:after="200"/>
        <w:ind w:hanging="283" w:left="1418"/>
        <w:rPr/>
      </w:pPr>
      <w:r>
        <w:rPr/>
        <w:t>Is the intervention necessary?</w:t>
      </w:r>
    </w:p>
    <w:p>
      <w:pPr>
        <w:pStyle w:val="BodyText"/>
        <w:numPr>
          <w:ilvl w:val="1"/>
          <w:numId w:val="153"/>
        </w:numPr>
        <w:tabs>
          <w:tab w:val="clear" w:pos="720"/>
          <w:tab w:val="left" w:pos="0" w:leader="none"/>
        </w:tabs>
        <w:spacing w:before="0" w:after="200"/>
        <w:ind w:hanging="283" w:left="1418"/>
        <w:rPr/>
      </w:pPr>
      <w:r>
        <w:rPr/>
        <w:t>Are safer alternatives available?</w:t>
      </w:r>
    </w:p>
    <w:p>
      <w:pPr>
        <w:pStyle w:val="BodyText"/>
        <w:numPr>
          <w:ilvl w:val="1"/>
          <w:numId w:val="153"/>
        </w:numPr>
        <w:tabs>
          <w:tab w:val="clear" w:pos="720"/>
          <w:tab w:val="left" w:pos="0" w:leader="none"/>
        </w:tabs>
        <w:spacing w:before="0" w:after="200"/>
        <w:ind w:hanging="283" w:left="1418"/>
        <w:rPr/>
      </w:pPr>
      <w:r>
        <w:rPr/>
        <w:t>Can failure be contained?</w:t>
      </w:r>
    </w:p>
    <w:p>
      <w:pPr>
        <w:pStyle w:val="BodyText"/>
        <w:numPr>
          <w:ilvl w:val="1"/>
          <w:numId w:val="153"/>
        </w:numPr>
        <w:tabs>
          <w:tab w:val="clear" w:pos="720"/>
          <w:tab w:val="left" w:pos="0" w:leader="none"/>
        </w:tabs>
        <w:spacing w:before="0" w:after="200"/>
        <w:ind w:hanging="283" w:left="1418"/>
        <w:rPr/>
      </w:pPr>
      <w:r>
        <w:rPr/>
        <w:t>Who bears the uncertainty?</w:t>
      </w:r>
    </w:p>
    <w:p>
      <w:pPr>
        <w:pStyle w:val="BodyText"/>
        <w:numPr>
          <w:ilvl w:val="0"/>
          <w:numId w:val="153"/>
        </w:numPr>
        <w:tabs>
          <w:tab w:val="clear" w:pos="720"/>
          <w:tab w:val="left" w:pos="0" w:leader="none"/>
        </w:tabs>
        <w:spacing w:before="0" w:after="200"/>
        <w:ind w:hanging="283" w:left="709"/>
        <w:rPr/>
      </w:pPr>
      <w:r>
        <w:rPr>
          <w:rStyle w:val="Strong"/>
        </w:rPr>
        <w:t>Apply a vital-needs proportionality test.</w:t>
      </w:r>
      <w:r>
        <w:rPr/>
        <w:br/>
        <w:t>Environmentally harmful actions should be evaluated according to whether they satisfy vital needs, important but nonvital interests, convenience, luxury, or avoidable accumulation.</w:t>
      </w:r>
    </w:p>
    <w:p>
      <w:pPr>
        <w:pStyle w:val="BodyText"/>
        <w:numPr>
          <w:ilvl w:val="0"/>
          <w:numId w:val="153"/>
        </w:numPr>
        <w:tabs>
          <w:tab w:val="clear" w:pos="720"/>
          <w:tab w:val="left" w:pos="0" w:leader="none"/>
        </w:tabs>
        <w:spacing w:before="0" w:after="200"/>
        <w:ind w:hanging="283" w:left="709"/>
        <w:rPr/>
      </w:pPr>
      <w:r>
        <w:rPr>
          <w:rStyle w:val="Strong"/>
        </w:rPr>
        <w:t>Prevent discriminatory use of vital-needs reasoning.</w:t>
      </w:r>
      <w:r>
        <w:rPr/>
        <w:br/>
        <w:t>The framework should examine whose needs are classified as excessive and whether restrictions fall unfairly on poorer or historically marginalized populations while high-consuming actors remain protected.</w:t>
      </w:r>
    </w:p>
    <w:p>
      <w:pPr>
        <w:pStyle w:val="BodyText"/>
        <w:numPr>
          <w:ilvl w:val="0"/>
          <w:numId w:val="153"/>
        </w:numPr>
        <w:tabs>
          <w:tab w:val="clear" w:pos="720"/>
          <w:tab w:val="left" w:pos="0" w:leader="none"/>
        </w:tabs>
        <w:spacing w:before="0" w:after="200"/>
        <w:ind w:hanging="283" w:left="709"/>
        <w:rPr/>
      </w:pPr>
      <w:r>
        <w:rPr>
          <w:rStyle w:val="Strong"/>
        </w:rPr>
        <w:t>Distinguish ecological necessity from economic preference.</w:t>
      </w:r>
      <w:r>
        <w:rPr/>
        <w:br/>
        <w:t>A profitable or convenient action should not be described as necessary merely because current institutions are designed around it.</w:t>
      </w:r>
    </w:p>
    <w:p>
      <w:pPr>
        <w:pStyle w:val="BodyText"/>
        <w:numPr>
          <w:ilvl w:val="0"/>
          <w:numId w:val="153"/>
        </w:numPr>
        <w:tabs>
          <w:tab w:val="clear" w:pos="720"/>
          <w:tab w:val="left" w:pos="0" w:leader="none"/>
        </w:tabs>
        <w:spacing w:before="0" w:after="200"/>
        <w:ind w:hanging="283" w:left="709"/>
        <w:rPr/>
      </w:pPr>
      <w:r>
        <w:rPr>
          <w:rStyle w:val="Strong"/>
        </w:rPr>
        <w:t>Add non-substitutability findings.</w:t>
      </w:r>
      <w:r>
        <w:rPr/>
        <w:br/>
        <w:t>The framework should identify losses that cannot be ethically or ecologically replaced by monetary payment, constructed habitat, or gains elsewhere.</w:t>
      </w:r>
    </w:p>
    <w:p>
      <w:pPr>
        <w:pStyle w:val="BodyText"/>
        <w:numPr>
          <w:ilvl w:val="0"/>
          <w:numId w:val="153"/>
        </w:numPr>
        <w:tabs>
          <w:tab w:val="clear" w:pos="720"/>
          <w:tab w:val="left" w:pos="0" w:leader="none"/>
        </w:tabs>
        <w:spacing w:before="0" w:after="200"/>
        <w:ind w:hanging="283" w:left="709"/>
        <w:rPr/>
      </w:pPr>
      <w:r>
        <w:rPr>
          <w:rStyle w:val="Strong"/>
        </w:rPr>
        <w:t>Use an environmental mitigation hierarchy.</w:t>
      </w:r>
      <w:r>
        <w:rPr/>
        <w:br/>
        <w:t>Assessments should ordinarily consider:</w:t>
      </w:r>
    </w:p>
    <w:p>
      <w:pPr>
        <w:pStyle w:val="BodyText"/>
        <w:numPr>
          <w:ilvl w:val="1"/>
          <w:numId w:val="154"/>
        </w:numPr>
        <w:tabs>
          <w:tab w:val="clear" w:pos="720"/>
          <w:tab w:val="left" w:pos="0" w:leader="none"/>
        </w:tabs>
        <w:spacing w:before="0" w:after="200"/>
        <w:ind w:hanging="283" w:left="1418"/>
        <w:rPr/>
      </w:pPr>
      <w:r>
        <w:rPr/>
        <w:t>Avoiding harm;</w:t>
      </w:r>
    </w:p>
    <w:p>
      <w:pPr>
        <w:pStyle w:val="BodyText"/>
        <w:numPr>
          <w:ilvl w:val="1"/>
          <w:numId w:val="154"/>
        </w:numPr>
        <w:tabs>
          <w:tab w:val="clear" w:pos="720"/>
          <w:tab w:val="left" w:pos="0" w:leader="none"/>
        </w:tabs>
        <w:spacing w:before="0" w:after="200"/>
        <w:ind w:hanging="283" w:left="1418"/>
        <w:rPr/>
      </w:pPr>
      <w:r>
        <w:rPr/>
        <w:t>Minimizing unavoidable harm;</w:t>
      </w:r>
    </w:p>
    <w:p>
      <w:pPr>
        <w:pStyle w:val="BodyText"/>
        <w:numPr>
          <w:ilvl w:val="1"/>
          <w:numId w:val="154"/>
        </w:numPr>
        <w:tabs>
          <w:tab w:val="clear" w:pos="720"/>
          <w:tab w:val="left" w:pos="0" w:leader="none"/>
        </w:tabs>
        <w:spacing w:before="0" w:after="200"/>
        <w:ind w:hanging="283" w:left="1418"/>
        <w:rPr/>
      </w:pPr>
      <w:r>
        <w:rPr/>
        <w:t>Restoring affected systems; and</w:t>
      </w:r>
    </w:p>
    <w:p>
      <w:pPr>
        <w:pStyle w:val="BodyText"/>
        <w:numPr>
          <w:ilvl w:val="1"/>
          <w:numId w:val="154"/>
        </w:numPr>
        <w:tabs>
          <w:tab w:val="clear" w:pos="720"/>
          <w:tab w:val="left" w:pos="0" w:leader="none"/>
        </w:tabs>
        <w:spacing w:before="0" w:after="200"/>
        <w:ind w:hanging="283" w:left="1418"/>
        <w:rPr/>
      </w:pPr>
      <w:r>
        <w:rPr/>
        <w:t>Compensating for residual harm.</w:t>
      </w:r>
    </w:p>
    <w:p>
      <w:pPr>
        <w:pStyle w:val="BodyText"/>
        <w:numPr>
          <w:ilvl w:val="0"/>
          <w:numId w:val="0"/>
        </w:numPr>
        <w:spacing w:before="0" w:after="200"/>
        <w:ind w:hanging="0" w:left="0"/>
        <w:rPr/>
      </w:pPr>
      <w:r>
        <w:rPr/>
        <w:t>Compensation should not be treated as equivalent to avoidance when the affected value is unique or irreversible.</w:t>
      </w:r>
    </w:p>
    <w:p>
      <w:pPr>
        <w:pStyle w:val="BodyText"/>
        <w:numPr>
          <w:ilvl w:val="0"/>
          <w:numId w:val="153"/>
        </w:numPr>
        <w:tabs>
          <w:tab w:val="clear" w:pos="720"/>
          <w:tab w:val="left" w:pos="0" w:leader="none"/>
        </w:tabs>
        <w:spacing w:before="0" w:after="200"/>
        <w:ind w:hanging="283" w:left="709"/>
        <w:rPr/>
      </w:pPr>
      <w:r>
        <w:rPr>
          <w:rStyle w:val="Strong"/>
        </w:rPr>
        <w:t>Evaluate restoration realism.</w:t>
      </w:r>
      <w:r>
        <w:rPr/>
        <w:br/>
        <w:t>Restoration claims should include probability of success, ecological lag, reference conditions, maintenance obligations, climate change, and the possibility that the original system cannot be recreated.</w:t>
      </w:r>
    </w:p>
    <w:p>
      <w:pPr>
        <w:pStyle w:val="BodyText"/>
        <w:numPr>
          <w:ilvl w:val="0"/>
          <w:numId w:val="153"/>
        </w:numPr>
        <w:tabs>
          <w:tab w:val="clear" w:pos="720"/>
          <w:tab w:val="left" w:pos="0" w:leader="none"/>
        </w:tabs>
        <w:spacing w:before="0" w:after="200"/>
        <w:ind w:hanging="283" w:left="709"/>
        <w:rPr/>
      </w:pPr>
      <w:r>
        <w:rPr>
          <w:rStyle w:val="Strong"/>
        </w:rPr>
        <w:t>Add ecological baseline review.</w:t>
      </w:r>
      <w:r>
        <w:rPr/>
        <w:br/>
        <w:t>Baselines should not normalize gradual degradation. The current damaged condition may be an inappropriate reference point.</w:t>
      </w:r>
    </w:p>
    <w:p>
      <w:pPr>
        <w:pStyle w:val="BodyText"/>
        <w:numPr>
          <w:ilvl w:val="0"/>
          <w:numId w:val="153"/>
        </w:numPr>
        <w:tabs>
          <w:tab w:val="clear" w:pos="720"/>
          <w:tab w:val="left" w:pos="0" w:leader="none"/>
        </w:tabs>
        <w:spacing w:before="0" w:after="200"/>
        <w:ind w:hanging="283" w:left="709"/>
        <w:rPr/>
      </w:pPr>
      <w:r>
        <w:rPr>
          <w:rStyle w:val="Strong"/>
        </w:rPr>
        <w:t>Represent evolutionary potential.</w:t>
      </w:r>
      <w:r>
        <w:rPr/>
        <w:br/>
        <w:t>An action can be harmful by reducing genetic variation, connectivity, adaptation, or future speciation even before immediate population collapse occurs.</w:t>
      </w:r>
    </w:p>
    <w:p>
      <w:pPr>
        <w:pStyle w:val="BodyText"/>
        <w:numPr>
          <w:ilvl w:val="0"/>
          <w:numId w:val="153"/>
        </w:numPr>
        <w:tabs>
          <w:tab w:val="clear" w:pos="720"/>
          <w:tab w:val="left" w:pos="0" w:leader="none"/>
        </w:tabs>
        <w:spacing w:before="0" w:after="200"/>
        <w:ind w:hanging="283" w:left="709"/>
        <w:rPr/>
      </w:pPr>
      <w:r>
        <w:rPr>
          <w:rStyle w:val="Strong"/>
        </w:rPr>
        <w:t>Evaluate wildness and self-organization.</w:t>
      </w:r>
      <w:r>
        <w:rPr/>
        <w:br/>
        <w:t>The framework can treat freedom from intensive human control as a relevant value without assuming that all human intervention is wrong.</w:t>
      </w:r>
    </w:p>
    <w:p>
      <w:pPr>
        <w:pStyle w:val="BodyText"/>
        <w:numPr>
          <w:ilvl w:val="0"/>
          <w:numId w:val="153"/>
        </w:numPr>
        <w:tabs>
          <w:tab w:val="clear" w:pos="720"/>
          <w:tab w:val="left" w:pos="0" w:leader="none"/>
        </w:tabs>
        <w:spacing w:before="0" w:after="200"/>
        <w:ind w:hanging="283" w:left="709"/>
        <w:rPr/>
      </w:pPr>
      <w:r>
        <w:rPr>
          <w:rStyle w:val="Strong"/>
        </w:rPr>
        <w:t>Distinguish restoration from domination.</w:t>
      </w:r>
      <w:r>
        <w:rPr/>
        <w:br/>
        <w:t>Highly managed systems may recover selected functions while losing autonomy, wildness, or evolutionary openness.</w:t>
      </w:r>
    </w:p>
    <w:p>
      <w:pPr>
        <w:pStyle w:val="BodyText"/>
        <w:numPr>
          <w:ilvl w:val="0"/>
          <w:numId w:val="153"/>
        </w:numPr>
        <w:tabs>
          <w:tab w:val="clear" w:pos="720"/>
          <w:tab w:val="left" w:pos="0" w:leader="none"/>
        </w:tabs>
        <w:spacing w:before="0" w:after="200"/>
        <w:ind w:hanging="283" w:left="709"/>
        <w:rPr/>
      </w:pPr>
      <w:r>
        <w:rPr>
          <w:rStyle w:val="Strong"/>
        </w:rPr>
        <w:t>Integrate environmental justice.</w:t>
      </w:r>
      <w:r>
        <w:rPr/>
        <w:br/>
        <w:t>Each assessment should identify the distribution of:</w:t>
      </w:r>
    </w:p>
    <w:p>
      <w:pPr>
        <w:pStyle w:val="BodyText"/>
        <w:numPr>
          <w:ilvl w:val="1"/>
          <w:numId w:val="153"/>
        </w:numPr>
        <w:tabs>
          <w:tab w:val="clear" w:pos="720"/>
          <w:tab w:val="left" w:pos="0" w:leader="none"/>
        </w:tabs>
        <w:spacing w:before="0" w:after="200"/>
        <w:ind w:hanging="283" w:left="1418"/>
        <w:rPr/>
      </w:pPr>
      <w:r>
        <w:rPr/>
        <w:t>Environmental benefits;</w:t>
      </w:r>
    </w:p>
    <w:p>
      <w:pPr>
        <w:pStyle w:val="BodyText"/>
        <w:numPr>
          <w:ilvl w:val="1"/>
          <w:numId w:val="153"/>
        </w:numPr>
        <w:tabs>
          <w:tab w:val="clear" w:pos="720"/>
          <w:tab w:val="left" w:pos="0" w:leader="none"/>
        </w:tabs>
        <w:spacing w:before="0" w:after="200"/>
        <w:ind w:hanging="283" w:left="1418"/>
        <w:rPr/>
      </w:pPr>
      <w:r>
        <w:rPr/>
        <w:t>Pollution and risk;</w:t>
      </w:r>
    </w:p>
    <w:p>
      <w:pPr>
        <w:pStyle w:val="BodyText"/>
        <w:numPr>
          <w:ilvl w:val="1"/>
          <w:numId w:val="153"/>
        </w:numPr>
        <w:tabs>
          <w:tab w:val="clear" w:pos="720"/>
          <w:tab w:val="left" w:pos="0" w:leader="none"/>
        </w:tabs>
        <w:spacing w:before="0" w:after="200"/>
        <w:ind w:hanging="283" w:left="1418"/>
        <w:rPr/>
      </w:pPr>
      <w:r>
        <w:rPr/>
        <w:t>Conservation restrictions;</w:t>
      </w:r>
    </w:p>
    <w:p>
      <w:pPr>
        <w:pStyle w:val="BodyText"/>
        <w:numPr>
          <w:ilvl w:val="1"/>
          <w:numId w:val="153"/>
        </w:numPr>
        <w:tabs>
          <w:tab w:val="clear" w:pos="720"/>
          <w:tab w:val="left" w:pos="0" w:leader="none"/>
        </w:tabs>
        <w:spacing w:before="0" w:after="200"/>
        <w:ind w:hanging="283" w:left="1418"/>
        <w:rPr/>
      </w:pPr>
      <w:r>
        <w:rPr/>
        <w:t>Access to land and resources;</w:t>
      </w:r>
    </w:p>
    <w:p>
      <w:pPr>
        <w:pStyle w:val="BodyText"/>
        <w:numPr>
          <w:ilvl w:val="1"/>
          <w:numId w:val="153"/>
        </w:numPr>
        <w:tabs>
          <w:tab w:val="clear" w:pos="720"/>
          <w:tab w:val="left" w:pos="0" w:leader="none"/>
        </w:tabs>
        <w:spacing w:before="0" w:after="200"/>
        <w:ind w:hanging="283" w:left="1418"/>
        <w:rPr/>
      </w:pPr>
      <w:r>
        <w:rPr/>
        <w:t>Decision authority;</w:t>
      </w:r>
    </w:p>
    <w:p>
      <w:pPr>
        <w:pStyle w:val="BodyText"/>
        <w:numPr>
          <w:ilvl w:val="1"/>
          <w:numId w:val="153"/>
        </w:numPr>
        <w:tabs>
          <w:tab w:val="clear" w:pos="720"/>
          <w:tab w:val="left" w:pos="0" w:leader="none"/>
        </w:tabs>
        <w:spacing w:before="0" w:after="200"/>
        <w:ind w:hanging="283" w:left="1418"/>
        <w:rPr/>
      </w:pPr>
      <w:r>
        <w:rPr/>
        <w:t>Recognition and cultural loss; and</w:t>
      </w:r>
    </w:p>
    <w:p>
      <w:pPr>
        <w:pStyle w:val="BodyText"/>
        <w:numPr>
          <w:ilvl w:val="1"/>
          <w:numId w:val="153"/>
        </w:numPr>
        <w:tabs>
          <w:tab w:val="clear" w:pos="720"/>
          <w:tab w:val="left" w:pos="0" w:leader="none"/>
        </w:tabs>
        <w:spacing w:before="0" w:after="200"/>
        <w:ind w:hanging="283" w:left="1418"/>
        <w:rPr/>
      </w:pPr>
      <w:r>
        <w:rPr/>
        <w:t>Repair obligations.</w:t>
      </w:r>
    </w:p>
    <w:p>
      <w:pPr>
        <w:pStyle w:val="BodyText"/>
        <w:numPr>
          <w:ilvl w:val="0"/>
          <w:numId w:val="153"/>
        </w:numPr>
        <w:tabs>
          <w:tab w:val="clear" w:pos="720"/>
          <w:tab w:val="left" w:pos="0" w:leader="none"/>
        </w:tabs>
        <w:spacing w:before="0" w:after="200"/>
        <w:ind w:hanging="283" w:left="709"/>
        <w:rPr/>
      </w:pPr>
      <w:r>
        <w:rPr>
          <w:rStyle w:val="Strong"/>
        </w:rPr>
        <w:t>Integrate social-ecological causation.</w:t>
      </w:r>
      <w:r>
        <w:rPr/>
        <w:br/>
        <w:t>Environmental degradation should be traced through ownership, labor, hierarchy, colonial history, consumption, political exclusion, and institutional incentives—not attributed generically to “humanity.”</w:t>
      </w:r>
    </w:p>
    <w:p>
      <w:pPr>
        <w:pStyle w:val="BodyText"/>
        <w:numPr>
          <w:ilvl w:val="0"/>
          <w:numId w:val="153"/>
        </w:numPr>
        <w:tabs>
          <w:tab w:val="clear" w:pos="720"/>
          <w:tab w:val="left" w:pos="0" w:leader="none"/>
        </w:tabs>
        <w:spacing w:before="0" w:after="200"/>
        <w:ind w:hanging="283" w:left="709"/>
        <w:rPr/>
      </w:pPr>
      <w:r>
        <w:rPr>
          <w:rStyle w:val="Strong"/>
        </w:rPr>
        <w:t>Include Indigenous and local knowledge.</w:t>
      </w:r>
      <w:r>
        <w:rPr/>
        <w:br/>
        <w:t>Such knowledge can improve ecological understanding and identify cultural or relational values omitted by technical models. Inclusion should occur through respectful participation rather than extraction or romanticization.</w:t>
      </w:r>
    </w:p>
    <w:p>
      <w:pPr>
        <w:pStyle w:val="BodyText"/>
        <w:numPr>
          <w:ilvl w:val="0"/>
          <w:numId w:val="153"/>
        </w:numPr>
        <w:tabs>
          <w:tab w:val="clear" w:pos="720"/>
          <w:tab w:val="left" w:pos="0" w:leader="none"/>
        </w:tabs>
        <w:spacing w:before="0" w:after="200"/>
        <w:ind w:hanging="283" w:left="709"/>
        <w:rPr/>
      </w:pPr>
      <w:r>
        <w:rPr>
          <w:rStyle w:val="Strong"/>
        </w:rPr>
        <w:t>Require free, prior, and informed participation where appropriate.</w:t>
      </w:r>
      <w:r>
        <w:rPr/>
        <w:br/>
        <w:t>Projects materially affecting Indigenous peoples and local communities should include meaningful authority, access to information, and protection against coercion.</w:t>
      </w:r>
    </w:p>
    <w:p>
      <w:pPr>
        <w:pStyle w:val="BodyText"/>
        <w:numPr>
          <w:ilvl w:val="0"/>
          <w:numId w:val="153"/>
        </w:numPr>
        <w:tabs>
          <w:tab w:val="clear" w:pos="720"/>
          <w:tab w:val="left" w:pos="0" w:leader="none"/>
        </w:tabs>
        <w:spacing w:before="0" w:after="200"/>
        <w:ind w:hanging="283" w:left="709"/>
        <w:rPr/>
      </w:pPr>
      <w:r>
        <w:rPr>
          <w:rStyle w:val="Strong"/>
        </w:rPr>
        <w:t>Create representation for nonhuman entities.</w:t>
      </w:r>
      <w:r>
        <w:rPr/>
        <w:br/>
        <w:t>Guardians, trustees, ecological experts, Indigenous representatives, or legally recognized nature representatives may provide structured advocacy for entities unable to speak.</w:t>
      </w:r>
    </w:p>
    <w:p>
      <w:pPr>
        <w:pStyle w:val="BodyText"/>
        <w:numPr>
          <w:ilvl w:val="0"/>
          <w:numId w:val="153"/>
        </w:numPr>
        <w:tabs>
          <w:tab w:val="clear" w:pos="720"/>
          <w:tab w:val="left" w:pos="0" w:leader="none"/>
        </w:tabs>
        <w:spacing w:before="0" w:after="200"/>
        <w:ind w:hanging="283" w:left="709"/>
        <w:rPr/>
      </w:pPr>
      <w:r>
        <w:rPr>
          <w:rStyle w:val="Strong"/>
        </w:rPr>
        <w:t>Evaluate rights-of-nature implementations.</w:t>
      </w:r>
      <w:r>
        <w:rPr/>
        <w:br/>
        <w:t>The framework can analyze whether recognizing legal rights for rivers, forests, or ecosystems improves protection, standing, accountability, and long-term flourishing.</w:t>
      </w:r>
    </w:p>
    <w:p>
      <w:pPr>
        <w:pStyle w:val="BodyText"/>
        <w:numPr>
          <w:ilvl w:val="0"/>
          <w:numId w:val="153"/>
        </w:numPr>
        <w:tabs>
          <w:tab w:val="clear" w:pos="720"/>
          <w:tab w:val="left" w:pos="0" w:leader="none"/>
        </w:tabs>
        <w:spacing w:before="0" w:after="200"/>
        <w:ind w:hanging="283" w:left="709"/>
        <w:rPr/>
      </w:pPr>
      <w:r>
        <w:rPr>
          <w:rStyle w:val="Strong"/>
        </w:rPr>
        <w:t>Add an ecological responsibility network.</w:t>
      </w:r>
      <w:r>
        <w:rPr/>
        <w:br/>
        <w:t>Responsibility should be distributed among producers, financiers, regulators, consumers, designers, landowners, beneficiaries, and institutions according to their roles and influence.</w:t>
      </w:r>
    </w:p>
    <w:p>
      <w:pPr>
        <w:pStyle w:val="BodyText"/>
        <w:numPr>
          <w:ilvl w:val="0"/>
          <w:numId w:val="153"/>
        </w:numPr>
        <w:tabs>
          <w:tab w:val="clear" w:pos="720"/>
          <w:tab w:val="left" w:pos="0" w:leader="none"/>
        </w:tabs>
        <w:spacing w:before="0" w:after="200"/>
        <w:ind w:hanging="283" w:left="709"/>
        <w:rPr/>
      </w:pPr>
      <w:r>
        <w:rPr>
          <w:rStyle w:val="Strong"/>
        </w:rPr>
        <w:t>Model supply-chain and life-cycle effects.</w:t>
      </w:r>
      <w:r>
        <w:rPr/>
        <w:br/>
        <w:t>Extraction, production, transportation, use, maintenance, disposal, and recovery should be included where they materially affect the transition.</w:t>
      </w:r>
    </w:p>
    <w:p>
      <w:pPr>
        <w:pStyle w:val="BodyText"/>
        <w:numPr>
          <w:ilvl w:val="0"/>
          <w:numId w:val="153"/>
        </w:numPr>
        <w:tabs>
          <w:tab w:val="clear" w:pos="720"/>
          <w:tab w:val="left" w:pos="0" w:leader="none"/>
        </w:tabs>
        <w:spacing w:before="0" w:after="200"/>
        <w:ind w:hanging="283" w:left="709"/>
        <w:rPr/>
      </w:pPr>
      <w:r>
        <w:rPr>
          <w:rStyle w:val="Strong"/>
        </w:rPr>
        <w:t>Include rebound effects.</w:t>
      </w:r>
      <w:r>
        <w:rPr/>
        <w:br/>
        <w:t>Efficiency improvements may lower costs and increase total consumption, offsetting environmental benefits.</w:t>
      </w:r>
    </w:p>
    <w:p>
      <w:pPr>
        <w:pStyle w:val="BodyText"/>
        <w:numPr>
          <w:ilvl w:val="0"/>
          <w:numId w:val="153"/>
        </w:numPr>
        <w:tabs>
          <w:tab w:val="clear" w:pos="720"/>
          <w:tab w:val="left" w:pos="0" w:leader="none"/>
        </w:tabs>
        <w:spacing w:before="0" w:after="200"/>
        <w:ind w:hanging="283" w:left="709"/>
        <w:rPr/>
      </w:pPr>
      <w:r>
        <w:rPr>
          <w:rStyle w:val="Strong"/>
        </w:rPr>
        <w:t>Evaluate technological lock-in.</w:t>
      </w:r>
      <w:r>
        <w:rPr/>
        <w:br/>
        <w:t>Infrastructure and standards can commit societies to environmentally harmful paths long after the original decision.</w:t>
      </w:r>
    </w:p>
    <w:p>
      <w:pPr>
        <w:pStyle w:val="BodyText"/>
        <w:numPr>
          <w:ilvl w:val="0"/>
          <w:numId w:val="153"/>
        </w:numPr>
        <w:tabs>
          <w:tab w:val="clear" w:pos="720"/>
          <w:tab w:val="left" w:pos="0" w:leader="none"/>
        </w:tabs>
        <w:spacing w:before="0" w:after="200"/>
        <w:ind w:hanging="283" w:left="709"/>
        <w:rPr/>
      </w:pPr>
      <w:r>
        <w:rPr>
          <w:rStyle w:val="Strong"/>
        </w:rPr>
        <w:t>Assess geoengineering and large-scale interventions cautiously.</w:t>
      </w:r>
      <w:r>
        <w:rPr/>
        <w:br/>
        <w:t>Analysis should include uncertainty, governance, unequal regional effects, reversibility, moral hazard, and responsibility for failure.</w:t>
      </w:r>
    </w:p>
    <w:p>
      <w:pPr>
        <w:pStyle w:val="BodyText"/>
        <w:numPr>
          <w:ilvl w:val="0"/>
          <w:numId w:val="153"/>
        </w:numPr>
        <w:tabs>
          <w:tab w:val="clear" w:pos="720"/>
          <w:tab w:val="left" w:pos="0" w:leader="none"/>
        </w:tabs>
        <w:spacing w:before="0" w:after="200"/>
        <w:ind w:hanging="283" w:left="709"/>
        <w:rPr/>
      </w:pPr>
      <w:r>
        <w:rPr>
          <w:rStyle w:val="Strong"/>
        </w:rPr>
        <w:t>Address individual–ecosystem conflicts explicitly.</w:t>
      </w:r>
      <w:r>
        <w:rPr/>
        <w:br/>
        <w:t>Wildlife management, invasive-species control, disease management, and predator restoration should separately report effects on individual welfare, population viability, species, and ecosystem functions.</w:t>
      </w:r>
    </w:p>
    <w:p>
      <w:pPr>
        <w:pStyle w:val="BodyText"/>
        <w:numPr>
          <w:ilvl w:val="0"/>
          <w:numId w:val="153"/>
        </w:numPr>
        <w:tabs>
          <w:tab w:val="clear" w:pos="720"/>
          <w:tab w:val="left" w:pos="0" w:leader="none"/>
        </w:tabs>
        <w:spacing w:before="0" w:after="200"/>
        <w:ind w:hanging="283" w:left="709"/>
        <w:rPr/>
      </w:pPr>
      <w:r>
        <w:rPr>
          <w:rStyle w:val="Strong"/>
        </w:rPr>
        <w:t>Avoid treating “invasive” as a complete moral classification.</w:t>
      </w:r>
      <w:r>
        <w:rPr/>
        <w:br/>
        <w:t>Assessments should examine causal history, actual ecological effects, changing climate suitability, control methods, feasibility, and animal suffering.</w:t>
      </w:r>
    </w:p>
    <w:p>
      <w:pPr>
        <w:pStyle w:val="BodyText"/>
        <w:numPr>
          <w:ilvl w:val="0"/>
          <w:numId w:val="153"/>
        </w:numPr>
        <w:tabs>
          <w:tab w:val="clear" w:pos="720"/>
          <w:tab w:val="left" w:pos="0" w:leader="none"/>
        </w:tabs>
        <w:spacing w:before="0" w:after="200"/>
        <w:ind w:hanging="283" w:left="709"/>
        <w:rPr/>
      </w:pPr>
      <w:r>
        <w:rPr>
          <w:rStyle w:val="Strong"/>
        </w:rPr>
        <w:t>Add climate-adjusted ecological baselines.</w:t>
      </w:r>
      <w:r>
        <w:rPr/>
        <w:br/>
        <w:t>Historical reference conditions may no longer be achievable. Restoration should consider assisted adaptation without abandoning continuity and wildness too quickly.</w:t>
      </w:r>
    </w:p>
    <w:p>
      <w:pPr>
        <w:pStyle w:val="BodyText"/>
        <w:numPr>
          <w:ilvl w:val="0"/>
          <w:numId w:val="153"/>
        </w:numPr>
        <w:tabs>
          <w:tab w:val="clear" w:pos="720"/>
          <w:tab w:val="left" w:pos="0" w:leader="none"/>
        </w:tabs>
        <w:spacing w:before="0" w:after="200"/>
        <w:ind w:hanging="283" w:left="709"/>
        <w:rPr/>
      </w:pPr>
      <w:r>
        <w:rPr>
          <w:rStyle w:val="Strong"/>
        </w:rPr>
        <w:t>Integrate moral uncertainty.</w:t>
      </w:r>
      <w:r>
        <w:rPr/>
        <w:br/>
        <w:t>Where anthropocentric, sentientist, biocentric, ecocentric, and justice-based perspectives disagree, the framework should display the separate conclusions and identify robust actions across them.</w:t>
      </w:r>
    </w:p>
    <w:p>
      <w:pPr>
        <w:pStyle w:val="BodyText"/>
        <w:numPr>
          <w:ilvl w:val="0"/>
          <w:numId w:val="153"/>
        </w:numPr>
        <w:tabs>
          <w:tab w:val="clear" w:pos="720"/>
          <w:tab w:val="left" w:pos="0" w:leader="none"/>
        </w:tabs>
        <w:spacing w:before="0" w:after="200"/>
        <w:ind w:hanging="283" w:left="709"/>
        <w:rPr/>
      </w:pPr>
      <w:r>
        <w:rPr>
          <w:rStyle w:val="Strong"/>
        </w:rPr>
        <w:t>Use adaptive ecological management.</w:t>
      </w:r>
      <w:r>
        <w:rPr/>
        <w:br/>
        <w:t>Implemented actions should include monitoring, thresholds for correction, data transparency, responsible parties, and funding for long-term stewardship.</w:t>
      </w:r>
    </w:p>
    <w:p>
      <w:pPr>
        <w:pStyle w:val="BodyText"/>
        <w:numPr>
          <w:ilvl w:val="0"/>
          <w:numId w:val="153"/>
        </w:numPr>
        <w:tabs>
          <w:tab w:val="clear" w:pos="720"/>
          <w:tab w:val="left" w:pos="0" w:leader="none"/>
        </w:tabs>
        <w:spacing w:before="0" w:after="200"/>
        <w:ind w:hanging="283" w:left="709"/>
        <w:rPr/>
      </w:pPr>
      <w:r>
        <w:rPr>
          <w:rStyle w:val="Strong"/>
        </w:rPr>
        <w:t>Evaluate the environmental footprint of the framework itself.</w:t>
      </w:r>
      <w:r>
        <w:rPr/>
        <w:br/>
        <w:t>Data collection, computation, sensing infrastructure, travel, hardware, and energy consumption associated with ethical assessment should be included when material.</w:t>
      </w:r>
    </w:p>
    <w:p>
      <w:pPr>
        <w:pStyle w:val="BodyText"/>
        <w:numPr>
          <w:ilvl w:val="0"/>
          <w:numId w:val="153"/>
        </w:numPr>
        <w:tabs>
          <w:tab w:val="clear" w:pos="720"/>
          <w:tab w:val="left" w:pos="0" w:leader="none"/>
        </w:tabs>
        <w:spacing w:before="0" w:after="200"/>
        <w:ind w:hanging="283" w:left="709"/>
        <w:rPr/>
      </w:pPr>
      <w:r>
        <w:rPr>
          <w:rStyle w:val="Strong"/>
        </w:rPr>
        <w:t>Add ecological moral-agent development.</w:t>
      </w:r>
      <w:r>
        <w:rPr/>
        <w:br/>
        <w:t>Training should cultivate systems awareness, attention to nonhuman life, recognition of uncertainty, restraint, and the ability to identify ecological externalities.</w:t>
      </w:r>
    </w:p>
    <w:p>
      <w:pPr>
        <w:pStyle w:val="BodyText"/>
        <w:numPr>
          <w:ilvl w:val="0"/>
          <w:numId w:val="153"/>
        </w:numPr>
        <w:tabs>
          <w:tab w:val="clear" w:pos="720"/>
          <w:tab w:val="left" w:pos="0" w:leader="none"/>
        </w:tabs>
        <w:spacing w:before="0" w:after="200"/>
        <w:ind w:hanging="283" w:left="709"/>
        <w:rPr/>
      </w:pPr>
      <w:r>
        <w:rPr>
          <w:rStyle w:val="Strong"/>
        </w:rPr>
        <w:t>Constrain population-related reasoning.</w:t>
      </w:r>
      <w:r>
        <w:rPr/>
        <w:br/>
        <w:t>Any demographic analysis must protect existing persons, reproductive autonomy, gender equality, non-discrimination, and voluntary informed choice. It should also examine unequal consumption, waste, and resource concentration rather than attributing ecological pressure solely to population totals.</w:t>
      </w:r>
    </w:p>
    <w:p>
      <w:pPr>
        <w:pStyle w:val="BodyText"/>
        <w:numPr>
          <w:ilvl w:val="0"/>
          <w:numId w:val="153"/>
        </w:numPr>
        <w:tabs>
          <w:tab w:val="clear" w:pos="720"/>
          <w:tab w:val="left" w:pos="0" w:leader="none"/>
        </w:tabs>
        <w:spacing w:before="0" w:after="200"/>
        <w:ind w:hanging="283" w:left="709"/>
        <w:rPr/>
      </w:pPr>
      <w:r>
        <w:rPr>
          <w:rStyle w:val="Strong"/>
        </w:rPr>
        <w:t>Evaluate quality of life separately from material throughput.</w:t>
      </w:r>
      <w:r>
        <w:rPr/>
        <w:br/>
        <w:t>The framework can investigate whether education, health, affiliation, recreation, security, and meaningful participation can improve while resource and energy intensity decline.</w:t>
      </w:r>
    </w:p>
    <w:p>
      <w:pPr>
        <w:pStyle w:val="BodyText"/>
        <w:numPr>
          <w:ilvl w:val="0"/>
          <w:numId w:val="153"/>
        </w:numPr>
        <w:tabs>
          <w:tab w:val="clear" w:pos="720"/>
          <w:tab w:val="left" w:pos="0" w:leader="none"/>
        </w:tabs>
        <w:spacing w:before="0" w:after="200"/>
        <w:ind w:hanging="283" w:left="709"/>
        <w:rPr/>
      </w:pPr>
      <w:r>
        <w:rPr>
          <w:rStyle w:val="Strong"/>
        </w:rPr>
        <w:t>Create an ecological compatibility finding.</w:t>
      </w:r>
      <w:r>
        <w:rPr/>
        <w:br/>
        <w:t>In addition to the general ethical conclusion, the assessment could report whether an action is compatible with:</w:t>
      </w:r>
    </w:p>
    <w:p>
      <w:pPr>
        <w:pStyle w:val="BodyText"/>
        <w:numPr>
          <w:ilvl w:val="1"/>
          <w:numId w:val="153"/>
        </w:numPr>
        <w:tabs>
          <w:tab w:val="clear" w:pos="720"/>
          <w:tab w:val="left" w:pos="0" w:leader="none"/>
        </w:tabs>
        <w:spacing w:before="0" w:after="200"/>
        <w:ind w:hanging="283" w:left="1418"/>
        <w:rPr/>
      </w:pPr>
      <w:r>
        <w:rPr/>
        <w:t>Entity-specific nonhuman flourishing;</w:t>
      </w:r>
    </w:p>
    <w:p>
      <w:pPr>
        <w:pStyle w:val="BodyText"/>
        <w:numPr>
          <w:ilvl w:val="1"/>
          <w:numId w:val="153"/>
        </w:numPr>
        <w:tabs>
          <w:tab w:val="clear" w:pos="720"/>
          <w:tab w:val="left" w:pos="0" w:leader="none"/>
        </w:tabs>
        <w:spacing w:before="0" w:after="200"/>
        <w:ind w:hanging="283" w:left="1418"/>
        <w:rPr/>
      </w:pPr>
      <w:r>
        <w:rPr/>
        <w:t>Biodiversity;</w:t>
      </w:r>
    </w:p>
    <w:p>
      <w:pPr>
        <w:pStyle w:val="BodyText"/>
        <w:numPr>
          <w:ilvl w:val="1"/>
          <w:numId w:val="153"/>
        </w:numPr>
        <w:tabs>
          <w:tab w:val="clear" w:pos="720"/>
          <w:tab w:val="left" w:pos="0" w:leader="none"/>
        </w:tabs>
        <w:spacing w:before="0" w:after="200"/>
        <w:ind w:hanging="283" w:left="1418"/>
        <w:rPr/>
      </w:pPr>
      <w:r>
        <w:rPr/>
        <w:t>Ecosystem integrity;</w:t>
      </w:r>
    </w:p>
    <w:p>
      <w:pPr>
        <w:pStyle w:val="BodyText"/>
        <w:numPr>
          <w:ilvl w:val="1"/>
          <w:numId w:val="153"/>
        </w:numPr>
        <w:tabs>
          <w:tab w:val="clear" w:pos="720"/>
          <w:tab w:val="left" w:pos="0" w:leader="none"/>
        </w:tabs>
        <w:spacing w:before="0" w:after="200"/>
        <w:ind w:hanging="283" w:left="1418"/>
        <w:rPr/>
      </w:pPr>
      <w:r>
        <w:rPr/>
        <w:t>Evolutionary potential;</w:t>
      </w:r>
    </w:p>
    <w:p>
      <w:pPr>
        <w:pStyle w:val="BodyText"/>
        <w:numPr>
          <w:ilvl w:val="1"/>
          <w:numId w:val="153"/>
        </w:numPr>
        <w:tabs>
          <w:tab w:val="clear" w:pos="720"/>
          <w:tab w:val="left" w:pos="0" w:leader="none"/>
        </w:tabs>
        <w:spacing w:before="0" w:after="200"/>
        <w:ind w:hanging="283" w:left="1418"/>
        <w:rPr/>
      </w:pPr>
      <w:r>
        <w:rPr/>
        <w:t>Ecological limits;</w:t>
      </w:r>
    </w:p>
    <w:p>
      <w:pPr>
        <w:pStyle w:val="BodyText"/>
        <w:numPr>
          <w:ilvl w:val="1"/>
          <w:numId w:val="153"/>
        </w:numPr>
        <w:tabs>
          <w:tab w:val="clear" w:pos="720"/>
          <w:tab w:val="left" w:pos="0" w:leader="none"/>
        </w:tabs>
        <w:spacing w:before="0" w:after="200"/>
        <w:ind w:hanging="283" w:left="1418"/>
        <w:rPr/>
      </w:pPr>
      <w:r>
        <w:rPr/>
        <w:t>Environmental justice; and</w:t>
      </w:r>
    </w:p>
    <w:p>
      <w:pPr>
        <w:pStyle w:val="BodyText"/>
        <w:numPr>
          <w:ilvl w:val="1"/>
          <w:numId w:val="153"/>
        </w:numPr>
        <w:tabs>
          <w:tab w:val="clear" w:pos="720"/>
          <w:tab w:val="left" w:pos="0" w:leader="none"/>
        </w:tabs>
        <w:spacing w:before="0" w:after="200"/>
        <w:ind w:hanging="283" w:left="1418"/>
        <w:rPr/>
      </w:pPr>
      <w:r>
        <w:rPr/>
        <w:t>Intergenerational capability.</w:t>
      </w:r>
    </w:p>
    <w:p>
      <w:pPr>
        <w:pStyle w:val="BodyText"/>
        <w:spacing w:before="0" w:after="200"/>
        <w:rPr/>
      </w:pPr>
      <w:r>
        <w:rPr/>
        <w:t>Environmental Ethics and Deep Ecology substantially reinforce the proposed framework’s extension of moral concern beyond humanity. Their most important contribution is the insistence that nonhuman life and ecological systems must not enter ethical analysis only as resources supporting human objectives. The proposed framework, in turn, can provide a more explicit method for resolving conflicts, representing uncertainty, distinguishing causal effect from responsibility, and evaluating the compatibility of human, nonhuman, individual, and ecosystem flourishing.</w:t>
      </w:r>
    </w:p>
    <w:p>
      <w:pPr>
        <w:pStyle w:val="Heading1"/>
        <w:widowControl/>
        <w:numPr>
          <w:ilvl w:val="0"/>
          <w:numId w:val="179"/>
        </w:numPr>
        <w:bidi w:val="0"/>
        <w:spacing w:lineRule="auto" w:line="276"/>
        <w:ind w:hanging="0" w:left="0"/>
        <w:jc w:val="left"/>
        <w:rPr/>
      </w:pPr>
      <w:bookmarkStart w:id="14" w:name="__RefHeading___Toc23527_3508477456"/>
      <w:bookmarkEnd w:id="14"/>
      <w:r>
        <w:rPr/>
        <w:t>Example Assessments</w:t>
      </w:r>
    </w:p>
    <w:p>
      <w:pPr>
        <w:pStyle w:val="BodyText"/>
        <w:spacing w:before="0" w:after="200"/>
        <w:rPr/>
      </w:pPr>
      <w:r>
        <w:rPr/>
        <w:t>This section applies Objective-Based Systems Ethics to a set of illustrative assessment scenarios. The purpose of these examples is to demonstrate how the Reference Architecture and Moral Assessment Methodology operate in concrete cases without reducing the framework to any single domain, implementation pattern, or moral intuition.</w:t>
      </w:r>
    </w:p>
    <w:p>
      <w:pPr>
        <w:pStyle w:val="BodyText"/>
        <w:spacing w:before="0" w:after="200"/>
        <w:rPr/>
      </w:pPr>
      <w:r>
        <w:rPr/>
        <w:t>Each example follows the same assessment structure. The assessment identifies the Moral Agent, the relevant Flourishing Entities, the Situational Context, the Assessed Action, Actor and Distributed Policy Updates, Flourishing Transitions, the resulting World Context Transition, and a final Assessment Summary. This repeated structure allows the examples to be compared while preserving the distinct moral features of each case.</w:t>
      </w:r>
    </w:p>
    <w:p>
      <w:pPr>
        <w:pStyle w:val="BodyText"/>
        <w:spacing w:before="0" w:after="200"/>
        <w:rPr/>
      </w:pPr>
      <w:r>
        <w:rPr/>
        <w:t>The examples are intentionally diverse. They include accidental harm, negligence, coercive means used for allegedly beneficial ends, institutional fraud, rehabilitation, ecological intervention, biological expansion, and AI-assisted decision support. Together, they show how the framework handles different kinds of moral complexity: unavoidable harm, preventable harm, responsibility under uncertainty, the moral significance of means, institutional policy degradation, restoration of agency, cross-entity flourishing, and the difference between expansion and flourishing.</w:t>
      </w:r>
    </w:p>
    <w:p>
      <w:pPr>
        <w:pStyle w:val="BodyText"/>
        <w:spacing w:before="0" w:after="200"/>
        <w:rPr/>
      </w:pPr>
      <w:r>
        <w:rPr/>
        <w:t>The accidental squirrel example illustrates how the framework distinguishes unavoidable harm from culpable wrongdoing. It shows that a harmful outcome does not automatically imply moral failure when the Actor’s policy state is not degraded, reasonable alternatives were unavailable, and the resulting World Context does not indicate negligence or harmful future decision-policy updates.</w:t>
      </w:r>
    </w:p>
    <w:p>
      <w:pPr>
        <w:pStyle w:val="BodyText"/>
        <w:spacing w:before="0" w:after="200"/>
        <w:rPr/>
      </w:pPr>
      <w:r>
        <w:rPr/>
        <w:t>The texting-while-driving example illustrates negligence. It contrasts with accidental harm by showing how preventable risk, degraded attention, and irresponsible policy-state formation can make an Actor morally responsible even before harm occurs. The assessment focuses not only on physical consequences but also on the Actor’s failure to maintain an appropriate decision policy in a high-risk context.</w:t>
      </w:r>
    </w:p>
    <w:p>
      <w:pPr>
        <w:pStyle w:val="BodyText"/>
        <w:spacing w:before="0" w:after="200"/>
        <w:rPr/>
      </w:pPr>
      <w:r>
        <w:rPr/>
        <w:t>The torture and terrorism example illustrates why the ends do not justify the means. Even when the stated objective is to prevent severe harm, the means used may degrade the Actor’s policy state, damage institutions, normalize coercion, corrupt observers and responders, and diminish the resulting World Context. The example demonstrates why Distributed Policy Updates are central to the framework.</w:t>
      </w:r>
    </w:p>
    <w:p>
      <w:pPr>
        <w:pStyle w:val="BodyText"/>
        <w:spacing w:before="0" w:after="200"/>
        <w:rPr/>
      </w:pPr>
      <w:r>
        <w:rPr/>
        <w:t>The financial fraud example applies the same principle in an institutional setting. It examines whether an organization can justify deception or fraud to preserve itself. The assessment distinguishes organizational persistence from organizational flourishing and evaluates how fraudulent means alter trust, legitimacy, evidence quality, institutional policy states, and future decision behavior.</w:t>
      </w:r>
    </w:p>
    <w:p>
      <w:pPr>
        <w:pStyle w:val="BodyText"/>
        <w:spacing w:before="0" w:after="200"/>
        <w:rPr/>
      </w:pPr>
      <w:r>
        <w:rPr/>
        <w:t>The rehabilitation example illustrates how the framework evaluates moral restoration, adaptive development, and future possibility. It considers whether an imprisoned murderer can regain some forms of flourishing and constructive participation while still preserving accountability, institutional legitimacy, and the flourishing of victims, families, and society.</w:t>
      </w:r>
    </w:p>
    <w:p>
      <w:pPr>
        <w:pStyle w:val="BodyText"/>
        <w:spacing w:before="0" w:after="200"/>
        <w:rPr/>
      </w:pPr>
      <w:r>
        <w:rPr/>
        <w:t>The invasive species intervention example demonstrates cross-entity and ecological assessment. It shows that flourishing must be evaluated relationally within a larger World Context. The example examines how intervention may diminish one class of entities while preserving the adaptive capacity, persistence, and future possibilities of an ecosystem.</w:t>
      </w:r>
    </w:p>
    <w:p>
      <w:pPr>
        <w:pStyle w:val="BodyText"/>
        <w:spacing w:before="0" w:after="200"/>
        <w:rPr/>
      </w:pPr>
      <w:r>
        <w:rPr/>
        <w:t>The viral expansion example clarifies that expansion is not the same as flourishing. A virus may replicate and expand, but that expansion may materially diminish the flourishing of other entities and degrade the broader World Context. The example helps distinguish persistence, replication, and growth from morally supportable Long-Term Flourishing.</w:t>
      </w:r>
    </w:p>
    <w:p>
      <w:pPr>
        <w:pStyle w:val="BodyText"/>
        <w:spacing w:before="0" w:after="200"/>
        <w:rPr/>
      </w:pPr>
      <w:r>
        <w:rPr/>
        <w:t>The AI decision-support scenario illustrates how the framework applies to artificial systems and human-machine decision environments. It shows how an AI system may participate in assessment by shaping recommendations, evidence use, confidence reporting, escalation, human oversight, and future policy states. The example also demonstrates why AI outputs should be evaluated as Assessed Actions that may alter the World Context.</w:t>
      </w:r>
    </w:p>
    <w:p>
      <w:pPr>
        <w:pStyle w:val="BodyText"/>
        <w:spacing w:before="0" w:after="200"/>
        <w:rPr/>
      </w:pPr>
      <w:r>
        <w:rPr/>
        <w:t>Together, these examples serve three functions.</w:t>
      </w:r>
    </w:p>
    <w:p>
      <w:pPr>
        <w:pStyle w:val="BodyText"/>
        <w:spacing w:before="0" w:after="200"/>
        <w:rPr/>
      </w:pPr>
      <w:r>
        <w:rPr/>
        <w:t>First, they test whether the framework can represent familiar moral distinctions without relying on intuition alone. Accidental harm, negligence, unjust means, and rehabilitation are not treated as isolated moral categories; they are analyzed through context, state transitions, flourishing changes, policy updates, and World Context effects.</w:t>
      </w:r>
    </w:p>
    <w:p>
      <w:pPr>
        <w:pStyle w:val="BodyText"/>
        <w:spacing w:before="0" w:after="200"/>
        <w:rPr/>
      </w:pPr>
      <w:r>
        <w:rPr/>
        <w:t>Second, they demonstrate that moral assessment is not limited to human individual actions. Organizations, institutions, ecosystems, biological systems, and artificial systems can all appear within the World Context as Objects, Associations, Actors, affected entities, or Flourishing Entities when the assessment boundary supports that classification.</w:t>
      </w:r>
    </w:p>
    <w:p>
      <w:pPr>
        <w:pStyle w:val="BodyText"/>
        <w:spacing w:before="0" w:after="200"/>
        <w:rPr/>
      </w:pPr>
      <w:r>
        <w:rPr/>
        <w:t>Third, they show that the final assessment is not reducible to aggregate benefit, immediate harm, stated intention, legal status, or operational success. Each example evaluates the transition from World Context₀ to World Context₁, including affected entities, relational changes, policy-state changes, institutional effects, uncertainty, and future state space.</w:t>
      </w:r>
    </w:p>
    <w:p>
      <w:pPr>
        <w:pStyle w:val="BodyText"/>
        <w:spacing w:before="0" w:after="200"/>
        <w:rPr/>
      </w:pPr>
      <w:r>
        <w:rPr/>
        <w:t>The examples in this section are illustrative rather than exhaustive. They are intended to demonstrate how the framework can be applied, tested, refined, and challenged. Later implementations may add more detailed examples, formal assessment tables, structured outputs, domain-specific variants, or computational demonstrations.</w:t>
      </w:r>
    </w:p>
    <w:p>
      <w:pPr>
        <w:pStyle w:val="Heading2"/>
        <w:ind w:hanging="0" w:left="0"/>
        <w:rPr/>
      </w:pPr>
      <w:r>
        <w:rPr/>
        <w:t>Accidental harm: unavoidable squirrel example</w:t>
      </w:r>
    </w:p>
    <w:p>
      <w:pPr>
        <w:pStyle w:val="BodyText"/>
        <w:spacing w:before="0" w:after="200"/>
        <w:rPr/>
      </w:pPr>
      <w:r>
        <w:rPr/>
        <w:t>This example illustrates how Objective-Based Systems Ethics distinguishes accidental harm from morally culpable wrongdoing.</w:t>
      </w:r>
    </w:p>
    <w:p>
      <w:pPr>
        <w:pStyle w:val="BodyText"/>
        <w:spacing w:before="0" w:after="200"/>
        <w:rPr/>
      </w:pPr>
      <w:r>
        <w:rPr/>
        <w:t>The scenario involves a driver who unintentionally strikes and kills a squirrel while driving attentively and lawfully. The squirrel enters the roadway suddenly, and the driver has no reasonable opportunity to avoid the collision without creating a greater risk to other Flourishing Entities, such as passengers, pedestrians, other drivers, or the driver themselves.</w:t>
      </w:r>
    </w:p>
    <w:p>
      <w:pPr>
        <w:pStyle w:val="BodyText"/>
        <w:spacing w:before="0" w:after="200"/>
        <w:rPr/>
      </w:pPr>
      <w:r>
        <w:rPr/>
        <w:t>The example is useful because it separates harmful outcome from moral failure. A morally relevant harm occurs: the squirrel’s flourishing is ended. However, the framework does not assess the action solely by the harmful outcome. It evaluates the transition from World Context₀ to World Context₁, including the Actor’s decision policy, available alternatives, foreseeability, affected entities, and whether the action materially degraded the future moral system.</w:t>
      </w:r>
    </w:p>
    <w:p>
      <w:pPr>
        <w:pStyle w:val="Heading3"/>
        <w:ind w:hanging="0" w:left="0"/>
        <w:rPr/>
      </w:pPr>
      <w:r>
        <w:rPr/>
        <w:t>Moral Agent</w:t>
      </w:r>
    </w:p>
    <w:p>
      <w:pPr>
        <w:pStyle w:val="BodyText"/>
        <w:spacing w:before="0" w:after="200"/>
        <w:rPr/>
      </w:pPr>
      <w:r>
        <w:rPr/>
        <w:t>The driver is the primary Moral Agent in this scenario.</w:t>
      </w:r>
    </w:p>
    <w:p>
      <w:pPr>
        <w:pStyle w:val="BodyText"/>
        <w:spacing w:before="0" w:after="200"/>
        <w:rPr/>
      </w:pPr>
      <w:r>
        <w:rPr/>
        <w:t>The driver is capable of perceiving the situation, selecting among available actions, evaluating risk, and bearing responsibility for conduct while operating the vehicle. The driver’s moral responsibility is assessed relative to the information reasonably available within the Situational Context and the alternatives realistically available at the moment of action.</w:t>
      </w:r>
    </w:p>
    <w:p>
      <w:pPr>
        <w:pStyle w:val="BodyText"/>
        <w:spacing w:before="0" w:after="200"/>
        <w:rPr/>
      </w:pPr>
      <w:r>
        <w:rPr/>
        <w:t>The squirrel is not treated as a Moral Agent in this example. It is not responsible for the action, even though it is a relevant Flourishing Entity affected by the action.</w:t>
      </w:r>
    </w:p>
    <w:p>
      <w:pPr>
        <w:pStyle w:val="BodyText"/>
        <w:spacing w:before="0" w:after="200"/>
        <w:rPr/>
      </w:pPr>
      <w:r>
        <w:rPr/>
        <w:t>Other potential Moral Agents may include road designers, municipal authorities, vehicle manufacturers, or other drivers if their conduct materially contributed to the event. In the basic version of the example, however, no such contributing agency is assumed. The focus remains on the driver’s action under unavoidable conditions.</w:t>
      </w:r>
    </w:p>
    <w:p>
      <w:pPr>
        <w:pStyle w:val="Heading3"/>
        <w:ind w:hanging="0" w:left="0"/>
        <w:rPr/>
      </w:pPr>
      <w:r>
        <w:rPr/>
        <w:t>Relevant Flourishing Entities</w:t>
      </w:r>
    </w:p>
    <w:p>
      <w:pPr>
        <w:pStyle w:val="BodyText"/>
        <w:spacing w:before="0" w:after="200"/>
        <w:rPr/>
      </w:pPr>
      <w:r>
        <w:rPr/>
        <w:t>The relevant Flourishing Entities include the squirrel, the driver, any passengers, nearby pedestrians, other drivers, and other animals or persons who might have been affected by an evasive maneuver.</w:t>
      </w:r>
    </w:p>
    <w:p>
      <w:pPr>
        <w:pStyle w:val="BodyText"/>
        <w:spacing w:before="0" w:after="200"/>
        <w:rPr/>
      </w:pPr>
      <w:r>
        <w:rPr/>
        <w:t>The squirrel is a Flourishing Entity because its persistence, biological integrity, and future possibilities are directly affected. The collision ends the squirrel’s life and therefore causes a severe negative Flourishing Transition for the squirrel.</w:t>
      </w:r>
    </w:p>
    <w:p>
      <w:pPr>
        <w:pStyle w:val="BodyText"/>
        <w:spacing w:before="0" w:after="200"/>
        <w:rPr/>
      </w:pPr>
      <w:r>
        <w:rPr/>
        <w:t>The driver is also a relevant Flourishing Entity because the event may affect the driver’s emotional state, future caution, policy state, and sense of responsibility. If the driver responds with appropriate concern and continued attentiveness, the driver’s future moral policy state may remain intact or even improve.</w:t>
      </w:r>
    </w:p>
    <w:p>
      <w:pPr>
        <w:pStyle w:val="BodyText"/>
        <w:spacing w:before="0" w:after="200"/>
        <w:rPr/>
      </w:pPr>
      <w:r>
        <w:rPr/>
        <w:t>Passengers, pedestrians, and other road users are relevant because the driver’s possible alternatives could have affected them. A sudden swerve might have created a greater risk of injury or death to humans or other animals. Their inclusion matters because the assessment must evaluate the actual action against realistically available alternatives, not against an imagined perfect outcome.</w:t>
      </w:r>
    </w:p>
    <w:p>
      <w:pPr>
        <w:pStyle w:val="BodyText"/>
        <w:spacing w:before="0" w:after="200"/>
        <w:rPr/>
      </w:pPr>
      <w:r>
        <w:rPr/>
        <w:t>The surrounding ecosystem may be relevant at very low resolution, but in the ordinary case a single unavoidable squirrel collision does not materially affect ecosystem-level flourishing.</w:t>
      </w:r>
    </w:p>
    <w:p>
      <w:pPr>
        <w:pStyle w:val="Heading3"/>
        <w:ind w:hanging="0" w:left="0"/>
        <w:rPr/>
      </w:pPr>
      <w:r>
        <w:rPr/>
        <w:t>Situational Context</w:t>
      </w:r>
    </w:p>
    <w:p>
      <w:pPr>
        <w:pStyle w:val="BodyText"/>
        <w:spacing w:before="0" w:after="200"/>
        <w:rPr/>
      </w:pPr>
      <w:r>
        <w:rPr/>
        <w:t>The Situational Context is a lawful and attentive driving situation in which a squirrel suddenly enters the roadway.</w:t>
      </w:r>
    </w:p>
    <w:p>
      <w:pPr>
        <w:pStyle w:val="BodyText"/>
        <w:spacing w:before="0" w:after="200"/>
        <w:rPr/>
      </w:pPr>
      <w:r>
        <w:rPr/>
        <w:t>The driver is operating the vehicle within ordinary expectations of care. The driver is not texting, intoxicated, speeding recklessly, distracted, intentionally targeting animals, or driving in a manner that unreasonably increases risk. The road conditions, visibility, traffic pattern, vehicle speed, and reaction time create a situation in which the collision cannot reasonably be avoided without introducing greater danger.</w:t>
      </w:r>
    </w:p>
    <w:p>
      <w:pPr>
        <w:pStyle w:val="BodyText"/>
        <w:spacing w:before="0" w:after="200"/>
        <w:rPr/>
      </w:pPr>
      <w:r>
        <w:rPr/>
        <w:t>Material features of the Situational Context include:</w:t>
      </w:r>
    </w:p>
    <w:p>
      <w:pPr>
        <w:pStyle w:val="BodyText"/>
        <w:spacing w:before="0" w:after="200"/>
        <w:rPr/>
      </w:pPr>
      <w:r>
        <w:rPr/>
        <w:t>The driver is engaged in a legitimate activity: operating a vehicle.</w:t>
      </w:r>
    </w:p>
    <w:p>
      <w:pPr>
        <w:pStyle w:val="BodyText"/>
        <w:spacing w:before="0" w:after="200"/>
        <w:rPr/>
      </w:pPr>
      <w:r>
        <w:rPr/>
        <w:t>The driver has a duty of care to passengers, pedestrians, other drivers, animals, and themselves.</w:t>
      </w:r>
    </w:p>
    <w:p>
      <w:pPr>
        <w:pStyle w:val="BodyText"/>
        <w:spacing w:before="0" w:after="200"/>
        <w:rPr/>
      </w:pPr>
      <w:r>
        <w:rPr/>
        <w:t>The squirrel enters the vehicle’s path suddenly.</w:t>
      </w:r>
    </w:p>
    <w:p>
      <w:pPr>
        <w:pStyle w:val="BodyText"/>
        <w:spacing w:before="0" w:after="200"/>
        <w:rPr/>
      </w:pPr>
      <w:r>
        <w:rPr/>
        <w:t>The time available for response is extremely limited.</w:t>
      </w:r>
    </w:p>
    <w:p>
      <w:pPr>
        <w:pStyle w:val="BodyText"/>
        <w:spacing w:before="0" w:after="200"/>
        <w:rPr/>
      </w:pPr>
      <w:r>
        <w:rPr/>
        <w:t>Available alternatives are constrained by physics, traffic conditions, and safety obligations.</w:t>
      </w:r>
    </w:p>
    <w:p>
      <w:pPr>
        <w:pStyle w:val="BodyText"/>
        <w:spacing w:before="0" w:after="200"/>
        <w:rPr/>
      </w:pPr>
      <w:r>
        <w:rPr/>
        <w:t>A sudden evasive maneuver may create greater risk than maintaining course.</w:t>
      </w:r>
    </w:p>
    <w:p>
      <w:pPr>
        <w:pStyle w:val="BodyText"/>
        <w:spacing w:before="0" w:after="200"/>
        <w:rPr/>
      </w:pPr>
      <w:r>
        <w:rPr/>
        <w:t>The driver does not intend to harm the squirrel.</w:t>
      </w:r>
    </w:p>
    <w:p>
      <w:pPr>
        <w:pStyle w:val="BodyText"/>
        <w:spacing w:before="0" w:after="200"/>
        <w:rPr/>
      </w:pPr>
      <w:r>
        <w:rPr/>
        <w:t>The driver’s conduct before the event is not negligent.</w:t>
      </w:r>
    </w:p>
    <w:p>
      <w:pPr>
        <w:pStyle w:val="BodyText"/>
        <w:spacing w:before="0" w:after="200"/>
        <w:rPr/>
      </w:pPr>
      <w:r>
        <w:rPr/>
        <w:t>The harm is foreseeable in the broad sense that animals may enter roadways, but not specifically avoidable in the moment.</w:t>
      </w:r>
    </w:p>
    <w:p>
      <w:pPr>
        <w:pStyle w:val="BodyText"/>
        <w:spacing w:before="0" w:after="200"/>
        <w:rPr/>
      </w:pPr>
      <w:r>
        <w:rPr/>
        <w:t>This context is essential. The same physical outcome—a squirrel killed by a vehicle—would be assessed differently if the driver were speeding, distracted, intentionally aiming at the animal, or driving through a wildlife crossing with clear warning signs and time to slow down.</w:t>
      </w:r>
    </w:p>
    <w:p>
      <w:pPr>
        <w:pStyle w:val="Heading3"/>
        <w:ind w:hanging="0" w:left="0"/>
        <w:rPr/>
      </w:pPr>
      <w:r>
        <w:rPr/>
        <w:t>Action</w:t>
      </w:r>
    </w:p>
    <w:p>
      <w:pPr>
        <w:pStyle w:val="BodyText"/>
        <w:spacing w:before="0" w:after="200"/>
        <w:rPr/>
      </w:pPr>
      <w:r>
        <w:rPr/>
        <w:t>The Assessed Action is the driver’s continuation of vehicle control under sudden unavoidable conditions, resulting in the collision with the squirrel.</w:t>
      </w:r>
    </w:p>
    <w:p>
      <w:pPr>
        <w:pStyle w:val="BodyText"/>
        <w:spacing w:before="0" w:after="200"/>
        <w:rPr/>
      </w:pPr>
      <w:r>
        <w:rPr/>
        <w:t>The action is not best described as “killing the squirrel” in isolation, because that description hides the decision context. The relevant action is the driver’s constrained response to the sudden appearance of the squirrel in the roadway.</w:t>
      </w:r>
    </w:p>
    <w:p>
      <w:pPr>
        <w:pStyle w:val="BodyText"/>
        <w:spacing w:before="0" w:after="200"/>
        <w:rPr/>
      </w:pPr>
      <w:r>
        <w:rPr/>
        <w:t>The driver’s available options may include:</w:t>
      </w:r>
    </w:p>
    <w:p>
      <w:pPr>
        <w:pStyle w:val="BodyText"/>
        <w:spacing w:before="0" w:after="200"/>
        <w:rPr/>
      </w:pPr>
      <w:r>
        <w:rPr/>
        <w:t>Continue course.</w:t>
      </w:r>
    </w:p>
    <w:p>
      <w:pPr>
        <w:pStyle w:val="BodyText"/>
        <w:spacing w:before="0" w:after="200"/>
        <w:rPr/>
      </w:pPr>
      <w:r>
        <w:rPr/>
        <w:t>Brake.</w:t>
      </w:r>
    </w:p>
    <w:p>
      <w:pPr>
        <w:pStyle w:val="BodyText"/>
        <w:spacing w:before="0" w:after="200"/>
        <w:rPr/>
      </w:pPr>
      <w:r>
        <w:rPr/>
        <w:t>Swerve.</w:t>
      </w:r>
    </w:p>
    <w:p>
      <w:pPr>
        <w:pStyle w:val="BodyText"/>
        <w:spacing w:before="0" w:after="200"/>
        <w:rPr/>
      </w:pPr>
      <w:r>
        <w:rPr/>
        <w:t>Brake and swerve.</w:t>
      </w:r>
    </w:p>
    <w:p>
      <w:pPr>
        <w:pStyle w:val="BodyText"/>
        <w:spacing w:before="0" w:after="200"/>
        <w:rPr/>
      </w:pPr>
      <w:r>
        <w:rPr/>
        <w:t>Take no deliberate action because there is insufficient time to respond.</w:t>
      </w:r>
    </w:p>
    <w:p>
      <w:pPr>
        <w:pStyle w:val="BodyText"/>
        <w:spacing w:before="0" w:after="200"/>
        <w:rPr/>
      </w:pPr>
      <w:r>
        <w:rPr/>
        <w:t>In this example, the driver either has no meaningful time to react or reasonably determines that swerving or abrupt braking would create a greater risk to passengers, pedestrians, other drivers, or the driver. The selected action, or lack of available alternative action, results in harm to the squirrel but avoids introducing greater risk into the World Context.</w:t>
      </w:r>
    </w:p>
    <w:p>
      <w:pPr>
        <w:pStyle w:val="BodyText"/>
        <w:spacing w:before="0" w:after="200"/>
        <w:rPr/>
      </w:pPr>
      <w:r>
        <w:rPr/>
        <w:t>The action is therefore a harmful outcome under constrained conditions, not a harmful means chosen to achieve an objective.</w:t>
      </w:r>
    </w:p>
    <w:p>
      <w:pPr>
        <w:pStyle w:val="Heading3"/>
        <w:ind w:hanging="0" w:left="0"/>
        <w:rPr/>
      </w:pPr>
      <w:r>
        <w:rPr/>
        <w:t>Actor / Distributed Policy Updates</w:t>
      </w:r>
    </w:p>
    <w:p>
      <w:pPr>
        <w:pStyle w:val="BodyText"/>
        <w:spacing w:before="0" w:after="200"/>
        <w:rPr/>
      </w:pPr>
      <w:r>
        <w:rPr/>
        <w:t>The primary Actor is the driver.</w:t>
      </w:r>
    </w:p>
    <w:p>
      <w:pPr>
        <w:pStyle w:val="BodyText"/>
        <w:spacing w:before="0" w:after="200"/>
        <w:rPr/>
      </w:pPr>
      <w:r>
        <w:rPr/>
        <w:t>The key policy-state question is whether the event updates the driver’s future decision policy in a beneficial, detrimental, or neutral direction.</w:t>
      </w:r>
    </w:p>
    <w:p>
      <w:pPr>
        <w:pStyle w:val="BodyText"/>
        <w:spacing w:before="0" w:after="200"/>
        <w:rPr/>
      </w:pPr>
      <w:r>
        <w:rPr/>
        <w:t>In this example, the driver’s policy state is not detrimentally updated if the driver remains attentive, recognizes the harm, and continues to drive responsibly. The event may even produce a beneficial Actor Policy Update if the driver becomes more alert in areas where animals may enter the road, drives more cautiously in similar environments, or develops greater awareness of non-human Flourishing Entities.</w:t>
      </w:r>
    </w:p>
    <w:p>
      <w:pPr>
        <w:pStyle w:val="BodyText"/>
        <w:spacing w:before="0" w:after="200"/>
        <w:rPr/>
      </w:pPr>
      <w:r>
        <w:rPr/>
        <w:t>A detrimental Actor Policy Update would occur if the driver became indifferent to animal harm, began treating such harm as entertaining, ignored future opportunities to reduce risk, or generalized the event into a lower standard of care. Those facts are not assumed in the basic example.</w:t>
      </w:r>
    </w:p>
    <w:p>
      <w:pPr>
        <w:pStyle w:val="BodyText"/>
        <w:spacing w:before="0" w:after="200"/>
        <w:rPr/>
      </w:pPr>
      <w:r>
        <w:rPr/>
        <w:t>Distributed Policy Updates are minimal in the ordinary case. There are no observers who learn that harmful conduct is acceptable. There is no institutional precedent created. There is no collaboration, coercion, deception, or normalization of harmful means. There is no organizational or legal policy shift.</w:t>
      </w:r>
    </w:p>
    <w:p>
      <w:pPr>
        <w:pStyle w:val="BodyText"/>
        <w:spacing w:before="0" w:after="200"/>
        <w:rPr/>
      </w:pPr>
      <w:r>
        <w:rPr/>
        <w:t>If passengers are present, their policy updates may vary. A passenger who observes the driver respond responsibly may retain or increase trust in the driver. A passenger who observes appropriate concern after the accident may update toward greater respect for careful driving and animal life. These would be neutral or beneficial policy effects.</w:t>
      </w:r>
    </w:p>
    <w:p>
      <w:pPr>
        <w:pStyle w:val="BodyText"/>
        <w:spacing w:before="0" w:after="200"/>
        <w:rPr/>
      </w:pPr>
      <w:r>
        <w:rPr/>
        <w:t>The important methodological point is that the means do not degrade future decision policy. The harm occurs despite the driver’s policy of responsible driving, not because the driver adopts a harmful policy.</w:t>
      </w:r>
    </w:p>
    <w:p>
      <w:pPr>
        <w:pStyle w:val="Heading3"/>
        <w:ind w:hanging="0" w:left="0"/>
        <w:rPr/>
      </w:pPr>
      <w:r>
        <w:rPr/>
        <w:t>Flourishing Transitions</w:t>
      </w:r>
    </w:p>
    <w:p>
      <w:pPr>
        <w:pStyle w:val="BodyText"/>
        <w:spacing w:before="0" w:after="200"/>
        <w:rPr/>
      </w:pPr>
      <w:r>
        <w:rPr/>
        <w:t>The squirrel experiences a severe negative Flourishing Transition.</w:t>
      </w:r>
    </w:p>
    <w:p>
      <w:pPr>
        <w:pStyle w:val="BodyText"/>
        <w:spacing w:before="0" w:after="200"/>
        <w:rPr/>
      </w:pPr>
      <w:r>
        <w:rPr/>
        <w:t>Its persistence ends. Its future possibilities are eliminated. Its biological integrity is destroyed. From the perspective of the squirrel as a Flourishing Entity, the transition is maximally harmful.</w:t>
      </w:r>
    </w:p>
    <w:p>
      <w:pPr>
        <w:pStyle w:val="BodyText"/>
        <w:spacing w:before="0" w:after="200"/>
        <w:rPr/>
      </w:pPr>
      <w:r>
        <w:rPr/>
        <w:t>The driver may experience a minor to moderate negative Flourishing Transition if the event causes distress, guilt, or sadness. However, the driver may also experience a beneficial policy or character update if the event reinforces attentiveness, humility, and care. The net effect on the driver depends on response and interpretation.</w:t>
      </w:r>
    </w:p>
    <w:p>
      <w:pPr>
        <w:pStyle w:val="BodyText"/>
        <w:spacing w:before="0" w:after="200"/>
        <w:rPr/>
      </w:pPr>
      <w:r>
        <w:rPr/>
        <w:t>Passengers and other road users are likely preserved from greater risk if the driver avoids an unsafe evasive maneuver. Their flourishing is not materially diminished in the basic example. In fact, the driver’s choice not to swerve dangerously may preserve their safety and future possibilities.</w:t>
      </w:r>
    </w:p>
    <w:p>
      <w:pPr>
        <w:pStyle w:val="BodyText"/>
        <w:spacing w:before="0" w:after="200"/>
        <w:rPr/>
      </w:pPr>
      <w:r>
        <w:rPr/>
        <w:t>The broader ecosystem is not materially changed in the ordinary case. The loss of one squirrel is real and morally relevant, but it does not usually alter ecosystem-level persistence, adaptive capacity, or future state space.</w:t>
      </w:r>
    </w:p>
    <w:p>
      <w:pPr>
        <w:pStyle w:val="BodyText"/>
        <w:spacing w:before="0" w:after="200"/>
        <w:rPr/>
      </w:pPr>
      <w:r>
        <w:rPr/>
        <w:t>The flourishing profile is therefore mixed:</w:t>
      </w:r>
    </w:p>
    <w:p>
      <w:pPr>
        <w:pStyle w:val="BodyText"/>
        <w:spacing w:before="0" w:after="200"/>
        <w:rPr/>
      </w:pPr>
      <w:r>
        <w:rPr/>
        <w:t>The squirrel suffers severe direct diminishment.</w:t>
      </w:r>
    </w:p>
    <w:p>
      <w:pPr>
        <w:pStyle w:val="BodyText"/>
        <w:spacing w:before="0" w:after="200"/>
        <w:rPr/>
      </w:pPr>
      <w:r>
        <w:rPr/>
        <w:t>The driver may suffer emotional burden but not moral degradation.</w:t>
      </w:r>
    </w:p>
    <w:p>
      <w:pPr>
        <w:pStyle w:val="BodyText"/>
        <w:spacing w:before="0" w:after="200"/>
        <w:rPr/>
      </w:pPr>
      <w:r>
        <w:rPr/>
        <w:t>Passengers and other road users are protected from greater risk.</w:t>
      </w:r>
    </w:p>
    <w:p>
      <w:pPr>
        <w:pStyle w:val="BodyText"/>
        <w:spacing w:before="0" w:after="200"/>
        <w:rPr/>
      </w:pPr>
      <w:r>
        <w:rPr/>
        <w:t>The broader World Context is harmed in a limited way but not corrupted by negligence, cruelty, or degraded policy states.</w:t>
      </w:r>
    </w:p>
    <w:p>
      <w:pPr>
        <w:pStyle w:val="Heading3"/>
        <w:ind w:hanging="0" w:left="0"/>
        <w:rPr/>
      </w:pPr>
      <w:r>
        <w:rPr/>
        <w:t>World Context Transition</w:t>
      </w:r>
    </w:p>
    <w:p>
      <w:pPr>
        <w:pStyle w:val="BodyText"/>
        <w:spacing w:before="0" w:after="200"/>
        <w:rPr/>
      </w:pPr>
      <w:r>
        <w:rPr/>
        <w:t>World Context₀ includes a driver operating a vehicle attentively and lawfully, a squirrel alive near the roadway, other road users potentially present, and the ordinary background risk of animals entering roads.</w:t>
      </w:r>
    </w:p>
    <w:p>
      <w:pPr>
        <w:pStyle w:val="BodyText"/>
        <w:spacing w:before="0" w:after="200"/>
        <w:rPr/>
      </w:pPr>
      <w:r>
        <w:rPr/>
        <w:t>World Context₁ includes the death of the squirrel, the driver’s awareness of the event, possible emotional distress, and the continued safety of passengers, pedestrians, other drivers, and the driver.</w:t>
      </w:r>
    </w:p>
    <w:p>
      <w:pPr>
        <w:pStyle w:val="BodyText"/>
        <w:spacing w:before="0" w:after="200"/>
        <w:rPr/>
      </w:pPr>
      <w:r>
        <w:rPr/>
        <w:t>The transition includes a real harm. The squirrel’s flourishing is ended. The resulting World Context is worse in that respect.</w:t>
      </w:r>
    </w:p>
    <w:p>
      <w:pPr>
        <w:pStyle w:val="BodyText"/>
        <w:spacing w:before="0" w:after="200"/>
        <w:rPr/>
      </w:pPr>
      <w:r>
        <w:rPr/>
        <w:t>However, the World Context Transition does not include morally culpable negligence, harmful intent, institutional corruption, detrimental policy updates, deception, coercion, or avoidable material diminishment. The Actor did not choose a harmful means to achieve an objective. The Actor did not disregard evidence or fail to exercise reasonable care. The Actor did not normalize harmful conduct or make similar harms more probable through degraded future policy.</w:t>
      </w:r>
    </w:p>
    <w:p>
      <w:pPr>
        <w:pStyle w:val="BodyText"/>
        <w:spacing w:before="0" w:after="200"/>
        <w:rPr/>
      </w:pPr>
      <w:r>
        <w:rPr/>
        <w:t>The relevant comparison is not between World Context₀ and an impossible ideal world in which no harm occurs. The relevant comparison is between the actual transition and the feasible alternative transitions available within the Situational Context. If swerving or braking abruptly would likely create greater harm, then the resulting World Context may be the least harmful transition available.</w:t>
      </w:r>
    </w:p>
    <w:p>
      <w:pPr>
        <w:pStyle w:val="Heading3"/>
        <w:ind w:hanging="0" w:left="0"/>
        <w:rPr>
          <w:rFonts w:ascii="Aptos" w:hAnsi="Aptos"/>
          <w:color w:val="auto"/>
        </w:rPr>
      </w:pPr>
      <w:r>
        <w:rPr/>
        <w:t>Assessment Summary</w:t>
      </w:r>
    </w:p>
    <w:p>
      <w:pPr>
        <w:pStyle w:val="BodyText"/>
        <w:spacing w:before="0" w:after="200"/>
        <w:rPr/>
      </w:pPr>
      <w:r>
        <w:rPr/>
        <w:t>The unavoidable squirrel example shows that harmful outcomes and moral culpability are not identical.</w:t>
      </w:r>
    </w:p>
    <w:p>
      <w:pPr>
        <w:pStyle w:val="BodyText"/>
        <w:spacing w:before="0" w:after="200"/>
        <w:rPr/>
      </w:pPr>
      <w:r>
        <w:rPr/>
        <w:t>The death of the squirrel is a genuine negative Flourishing Transition. The squirrel is a relevant Flourishing Entity, and its persistence and future possibilities are eliminated. The framework therefore does not ignore the harm merely because the entity is non-human.</w:t>
      </w:r>
    </w:p>
    <w:p>
      <w:pPr>
        <w:pStyle w:val="BodyText"/>
        <w:spacing w:before="0" w:after="200"/>
        <w:rPr/>
      </w:pPr>
      <w:r>
        <w:rPr/>
        <w:t>However, the driver is not morally culpable in the basic scenario because the harm was not reasonably avoidable within the Situational Context. The driver acted under severe time and safety constraints, did not intend harm, did not behave negligently, and did not choose a harmful means when a safer alternative was available.</w:t>
      </w:r>
    </w:p>
    <w:p>
      <w:pPr>
        <w:pStyle w:val="BodyText"/>
        <w:spacing w:before="0" w:after="200"/>
        <w:rPr/>
      </w:pPr>
      <w:r>
        <w:rPr/>
        <w:t>The Actor Policy Update is not detrimental if the driver remains attentive and appropriately concerned. Broader Distributed Policy Effects are minimal or neutral. No institution, observer group, or future decision system is taught that careless or cruel behavior is acceptable.</w:t>
      </w:r>
    </w:p>
    <w:p>
      <w:pPr>
        <w:pStyle w:val="BodyText"/>
        <w:spacing w:before="0" w:after="200"/>
        <w:rPr/>
      </w:pPr>
      <w:r>
        <w:rPr/>
        <w:t>The resulting World Context Transition contains a real harm but not a morally wrongful policy degradation. The assessment therefore distinguishes unavoidable accidental harm from negligence or intentional wrongdoing.</w:t>
      </w:r>
    </w:p>
    <w:p>
      <w:pPr>
        <w:pStyle w:val="BodyText"/>
        <w:spacing w:before="0" w:after="200"/>
        <w:rPr/>
      </w:pPr>
      <w:r>
        <w:rPr/>
        <w:t>Assessment Result: Harm occurred, but the Actor is not morally culpable under the assumed facts.</w:t>
      </w:r>
    </w:p>
    <w:p>
      <w:pPr>
        <w:pStyle w:val="BodyText"/>
        <w:spacing w:before="0" w:after="200"/>
        <w:rPr/>
      </w:pPr>
      <w:r>
        <w:rPr/>
        <w:t>Confidence Level: High, assuming the driver was attentive, lawful, and had no reasonable safer alternative.</w:t>
      </w:r>
    </w:p>
    <w:p>
      <w:pPr>
        <w:pStyle w:val="Heading2"/>
        <w:ind w:hanging="0" w:left="0"/>
        <w:rPr/>
      </w:pPr>
      <w:r>
        <w:rPr/>
        <w:t>Negligence: texting while driving with no accident</w:t>
      </w:r>
    </w:p>
    <w:p>
      <w:pPr>
        <w:pStyle w:val="BodyText"/>
        <w:spacing w:before="0" w:after="200"/>
        <w:rPr/>
      </w:pPr>
      <w:r>
        <w:rPr/>
        <w:t>This example illustrates how Objective-Based Systems Ethics evaluates negligence even when no physical accident occurs.</w:t>
      </w:r>
    </w:p>
    <w:p>
      <w:pPr>
        <w:pStyle w:val="BodyText"/>
        <w:spacing w:before="0" w:after="200"/>
        <w:rPr/>
      </w:pPr>
      <w:r>
        <w:rPr/>
        <w:t>The scenario involves a driver who texts while driving but arrives safely without striking another vehicle, pedestrian, cyclist, animal, or object. No immediate physical harm occurs. However, the absence of an accident does not mean that the action is morally neutral. The framework evaluates the Assessed Action as a World Context Transition, including risk creation, policy-state degradation, affected entities, future behavior, and changes to the moral system.</w:t>
      </w:r>
    </w:p>
    <w:p>
      <w:pPr>
        <w:pStyle w:val="BodyText"/>
        <w:spacing w:before="0" w:after="200"/>
        <w:rPr/>
      </w:pPr>
      <w:r>
        <w:rPr/>
        <w:t>This example contrasts with the unavoidable squirrel example. In both cases, no human being is harmed. But the moral structure is different. In the squirrel example, harm occurs despite responsible action under unavoidable conditions. In this example, harm does not occur, but the Actor voluntarily adopts a negligent policy in a high-risk context.</w:t>
      </w:r>
    </w:p>
    <w:p>
      <w:pPr>
        <w:pStyle w:val="BodyText"/>
        <w:spacing w:before="0" w:after="200"/>
        <w:rPr/>
      </w:pPr>
      <w:r>
        <w:rPr/>
        <w:t>The framework therefore distinguishes harmful outcome from negligent action. Moral assessment is not limited to what happened physically. It also evaluates what the action made more likely, what future decision policies were updated, and what kind of World Context the action helps create.</w:t>
      </w:r>
    </w:p>
    <w:p>
      <w:pPr>
        <w:pStyle w:val="Heading3"/>
        <w:ind w:hanging="0" w:left="0"/>
        <w:rPr/>
      </w:pPr>
      <w:r>
        <w:rPr/>
        <w:t>Moral Agent</w:t>
      </w:r>
    </w:p>
    <w:p>
      <w:pPr>
        <w:pStyle w:val="BodyText"/>
        <w:spacing w:before="0" w:after="200"/>
        <w:rPr/>
      </w:pPr>
      <w:r>
        <w:rPr/>
        <w:t>The driver is the primary Moral Agent.</w:t>
      </w:r>
    </w:p>
    <w:p>
      <w:pPr>
        <w:pStyle w:val="BodyText"/>
        <w:spacing w:before="0" w:after="200"/>
        <w:rPr/>
      </w:pPr>
      <w:r>
        <w:rPr/>
        <w:t>The driver is capable of understanding that texting while driving impairs attention, increases risk, and violates the duty of care associated with operating a vehicle. The driver has the ability to choose among alternatives: continue driving attentively, pull over before texting, wait until arrival, use hands-free emergency communication where lawful and appropriate, or ask a passenger to assist.</w:t>
      </w:r>
    </w:p>
    <w:p>
      <w:pPr>
        <w:pStyle w:val="BodyText"/>
        <w:spacing w:before="0" w:after="200"/>
        <w:rPr/>
      </w:pPr>
      <w:r>
        <w:rPr/>
        <w:t>Because the driver has meaningful alternatives and sufficient capacity to evaluate risk, the driver is morally responsible for the decision to text while driving.</w:t>
      </w:r>
    </w:p>
    <w:p>
      <w:pPr>
        <w:pStyle w:val="BodyText"/>
        <w:spacing w:before="0" w:after="200"/>
        <w:rPr/>
      </w:pPr>
      <w:r>
        <w:rPr/>
        <w:t>Other possible Moral Agents may include passengers who encourage or discourage the conduct, employers who pressure employees to respond while driving, phone or vehicle systems that enable unsafe interaction, or institutions that fail to enforce safety rules. In the basic example, the focus remains on the driver.</w:t>
      </w:r>
    </w:p>
    <w:p>
      <w:pPr>
        <w:pStyle w:val="Heading3"/>
        <w:ind w:hanging="0" w:left="0"/>
        <w:rPr/>
      </w:pPr>
      <w:r>
        <w:rPr/>
        <w:t>Relevant Flourishing Entities</w:t>
      </w:r>
    </w:p>
    <w:p>
      <w:pPr>
        <w:pStyle w:val="BodyText"/>
        <w:spacing w:before="0" w:after="200"/>
        <w:rPr/>
      </w:pPr>
      <w:r>
        <w:rPr/>
        <w:t>The relevant Flourishing Entities include the driver, passengers, pedestrians, cyclists, other drivers, nearby animals, emergency responders, and other persons who could be affected by a distracted-driving event.</w:t>
      </w:r>
    </w:p>
    <w:p>
      <w:pPr>
        <w:pStyle w:val="BodyText"/>
        <w:spacing w:before="0" w:after="200"/>
        <w:rPr/>
      </w:pPr>
      <w:r>
        <w:rPr/>
        <w:t>The driver is a relevant Flourishing Entity because texting while driving increases risk to the driver’s own safety, legal status, future opportunities, and moral policy state.</w:t>
      </w:r>
    </w:p>
    <w:p>
      <w:pPr>
        <w:pStyle w:val="BodyText"/>
        <w:spacing w:before="0" w:after="200"/>
        <w:rPr/>
      </w:pPr>
      <w:r>
        <w:rPr/>
        <w:t>Passengers are relevant because they are exposed to increased risk without necessarily consenting to that risk. Their safety, trust, and future possibilities may be affected by the driver’s negligence.</w:t>
      </w:r>
    </w:p>
    <w:p>
      <w:pPr>
        <w:pStyle w:val="BodyText"/>
        <w:spacing w:before="0" w:after="200"/>
        <w:rPr/>
      </w:pPr>
      <w:r>
        <w:rPr/>
        <w:t>Pedestrians, cyclists, other drivers, and nearby animals are relevant because the driver’s reduced attention increases the probability of harm to them. Even though no accident occurs in this scenario, these entities are placed into a more dangerous World Context.</w:t>
      </w:r>
    </w:p>
    <w:p>
      <w:pPr>
        <w:pStyle w:val="BodyText"/>
        <w:spacing w:before="0" w:after="200"/>
        <w:rPr/>
      </w:pPr>
      <w:r>
        <w:rPr/>
        <w:t>Emergency responders and institutions may also be relevant at lower resolution. If an accident had occurred, they would have borne response burdens. Repeated negligent driving behavior can also affect public safety systems, insurance systems, enforcement institutions, and social expectations around road safety.</w:t>
      </w:r>
    </w:p>
    <w:p>
      <w:pPr>
        <w:pStyle w:val="BodyText"/>
        <w:spacing w:before="0" w:after="200"/>
        <w:rPr/>
      </w:pPr>
      <w:r>
        <w:rPr/>
        <w:t>The important point is that relevant Flourishing Entities are not limited to those actually harmed. They include entities whose risk exposure, future possibilities, or state conditions are materially changed by the Assessed Action.</w:t>
      </w:r>
    </w:p>
    <w:p>
      <w:pPr>
        <w:pStyle w:val="Heading3"/>
        <w:ind w:hanging="0" w:left="0"/>
        <w:rPr/>
      </w:pPr>
      <w:r>
        <w:rPr/>
        <w:t>Situational Context</w:t>
      </w:r>
    </w:p>
    <w:p>
      <w:pPr>
        <w:pStyle w:val="BodyText"/>
        <w:spacing w:before="0" w:after="200"/>
        <w:rPr/>
      </w:pPr>
      <w:r>
        <w:rPr/>
        <w:t>The Situational Context is ordinary driving in which the driver chooses to text while operating a vehicle.</w:t>
      </w:r>
    </w:p>
    <w:p>
      <w:pPr>
        <w:pStyle w:val="BodyText"/>
        <w:spacing w:before="0" w:after="200"/>
        <w:rPr/>
      </w:pPr>
      <w:r>
        <w:rPr/>
        <w:t>Driving is a high-risk activity requiring sustained attention. The driver has a duty of care to maintain awareness of the roadway, traffic signals, pedestrians, cyclists, animals, road conditions, and other vehicles. Texting diverts visual, manual, and cognitive attention from that duty.</w:t>
      </w:r>
    </w:p>
    <w:p>
      <w:pPr>
        <w:pStyle w:val="BodyText"/>
        <w:spacing w:before="0" w:after="200"/>
        <w:rPr/>
      </w:pPr>
      <w:r>
        <w:rPr/>
        <w:t>Material features of the Situational Context include:</w:t>
      </w:r>
    </w:p>
    <w:p>
      <w:pPr>
        <w:pStyle w:val="BodyText"/>
        <w:spacing w:before="0" w:after="200"/>
        <w:rPr/>
      </w:pPr>
      <w:r>
        <w:rPr/>
        <w:t>The driver is operating a vehicle capable of causing severe harm.</w:t>
      </w:r>
    </w:p>
    <w:p>
      <w:pPr>
        <w:pStyle w:val="BodyText"/>
        <w:spacing w:before="0" w:after="200"/>
        <w:rPr/>
      </w:pPr>
      <w:r>
        <w:rPr/>
        <w:t>The driver has meaningful alternatives to texting while driving.</w:t>
      </w:r>
    </w:p>
    <w:p>
      <w:pPr>
        <w:pStyle w:val="BodyText"/>
        <w:spacing w:before="0" w:after="200"/>
        <w:rPr/>
      </w:pPr>
      <w:r>
        <w:rPr/>
        <w:t>The driver’s attention is required for safe operation.</w:t>
      </w:r>
    </w:p>
    <w:p>
      <w:pPr>
        <w:pStyle w:val="BodyText"/>
        <w:spacing w:before="0" w:after="200"/>
        <w:rPr/>
      </w:pPr>
      <w:r>
        <w:rPr/>
        <w:t>Other Flourishing Entities may enter the vehicle’s path or be affected by delayed reaction.</w:t>
      </w:r>
    </w:p>
    <w:p>
      <w:pPr>
        <w:pStyle w:val="BodyText"/>
        <w:spacing w:before="0" w:after="200"/>
        <w:rPr/>
      </w:pPr>
      <w:r>
        <w:rPr/>
        <w:t>The driver’s action increases risk even if no accident occurs.</w:t>
      </w:r>
    </w:p>
    <w:p>
      <w:pPr>
        <w:pStyle w:val="BodyText"/>
        <w:spacing w:before="0" w:after="200"/>
        <w:rPr/>
      </w:pPr>
      <w:r>
        <w:rPr/>
        <w:t>The risk is reasonably foreseeable.</w:t>
      </w:r>
    </w:p>
    <w:p>
      <w:pPr>
        <w:pStyle w:val="BodyText"/>
        <w:spacing w:before="0" w:after="200"/>
        <w:rPr/>
      </w:pPr>
      <w:r>
        <w:rPr/>
        <w:t>The driver’s conduct is avoidable.</w:t>
      </w:r>
    </w:p>
    <w:p>
      <w:pPr>
        <w:pStyle w:val="BodyText"/>
        <w:spacing w:before="0" w:after="200"/>
        <w:rPr/>
      </w:pPr>
      <w:r>
        <w:rPr/>
        <w:t>The driver’s operational objective, such as sending or reading a message, is comparatively minor relative to the possible harm.</w:t>
      </w:r>
    </w:p>
    <w:p>
      <w:pPr>
        <w:pStyle w:val="BodyText"/>
        <w:spacing w:before="0" w:after="200"/>
        <w:rPr/>
      </w:pPr>
      <w:r>
        <w:rPr/>
        <w:t>The key moral fact is not that an accident happened. It is that the driver voluntarily created an avoidable risk while responsible for a dangerous instrumentality.</w:t>
      </w:r>
    </w:p>
    <w:p>
      <w:pPr>
        <w:pStyle w:val="Heading3"/>
        <w:ind w:hanging="0" w:left="0"/>
        <w:rPr/>
      </w:pPr>
      <w:r>
        <w:rPr/>
        <w:t>Action</w:t>
      </w:r>
    </w:p>
    <w:p>
      <w:pPr>
        <w:pStyle w:val="BodyText"/>
        <w:spacing w:before="0" w:after="200"/>
        <w:rPr/>
      </w:pPr>
      <w:r>
        <w:rPr/>
        <w:t>The Assessed Action is the driver’s choice to text while driving.</w:t>
      </w:r>
    </w:p>
    <w:p>
      <w:pPr>
        <w:pStyle w:val="BodyText"/>
        <w:spacing w:before="0" w:after="200"/>
        <w:rPr/>
      </w:pPr>
      <w:r>
        <w:rPr/>
        <w:t>The action includes both the physical act of interacting with the phone and the policy decision to prioritize messaging over attentive driving. The action is not merely “sending a message.” In context, it is “sending or reading a message while controlling a moving vehicle and thereby reducing attention to a safety-critical task.”</w:t>
      </w:r>
    </w:p>
    <w:p>
      <w:pPr>
        <w:pStyle w:val="BodyText"/>
        <w:spacing w:before="0" w:after="200"/>
        <w:rPr/>
      </w:pPr>
      <w:r>
        <w:rPr/>
        <w:t>Available alternatives include:</w:t>
      </w:r>
    </w:p>
    <w:p>
      <w:pPr>
        <w:pStyle w:val="BodyText"/>
        <w:spacing w:before="0" w:after="200"/>
        <w:rPr/>
      </w:pPr>
      <w:r>
        <w:rPr/>
        <w:t>Waiting until arrival.</w:t>
      </w:r>
    </w:p>
    <w:p>
      <w:pPr>
        <w:pStyle w:val="BodyText"/>
        <w:spacing w:before="0" w:after="200"/>
        <w:rPr/>
      </w:pPr>
      <w:r>
        <w:rPr/>
        <w:t>Pulling over safely before texting.</w:t>
      </w:r>
    </w:p>
    <w:p>
      <w:pPr>
        <w:pStyle w:val="BodyText"/>
        <w:spacing w:before="0" w:after="200"/>
        <w:rPr/>
      </w:pPr>
      <w:r>
        <w:rPr/>
        <w:t>Silencing or ignoring the message.</w:t>
      </w:r>
    </w:p>
    <w:p>
      <w:pPr>
        <w:pStyle w:val="BodyText"/>
        <w:spacing w:before="0" w:after="200"/>
        <w:rPr/>
      </w:pPr>
      <w:r>
        <w:rPr/>
        <w:t>Using a passenger to respond.</w:t>
      </w:r>
    </w:p>
    <w:p>
      <w:pPr>
        <w:pStyle w:val="BodyText"/>
        <w:spacing w:before="0" w:after="200"/>
        <w:rPr/>
      </w:pPr>
      <w:r>
        <w:rPr/>
        <w:t>Using lawful emergency communication only if necessary.</w:t>
      </w:r>
    </w:p>
    <w:p>
      <w:pPr>
        <w:pStyle w:val="BodyText"/>
        <w:spacing w:before="0" w:after="200"/>
        <w:rPr/>
      </w:pPr>
      <w:r>
        <w:rPr/>
        <w:t>Stopping the vehicle before interacting with the phone.</w:t>
      </w:r>
    </w:p>
    <w:p>
      <w:pPr>
        <w:pStyle w:val="BodyText"/>
        <w:spacing w:before="0" w:after="200"/>
        <w:rPr/>
      </w:pPr>
      <w:r>
        <w:rPr/>
        <w:t>Because safer alternatives are available, the action is not unavoidable. Unlike the squirrel example, the negligent state is created before any emergency occurs.</w:t>
      </w:r>
    </w:p>
    <w:p>
      <w:pPr>
        <w:pStyle w:val="BodyText"/>
        <w:spacing w:before="0" w:after="200"/>
        <w:rPr/>
      </w:pPr>
      <w:r>
        <w:rPr/>
        <w:t>The action produces no immediate collision, but it creates a risk-increasing State Transition and a detrimental Actor Policy Update.</w:t>
      </w:r>
    </w:p>
    <w:p>
      <w:pPr>
        <w:pStyle w:val="Heading3"/>
        <w:ind w:hanging="0" w:left="0"/>
        <w:rPr/>
      </w:pPr>
      <w:r>
        <w:rPr/>
        <w:t>Actor / Distributed Policy Updates</w:t>
      </w:r>
    </w:p>
    <w:p>
      <w:pPr>
        <w:pStyle w:val="BodyText"/>
        <w:spacing w:before="0" w:after="200"/>
        <w:rPr/>
      </w:pPr>
      <w:r>
        <w:rPr/>
        <w:t>The primary Actor is the driver.</w:t>
      </w:r>
    </w:p>
    <w:p>
      <w:pPr>
        <w:pStyle w:val="BodyText"/>
        <w:spacing w:before="0" w:after="200"/>
        <w:rPr/>
      </w:pPr>
      <w:r>
        <w:rPr/>
        <w:t>The Actor Policy Update is central in this example. By texting while driving and arriving safely, the driver may become more likely to repeat the behavior. The absence of immediate harm may reinforce the false belief that the action is acceptable, manageable, or low risk. The driver’s future decision policy may shift toward greater tolerance for distraction while driving.</w:t>
      </w:r>
    </w:p>
    <w:p>
      <w:pPr>
        <w:pStyle w:val="BodyText"/>
        <w:spacing w:before="0" w:after="200"/>
        <w:rPr/>
      </w:pPr>
      <w:r>
        <w:rPr/>
        <w:t>This is a detrimental Actor Policy Update. It increases the probability of future negligent action and future harm.</w:t>
      </w:r>
    </w:p>
    <w:p>
      <w:pPr>
        <w:pStyle w:val="BodyText"/>
        <w:spacing w:before="0" w:after="200"/>
        <w:rPr/>
      </w:pPr>
      <w:r>
        <w:rPr/>
        <w:t>The action may also create broader Distributed Policy Updates.</w:t>
      </w:r>
    </w:p>
    <w:p>
      <w:pPr>
        <w:pStyle w:val="BodyText"/>
        <w:spacing w:before="0" w:after="200"/>
        <w:rPr/>
      </w:pPr>
      <w:r>
        <w:rPr/>
        <w:t>Passengers may update their expectations. If they observe the driver texting without consequence, they may become more tolerant of texting while driving, less likely to object, or more likely to imitate the behavior.</w:t>
      </w:r>
    </w:p>
    <w:p>
      <w:pPr>
        <w:pStyle w:val="BodyText"/>
        <w:spacing w:before="0" w:after="200"/>
        <w:rPr/>
      </w:pPr>
      <w:r>
        <w:rPr/>
        <w:t>Observers may update similarly if the conduct is visible and appears socially tolerated.</w:t>
      </w:r>
    </w:p>
    <w:p>
      <w:pPr>
        <w:pStyle w:val="BodyText"/>
        <w:spacing w:before="0" w:after="200"/>
        <w:rPr/>
      </w:pPr>
      <w:r>
        <w:rPr/>
        <w:t>Children or younger passengers may learn that texting while driving is normal adult behavior.</w:t>
      </w:r>
    </w:p>
    <w:p>
      <w:pPr>
        <w:pStyle w:val="BodyText"/>
        <w:spacing w:before="0" w:after="200"/>
        <w:rPr/>
      </w:pPr>
      <w:r>
        <w:rPr/>
        <w:t>Other drivers may be affected indirectly if negligent driving becomes more common or socially normalized.</w:t>
      </w:r>
    </w:p>
    <w:p>
      <w:pPr>
        <w:pStyle w:val="BodyText"/>
        <w:spacing w:before="0" w:after="200"/>
        <w:rPr/>
      </w:pPr>
      <w:r>
        <w:rPr/>
        <w:t>Institutions may be affected at scale if repeated conduct of this kind weakens public compliance with road-safety norms.</w:t>
      </w:r>
    </w:p>
    <w:p>
      <w:pPr>
        <w:pStyle w:val="BodyText"/>
        <w:spacing w:before="0" w:after="200"/>
        <w:rPr/>
      </w:pPr>
      <w:r>
        <w:rPr/>
        <w:t>Even without an accident, the action changes the future moral environment by making negligent driving more likely for the Actor and potentially for others.</w:t>
      </w:r>
    </w:p>
    <w:p>
      <w:pPr>
        <w:pStyle w:val="BodyText"/>
        <w:spacing w:before="0" w:after="200"/>
        <w:rPr/>
      </w:pPr>
      <w:r>
        <w:rPr/>
        <w:t>The policy-state change is therefore part of the resulting World Context.</w:t>
      </w:r>
    </w:p>
    <w:p>
      <w:pPr>
        <w:pStyle w:val="Heading3"/>
        <w:ind w:hanging="0" w:left="0"/>
        <w:rPr/>
      </w:pPr>
      <w:r>
        <w:rPr/>
        <w:t>Flourishing Transitions</w:t>
      </w:r>
    </w:p>
    <w:p>
      <w:pPr>
        <w:pStyle w:val="BodyText"/>
        <w:spacing w:before="0" w:after="200"/>
        <w:rPr/>
      </w:pPr>
      <w:r>
        <w:rPr/>
        <w:t>No entity experiences a severe immediate physical Flourishing Transition in the basic scenario because no accident occurs.</w:t>
      </w:r>
    </w:p>
    <w:p>
      <w:pPr>
        <w:pStyle w:val="BodyText"/>
        <w:spacing w:before="0" w:after="200"/>
        <w:rPr/>
      </w:pPr>
      <w:r>
        <w:rPr/>
        <w:t>However, several relevant Flourishing Entities experience risk-related or policy-related transitions.</w:t>
      </w:r>
    </w:p>
    <w:p>
      <w:pPr>
        <w:pStyle w:val="BodyText"/>
        <w:spacing w:before="0" w:after="200"/>
        <w:rPr/>
      </w:pPr>
      <w:r>
        <w:rPr/>
        <w:t>The driver’s Long-Term Flourishing may be diminished through degradation of moral policy state, increased future accident risk, increased legal risk, and reduced attentional discipline in a safety-critical context.</w:t>
      </w:r>
    </w:p>
    <w:p>
      <w:pPr>
        <w:pStyle w:val="BodyText"/>
        <w:spacing w:before="0" w:after="200"/>
        <w:rPr/>
      </w:pPr>
      <w:r>
        <w:rPr/>
        <w:t>Passengers may experience increased immediate risk and potential loss of trust. Even if they are not physically harmed, their safety conditions are worsened during the action.</w:t>
      </w:r>
    </w:p>
    <w:p>
      <w:pPr>
        <w:pStyle w:val="BodyText"/>
        <w:spacing w:before="0" w:after="200"/>
        <w:rPr/>
      </w:pPr>
      <w:r>
        <w:rPr/>
        <w:t>Pedestrians, cyclists, other drivers, and animals near the roadway experience increased exposure to harm. Their actual physical state may remain unchanged, but the World Context in which they exist becomes more dangerous during the period of distracted driving.</w:t>
      </w:r>
    </w:p>
    <w:p>
      <w:pPr>
        <w:pStyle w:val="BodyText"/>
        <w:spacing w:before="0" w:after="200"/>
        <w:rPr/>
      </w:pPr>
      <w:r>
        <w:rPr/>
        <w:t>Future potential victims are relevant because the Actor Policy Update increases the probability of repeated behavior. If the driver becomes more likely to text while driving again, future Flourishing Entities face increased risk.</w:t>
      </w:r>
    </w:p>
    <w:p>
      <w:pPr>
        <w:pStyle w:val="BodyText"/>
        <w:spacing w:before="0" w:after="200"/>
        <w:rPr/>
      </w:pPr>
      <w:r>
        <w:rPr/>
        <w:t>The flourishing profile is therefore not neutral:</w:t>
      </w:r>
    </w:p>
    <w:p>
      <w:pPr>
        <w:pStyle w:val="BodyText"/>
        <w:spacing w:before="0" w:after="200"/>
        <w:rPr/>
      </w:pPr>
      <w:r>
        <w:rPr/>
        <w:t>Immediate physical harm does not occur.</w:t>
      </w:r>
    </w:p>
    <w:p>
      <w:pPr>
        <w:pStyle w:val="BodyText"/>
        <w:spacing w:before="0" w:after="200"/>
        <w:rPr/>
      </w:pPr>
      <w:r>
        <w:rPr/>
        <w:t>Immediate risk exposure increases.</w:t>
      </w:r>
    </w:p>
    <w:p>
      <w:pPr>
        <w:pStyle w:val="BodyText"/>
        <w:spacing w:before="0" w:after="200"/>
        <w:rPr/>
      </w:pPr>
      <w:r>
        <w:rPr/>
        <w:t>The driver’s policy state degrades.</w:t>
      </w:r>
    </w:p>
    <w:p>
      <w:pPr>
        <w:pStyle w:val="BodyText"/>
        <w:spacing w:before="0" w:after="200"/>
        <w:rPr/>
      </w:pPr>
      <w:r>
        <w:rPr/>
        <w:t>Future probability of harm increases.</w:t>
      </w:r>
    </w:p>
    <w:p>
      <w:pPr>
        <w:pStyle w:val="BodyText"/>
        <w:spacing w:before="0" w:after="200"/>
        <w:rPr/>
      </w:pPr>
      <w:r>
        <w:rPr/>
        <w:t>Trust and safety expectations may be weakened.</w:t>
      </w:r>
    </w:p>
    <w:p>
      <w:pPr>
        <w:pStyle w:val="BodyText"/>
        <w:spacing w:before="0" w:after="200"/>
        <w:rPr/>
      </w:pPr>
      <w:r>
        <w:rPr/>
        <w:t>Affected entities’ future possibilities are probabilistically threatened.</w:t>
      </w:r>
    </w:p>
    <w:p>
      <w:pPr>
        <w:pStyle w:val="BodyText"/>
        <w:spacing w:before="0" w:after="200"/>
        <w:rPr/>
      </w:pPr>
      <w:r>
        <w:rPr/>
        <w:t>The assessment should represent this as a negative risk and policy-state transition rather than as a harmless event.</w:t>
      </w:r>
    </w:p>
    <w:p>
      <w:pPr>
        <w:pStyle w:val="Heading3"/>
        <w:ind w:hanging="0" w:left="0"/>
        <w:rPr/>
      </w:pPr>
      <w:r>
        <w:rPr/>
        <w:t>World Context Transition</w:t>
      </w:r>
    </w:p>
    <w:p>
      <w:pPr>
        <w:pStyle w:val="BodyText"/>
        <w:spacing w:before="0" w:after="200"/>
        <w:rPr/>
      </w:pPr>
      <w:r>
        <w:rPr/>
        <w:t>World Context₀ includes a driver operating a vehicle with a duty of care, other Flourishing Entities potentially present in or near the roadway, and a decision context in which the driver has safer alternatives.</w:t>
      </w:r>
    </w:p>
    <w:p>
      <w:pPr>
        <w:pStyle w:val="BodyText"/>
        <w:spacing w:before="0" w:after="200"/>
        <w:rPr/>
      </w:pPr>
      <w:r>
        <w:rPr/>
        <w:t>World Context₁ includes the driver having texted while driving without an accident. It also includes a changed Actor Policy State: the driver may now be more likely to repeat the behavior because no immediate negative consequence occurred. It may include altered passenger or observer expectations if others were aware of the conduct. It includes a period during which nearby Flourishing Entities were exposed to avoidable elevated risk.</w:t>
      </w:r>
    </w:p>
    <w:p>
      <w:pPr>
        <w:pStyle w:val="BodyText"/>
        <w:spacing w:before="0" w:after="200"/>
        <w:rPr/>
      </w:pPr>
      <w:r>
        <w:rPr/>
        <w:t>The resulting World Context is morally worse than World Context₀ even though no physical collision occurred.</w:t>
      </w:r>
    </w:p>
    <w:p>
      <w:pPr>
        <w:pStyle w:val="BodyText"/>
        <w:spacing w:before="0" w:after="200"/>
        <w:rPr/>
      </w:pPr>
      <w:r>
        <w:rPr/>
        <w:t>The negative transition includes:</w:t>
      </w:r>
    </w:p>
    <w:p>
      <w:pPr>
        <w:pStyle w:val="BodyText"/>
        <w:spacing w:before="0" w:after="200"/>
        <w:rPr/>
      </w:pPr>
      <w:r>
        <w:rPr/>
        <w:t>Increased risk to relevant Flourishing Entities.</w:t>
      </w:r>
    </w:p>
    <w:p>
      <w:pPr>
        <w:pStyle w:val="BodyText"/>
        <w:spacing w:before="0" w:after="200"/>
        <w:rPr/>
      </w:pPr>
      <w:r>
        <w:rPr/>
        <w:t>Degraded Actor Policy State.</w:t>
      </w:r>
    </w:p>
    <w:p>
      <w:pPr>
        <w:pStyle w:val="BodyText"/>
        <w:spacing w:before="0" w:after="200"/>
        <w:rPr/>
      </w:pPr>
      <w:r>
        <w:rPr/>
        <w:t>Potential normalization of negligent behavior.</w:t>
      </w:r>
    </w:p>
    <w:p>
      <w:pPr>
        <w:pStyle w:val="BodyText"/>
        <w:spacing w:before="0" w:after="200"/>
        <w:rPr/>
      </w:pPr>
      <w:r>
        <w:rPr/>
        <w:t>Reduced attentional discipline in a high-risk context.</w:t>
      </w:r>
    </w:p>
    <w:p>
      <w:pPr>
        <w:pStyle w:val="BodyText"/>
        <w:spacing w:before="0" w:after="200"/>
        <w:rPr/>
      </w:pPr>
      <w:r>
        <w:rPr/>
        <w:t>Possible weakening of passenger or observer expectations.</w:t>
      </w:r>
    </w:p>
    <w:p>
      <w:pPr>
        <w:pStyle w:val="BodyText"/>
        <w:spacing w:before="0" w:after="200"/>
        <w:rPr/>
      </w:pPr>
      <w:r>
        <w:rPr/>
        <w:t>Increased probability of future harmful State Transitions.</w:t>
      </w:r>
    </w:p>
    <w:p>
      <w:pPr>
        <w:pStyle w:val="BodyText"/>
        <w:spacing w:before="0" w:after="200"/>
        <w:rPr/>
      </w:pPr>
      <w:r>
        <w:rPr/>
        <w:t>The absence of an accident prevents the most severe immediate harms from occurring, but it does not erase the negligent World Context Transition.</w:t>
      </w:r>
    </w:p>
    <w:p>
      <w:pPr>
        <w:pStyle w:val="BodyText"/>
        <w:spacing w:before="0" w:after="200"/>
        <w:rPr/>
      </w:pPr>
      <w:r>
        <w:rPr/>
        <w:t>The relevant comparison is not between “accident” and “no accident.” It is between a World Context in which the driver preserves a responsible safety policy and a World Context in which the driver updates toward negligent risk-taking.</w:t>
      </w:r>
    </w:p>
    <w:p>
      <w:pPr>
        <w:pStyle w:val="Heading3"/>
        <w:ind w:hanging="0" w:left="0"/>
        <w:rPr>
          <w:rFonts w:ascii="Aptos" w:hAnsi="Aptos"/>
          <w:color w:val="auto"/>
        </w:rPr>
      </w:pPr>
      <w:r>
        <w:rPr/>
        <w:t>Assessment Summary</w:t>
      </w:r>
    </w:p>
    <w:p>
      <w:pPr>
        <w:pStyle w:val="BodyText"/>
        <w:spacing w:before="0" w:after="200"/>
        <w:rPr/>
      </w:pPr>
      <w:r>
        <w:rPr/>
        <w:t>The texting-while-driving example shows that moral assessment is not limited to actual physical harm.</w:t>
      </w:r>
    </w:p>
    <w:p>
      <w:pPr>
        <w:pStyle w:val="BodyText"/>
        <w:spacing w:before="0" w:after="200"/>
        <w:rPr/>
      </w:pPr>
      <w:r>
        <w:rPr/>
        <w:t>The driver is morally culpable because the action creates avoidable risk in a context where the driver has a duty of care and safer alternatives are available. The fact that no accident occurs reduces the severity of the immediate consequences, but it does not make the action morally neutral.</w:t>
      </w:r>
    </w:p>
    <w:p>
      <w:pPr>
        <w:pStyle w:val="BodyText"/>
        <w:spacing w:before="0" w:after="200"/>
        <w:rPr/>
      </w:pPr>
      <w:r>
        <w:rPr/>
        <w:t>The central moral issue is negligent policy formation. By texting while driving, the driver updates their own future decision policy toward tolerating distraction during a safety-critical task. If the action is repeated or observed, it may also update the policies of passengers, observers, and broader social norms.</w:t>
      </w:r>
    </w:p>
    <w:p>
      <w:pPr>
        <w:pStyle w:val="BodyText"/>
        <w:spacing w:before="0" w:after="200"/>
        <w:rPr/>
      </w:pPr>
      <w:r>
        <w:rPr/>
        <w:t>The World Context Transition is therefore negative even without an accident. The action increases risk, degrades future decision policy, and makes future harmful transitions more likely.</w:t>
      </w:r>
    </w:p>
    <w:p>
      <w:pPr>
        <w:pStyle w:val="BodyText"/>
        <w:spacing w:before="0" w:after="200"/>
        <w:rPr/>
      </w:pPr>
      <w:r>
        <w:rPr/>
        <w:t>Assessment Result: Morally negative negligent action, even though no accident occurred.</w:t>
      </w:r>
    </w:p>
    <w:p>
      <w:pPr>
        <w:pStyle w:val="BodyText"/>
        <w:spacing w:before="0" w:after="200"/>
        <w:rPr/>
      </w:pPr>
      <w:r>
        <w:rPr/>
        <w:t>Confidence Level: High, assuming the driver voluntarily texted while driving, had safer alternatives, and no emergency justified the action.</w:t>
      </w:r>
    </w:p>
    <w:p>
      <w:pPr>
        <w:pStyle w:val="Normal"/>
        <w:widowControl/>
        <w:bidi w:val="0"/>
        <w:spacing w:lineRule="auto" w:line="276"/>
        <w:jc w:val="left"/>
        <w:rPr/>
      </w:pPr>
      <w:r>
        <w:rPr/>
      </w:r>
    </w:p>
    <w:p>
      <w:pPr>
        <w:pStyle w:val="Heading2"/>
        <w:ind w:hanging="0" w:left="0"/>
        <w:rPr/>
      </w:pPr>
      <w:r>
        <w:rPr/>
        <w:t>The ends do not justify the means: torture and terrorism</w:t>
      </w:r>
    </w:p>
    <w:p>
      <w:pPr>
        <w:pStyle w:val="BodyText"/>
        <w:spacing w:before="0" w:after="200"/>
        <w:rPr/>
      </w:pPr>
      <w:r>
        <w:rPr/>
        <w:t>This example illustrates how Objective-Based Systems Ethics evaluates a case in which a severe threatened harm is used to justify a morally destructive means.</w:t>
      </w:r>
    </w:p>
    <w:p>
      <w:pPr>
        <w:pStyle w:val="BodyText"/>
        <w:spacing w:before="0" w:after="200"/>
        <w:rPr/>
      </w:pPr>
      <w:r>
        <w:rPr/>
        <w:t>The scenario involves a Moral Agent who authorizes or performs torture against a detained person suspected of possessing information about a planned terrorist attack. The stated objective is to prevent large-scale harm to innocent people. The operational objective is therefore serious and morally relevant. Preventing terrorism can preserve the lives, safety, future possibilities, and Long-Term Flourishing of many relevant Flourishing Entities.</w:t>
      </w:r>
    </w:p>
    <w:p>
      <w:pPr>
        <w:pStyle w:val="BodyText"/>
        <w:spacing w:before="0" w:after="200"/>
        <w:rPr/>
      </w:pPr>
      <w:r>
        <w:rPr/>
        <w:t>However, the framework does not assess the action only by its stated objective. It evaluates the Assessed Action as a transformation from World Context₀ to World Context₁. This includes the means used, the affected entities, the reliability of evidence, the institutional effects, the policy-state changes, the effect on future state space, and the resulting World Context.</w:t>
      </w:r>
    </w:p>
    <w:p>
      <w:pPr>
        <w:pStyle w:val="BodyText"/>
        <w:spacing w:before="0" w:after="200"/>
        <w:rPr/>
      </w:pPr>
      <w:r>
        <w:rPr/>
        <w:t>The example demonstrates why the ends do not justify the means. Torture is not external to the assessment merely because the Actor pursues a beneficial objective. Torture is the means selected by the Actor, and that means changes the World Context. It materially diminishes the person tortured, degrades the Actor’s future decision policy, corrupts institutional policy states, damages legitimacy, alters observers and responders, and makes future harmful conduct more likely.</w:t>
      </w:r>
    </w:p>
    <w:p>
      <w:pPr>
        <w:pStyle w:val="Heading4"/>
        <w:ind w:hanging="0" w:left="0"/>
        <w:rPr>
          <w:rFonts w:ascii="Aptos" w:hAnsi="Aptos"/>
          <w:color w:val="auto"/>
        </w:rPr>
      </w:pPr>
      <w:bookmarkStart w:id="15" w:name="__RefHeading___Toc23538_4084717531"/>
      <w:bookmarkEnd w:id="15"/>
      <w:r>
        <w:rPr/>
        <w:t>Responses to Those Incremental Questions</w:t>
      </w:r>
    </w:p>
    <w:p>
      <w:pPr>
        <w:pStyle w:val="BodyText"/>
        <w:spacing w:before="0" w:after="200"/>
        <w:rPr/>
      </w:pPr>
      <w:r>
        <w:rPr/>
        <w:t>Collectively, these responses suggest that care should enter the framework at four stages:</w:t>
      </w:r>
    </w:p>
    <w:p>
      <w:pPr>
        <w:pStyle w:val="BodyText"/>
        <w:numPr>
          <w:ilvl w:val="0"/>
          <w:numId w:val="62"/>
        </w:numPr>
        <w:tabs>
          <w:tab w:val="clear" w:pos="720"/>
          <w:tab w:val="left" w:pos="0" w:leader="none"/>
        </w:tabs>
        <w:spacing w:before="0" w:after="200"/>
        <w:ind w:hanging="283" w:left="709"/>
        <w:rPr/>
      </w:pPr>
      <w:r>
        <w:rPr>
          <w:rStyle w:val="Strong"/>
        </w:rPr>
        <w:t>Context discovery:</w:t>
      </w:r>
      <w:r>
        <w:rPr/>
        <w:t xml:space="preserve"> Attentiveness, listening, observation, and narrative inquiry identify needs and relationships that may otherwise remain invisible.</w:t>
      </w:r>
    </w:p>
    <w:p>
      <w:pPr>
        <w:pStyle w:val="BodyText"/>
        <w:numPr>
          <w:ilvl w:val="0"/>
          <w:numId w:val="62"/>
        </w:numPr>
        <w:tabs>
          <w:tab w:val="clear" w:pos="720"/>
          <w:tab w:val="left" w:pos="0" w:leader="none"/>
        </w:tabs>
        <w:spacing w:before="0" w:after="200"/>
        <w:ind w:hanging="283" w:left="709"/>
        <w:rPr/>
      </w:pPr>
      <w:r>
        <w:rPr>
          <w:rStyle w:val="Strong"/>
        </w:rPr>
        <w:t>Responsibility determination:</w:t>
      </w:r>
      <w:r>
        <w:rPr/>
        <w:t xml:space="preserve"> Roles, dependencies, commitments, authority, and capacity identify who is responsible for responding.</w:t>
      </w:r>
    </w:p>
    <w:p>
      <w:pPr>
        <w:pStyle w:val="BodyText"/>
        <w:numPr>
          <w:ilvl w:val="0"/>
          <w:numId w:val="62"/>
        </w:numPr>
        <w:tabs>
          <w:tab w:val="clear" w:pos="720"/>
          <w:tab w:val="left" w:pos="0" w:leader="none"/>
        </w:tabs>
        <w:spacing w:before="0" w:after="200"/>
        <w:ind w:hanging="283" w:left="709"/>
        <w:rPr/>
      </w:pPr>
      <w:r>
        <w:rPr>
          <w:rStyle w:val="Strong"/>
        </w:rPr>
        <w:t>Action assessment:</w:t>
      </w:r>
      <w:r>
        <w:rPr/>
        <w:t xml:space="preserve"> Competence, recipient participation, agency preservation, caregiver sustainability, and distribution of burdens determine whether the proposed response constitutes ethical care.</w:t>
      </w:r>
    </w:p>
    <w:p>
      <w:pPr>
        <w:pStyle w:val="BodyText"/>
        <w:numPr>
          <w:ilvl w:val="0"/>
          <w:numId w:val="62"/>
        </w:numPr>
        <w:tabs>
          <w:tab w:val="clear" w:pos="720"/>
          <w:tab w:val="left" w:pos="0" w:leader="none"/>
        </w:tabs>
        <w:spacing w:before="0" w:after="200"/>
        <w:ind w:hanging="283" w:left="709"/>
        <w:rPr/>
      </w:pPr>
      <w:r>
        <w:rPr>
          <w:rStyle w:val="Strong"/>
        </w:rPr>
        <w:t>Ongoing evaluation:</w:t>
      </w:r>
      <w:r>
        <w:rPr/>
        <w:t xml:space="preserve"> Recipient feedback, caregiver feedback, continuity, changing needs, and Distributed Policy Effects determine whether care should continue, change, transfer, or end.</w:t>
      </w:r>
    </w:p>
    <w:p>
      <w:pPr>
        <w:pStyle w:val="BodyText"/>
        <w:spacing w:before="0" w:after="200"/>
        <w:rPr/>
      </w:pPr>
      <w:r>
        <w:rPr/>
        <w:t>A care-sensitive assessment should therefore produce a separate care finding containing:</w:t>
      </w:r>
    </w:p>
    <w:p>
      <w:pPr>
        <w:pStyle w:val="BodyText"/>
        <w:numPr>
          <w:ilvl w:val="0"/>
          <w:numId w:val="63"/>
        </w:numPr>
        <w:tabs>
          <w:tab w:val="clear" w:pos="720"/>
          <w:tab w:val="left" w:pos="0" w:leader="none"/>
        </w:tabs>
        <w:spacing w:before="0" w:after="200"/>
        <w:ind w:hanging="283" w:left="709"/>
        <w:rPr/>
      </w:pPr>
      <w:r>
        <w:rPr/>
        <w:t>The care recipient and relevant caregivers;</w:t>
      </w:r>
    </w:p>
    <w:p>
      <w:pPr>
        <w:pStyle w:val="BodyText"/>
        <w:numPr>
          <w:ilvl w:val="0"/>
          <w:numId w:val="63"/>
        </w:numPr>
        <w:tabs>
          <w:tab w:val="clear" w:pos="720"/>
          <w:tab w:val="left" w:pos="0" w:leader="none"/>
        </w:tabs>
        <w:spacing w:before="0" w:after="200"/>
        <w:ind w:hanging="283" w:left="709"/>
        <w:rPr/>
      </w:pPr>
      <w:r>
        <w:rPr/>
        <w:t>The identified need and how it was discovered;</w:t>
      </w:r>
    </w:p>
    <w:p>
      <w:pPr>
        <w:pStyle w:val="BodyText"/>
        <w:numPr>
          <w:ilvl w:val="0"/>
          <w:numId w:val="63"/>
        </w:numPr>
        <w:tabs>
          <w:tab w:val="clear" w:pos="720"/>
          <w:tab w:val="left" w:pos="0" w:leader="none"/>
        </w:tabs>
        <w:spacing w:before="0" w:after="200"/>
        <w:ind w:hanging="283" w:left="709"/>
        <w:rPr/>
      </w:pPr>
      <w:r>
        <w:rPr/>
        <w:t>The recipient’s expressed preferences and participation;</w:t>
      </w:r>
    </w:p>
    <w:p>
      <w:pPr>
        <w:pStyle w:val="BodyText"/>
        <w:numPr>
          <w:ilvl w:val="0"/>
          <w:numId w:val="63"/>
        </w:numPr>
        <w:tabs>
          <w:tab w:val="clear" w:pos="720"/>
          <w:tab w:val="left" w:pos="0" w:leader="none"/>
        </w:tabs>
        <w:spacing w:before="0" w:after="200"/>
        <w:ind w:hanging="283" w:left="709"/>
        <w:rPr/>
      </w:pPr>
      <w:r>
        <w:rPr/>
        <w:t>Relevant dependency and vulnerability;</w:t>
      </w:r>
    </w:p>
    <w:p>
      <w:pPr>
        <w:pStyle w:val="BodyText"/>
        <w:numPr>
          <w:ilvl w:val="0"/>
          <w:numId w:val="63"/>
        </w:numPr>
        <w:tabs>
          <w:tab w:val="clear" w:pos="720"/>
          <w:tab w:val="left" w:pos="0" w:leader="none"/>
        </w:tabs>
        <w:spacing w:before="0" w:after="200"/>
        <w:ind w:hanging="283" w:left="709"/>
        <w:rPr/>
      </w:pPr>
      <w:r>
        <w:rPr/>
        <w:t>The relationship and its history;</w:t>
      </w:r>
    </w:p>
    <w:p>
      <w:pPr>
        <w:pStyle w:val="BodyText"/>
        <w:numPr>
          <w:ilvl w:val="0"/>
          <w:numId w:val="63"/>
        </w:numPr>
        <w:tabs>
          <w:tab w:val="clear" w:pos="720"/>
          <w:tab w:val="left" w:pos="0" w:leader="none"/>
        </w:tabs>
        <w:spacing w:before="0" w:after="200"/>
        <w:ind w:hanging="283" w:left="709"/>
        <w:rPr/>
      </w:pPr>
      <w:r>
        <w:rPr/>
        <w:t>The responsible parties and basis of responsibility;</w:t>
      </w:r>
    </w:p>
    <w:p>
      <w:pPr>
        <w:pStyle w:val="BodyText"/>
        <w:numPr>
          <w:ilvl w:val="0"/>
          <w:numId w:val="63"/>
        </w:numPr>
        <w:tabs>
          <w:tab w:val="clear" w:pos="720"/>
          <w:tab w:val="left" w:pos="0" w:leader="none"/>
        </w:tabs>
        <w:spacing w:before="0" w:after="200"/>
        <w:ind w:hanging="283" w:left="709"/>
        <w:rPr/>
      </w:pPr>
      <w:r>
        <w:rPr/>
        <w:t>Available care alternatives;</w:t>
      </w:r>
    </w:p>
    <w:p>
      <w:pPr>
        <w:pStyle w:val="BodyText"/>
        <w:numPr>
          <w:ilvl w:val="0"/>
          <w:numId w:val="63"/>
        </w:numPr>
        <w:tabs>
          <w:tab w:val="clear" w:pos="720"/>
          <w:tab w:val="left" w:pos="0" w:leader="none"/>
        </w:tabs>
        <w:spacing w:before="0" w:after="200"/>
        <w:ind w:hanging="283" w:left="709"/>
        <w:rPr/>
      </w:pPr>
      <w:r>
        <w:rPr/>
        <w:t>Provider competence and resources;</w:t>
      </w:r>
    </w:p>
    <w:p>
      <w:pPr>
        <w:pStyle w:val="BodyText"/>
        <w:numPr>
          <w:ilvl w:val="0"/>
          <w:numId w:val="63"/>
        </w:numPr>
        <w:tabs>
          <w:tab w:val="clear" w:pos="720"/>
          <w:tab w:val="left" w:pos="0" w:leader="none"/>
        </w:tabs>
        <w:spacing w:before="0" w:after="200"/>
        <w:ind w:hanging="283" w:left="709"/>
        <w:rPr/>
      </w:pPr>
      <w:r>
        <w:rPr/>
        <w:t>Effects on the recipient’s agency and capabilities;</w:t>
      </w:r>
    </w:p>
    <w:p>
      <w:pPr>
        <w:pStyle w:val="BodyText"/>
        <w:numPr>
          <w:ilvl w:val="0"/>
          <w:numId w:val="63"/>
        </w:numPr>
        <w:tabs>
          <w:tab w:val="clear" w:pos="720"/>
          <w:tab w:val="left" w:pos="0" w:leader="none"/>
        </w:tabs>
        <w:spacing w:before="0" w:after="200"/>
        <w:ind w:hanging="283" w:left="709"/>
        <w:rPr/>
      </w:pPr>
      <w:r>
        <w:rPr/>
        <w:t>Effects on caregiver well-being;</w:t>
      </w:r>
    </w:p>
    <w:p>
      <w:pPr>
        <w:pStyle w:val="BodyText"/>
        <w:numPr>
          <w:ilvl w:val="0"/>
          <w:numId w:val="63"/>
        </w:numPr>
        <w:tabs>
          <w:tab w:val="clear" w:pos="720"/>
          <w:tab w:val="left" w:pos="0" w:leader="none"/>
        </w:tabs>
        <w:spacing w:before="0" w:after="200"/>
        <w:ind w:hanging="283" w:left="709"/>
        <w:rPr/>
      </w:pPr>
      <w:r>
        <w:rPr/>
        <w:t>Distribution of care burdens;</w:t>
      </w:r>
    </w:p>
    <w:p>
      <w:pPr>
        <w:pStyle w:val="BodyText"/>
        <w:numPr>
          <w:ilvl w:val="0"/>
          <w:numId w:val="63"/>
        </w:numPr>
        <w:tabs>
          <w:tab w:val="clear" w:pos="720"/>
          <w:tab w:val="left" w:pos="0" w:leader="none"/>
        </w:tabs>
        <w:spacing w:before="0" w:after="200"/>
        <w:ind w:hanging="283" w:left="709"/>
        <w:rPr/>
      </w:pPr>
      <w:r>
        <w:rPr/>
        <w:t>Power imbalances and paternalism risks;</w:t>
      </w:r>
    </w:p>
    <w:p>
      <w:pPr>
        <w:pStyle w:val="BodyText"/>
        <w:numPr>
          <w:ilvl w:val="0"/>
          <w:numId w:val="63"/>
        </w:numPr>
        <w:tabs>
          <w:tab w:val="clear" w:pos="720"/>
          <w:tab w:val="left" w:pos="0" w:leader="none"/>
        </w:tabs>
        <w:spacing w:before="0" w:after="200"/>
        <w:ind w:hanging="283" w:left="709"/>
        <w:rPr/>
      </w:pPr>
      <w:r>
        <w:rPr/>
        <w:t>Continuity and follow-up requirements;</w:t>
      </w:r>
    </w:p>
    <w:p>
      <w:pPr>
        <w:pStyle w:val="BodyText"/>
        <w:numPr>
          <w:ilvl w:val="0"/>
          <w:numId w:val="63"/>
        </w:numPr>
        <w:tabs>
          <w:tab w:val="clear" w:pos="720"/>
          <w:tab w:val="left" w:pos="0" w:leader="none"/>
        </w:tabs>
        <w:spacing w:before="0" w:after="200"/>
        <w:ind w:hanging="283" w:left="709"/>
        <w:rPr/>
      </w:pPr>
      <w:r>
        <w:rPr/>
        <w:t>Recipient and caregiver feedback;</w:t>
      </w:r>
    </w:p>
    <w:p>
      <w:pPr>
        <w:pStyle w:val="BodyText"/>
        <w:numPr>
          <w:ilvl w:val="0"/>
          <w:numId w:val="63"/>
        </w:numPr>
        <w:tabs>
          <w:tab w:val="clear" w:pos="720"/>
          <w:tab w:val="left" w:pos="0" w:leader="none"/>
        </w:tabs>
        <w:spacing w:before="0" w:after="200"/>
        <w:ind w:hanging="283" w:left="709"/>
        <w:rPr/>
      </w:pPr>
      <w:r>
        <w:rPr/>
        <w:t>Institutional barriers or supports; and</w:t>
      </w:r>
    </w:p>
    <w:p>
      <w:pPr>
        <w:pStyle w:val="BodyText"/>
        <w:numPr>
          <w:ilvl w:val="0"/>
          <w:numId w:val="63"/>
        </w:numPr>
        <w:tabs>
          <w:tab w:val="clear" w:pos="720"/>
          <w:tab w:val="left" w:pos="0" w:leader="none"/>
        </w:tabs>
        <w:spacing w:before="0" w:after="200"/>
        <w:ind w:hanging="283" w:left="709"/>
        <w:rPr/>
      </w:pPr>
      <w:r>
        <w:rPr/>
        <w:t>Remaining uncertainty.</w:t>
      </w:r>
    </w:p>
    <w:p>
      <w:pPr>
        <w:pStyle w:val="BodyText"/>
        <w:spacing w:before="0" w:after="200"/>
        <w:rPr/>
      </w:pPr>
      <w:r>
        <w:rPr/>
        <w:t>This care finding should remain distinct from the overall transition assessment. An action may improve an observable condition while failing as care because it is coercive, inattentive, humiliating, discontinuous, or unresponsive. Conversely, an interpersonal action may be sincerely caring while reinforcing an institutional structure that distributes care burdens unjustly. Both conclusions are ethically relevant.</w:t>
      </w:r>
    </w:p>
    <w:p>
      <w:pPr>
        <w:pStyle w:val="Heading3"/>
        <w:ind w:hanging="0" w:left="0"/>
        <w:rPr/>
      </w:pPr>
      <w:r>
        <w:rPr/>
        <w:t>Moral Agent</w:t>
      </w:r>
    </w:p>
    <w:p>
      <w:pPr>
        <w:pStyle w:val="BodyText"/>
        <w:spacing w:before="0" w:after="200"/>
        <w:rPr/>
      </w:pPr>
      <w:r>
        <w:rPr/>
        <w:t>The primary Moral Agent is the person or institution authorizing, ordering, permitting, or performing the torture.</w:t>
      </w:r>
    </w:p>
    <w:p>
      <w:pPr>
        <w:pStyle w:val="BodyText"/>
        <w:spacing w:before="0" w:after="200"/>
        <w:rPr/>
      </w:pPr>
      <w:r>
        <w:rPr/>
        <w:t>This may include an interrogator, commander, intelligence official, political authority, law-enforcement officer, military officer, or institutional decision body. The Moral Agent has the capacity to understand the relevant objective, evaluate alternative actions, recognize the nature of the means being used, and bear responsibility for the decision.</w:t>
      </w:r>
    </w:p>
    <w:p>
      <w:pPr>
        <w:pStyle w:val="BodyText"/>
        <w:spacing w:before="0" w:after="200"/>
        <w:rPr/>
      </w:pPr>
      <w:r>
        <w:rPr/>
        <w:t>The detained person may or may not be a Moral Agent with respect to the suspected terrorist plot, depending on the facts. However, the detained person is clearly a relevant Flourishing Entity because their bodily integrity, autonomy, safety, dignity, future possibilities, and Long-Term Flourishing are directly affected by the Assessed Action.</w:t>
      </w:r>
    </w:p>
    <w:p>
      <w:pPr>
        <w:pStyle w:val="BodyText"/>
        <w:spacing w:before="0" w:after="200"/>
        <w:rPr/>
      </w:pPr>
      <w:r>
        <w:rPr/>
        <w:t>Other Moral Agents may include collaborators, observers, legal advisors, institutional leaders, medical personnel, policymakers, and systems that enable, conceal, normalize, or resist the use of torture.</w:t>
      </w:r>
    </w:p>
    <w:p>
      <w:pPr>
        <w:pStyle w:val="Heading3"/>
        <w:ind w:hanging="0" w:left="0"/>
        <w:rPr/>
      </w:pPr>
      <w:r>
        <w:rPr/>
        <w:t>Relevant Flourishing Entities</w:t>
      </w:r>
    </w:p>
    <w:p>
      <w:pPr>
        <w:pStyle w:val="BodyText"/>
        <w:spacing w:before="0" w:after="200"/>
        <w:rPr/>
      </w:pPr>
      <w:r>
        <w:rPr/>
        <w:t>The relevant Flourishing Entities include the detained person, potential victims of terrorism, the Actor, institutional participants, observers, responders, the broader political community, future detainees, future citizens, and the institutions responsible for security and law.</w:t>
      </w:r>
    </w:p>
    <w:p>
      <w:pPr>
        <w:pStyle w:val="BodyText"/>
        <w:spacing w:before="0" w:after="200"/>
        <w:rPr/>
      </w:pPr>
      <w:r>
        <w:rPr/>
        <w:t>The detained person is directly affected. Torture materially diminishes their flourishing through severe harm to bodily integrity, autonomy, psychological safety, dignity, agency, trust, and future possibilities.</w:t>
      </w:r>
    </w:p>
    <w:p>
      <w:pPr>
        <w:pStyle w:val="BodyText"/>
        <w:spacing w:before="0" w:after="200"/>
        <w:rPr/>
      </w:pPr>
      <w:r>
        <w:rPr/>
        <w:t>Potential victims of terrorism are also relevant. If an attack is real, preventing it would preserve their persistence, safety, future possibilities, and Long-Term Flourishing. Their inclusion is necessary because the operational objective is not trivial.</w:t>
      </w:r>
    </w:p>
    <w:p>
      <w:pPr>
        <w:pStyle w:val="BodyText"/>
        <w:spacing w:before="0" w:after="200"/>
        <w:rPr/>
      </w:pPr>
      <w:r>
        <w:rPr/>
        <w:t>The Actor is a relevant Flourishing Entity because performing or authorizing torture alters the Actor’s policy state, moral character, institutional role, and future decision behavior. The Actor may become more willing to use extreme coercion, override constraints, discount the dignity of others, or reinterpret harmful means as acceptable under pressure.</w:t>
      </w:r>
    </w:p>
    <w:p>
      <w:pPr>
        <w:pStyle w:val="BodyText"/>
        <w:spacing w:before="0" w:after="200"/>
        <w:rPr/>
      </w:pPr>
      <w:r>
        <w:rPr/>
        <w:t>Collaborators and institutional participants are relevant because participation in torture can update their future policy states and normalize abusive conduct within the institution.</w:t>
      </w:r>
    </w:p>
    <w:p>
      <w:pPr>
        <w:pStyle w:val="BodyText"/>
        <w:spacing w:before="0" w:after="200"/>
        <w:rPr/>
      </w:pPr>
      <w:r>
        <w:rPr/>
        <w:t>Observers and responders are relevant because knowledge of torture can alter trust, legitimacy, cooperation, retaliation, radicalization, compliance, and future expectations about lawful authority.</w:t>
      </w:r>
    </w:p>
    <w:p>
      <w:pPr>
        <w:pStyle w:val="BodyText"/>
        <w:spacing w:before="0" w:after="200"/>
        <w:rPr/>
      </w:pPr>
      <w:r>
        <w:rPr/>
        <w:t>Future detainees and future citizens are relevant because institutionalizing torture changes the future state space in which they may be treated, protected, abused, or denied due process.</w:t>
      </w:r>
    </w:p>
    <w:p>
      <w:pPr>
        <w:pStyle w:val="BodyText"/>
        <w:spacing w:before="0" w:after="200"/>
        <w:rPr/>
      </w:pPr>
      <w:r>
        <w:rPr/>
        <w:t>Security, legal, military, and governmental institutions are relevant because torture can alter their legitimacy, accountability, procedural integrity, and future policy states.</w:t>
      </w:r>
    </w:p>
    <w:p>
      <w:pPr>
        <w:pStyle w:val="Heading3"/>
        <w:ind w:hanging="0" w:left="0"/>
        <w:rPr/>
      </w:pPr>
      <w:r>
        <w:rPr/>
        <w:t>Situational Context</w:t>
      </w:r>
    </w:p>
    <w:p>
      <w:pPr>
        <w:pStyle w:val="BodyText"/>
        <w:spacing w:before="0" w:after="200"/>
        <w:rPr/>
      </w:pPr>
      <w:r>
        <w:rPr/>
        <w:t>The Situational Context is a high-stakes security situation involving a suspected terrorist threat and a detained person believed to possess relevant information.</w:t>
      </w:r>
    </w:p>
    <w:p>
      <w:pPr>
        <w:pStyle w:val="BodyText"/>
        <w:spacing w:before="0" w:after="200"/>
        <w:rPr/>
      </w:pPr>
      <w:r>
        <w:rPr/>
        <w:t>The context may include uncertainty about the threat, uncertainty about the detainee’s knowledge, uncertainty about the reliability of information obtained under coercion, time pressure, institutional fear, public safety obligations, legal constraints, moral constraints, and alternative investigative options.</w:t>
      </w:r>
    </w:p>
    <w:p>
      <w:pPr>
        <w:pStyle w:val="BodyText"/>
        <w:spacing w:before="0" w:after="200"/>
        <w:rPr/>
      </w:pPr>
      <w:r>
        <w:rPr/>
        <w:t>Material features of the Situational Context include:</w:t>
      </w:r>
    </w:p>
    <w:p>
      <w:pPr>
        <w:pStyle w:val="BodyText"/>
        <w:spacing w:before="0" w:after="200"/>
        <w:rPr/>
      </w:pPr>
      <w:r>
        <w:rPr/>
        <w:t>The threatened harm may be severe.</w:t>
      </w:r>
    </w:p>
    <w:p>
      <w:pPr>
        <w:pStyle w:val="BodyText"/>
        <w:spacing w:before="0" w:after="200"/>
        <w:rPr/>
      </w:pPr>
      <w:r>
        <w:rPr/>
        <w:t>The desire to prevent terrorism is a legitimate operational objective.</w:t>
      </w:r>
    </w:p>
    <w:p>
      <w:pPr>
        <w:pStyle w:val="BodyText"/>
        <w:spacing w:before="0" w:after="200"/>
        <w:rPr/>
      </w:pPr>
      <w:r>
        <w:rPr/>
        <w:t>The detained person’s actual knowledge may be uncertain.</w:t>
      </w:r>
    </w:p>
    <w:p>
      <w:pPr>
        <w:pStyle w:val="BodyText"/>
        <w:spacing w:before="0" w:after="200"/>
        <w:rPr/>
      </w:pPr>
      <w:r>
        <w:rPr/>
        <w:t>The reliability of information produced by torture may be uncertain.</w:t>
      </w:r>
    </w:p>
    <w:p>
      <w:pPr>
        <w:pStyle w:val="BodyText"/>
        <w:spacing w:before="0" w:after="200"/>
        <w:rPr/>
      </w:pPr>
      <w:r>
        <w:rPr/>
        <w:t>The Actor has institutional and moral obligations.</w:t>
      </w:r>
    </w:p>
    <w:p>
      <w:pPr>
        <w:pStyle w:val="BodyText"/>
        <w:spacing w:before="0" w:after="200"/>
        <w:rPr/>
      </w:pPr>
      <w:r>
        <w:rPr/>
        <w:t>Legal and moral constraints remain active even under emergency conditions.</w:t>
      </w:r>
    </w:p>
    <w:p>
      <w:pPr>
        <w:pStyle w:val="BodyText"/>
        <w:spacing w:before="0" w:after="200"/>
        <w:rPr/>
      </w:pPr>
      <w:r>
        <w:rPr/>
        <w:t>Alternative actions may be available, including lawful interrogation, investigation, surveillance, evacuation, disruption, negotiation, intelligence analysis, or emergency protective measures.</w:t>
      </w:r>
    </w:p>
    <w:p>
      <w:pPr>
        <w:pStyle w:val="BodyText"/>
        <w:spacing w:before="0" w:after="200"/>
        <w:rPr/>
      </w:pPr>
      <w:r>
        <w:rPr/>
        <w:t>The action is likely to affect institutional norms and future policy states.</w:t>
      </w:r>
    </w:p>
    <w:p>
      <w:pPr>
        <w:pStyle w:val="BodyText"/>
        <w:spacing w:before="0" w:after="200"/>
        <w:rPr/>
      </w:pPr>
      <w:r>
        <w:rPr/>
        <w:t>The action may become precedent.</w:t>
      </w:r>
    </w:p>
    <w:p>
      <w:pPr>
        <w:pStyle w:val="BodyText"/>
        <w:spacing w:before="0" w:after="200"/>
        <w:rPr/>
      </w:pPr>
      <w:r>
        <w:rPr/>
        <w:t>The action may damage legitimacy and trust.</w:t>
      </w:r>
    </w:p>
    <w:p>
      <w:pPr>
        <w:pStyle w:val="BodyText"/>
        <w:spacing w:before="0" w:after="200"/>
        <w:rPr/>
      </w:pPr>
      <w:r>
        <w:rPr/>
        <w:t>The action may affect future cooperation with security institutions.</w:t>
      </w:r>
    </w:p>
    <w:p>
      <w:pPr>
        <w:pStyle w:val="BodyText"/>
        <w:spacing w:before="0" w:after="200"/>
        <w:rPr/>
      </w:pPr>
      <w:r>
        <w:rPr/>
        <w:t>The presence of danger does not eliminate the need for moral assessment. It changes the stakes, urgency, uncertainty, and relevant alternatives, but it does not remove the means from the assessment.</w:t>
      </w:r>
    </w:p>
    <w:p>
      <w:pPr>
        <w:pStyle w:val="Heading3"/>
        <w:ind w:hanging="0" w:left="0"/>
        <w:rPr/>
      </w:pPr>
      <w:r>
        <w:rPr/>
        <w:t>Action</w:t>
      </w:r>
    </w:p>
    <w:p>
      <w:pPr>
        <w:pStyle w:val="BodyText"/>
        <w:spacing w:before="0" w:after="200"/>
        <w:rPr/>
      </w:pPr>
      <w:r>
        <w:rPr/>
        <w:t>The Assessed Action is the authorization or use of torture against the detained person for the purpose of obtaining information or preventing terrorism.</w:t>
      </w:r>
    </w:p>
    <w:p>
      <w:pPr>
        <w:pStyle w:val="BodyText"/>
        <w:spacing w:before="0" w:after="200"/>
        <w:rPr/>
      </w:pPr>
      <w:r>
        <w:rPr/>
        <w:t>The action is not merely “attempting to prevent terrorism.” That description identifies the operational objective but omits the means. The morally relevant action is the selection of torture as the means for pursuing that objective.</w:t>
      </w:r>
    </w:p>
    <w:p>
      <w:pPr>
        <w:pStyle w:val="BodyText"/>
        <w:spacing w:before="0" w:after="200"/>
        <w:rPr/>
      </w:pPr>
      <w:r>
        <w:rPr/>
        <w:t>Available alternatives may include lawful questioning, intelligence analysis, surveillance, protective evacuation, emergency response, targeted disruption of suspected operations, interagency coordination, judicial authorization where applicable, or other non-torturous security measures. The availability, adequacy, and urgency of these alternatives may vary by case, but their existence must be assessed rather than assumed away.</w:t>
      </w:r>
    </w:p>
    <w:p>
      <w:pPr>
        <w:pStyle w:val="BodyText"/>
        <w:spacing w:before="0" w:after="200"/>
        <w:rPr/>
      </w:pPr>
      <w:r>
        <w:rPr/>
        <w:t>The action directly harms the detained person and creates a policy-state transition in the Actor and institution. It also creates risks of false information, institutional corruption, retaliatory effects, loss of legitimacy, and normalization of extreme coercion.</w:t>
      </w:r>
    </w:p>
    <w:p>
      <w:pPr>
        <w:pStyle w:val="BodyText"/>
        <w:spacing w:before="0" w:after="200"/>
        <w:rPr/>
      </w:pPr>
      <w:r>
        <w:rPr/>
        <w:t>The action therefore cannot be assessed only by asking whether it might produce useful information. It must be assessed as a full World Context Transition.</w:t>
      </w:r>
    </w:p>
    <w:p>
      <w:pPr>
        <w:pStyle w:val="Heading3"/>
        <w:ind w:hanging="0" w:left="0"/>
        <w:rPr/>
      </w:pPr>
      <w:r>
        <w:rPr/>
        <w:t>Actor / Distributed Policy Updates</w:t>
      </w:r>
    </w:p>
    <w:p>
      <w:pPr>
        <w:pStyle w:val="BodyText"/>
        <w:spacing w:before="0" w:after="200"/>
        <w:rPr/>
      </w:pPr>
      <w:r>
        <w:rPr/>
        <w:t>The Actor Policy Update is central to this example.</w:t>
      </w:r>
    </w:p>
    <w:p>
      <w:pPr>
        <w:pStyle w:val="BodyText"/>
        <w:spacing w:before="0" w:after="200"/>
        <w:rPr/>
      </w:pPr>
      <w:r>
        <w:rPr/>
        <w:t>When a Moral Agent authorizes or performs torture, the Actor’s future decision policy is altered. The Actor becomes more likely to view severe coercion as an available tool under pressure. The Actor may become more willing to override constraints, discount the flourishing of suspected enemies, treat bodily integrity as negotiable, or reinterpret institutional limits as obstacles rather than safeguards.</w:t>
      </w:r>
    </w:p>
    <w:p>
      <w:pPr>
        <w:pStyle w:val="BodyText"/>
        <w:spacing w:before="0" w:after="200"/>
        <w:rPr/>
      </w:pPr>
      <w:r>
        <w:rPr/>
        <w:t>Even if the Actor believes the objective is noble, the means produce a detrimental policy update. The Actor is trained by the action to accept a category of conduct that materially diminishes another Flourishing Entity.</w:t>
      </w:r>
    </w:p>
    <w:p>
      <w:pPr>
        <w:pStyle w:val="BodyText"/>
        <w:spacing w:before="0" w:after="200"/>
        <w:rPr/>
      </w:pPr>
      <w:r>
        <w:rPr/>
        <w:t>The Distributed Policy Effects are broader.</w:t>
      </w:r>
    </w:p>
    <w:p>
      <w:pPr>
        <w:pStyle w:val="BodyText"/>
        <w:spacing w:before="0" w:after="200"/>
        <w:rPr/>
      </w:pPr>
      <w:r>
        <w:rPr/>
        <w:t>Collaborators may become more willing to participate in abuse or remain silent.</w:t>
      </w:r>
    </w:p>
    <w:p>
      <w:pPr>
        <w:pStyle w:val="BodyText"/>
        <w:spacing w:before="0" w:after="200"/>
        <w:rPr/>
      </w:pPr>
      <w:r>
        <w:rPr/>
        <w:t>Observers inside the institution may learn that torture is tolerated when leaders believe the stakes are high.</w:t>
      </w:r>
    </w:p>
    <w:p>
      <w:pPr>
        <w:pStyle w:val="BodyText"/>
        <w:spacing w:before="0" w:after="200"/>
        <w:rPr/>
      </w:pPr>
      <w:r>
        <w:rPr/>
        <w:t>Institutional leaders may update policies toward secrecy, exception-making, coercion, or impunity.</w:t>
      </w:r>
    </w:p>
    <w:p>
      <w:pPr>
        <w:pStyle w:val="BodyText"/>
        <w:spacing w:before="0" w:after="200"/>
        <w:rPr/>
      </w:pPr>
      <w:r>
        <w:rPr/>
        <w:t>Legal institutions may be pressured to rationalize or conceal violations.</w:t>
      </w:r>
    </w:p>
    <w:p>
      <w:pPr>
        <w:pStyle w:val="BodyText"/>
        <w:spacing w:before="0" w:after="200"/>
        <w:rPr/>
      </w:pPr>
      <w:r>
        <w:rPr/>
        <w:t>Security institutions may lose legitimacy.</w:t>
      </w:r>
    </w:p>
    <w:p>
      <w:pPr>
        <w:pStyle w:val="BodyText"/>
        <w:spacing w:before="0" w:after="200"/>
        <w:rPr/>
      </w:pPr>
      <w:r>
        <w:rPr/>
        <w:t>Affected communities may become less willing to cooperate with authorities.</w:t>
      </w:r>
    </w:p>
    <w:p>
      <w:pPr>
        <w:pStyle w:val="BodyText"/>
        <w:spacing w:before="0" w:after="200"/>
        <w:rPr/>
      </w:pPr>
      <w:r>
        <w:rPr/>
        <w:t>Adversaries may use the action as justification for retaliation or recruitment.</w:t>
      </w:r>
    </w:p>
    <w:p>
      <w:pPr>
        <w:pStyle w:val="BodyText"/>
        <w:spacing w:before="0" w:after="200"/>
        <w:rPr/>
      </w:pPr>
      <w:r>
        <w:rPr/>
        <w:t>Future detainees may face increased risk of abuse.</w:t>
      </w:r>
    </w:p>
    <w:p>
      <w:pPr>
        <w:pStyle w:val="BodyText"/>
        <w:spacing w:before="0" w:after="200"/>
        <w:rPr/>
      </w:pPr>
      <w:r>
        <w:rPr/>
        <w:t>Citizens may lose trust in institutions meant to protect them.</w:t>
      </w:r>
    </w:p>
    <w:p>
      <w:pPr>
        <w:pStyle w:val="BodyText"/>
        <w:spacing w:before="0" w:after="200"/>
        <w:rPr/>
      </w:pPr>
      <w:r>
        <w:rPr/>
        <w:t>Artificial or bureaucratic systems may encode torture-compatible policy assumptions if the action becomes institutionalized.</w:t>
      </w:r>
    </w:p>
    <w:p>
      <w:pPr>
        <w:pStyle w:val="BodyText"/>
        <w:spacing w:before="0" w:after="200"/>
        <w:rPr/>
      </w:pPr>
      <w:r>
        <w:rPr/>
        <w:t>These policy updates become part of World Context₁. They are not external side effects. They are among the primary reasons the means are morally significant.</w:t>
      </w:r>
    </w:p>
    <w:p>
      <w:pPr>
        <w:pStyle w:val="Heading3"/>
        <w:ind w:hanging="0" w:left="0"/>
        <w:rPr/>
      </w:pPr>
      <w:r>
        <w:rPr/>
        <w:t>Flourishing Transitions</w:t>
      </w:r>
    </w:p>
    <w:p>
      <w:pPr>
        <w:pStyle w:val="BodyText"/>
        <w:spacing w:before="0" w:after="200"/>
        <w:rPr/>
      </w:pPr>
      <w:r>
        <w:rPr/>
        <w:t>The detained person experiences a severe negative Flourishing Transition.</w:t>
      </w:r>
    </w:p>
    <w:p>
      <w:pPr>
        <w:pStyle w:val="BodyText"/>
        <w:spacing w:before="0" w:after="200"/>
        <w:rPr/>
      </w:pPr>
      <w:r>
        <w:rPr/>
        <w:t>Their persistence may or may not end, but their bodily integrity, autonomy, safety, psychological stability, agency, dignity, trust, and future possibilities are materially diminished. The action attacks the person’s flourishing directly.</w:t>
      </w:r>
    </w:p>
    <w:p>
      <w:pPr>
        <w:pStyle w:val="BodyText"/>
        <w:spacing w:before="0" w:after="200"/>
        <w:rPr/>
      </w:pPr>
      <w:r>
        <w:rPr/>
        <w:t>Potential victims of terrorism may experience a possible positive Flourishing Transition if the action actually prevents an attack. Their lives, safety, and future possibilities may be preserved. This potential benefit must be represented honestly, because the operational objective is significant.</w:t>
      </w:r>
    </w:p>
    <w:p>
      <w:pPr>
        <w:pStyle w:val="BodyText"/>
        <w:spacing w:before="0" w:after="200"/>
        <w:rPr/>
      </w:pPr>
      <w:r>
        <w:rPr/>
        <w:t>However, the possible benefit is uncertain and does not erase the other transitions. It depends on whether the detainee has reliable information, whether torture produces truth rather than falsehood, whether the information can be used effectively, and whether less harmful alternatives were available.</w:t>
      </w:r>
    </w:p>
    <w:p>
      <w:pPr>
        <w:pStyle w:val="BodyText"/>
        <w:spacing w:before="0" w:after="200"/>
        <w:rPr/>
      </w:pPr>
      <w:r>
        <w:rPr/>
        <w:t>The Actor experiences a negative policy-related Flourishing Transition. The Actor’s future moral decision policy is degraded by becoming more willing to use severe coercion.</w:t>
      </w:r>
    </w:p>
    <w:p>
      <w:pPr>
        <w:pStyle w:val="BodyText"/>
        <w:spacing w:before="0" w:after="200"/>
        <w:rPr/>
      </w:pPr>
      <w:r>
        <w:rPr/>
        <w:t>Institutions experience negative Flourishing Transitions if torture corrupts legitimacy, accountability, procedural integrity, transparency, or public trust.</w:t>
      </w:r>
    </w:p>
    <w:p>
      <w:pPr>
        <w:pStyle w:val="BodyText"/>
        <w:spacing w:before="0" w:after="200"/>
        <w:rPr/>
      </w:pPr>
      <w:r>
        <w:rPr/>
        <w:t>Affected communities may experience negative transitions through fear, alienation, loss of trust, reduced cooperation, or increased vulnerability.</w:t>
      </w:r>
    </w:p>
    <w:p>
      <w:pPr>
        <w:pStyle w:val="BodyText"/>
        <w:spacing w:before="0" w:after="200"/>
        <w:rPr/>
      </w:pPr>
      <w:r>
        <w:rPr/>
        <w:t>Future detainees and future citizens experience increased risk because the future state space now includes a stronger precedent for torture under emergency claims.</w:t>
      </w:r>
    </w:p>
    <w:p>
      <w:pPr>
        <w:pStyle w:val="BodyText"/>
        <w:spacing w:before="0" w:after="200"/>
        <w:rPr/>
      </w:pPr>
      <w:r>
        <w:rPr/>
        <w:t>The aggregate picture may appear contested if immediate lives are allegedly saved. But the full flourishing profile includes severe direct harm, probabilistic benefit, institutional degradation, detrimental policy updates, reduced trust, and future risk propagation.</w:t>
      </w:r>
    </w:p>
    <w:p>
      <w:pPr>
        <w:pStyle w:val="Heading3"/>
        <w:ind w:hanging="0" w:left="0"/>
        <w:rPr/>
      </w:pPr>
      <w:r>
        <w:rPr/>
        <w:t>World Context Transition</w:t>
      </w:r>
    </w:p>
    <w:p>
      <w:pPr>
        <w:pStyle w:val="BodyText"/>
        <w:spacing w:before="0" w:after="200"/>
        <w:rPr/>
      </w:pPr>
      <w:r>
        <w:rPr/>
        <w:t>World Context₀ includes a threatened security situation, a detained person, potential victims, institutions responsible for protection, legal and moral constraints, uncertainty about evidence, and possible alternative responses.</w:t>
      </w:r>
    </w:p>
    <w:p>
      <w:pPr>
        <w:pStyle w:val="BodyText"/>
        <w:spacing w:before="0" w:after="200"/>
        <w:rPr/>
      </w:pPr>
      <w:r>
        <w:rPr/>
        <w:t>World Context₁ includes the use or authorization of torture, severe harm to the detained person, possible intelligence gain, possible prevention of harm, degraded Actor Policy State, degraded institutional policy states, damaged legitimacy, increased secrecy or rationalization, altered observer expectations, increased future risk to detainees, and narrowed future state space for lawful and trustworthy governance.</w:t>
      </w:r>
    </w:p>
    <w:p>
      <w:pPr>
        <w:pStyle w:val="BodyText"/>
        <w:spacing w:before="0" w:after="200"/>
        <w:rPr/>
      </w:pPr>
      <w:r>
        <w:rPr/>
        <w:t>Even if the action produces information that prevents an attack, World Context₁ is not simply “many lives saved.” It is a world in which torture has been used, normalized, justified, or institutionalized as a means. That change affects future decisions, future institutions, future trust, and future flourishing.</w:t>
      </w:r>
    </w:p>
    <w:p>
      <w:pPr>
        <w:pStyle w:val="BodyText"/>
        <w:spacing w:before="0" w:after="200"/>
        <w:rPr/>
      </w:pPr>
      <w:r>
        <w:rPr/>
        <w:t>The World Context Transition therefore includes:</w:t>
      </w:r>
    </w:p>
    <w:p>
      <w:pPr>
        <w:pStyle w:val="BodyText"/>
        <w:spacing w:before="0" w:after="200"/>
        <w:rPr/>
      </w:pPr>
      <w:r>
        <w:rPr/>
        <w:t>Severe material diminishment of the tortured person.</w:t>
      </w:r>
    </w:p>
    <w:p>
      <w:pPr>
        <w:pStyle w:val="BodyText"/>
        <w:spacing w:before="0" w:after="200"/>
        <w:rPr/>
      </w:pPr>
      <w:r>
        <w:rPr/>
        <w:t>Possible preservation of potential victims.</w:t>
      </w:r>
    </w:p>
    <w:p>
      <w:pPr>
        <w:pStyle w:val="BodyText"/>
        <w:spacing w:before="0" w:after="200"/>
        <w:rPr/>
      </w:pPr>
      <w:r>
        <w:rPr/>
        <w:t>Uncertainty about information reliability.</w:t>
      </w:r>
    </w:p>
    <w:p>
      <w:pPr>
        <w:pStyle w:val="BodyText"/>
        <w:spacing w:before="0" w:after="200"/>
        <w:rPr/>
      </w:pPr>
      <w:r>
        <w:rPr/>
        <w:t>Degradation of Actor Policy State.</w:t>
      </w:r>
    </w:p>
    <w:p>
      <w:pPr>
        <w:pStyle w:val="BodyText"/>
        <w:spacing w:before="0" w:after="200"/>
        <w:rPr/>
      </w:pPr>
      <w:r>
        <w:rPr/>
        <w:t>Degradation of institutional legitimacy.</w:t>
      </w:r>
    </w:p>
    <w:p>
      <w:pPr>
        <w:pStyle w:val="BodyText"/>
        <w:spacing w:before="0" w:after="200"/>
        <w:rPr/>
      </w:pPr>
      <w:r>
        <w:rPr/>
        <w:t>Potential corruption of legal and security norms.</w:t>
      </w:r>
    </w:p>
    <w:p>
      <w:pPr>
        <w:pStyle w:val="BodyText"/>
        <w:spacing w:before="0" w:after="200"/>
        <w:rPr/>
      </w:pPr>
      <w:r>
        <w:rPr/>
        <w:t>Risk of retaliatory and radicalizing effects.</w:t>
      </w:r>
    </w:p>
    <w:p>
      <w:pPr>
        <w:pStyle w:val="BodyText"/>
        <w:spacing w:before="0" w:after="200"/>
        <w:rPr/>
      </w:pPr>
      <w:r>
        <w:rPr/>
        <w:t>Increased probability of future torture.</w:t>
      </w:r>
    </w:p>
    <w:p>
      <w:pPr>
        <w:pStyle w:val="BodyText"/>
        <w:spacing w:before="0" w:after="200"/>
        <w:rPr/>
      </w:pPr>
      <w:r>
        <w:rPr/>
        <w:t>Damage to public trust and cooperation.</w:t>
      </w:r>
    </w:p>
    <w:p>
      <w:pPr>
        <w:pStyle w:val="BodyText"/>
        <w:spacing w:before="0" w:after="200"/>
        <w:rPr/>
      </w:pPr>
      <w:r>
        <w:rPr/>
        <w:t>Narrowing of future state space toward coercive institutional behavior.</w:t>
      </w:r>
    </w:p>
    <w:p>
      <w:pPr>
        <w:pStyle w:val="BodyText"/>
        <w:spacing w:before="0" w:after="200"/>
        <w:rPr/>
      </w:pPr>
      <w:r>
        <w:rPr/>
        <w:t>The action creates a world in which the barrier against torture has been weakened. That weakening is itself morally significant.</w:t>
      </w:r>
    </w:p>
    <w:p>
      <w:pPr>
        <w:pStyle w:val="Heading3"/>
        <w:ind w:hanging="0" w:left="0"/>
        <w:rPr>
          <w:rFonts w:ascii="Aptos" w:hAnsi="Aptos"/>
          <w:color w:val="auto"/>
        </w:rPr>
      </w:pPr>
      <w:r>
        <w:rPr/>
        <w:t>Assessment Summary</w:t>
      </w:r>
    </w:p>
    <w:p>
      <w:pPr>
        <w:pStyle w:val="BodyText"/>
        <w:spacing w:before="0" w:after="200"/>
        <w:rPr/>
      </w:pPr>
      <w:r>
        <w:rPr/>
        <w:t>The torture and terrorism example demonstrates that a beneficial objective does not automatically justify harmful means.</w:t>
      </w:r>
    </w:p>
    <w:p>
      <w:pPr>
        <w:pStyle w:val="BodyText"/>
        <w:spacing w:before="0" w:after="200"/>
        <w:rPr/>
      </w:pPr>
      <w:r>
        <w:rPr/>
        <w:t>Preventing terrorism is a serious and legitimate objective. Potential victims are relevant Flourishing Entities whose lives and future possibilities matter. The framework does not minimize the importance of preventing severe harm.</w:t>
      </w:r>
    </w:p>
    <w:p>
      <w:pPr>
        <w:pStyle w:val="BodyText"/>
        <w:spacing w:before="0" w:after="200"/>
        <w:rPr/>
      </w:pPr>
      <w:r>
        <w:rPr/>
        <w:t>However, the Assessed Action is not merely “preventing terrorism.” It is the use of torture as a means. That means directly and materially diminishes the detained person, degrades the Actor’s future policy state, alters the policies of collaborators and observers, damages institutional legitimacy, and changes the future World Context.</w:t>
      </w:r>
    </w:p>
    <w:p>
      <w:pPr>
        <w:pStyle w:val="BodyText"/>
        <w:spacing w:before="0" w:after="200"/>
        <w:rPr/>
      </w:pPr>
      <w:r>
        <w:rPr/>
        <w:t>Because these policy-state changes become part of World Context₁, the means are part of the moral assessment. The assessment cannot treat torture as external to the outcome. The moral question is not only whether harm might be prevented, but what kind of world is created by authorizing torture as an available instrument of action.</w:t>
      </w:r>
    </w:p>
    <w:p>
      <w:pPr>
        <w:pStyle w:val="BodyText"/>
        <w:spacing w:before="0" w:after="200"/>
        <w:rPr/>
      </w:pPr>
      <w:r>
        <w:rPr/>
        <w:t>Under this framework, torture is morally impermissible in the ordinary formulation of the scenario because it produces severe direct diminishment and detrimental Distributed Policy Updates that corrupt the resulting World Context. Urgent security objectives may justify lawful emergency action, protective measures, investigation, evacuation, or other constrained interventions, but they do not remove the moral significance of the means.</w:t>
      </w:r>
    </w:p>
    <w:p>
      <w:pPr>
        <w:pStyle w:val="BodyText"/>
        <w:spacing w:before="0" w:after="200"/>
        <w:rPr/>
      </w:pPr>
      <w:r>
        <w:rPr/>
        <w:t>Assessment Result: The action is morally impermissible because the means materially diminish a relevant Flourishing Entity and produce detrimental Actor, institutional, and distributed policy updates, even when the stated objective is to prevent severe harm.</w:t>
      </w:r>
    </w:p>
    <w:p>
      <w:pPr>
        <w:pStyle w:val="BodyText"/>
        <w:spacing w:before="0" w:after="200"/>
        <w:rPr/>
      </w:pPr>
      <w:r>
        <w:rPr/>
        <w:t>Confidence Level: High, assuming the action involves torture as a chosen means and not merely lawful, proportionate, non-torturous emergency intervention.</w:t>
      </w:r>
    </w:p>
    <w:p>
      <w:pPr>
        <w:pStyle w:val="Normal"/>
        <w:widowControl/>
        <w:bidi w:val="0"/>
        <w:spacing w:lineRule="auto" w:line="276"/>
        <w:jc w:val="left"/>
        <w:rPr/>
      </w:pPr>
      <w:r>
        <w:rPr/>
      </w:r>
    </w:p>
    <w:p>
      <w:pPr>
        <w:pStyle w:val="Heading2"/>
        <w:ind w:hanging="0" w:left="0"/>
        <w:rPr/>
      </w:pPr>
      <w:r>
        <w:rPr/>
        <w:t>Financial fraud to save an organization</w:t>
      </w:r>
    </w:p>
    <w:p>
      <w:pPr>
        <w:pStyle w:val="BodyText"/>
        <w:spacing w:before="0" w:after="200"/>
        <w:rPr/>
      </w:pPr>
      <w:r>
        <w:rPr/>
        <w:t>This example illustrates how Objective-Based Systems Ethics evaluates institutional wrongdoing when the stated objective is organizational preservation.</w:t>
      </w:r>
    </w:p>
    <w:p>
      <w:pPr>
        <w:pStyle w:val="BodyText"/>
        <w:spacing w:before="0" w:after="200"/>
        <w:rPr/>
      </w:pPr>
      <w:r>
        <w:rPr/>
        <w:t>The scenario involves an executive, founder, officer, manager, or finance leader who falsifies financial statements, misrepresents revenue, conceals liabilities, fabricates performance metrics, or otherwise commits financial fraud in order to obtain funding, avoid collapse, preserve jobs, protect customers, maintain investor confidence, or save the organization.</w:t>
      </w:r>
    </w:p>
    <w:p>
      <w:pPr>
        <w:pStyle w:val="BodyText"/>
        <w:spacing w:before="0" w:after="200"/>
        <w:rPr/>
      </w:pPr>
      <w:r>
        <w:rPr/>
        <w:t>The stated objective may appear beneficial. An organization may support employees, customers, families, communities, suppliers, shareholders, patients, users, or public services. Preserving the organization may therefore preserve real flourishing for many relevant entities.</w:t>
      </w:r>
    </w:p>
    <w:p>
      <w:pPr>
        <w:pStyle w:val="BodyText"/>
        <w:spacing w:before="0" w:after="200"/>
        <w:rPr/>
      </w:pPr>
      <w:r>
        <w:rPr/>
        <w:t>However, the framework does not assess the action only by its stated objective. It evaluates the Assessed Action as a World Context Transition. Financial fraud is not merely a temporary technique for achieving organizational survival. It changes the Actor’s policy state, the organization’s institutional policy state, the information environment, stakeholder trust, legal and financial relationships, future decision behavior, and the future state space available to the organization and affected entities.</w:t>
      </w:r>
    </w:p>
    <w:p>
      <w:pPr>
        <w:pStyle w:val="BodyText"/>
        <w:spacing w:before="0" w:after="200"/>
        <w:rPr/>
      </w:pPr>
      <w:r>
        <w:rPr/>
        <w:t>This example therefore illustrates why organizational persistence is not the same as organizational flourishing.</w:t>
      </w:r>
    </w:p>
    <w:p>
      <w:pPr>
        <w:pStyle w:val="Heading3"/>
        <w:ind w:hanging="0" w:left="0"/>
        <w:rPr/>
      </w:pPr>
      <w:r>
        <w:rPr/>
        <w:t>Moral Agent</w:t>
      </w:r>
    </w:p>
    <w:p>
      <w:pPr>
        <w:pStyle w:val="BodyText"/>
        <w:spacing w:before="0" w:after="200"/>
        <w:rPr/>
      </w:pPr>
      <w:r>
        <w:rPr/>
        <w:t>The primary Moral Agent is the person or group that authorizes, performs, directs, conceals, or materially enables the fraud.</w:t>
      </w:r>
    </w:p>
    <w:p>
      <w:pPr>
        <w:pStyle w:val="BodyText"/>
        <w:spacing w:before="0" w:after="200"/>
        <w:rPr/>
      </w:pPr>
      <w:r>
        <w:rPr/>
        <w:t>This may include a chief executive, chief financial officer, founder, controller, board member, manager, employee, auditor, consultant, or institutional decision body. The Moral Agent is responsible because the action involves deliberate representation, concealment, or manipulation of financial information in a context where truthfulness, accountability, fiduciary duty, and stakeholder reliance are central.</w:t>
      </w:r>
    </w:p>
    <w:p>
      <w:pPr>
        <w:pStyle w:val="BodyText"/>
        <w:spacing w:before="0" w:after="200"/>
        <w:rPr/>
      </w:pPr>
      <w:r>
        <w:rPr/>
        <w:t>The organization may also be assessed as an institutional Actor if it has decision structures, policies, incentives, or governance mechanisms that produce or tolerate the fraudulent action. The organization’s responsibility may be distributed across individuals, roles, departments, and governance bodies.</w:t>
      </w:r>
    </w:p>
    <w:p>
      <w:pPr>
        <w:pStyle w:val="BodyText"/>
        <w:spacing w:before="0" w:after="200"/>
        <w:rPr/>
      </w:pPr>
      <w:r>
        <w:rPr/>
        <w:t>Other Moral Agents may include collaborators who participate in the fraud, supervisors who pressure subordinates, auditors who knowingly ignore evidence, investors who encourage misrepresentation, or board members who fail to exercise appropriate oversight despite accessible warning signs.</w:t>
      </w:r>
    </w:p>
    <w:p>
      <w:pPr>
        <w:pStyle w:val="BodyText"/>
        <w:spacing w:before="0" w:after="200"/>
        <w:rPr/>
      </w:pPr>
      <w:r>
        <w:rPr/>
        <w:t>The moral assessment should distinguish between causal participation and moral responsibility. A junior employee who unknowingly enters false data under direction may be causally involved without bearing the same responsibility as the executive who ordered the fraud.</w:t>
      </w:r>
    </w:p>
    <w:p>
      <w:pPr>
        <w:pStyle w:val="Heading3"/>
        <w:ind w:hanging="0" w:left="0"/>
        <w:rPr/>
      </w:pPr>
      <w:r>
        <w:rPr/>
        <w:t>Relevant Flourishing Entities</w:t>
      </w:r>
    </w:p>
    <w:p>
      <w:pPr>
        <w:pStyle w:val="BodyText"/>
        <w:spacing w:before="0" w:after="200"/>
        <w:rPr/>
      </w:pPr>
      <w:r>
        <w:rPr/>
        <w:t>The relevant Flourishing Entities include the organization, employees, customers, investors, creditors, suppliers, communities, regulators, future stakeholders, competing organizations, and the Moral Agents involved.</w:t>
      </w:r>
    </w:p>
    <w:p>
      <w:pPr>
        <w:pStyle w:val="BodyText"/>
        <w:spacing w:before="0" w:after="200"/>
        <w:rPr/>
      </w:pPr>
      <w:r>
        <w:rPr/>
        <w:t>The organization is a relevant Flourishing Entity if it is a persistent adaptive institution whose continued existence, adaptive capacity, legitimacy, and constructive participation can be meaningfully increased or diminished. However, the organization’s flourishing is not equivalent to mere survival, revenue, valuation, market share, or expansion. An organization that survives through deception may persist while degrading its own legitimacy, accountability, trust, and constructive participation.</w:t>
      </w:r>
    </w:p>
    <w:p>
      <w:pPr>
        <w:pStyle w:val="BodyText"/>
        <w:spacing w:before="0" w:after="200"/>
        <w:rPr/>
      </w:pPr>
      <w:r>
        <w:rPr/>
        <w:t>Employees are relevant because organizational collapse may threaten jobs, income, professional identity, health, family stability, and future opportunities. However, employees may also be harmed by fraud if they rely on false information, participate under pressure, lose legal protections, suffer reputational damage, or face abrupt collapse later.</w:t>
      </w:r>
    </w:p>
    <w:p>
      <w:pPr>
        <w:pStyle w:val="BodyText"/>
        <w:spacing w:before="0" w:after="200"/>
        <w:rPr/>
      </w:pPr>
      <w:r>
        <w:rPr/>
        <w:t>Customers are relevant when they depend on the organization’s products, services, care, infrastructure, or commitments. Fraud may temporarily preserve service continuity while creating future risk, degraded quality, or sudden disruption.</w:t>
      </w:r>
    </w:p>
    <w:p>
      <w:pPr>
        <w:pStyle w:val="BodyText"/>
        <w:spacing w:before="0" w:after="200"/>
        <w:rPr/>
      </w:pPr>
      <w:r>
        <w:rPr/>
        <w:t>Investors, creditors, and suppliers are relevant because they rely on truthful information to make decisions. Fraud manipulates their decision context and may materially diminish their future possibilities, resources, trust, and ability to assess risk.</w:t>
      </w:r>
    </w:p>
    <w:p>
      <w:pPr>
        <w:pStyle w:val="BodyText"/>
        <w:spacing w:before="0" w:after="200"/>
        <w:rPr/>
      </w:pPr>
      <w:r>
        <w:rPr/>
        <w:t>Regulators, auditors, markets, and legal institutions are relevant because financial fraud damages information quality, institutional trust, enforcement expectations, and the reliability of economic coordination.</w:t>
      </w:r>
    </w:p>
    <w:p>
      <w:pPr>
        <w:pStyle w:val="BodyText"/>
        <w:spacing w:before="0" w:after="200"/>
        <w:rPr/>
      </w:pPr>
      <w:r>
        <w:rPr/>
        <w:t>Future stakeholders are relevant because fraud may postpone collapse while making eventual harm larger, more distributed, less reversible, and harder to correct.</w:t>
      </w:r>
    </w:p>
    <w:p>
      <w:pPr>
        <w:pStyle w:val="BodyText"/>
        <w:spacing w:before="0" w:after="200"/>
        <w:rPr/>
      </w:pPr>
      <w:r>
        <w:rPr/>
        <w:t>Competing organizations may also be relevant because fraud can distort fair competition, redirect capital, and reward dishonest behavior over legitimate institutional conduct.</w:t>
      </w:r>
    </w:p>
    <w:p>
      <w:pPr>
        <w:pStyle w:val="Heading3"/>
        <w:ind w:hanging="0" w:left="0"/>
        <w:rPr/>
      </w:pPr>
      <w:r>
        <w:rPr/>
        <w:t>Situational Context</w:t>
      </w:r>
    </w:p>
    <w:p>
      <w:pPr>
        <w:pStyle w:val="BodyText"/>
        <w:spacing w:before="0" w:after="200"/>
        <w:rPr/>
      </w:pPr>
      <w:r>
        <w:rPr/>
        <w:t>The Situational Context is an organization facing serious financial distress, strategic pressure, liquidity crisis, fundraising challenge, regulatory scrutiny, market decline, or possible collapse.</w:t>
      </w:r>
    </w:p>
    <w:p>
      <w:pPr>
        <w:pStyle w:val="BodyText"/>
        <w:spacing w:before="0" w:after="200"/>
        <w:rPr/>
      </w:pPr>
      <w:r>
        <w:rPr/>
        <w:t>The Actor believes that honest disclosure may cause the organization to fail, lose funding, breach covenants, trigger layoffs, lose customers, or suffer reputational harm. The Actor therefore chooses fraud as a means of preserving the organization or buying time.</w:t>
      </w:r>
    </w:p>
    <w:p>
      <w:pPr>
        <w:pStyle w:val="BodyText"/>
        <w:spacing w:before="0" w:after="200"/>
        <w:rPr/>
      </w:pPr>
      <w:r>
        <w:rPr/>
        <w:t>Material features of the Situational Context include:</w:t>
      </w:r>
    </w:p>
    <w:p>
      <w:pPr>
        <w:pStyle w:val="BodyText"/>
        <w:spacing w:before="0" w:after="200"/>
        <w:rPr/>
      </w:pPr>
      <w:r>
        <w:rPr/>
        <w:t>The organization may provide real value to employees, customers, communities, or markets.</w:t>
      </w:r>
    </w:p>
    <w:p>
      <w:pPr>
        <w:pStyle w:val="BodyText"/>
        <w:spacing w:before="0" w:after="200"/>
        <w:rPr/>
      </w:pPr>
      <w:r>
        <w:rPr/>
        <w:t>Collapse may create genuine harm.</w:t>
      </w:r>
    </w:p>
    <w:p>
      <w:pPr>
        <w:pStyle w:val="BodyText"/>
        <w:spacing w:before="0" w:after="200"/>
        <w:rPr/>
      </w:pPr>
      <w:r>
        <w:rPr/>
        <w:t>The Actor has authority or practical control over financial reporting or disclosure.</w:t>
      </w:r>
    </w:p>
    <w:p>
      <w:pPr>
        <w:pStyle w:val="BodyText"/>
        <w:spacing w:before="0" w:after="200"/>
        <w:rPr/>
      </w:pPr>
      <w:r>
        <w:rPr/>
        <w:t>Stakeholders rely on accurate information.</w:t>
      </w:r>
    </w:p>
    <w:p>
      <w:pPr>
        <w:pStyle w:val="BodyText"/>
        <w:spacing w:before="0" w:after="200"/>
        <w:rPr/>
      </w:pPr>
      <w:r>
        <w:rPr/>
        <w:t>The Actor has alternatives to fraud, even if those alternatives are costly.</w:t>
      </w:r>
    </w:p>
    <w:p>
      <w:pPr>
        <w:pStyle w:val="BodyText"/>
        <w:spacing w:before="0" w:after="200"/>
        <w:rPr/>
      </w:pPr>
      <w:r>
        <w:rPr/>
        <w:t>The fraud alters the information state of investors, creditors, employees, customers, auditors, regulators, or the public.</w:t>
      </w:r>
    </w:p>
    <w:p>
      <w:pPr>
        <w:pStyle w:val="BodyText"/>
        <w:spacing w:before="0" w:after="200"/>
        <w:rPr/>
      </w:pPr>
      <w:r>
        <w:rPr/>
        <w:t>The fraud may produce short-term organizational persistence.</w:t>
      </w:r>
    </w:p>
    <w:p>
      <w:pPr>
        <w:pStyle w:val="BodyText"/>
        <w:spacing w:before="0" w:after="200"/>
        <w:rPr/>
      </w:pPr>
      <w:r>
        <w:rPr/>
        <w:t>The fraud may increase long-term institutional fragility.</w:t>
      </w:r>
    </w:p>
    <w:p>
      <w:pPr>
        <w:pStyle w:val="BodyText"/>
        <w:spacing w:before="0" w:after="200"/>
        <w:rPr/>
      </w:pPr>
      <w:r>
        <w:rPr/>
        <w:t>The fraud may become precedent within the organization.</w:t>
      </w:r>
    </w:p>
    <w:p>
      <w:pPr>
        <w:pStyle w:val="BodyText"/>
        <w:spacing w:before="0" w:after="200"/>
        <w:rPr/>
      </w:pPr>
      <w:r>
        <w:rPr/>
        <w:t>The fraud may require further concealment or escalation.</w:t>
      </w:r>
    </w:p>
    <w:p>
      <w:pPr>
        <w:pStyle w:val="BodyText"/>
        <w:spacing w:before="0" w:after="200"/>
        <w:rPr/>
      </w:pPr>
      <w:r>
        <w:rPr/>
        <w:t>The fraud may create legal, financial, and reputational harm when discovered.</w:t>
      </w:r>
    </w:p>
    <w:p>
      <w:pPr>
        <w:pStyle w:val="BodyText"/>
        <w:spacing w:before="0" w:after="200"/>
        <w:rPr/>
      </w:pPr>
      <w:r>
        <w:rPr/>
        <w:t>The presence of organizational crisis does not remove the moral relevance of truthful reporting, fiduciary responsibility, stakeholder reliance, or institutional legitimacy. It changes the stakes but does not make deception external to the assessment.</w:t>
      </w:r>
    </w:p>
    <w:p>
      <w:pPr>
        <w:pStyle w:val="Heading3"/>
        <w:ind w:hanging="0" w:left="0"/>
        <w:rPr/>
      </w:pPr>
      <w:r>
        <w:rPr/>
        <w:t>Action</w:t>
      </w:r>
    </w:p>
    <w:p>
      <w:pPr>
        <w:pStyle w:val="BodyText"/>
        <w:spacing w:before="0" w:after="200"/>
        <w:rPr/>
      </w:pPr>
      <w:r>
        <w:rPr/>
        <w:t>The Assessed Action is the deliberate use of financial fraud to preserve, fund, protect, or delay the collapse of the organization.</w:t>
      </w:r>
    </w:p>
    <w:p>
      <w:pPr>
        <w:pStyle w:val="BodyText"/>
        <w:spacing w:before="0" w:after="200"/>
        <w:rPr/>
      </w:pPr>
      <w:r>
        <w:rPr/>
        <w:t>The action may include falsifying revenue, hiding liabilities, fabricating customer counts, misclassifying expenses, manipulating reserves, backdating contracts, concealing losses, misleading investors, deceiving auditors, falsifying compliance reports, or making materially false public statements.</w:t>
      </w:r>
    </w:p>
    <w:p>
      <w:pPr>
        <w:pStyle w:val="BodyText"/>
        <w:spacing w:before="0" w:after="200"/>
        <w:rPr/>
      </w:pPr>
      <w:r>
        <w:rPr/>
        <w:t>The action should not be described merely as “saving the organization.” That statement identifies the operational objective, not the means. The morally relevant action is “using deception or false financial representation to preserve the organization.”</w:t>
      </w:r>
    </w:p>
    <w:p>
      <w:pPr>
        <w:pStyle w:val="BodyText"/>
        <w:spacing w:before="0" w:after="200"/>
        <w:rPr/>
      </w:pPr>
      <w:r>
        <w:rPr/>
        <w:t>Available alternatives may include:</w:t>
      </w:r>
    </w:p>
    <w:p>
      <w:pPr>
        <w:pStyle w:val="BodyText"/>
        <w:spacing w:before="0" w:after="200"/>
        <w:rPr/>
      </w:pPr>
      <w:r>
        <w:rPr/>
        <w:t>Truthful disclosure.</w:t>
      </w:r>
    </w:p>
    <w:p>
      <w:pPr>
        <w:pStyle w:val="BodyText"/>
        <w:spacing w:before="0" w:after="200"/>
        <w:rPr/>
      </w:pPr>
      <w:r>
        <w:rPr/>
        <w:t>Emergency restructuring.</w:t>
      </w:r>
    </w:p>
    <w:p>
      <w:pPr>
        <w:pStyle w:val="BodyText"/>
        <w:spacing w:before="0" w:after="200"/>
        <w:rPr/>
      </w:pPr>
      <w:r>
        <w:rPr/>
        <w:t>Cost reduction.</w:t>
      </w:r>
    </w:p>
    <w:p>
      <w:pPr>
        <w:pStyle w:val="BodyText"/>
        <w:spacing w:before="0" w:after="200"/>
        <w:rPr/>
      </w:pPr>
      <w:r>
        <w:rPr/>
        <w:t>Seeking lawful financing.</w:t>
      </w:r>
    </w:p>
    <w:p>
      <w:pPr>
        <w:pStyle w:val="BodyText"/>
        <w:spacing w:before="0" w:after="200"/>
        <w:rPr/>
      </w:pPr>
      <w:r>
        <w:rPr/>
        <w:t>Renegotiating obligations.</w:t>
      </w:r>
    </w:p>
    <w:p>
      <w:pPr>
        <w:pStyle w:val="BodyText"/>
        <w:spacing w:before="0" w:after="200"/>
        <w:rPr/>
      </w:pPr>
      <w:r>
        <w:rPr/>
        <w:t>Reducing executive compensation.</w:t>
      </w:r>
    </w:p>
    <w:p>
      <w:pPr>
        <w:pStyle w:val="BodyText"/>
        <w:spacing w:before="0" w:after="200"/>
        <w:rPr/>
      </w:pPr>
      <w:r>
        <w:rPr/>
        <w:t>Selling assets.</w:t>
      </w:r>
    </w:p>
    <w:p>
      <w:pPr>
        <w:pStyle w:val="BodyText"/>
        <w:spacing w:before="0" w:after="200"/>
        <w:rPr/>
      </w:pPr>
      <w:r>
        <w:rPr/>
        <w:t>Entering bankruptcy or reorganization.</w:t>
      </w:r>
    </w:p>
    <w:p>
      <w:pPr>
        <w:pStyle w:val="BodyText"/>
        <w:spacing w:before="0" w:after="200"/>
        <w:rPr/>
      </w:pPr>
      <w:r>
        <w:rPr/>
        <w:t>Seeking acquisition.</w:t>
      </w:r>
    </w:p>
    <w:p>
      <w:pPr>
        <w:pStyle w:val="BodyText"/>
        <w:spacing w:before="0" w:after="200"/>
        <w:rPr/>
      </w:pPr>
      <w:r>
        <w:rPr/>
        <w:t>Disclosing uncertainty.</w:t>
      </w:r>
    </w:p>
    <w:p>
      <w:pPr>
        <w:pStyle w:val="BodyText"/>
        <w:spacing w:before="0" w:after="200"/>
        <w:rPr/>
      </w:pPr>
      <w:r>
        <w:rPr/>
        <w:t>Delaying expansion.</w:t>
      </w:r>
    </w:p>
    <w:p>
      <w:pPr>
        <w:pStyle w:val="BodyText"/>
        <w:spacing w:before="0" w:after="200"/>
        <w:rPr/>
      </w:pPr>
      <w:r>
        <w:rPr/>
        <w:t>Requesting stakeholder concessions.</w:t>
      </w:r>
    </w:p>
    <w:p>
      <w:pPr>
        <w:pStyle w:val="BodyText"/>
        <w:spacing w:before="0" w:after="200"/>
        <w:rPr/>
      </w:pPr>
      <w:r>
        <w:rPr/>
        <w:t>Reducing service scope.</w:t>
      </w:r>
    </w:p>
    <w:p>
      <w:pPr>
        <w:pStyle w:val="BodyText"/>
        <w:spacing w:before="0" w:after="200"/>
        <w:rPr/>
      </w:pPr>
      <w:r>
        <w:rPr/>
        <w:t>Resigning or escalating to the board.</w:t>
      </w:r>
    </w:p>
    <w:p>
      <w:pPr>
        <w:pStyle w:val="BodyText"/>
        <w:spacing w:before="0" w:after="200"/>
        <w:rPr/>
      </w:pPr>
      <w:r>
        <w:rPr/>
        <w:t>Reporting concerns to auditors or regulators.</w:t>
      </w:r>
    </w:p>
    <w:p>
      <w:pPr>
        <w:pStyle w:val="BodyText"/>
        <w:spacing w:before="0" w:after="200"/>
        <w:rPr/>
      </w:pPr>
      <w:r>
        <w:rPr/>
        <w:t>These alternatives may be painful, imperfect, or risky. However, the availability of difficult alternatives matters because the Actor chooses fraud rather than a truthful or procedurally legitimate path.</w:t>
      </w:r>
    </w:p>
    <w:p>
      <w:pPr>
        <w:pStyle w:val="Heading3"/>
        <w:ind w:hanging="0" w:left="0"/>
        <w:rPr/>
      </w:pPr>
      <w:r>
        <w:rPr/>
        <w:t>Actor / Distributed Policy Updates</w:t>
      </w:r>
    </w:p>
    <w:p>
      <w:pPr>
        <w:pStyle w:val="BodyText"/>
        <w:spacing w:before="0" w:after="200"/>
        <w:rPr/>
      </w:pPr>
      <w:r>
        <w:rPr/>
        <w:t>The Actor Policy Update is strongly negative.</w:t>
      </w:r>
    </w:p>
    <w:p>
      <w:pPr>
        <w:pStyle w:val="BodyText"/>
        <w:spacing w:before="0" w:after="200"/>
        <w:rPr/>
      </w:pPr>
      <w:r>
        <w:rPr/>
        <w:t>When an Actor commits fraud to achieve a desired organizational outcome, the Actor’s future decision policy is altered. The Actor becomes more likely to treat deception as an available tool when stakes are high. If the fraud appears successful, the Actor may become more willing to repeat, expand, rationalize, or conceal similar conduct.</w:t>
      </w:r>
    </w:p>
    <w:p>
      <w:pPr>
        <w:pStyle w:val="BodyText"/>
        <w:spacing w:before="0" w:after="200"/>
        <w:rPr/>
      </w:pPr>
      <w:r>
        <w:rPr/>
        <w:t>The organization’s policy state is also degraded. Fraud rarely remains isolated. It often requires collaboration, silence, document manipulation, pressure on subordinates, misleading explanations, audit evasion, or further misrepresentation. The organization may update toward a policy of concealment, internal fear, loyalty over truth, retaliation against dissent, or performance narratives detached from reality.</w:t>
      </w:r>
    </w:p>
    <w:p>
      <w:pPr>
        <w:pStyle w:val="BodyText"/>
        <w:spacing w:before="0" w:after="200"/>
        <w:rPr/>
      </w:pPr>
      <w:r>
        <w:rPr/>
        <w:t>Distributed Policy Updates may include:</w:t>
      </w:r>
    </w:p>
    <w:p>
      <w:pPr>
        <w:pStyle w:val="BodyText"/>
        <w:spacing w:before="0" w:after="200"/>
        <w:rPr/>
      </w:pPr>
      <w:r>
        <w:rPr/>
        <w:t>Employees learning that deception is tolerated or required.</w:t>
      </w:r>
    </w:p>
    <w:p>
      <w:pPr>
        <w:pStyle w:val="BodyText"/>
        <w:spacing w:before="0" w:after="200"/>
        <w:rPr/>
      </w:pPr>
      <w:r>
        <w:rPr/>
        <w:t>Finance staff becoming more willing to manipulate records.</w:t>
      </w:r>
    </w:p>
    <w:p>
      <w:pPr>
        <w:pStyle w:val="BodyText"/>
        <w:spacing w:before="0" w:after="200"/>
        <w:rPr/>
      </w:pPr>
      <w:r>
        <w:rPr/>
        <w:t>Managers learning that results matter more than truth.</w:t>
      </w:r>
    </w:p>
    <w:p>
      <w:pPr>
        <w:pStyle w:val="BodyText"/>
        <w:spacing w:before="0" w:after="200"/>
        <w:rPr/>
      </w:pPr>
      <w:r>
        <w:rPr/>
        <w:t>Auditors being pressured or corrupted.</w:t>
      </w:r>
    </w:p>
    <w:p>
      <w:pPr>
        <w:pStyle w:val="BodyText"/>
        <w:spacing w:before="0" w:after="200"/>
        <w:rPr/>
      </w:pPr>
      <w:r>
        <w:rPr/>
        <w:t>Investors becoming more distrustful after discovery.</w:t>
      </w:r>
    </w:p>
    <w:p>
      <w:pPr>
        <w:pStyle w:val="BodyText"/>
        <w:spacing w:before="0" w:after="200"/>
        <w:rPr/>
      </w:pPr>
      <w:r>
        <w:rPr/>
        <w:t>Regulators updating toward stricter enforcement.</w:t>
      </w:r>
    </w:p>
    <w:p>
      <w:pPr>
        <w:pStyle w:val="BodyText"/>
        <w:spacing w:before="0" w:after="200"/>
        <w:rPr/>
      </w:pPr>
      <w:r>
        <w:rPr/>
        <w:t>Competitors learning that dishonest firms may gain temporary advantage.</w:t>
      </w:r>
    </w:p>
    <w:p>
      <w:pPr>
        <w:pStyle w:val="BodyText"/>
        <w:spacing w:before="0" w:after="200"/>
        <w:rPr/>
      </w:pPr>
      <w:r>
        <w:rPr/>
        <w:t>Boards becoming less informed if management controls information.</w:t>
      </w:r>
    </w:p>
    <w:p>
      <w:pPr>
        <w:pStyle w:val="BodyText"/>
        <w:spacing w:before="0" w:after="200"/>
        <w:rPr/>
      </w:pPr>
      <w:r>
        <w:rPr/>
        <w:t>Customers losing trust in organizational commitments.</w:t>
      </w:r>
    </w:p>
    <w:p>
      <w:pPr>
        <w:pStyle w:val="BodyText"/>
        <w:spacing w:before="0" w:after="200"/>
        <w:rPr/>
      </w:pPr>
      <w:r>
        <w:rPr/>
        <w:t>Future leaders inheriting a degraded institutional policy state.</w:t>
      </w:r>
    </w:p>
    <w:p>
      <w:pPr>
        <w:pStyle w:val="BodyText"/>
        <w:spacing w:before="0" w:after="200"/>
        <w:rPr/>
      </w:pPr>
      <w:r>
        <w:rPr/>
        <w:t>These policy updates are central. The action does not merely create a false statement. It changes the future decision environment of the organization and its stakeholders.</w:t>
      </w:r>
    </w:p>
    <w:p>
      <w:pPr>
        <w:pStyle w:val="BodyText"/>
        <w:spacing w:before="0" w:after="200"/>
        <w:rPr/>
      </w:pPr>
      <w:r>
        <w:rPr/>
        <w:t>Because these policy-state changes become part of World Context₁, the fraud is morally significant even if the organization survives temporarily.</w:t>
      </w:r>
    </w:p>
    <w:p>
      <w:pPr>
        <w:pStyle w:val="Heading3"/>
        <w:ind w:hanging="0" w:left="0"/>
        <w:rPr/>
      </w:pPr>
      <w:r>
        <w:rPr/>
        <w:t>Flourishing Transitions</w:t>
      </w:r>
    </w:p>
    <w:p>
      <w:pPr>
        <w:pStyle w:val="BodyText"/>
        <w:spacing w:before="0" w:after="200"/>
        <w:rPr/>
      </w:pPr>
      <w:r>
        <w:rPr/>
        <w:t>The organization may experience a short-term positive transition in persistence. Fraud may provide cash, delay collapse, preserve operations, avoid layoffs, maintain customer service, or protect organizational identity.</w:t>
      </w:r>
    </w:p>
    <w:p>
      <w:pPr>
        <w:pStyle w:val="BodyText"/>
        <w:spacing w:before="0" w:after="200"/>
        <w:rPr/>
      </w:pPr>
      <w:r>
        <w:rPr/>
        <w:t>However, this is not necessarily a positive Long-Term Flourishing transition. The organization’s legitimacy, trustworthiness, accountability, information integrity, adaptive capacity, and constructive participation are diminished. The organization may persist in a corrupted state.</w:t>
      </w:r>
    </w:p>
    <w:p>
      <w:pPr>
        <w:pStyle w:val="BodyText"/>
        <w:spacing w:before="0" w:after="200"/>
        <w:rPr/>
      </w:pPr>
      <w:r>
        <w:rPr/>
        <w:t>Employees may experience short-term benefit if jobs are preserved. But they may experience long-term harm if the fraud causes sudden collapse, legal exposure, reputational damage, lost retirement value, moral injury, or participation in misconduct. Employees pressured to collaborate may suffer degraded moral agency and future professional risk.</w:t>
      </w:r>
    </w:p>
    <w:p>
      <w:pPr>
        <w:pStyle w:val="BodyText"/>
        <w:spacing w:before="0" w:after="200"/>
        <w:rPr/>
      </w:pPr>
      <w:r>
        <w:rPr/>
        <w:t>Customers may benefit temporarily from continued service, but may be harmed if the organization’s apparent stability causes them to rely on commitments that cannot be fulfilled.</w:t>
      </w:r>
    </w:p>
    <w:p>
      <w:pPr>
        <w:pStyle w:val="BodyText"/>
        <w:spacing w:before="0" w:after="200"/>
        <w:rPr/>
      </w:pPr>
      <w:r>
        <w:rPr/>
        <w:t>Investors and creditors experience negative transitions because their decision context is manipulated. Their resources, future opportunities, trust, and ability to allocate capital responsibly are diminished.</w:t>
      </w:r>
    </w:p>
    <w:p>
      <w:pPr>
        <w:pStyle w:val="BodyText"/>
        <w:spacing w:before="0" w:after="200"/>
        <w:rPr/>
      </w:pPr>
      <w:r>
        <w:rPr/>
        <w:t>Regulators and markets experience negative transitions through degraded information quality and reduced confidence in institutional truthfulness.</w:t>
      </w:r>
    </w:p>
    <w:p>
      <w:pPr>
        <w:pStyle w:val="BodyText"/>
        <w:spacing w:before="0" w:after="200"/>
        <w:rPr/>
      </w:pPr>
      <w:r>
        <w:rPr/>
        <w:t>The Actor experiences a negative flourishing transition through moral policy degradation, increased legal risk, reduced integrity, and future dependence on concealment.</w:t>
      </w:r>
    </w:p>
    <w:p>
      <w:pPr>
        <w:pStyle w:val="BodyText"/>
        <w:spacing w:before="0" w:after="200"/>
        <w:rPr/>
      </w:pPr>
      <w:r>
        <w:rPr/>
        <w:t>The broader World Context experiences a negative transition if fraud normalizes deceptive organizational survival, weakens market trust, and rewards institutions that misrepresent reality.</w:t>
      </w:r>
    </w:p>
    <w:p>
      <w:pPr>
        <w:pStyle w:val="BodyText"/>
        <w:spacing w:before="0" w:after="200"/>
        <w:rPr/>
      </w:pPr>
      <w:r>
        <w:rPr/>
        <w:t>The flourishing profile is therefore mixed in the short term but negative in the long term. The apparent preservation of one institution comes at the cost of degrading the relational, informational, legal, and policy conditions that allow institutions to flourish legitimately.</w:t>
      </w:r>
    </w:p>
    <w:p>
      <w:pPr>
        <w:pStyle w:val="Heading3"/>
        <w:ind w:hanging="0" w:left="0"/>
        <w:rPr/>
      </w:pPr>
      <w:r>
        <w:rPr/>
        <w:t>World Context Transition</w:t>
      </w:r>
    </w:p>
    <w:p>
      <w:pPr>
        <w:pStyle w:val="BodyText"/>
        <w:spacing w:before="0" w:after="200"/>
        <w:rPr/>
      </w:pPr>
      <w:r>
        <w:rPr/>
        <w:t>World Context₀ includes a distressed organization, truthful or discoverable financial conditions, stakeholders who may make decisions based on available evidence, and a set of difficult but lawful alternatives.</w:t>
      </w:r>
    </w:p>
    <w:p>
      <w:pPr>
        <w:pStyle w:val="BodyText"/>
        <w:spacing w:before="0" w:after="200"/>
        <w:rPr/>
      </w:pPr>
      <w:r>
        <w:rPr/>
        <w:t>World Context₁ includes an organization that may survive temporarily, but whose survival is based on deception. It also includes misinformed stakeholders, corrupted financial records, degraded evidence quality, increased legal and reputational risk, altered Actor Policy State, degraded institutional policy state, potential pressure on collaborators, and increased future probability of further fraud.</w:t>
      </w:r>
    </w:p>
    <w:p>
      <w:pPr>
        <w:pStyle w:val="BodyText"/>
        <w:spacing w:before="0" w:after="200"/>
        <w:rPr/>
      </w:pPr>
      <w:r>
        <w:rPr/>
        <w:t>The transition includes possible short-term preservation of jobs, services, or institutional continuity. That benefit is morally relevant and should be represented.</w:t>
      </w:r>
    </w:p>
    <w:p>
      <w:pPr>
        <w:pStyle w:val="BodyText"/>
        <w:spacing w:before="0" w:after="200"/>
        <w:rPr/>
      </w:pPr>
      <w:r>
        <w:rPr/>
        <w:t>However, World Context₁ is also a world in which:</w:t>
      </w:r>
    </w:p>
    <w:p>
      <w:pPr>
        <w:pStyle w:val="BodyText"/>
        <w:spacing w:before="0" w:after="200"/>
        <w:rPr/>
      </w:pPr>
      <w:r>
        <w:rPr/>
        <w:t>Truthful information has been replaced by false representation.</w:t>
      </w:r>
    </w:p>
    <w:p>
      <w:pPr>
        <w:pStyle w:val="BodyText"/>
        <w:spacing w:before="0" w:after="200"/>
        <w:rPr/>
      </w:pPr>
      <w:r>
        <w:rPr/>
        <w:t>Stakeholder decision-making has been manipulated.</w:t>
      </w:r>
    </w:p>
    <w:p>
      <w:pPr>
        <w:pStyle w:val="BodyText"/>
        <w:spacing w:before="0" w:after="200"/>
        <w:rPr/>
      </w:pPr>
      <w:r>
        <w:rPr/>
        <w:t>The Actor has updated toward fraudulent means.</w:t>
      </w:r>
    </w:p>
    <w:p>
      <w:pPr>
        <w:pStyle w:val="BodyText"/>
        <w:spacing w:before="0" w:after="200"/>
        <w:rPr/>
      </w:pPr>
      <w:r>
        <w:rPr/>
        <w:t>The institution has updated toward concealment.</w:t>
      </w:r>
    </w:p>
    <w:p>
      <w:pPr>
        <w:pStyle w:val="BodyText"/>
        <w:spacing w:before="0" w:after="200"/>
        <w:rPr/>
      </w:pPr>
      <w:r>
        <w:rPr/>
        <w:t>Trust has been damaged or placed at risk.</w:t>
      </w:r>
    </w:p>
    <w:p>
      <w:pPr>
        <w:pStyle w:val="BodyText"/>
        <w:spacing w:before="0" w:after="200"/>
        <w:rPr/>
      </w:pPr>
      <w:r>
        <w:rPr/>
        <w:t>Future correction becomes harder.</w:t>
      </w:r>
    </w:p>
    <w:p>
      <w:pPr>
        <w:pStyle w:val="BodyText"/>
        <w:spacing w:before="0" w:after="200"/>
        <w:rPr/>
      </w:pPr>
      <w:r>
        <w:rPr/>
        <w:t>Collapse may be delayed but worsened.</w:t>
      </w:r>
    </w:p>
    <w:p>
      <w:pPr>
        <w:pStyle w:val="BodyText"/>
        <w:spacing w:before="0" w:after="200"/>
        <w:rPr/>
      </w:pPr>
      <w:r>
        <w:rPr/>
        <w:t>Future stakeholders may bear larger harms.</w:t>
      </w:r>
    </w:p>
    <w:p>
      <w:pPr>
        <w:pStyle w:val="BodyText"/>
        <w:spacing w:before="0" w:after="200"/>
        <w:rPr/>
      </w:pPr>
      <w:r>
        <w:rPr/>
        <w:t>Legal and regulatory institutions may be burdened.</w:t>
      </w:r>
    </w:p>
    <w:p>
      <w:pPr>
        <w:pStyle w:val="BodyText"/>
        <w:spacing w:before="0" w:after="200"/>
        <w:rPr/>
      </w:pPr>
      <w:r>
        <w:rPr/>
        <w:t>Market information quality is degraded.</w:t>
      </w:r>
    </w:p>
    <w:p>
      <w:pPr>
        <w:pStyle w:val="BodyText"/>
        <w:spacing w:before="0" w:after="200"/>
        <w:rPr/>
      </w:pPr>
      <w:r>
        <w:rPr/>
        <w:t>The organization persists but does not necessarily flourish. Its apparent continuity may conceal a deeper loss of adaptive capacity and constructive participation.</w:t>
      </w:r>
    </w:p>
    <w:p>
      <w:pPr>
        <w:pStyle w:val="BodyText"/>
        <w:spacing w:before="0" w:after="200"/>
        <w:rPr/>
      </w:pPr>
      <w:r>
        <w:rPr/>
        <w:t>The World Context Transition is therefore morally negative despite the stated objective of saving the organization.</w:t>
      </w:r>
    </w:p>
    <w:p>
      <w:pPr>
        <w:pStyle w:val="Heading3"/>
        <w:ind w:hanging="0" w:left="0"/>
        <w:rPr>
          <w:rFonts w:ascii="Aptos" w:hAnsi="Aptos"/>
          <w:color w:val="auto"/>
        </w:rPr>
      </w:pPr>
      <w:r>
        <w:rPr/>
        <w:t>Assessment Summary</w:t>
      </w:r>
    </w:p>
    <w:p>
      <w:pPr>
        <w:pStyle w:val="BodyText"/>
        <w:spacing w:before="0" w:after="200"/>
        <w:rPr/>
      </w:pPr>
      <w:r>
        <w:rPr/>
        <w:t>The financial fraud example demonstrates that institutional survival is not identical to institutional flourishing.</w:t>
      </w:r>
    </w:p>
    <w:p>
      <w:pPr>
        <w:pStyle w:val="BodyText"/>
        <w:spacing w:before="0" w:after="200"/>
        <w:rPr/>
      </w:pPr>
      <w:r>
        <w:rPr/>
        <w:t>Saving an organization may be a legitimate operational objective when the organization contributes to the flourishing of employees, customers, communities, and other stakeholders. However, the means used to pursue that objective matter. Financial fraud materially degrades the information state, manipulates stakeholder decision-making, corrupts the Actor’s policy state, and damages the organization’s institutional policy state.</w:t>
      </w:r>
    </w:p>
    <w:p>
      <w:pPr>
        <w:pStyle w:val="BodyText"/>
        <w:spacing w:before="0" w:after="200"/>
        <w:rPr/>
      </w:pPr>
      <w:r>
        <w:rPr/>
        <w:t>The action may produce short-term persistence, but it does so by weakening the conditions that make long-term organizational flourishing morally supportable: trust, legitimacy, accountability, truthfulness, adaptive capacity, and constructive participation.</w:t>
      </w:r>
    </w:p>
    <w:p>
      <w:pPr>
        <w:pStyle w:val="BodyText"/>
        <w:spacing w:before="0" w:after="200"/>
        <w:rPr/>
      </w:pPr>
      <w:r>
        <w:rPr/>
        <w:t>The ends therefore do not justify the means. The fraud is part of the Assessed Action, and its policy and information effects become part of the resulting World Context. A positive short-term organizational outcome cannot erase detrimental Distributed Policy Updates and institutional corruption.</w:t>
      </w:r>
    </w:p>
    <w:p>
      <w:pPr>
        <w:pStyle w:val="BodyText"/>
        <w:spacing w:before="0" w:after="200"/>
        <w:rPr/>
      </w:pPr>
      <w:r>
        <w:rPr/>
        <w:t>Assessment Result: Morally impermissible. The action may preserve organizational persistence temporarily, but it materially degrades institutional flourishing, stakeholder trust, information quality, and future decision policy.</w:t>
      </w:r>
    </w:p>
    <w:p>
      <w:pPr>
        <w:pStyle w:val="BodyText"/>
        <w:spacing w:before="0" w:after="200"/>
        <w:rPr/>
      </w:pPr>
      <w:r>
        <w:rPr/>
        <w:t>Confidence Level: High, assuming the action involves deliberate material misrepresentation rather than lawful restructuring, transparent emergency financing, or good-faith accounting judgment under uncertainty.</w:t>
      </w:r>
    </w:p>
    <w:p>
      <w:pPr>
        <w:pStyle w:val="Heading2"/>
        <w:ind w:hanging="0" w:left="0"/>
        <w:rPr/>
      </w:pPr>
      <w:r>
        <w:rPr/>
        <w:t>Rehabilitation of an imprisoned murderer</w:t>
      </w:r>
    </w:p>
    <w:p>
      <w:pPr>
        <w:pStyle w:val="BodyText"/>
        <w:spacing w:before="0" w:after="200"/>
        <w:rPr/>
      </w:pPr>
      <w:r>
        <w:rPr/>
        <w:t>This example illustrates how Objective-Based Systems Ethics evaluates rehabilitation, accountability, restoration of agency, and future flourishing after severe wrongdoing.</w:t>
      </w:r>
    </w:p>
    <w:p>
      <w:pPr>
        <w:pStyle w:val="BodyText"/>
        <w:spacing w:before="0" w:after="200"/>
        <w:rPr/>
      </w:pPr>
      <w:r>
        <w:rPr/>
        <w:t>The scenario involves a person imprisoned for murder who participates in a serious rehabilitation process. The person accepts responsibility, demonstrates remorse, engages in education or therapy, develops improved self-regulation, contributes constructively within the prison environment, and may eventually become eligible for some form of supervised reintegration, sentence review, restorative process, or limited expansion of future opportunities.</w:t>
      </w:r>
    </w:p>
    <w:p>
      <w:pPr>
        <w:pStyle w:val="BodyText"/>
        <w:spacing w:before="0" w:after="200"/>
        <w:rPr/>
      </w:pPr>
      <w:r>
        <w:rPr/>
        <w:t>The example is morally complex because the imprisoned person is both a Moral Agent responsible for grave prior harm and a Flourishing Entity whose future state can still improve or deteriorate. The framework does not erase the victim’s harm, the suffering of the victim’s family, or society’s need for protection and justice. It also does not assume that a person who has committed murder is permanently excluded from all forms of flourishing, adaptive development, or constructive participation.</w:t>
      </w:r>
    </w:p>
    <w:p>
      <w:pPr>
        <w:pStyle w:val="BodyText"/>
        <w:spacing w:before="0" w:after="200"/>
        <w:rPr/>
      </w:pPr>
      <w:r>
        <w:rPr/>
        <w:t>The assessment therefore asks whether rehabilitation changes the World Context in a way that preserves accountability, protects relevant Flourishing Entities, supports institutional legitimacy, and allows morally responsible improvement in the imprisoned person’s future decision policy.</w:t>
      </w:r>
    </w:p>
    <w:p>
      <w:pPr>
        <w:pStyle w:val="Heading3"/>
        <w:ind w:hanging="0" w:left="0"/>
        <w:rPr/>
      </w:pPr>
      <w:r>
        <w:rPr/>
        <w:t>Moral Agent</w:t>
      </w:r>
    </w:p>
    <w:p>
      <w:pPr>
        <w:pStyle w:val="BodyText"/>
        <w:spacing w:before="0" w:after="200"/>
        <w:rPr/>
      </w:pPr>
      <w:r>
        <w:rPr/>
        <w:t>The imprisoned murderer is a Moral Agent with respect to the original crime and with respect to future conduct.</w:t>
      </w:r>
    </w:p>
    <w:p>
      <w:pPr>
        <w:pStyle w:val="BodyText"/>
        <w:spacing w:before="0" w:after="200"/>
        <w:rPr/>
      </w:pPr>
      <w:r>
        <w:rPr/>
        <w:t>The person had, at the time of the crime, sufficient agency to be treated as responsible under the assumptions of the scenario. The prior murder represents a severe negative World Context Transition: the victim’s persistence and future possibilities were ended, the victim’s family and community were harmed, and the offender’s own policy state was gravely degraded.</w:t>
      </w:r>
    </w:p>
    <w:p>
      <w:pPr>
        <w:pStyle w:val="BodyText"/>
        <w:spacing w:before="0" w:after="200"/>
        <w:rPr/>
      </w:pPr>
      <w:r>
        <w:rPr/>
        <w:t>In the rehabilitation scenario, the same person remains a Moral Agent because they can reflect on past action, accept responsibility, participate in moral learning, alter future behavior, and develop a changed decision policy.</w:t>
      </w:r>
    </w:p>
    <w:p>
      <w:pPr>
        <w:pStyle w:val="BodyText"/>
        <w:spacing w:before="0" w:after="200"/>
        <w:rPr/>
      </w:pPr>
      <w:r>
        <w:rPr/>
        <w:t>Other Moral Agents include prison officials, parole boards, judges, therapists, educators, victims’ advocates, restorative justice facilitators, legislators, and institutional decision-makers. These agents bear responsibility for how rehabilitation is structured, evaluated, permitted, constrained, or denied.</w:t>
      </w:r>
    </w:p>
    <w:p>
      <w:pPr>
        <w:pStyle w:val="BodyText"/>
        <w:spacing w:before="0" w:after="200"/>
        <w:rPr/>
      </w:pPr>
      <w:r>
        <w:rPr/>
        <w:t>The institution itself may also function as an Actor when its policies determine whether rehabilitation is possible, meaningful, legitimate, or merely nominal.</w:t>
      </w:r>
    </w:p>
    <w:p>
      <w:pPr>
        <w:pStyle w:val="Heading3"/>
        <w:ind w:hanging="0" w:left="0"/>
        <w:rPr/>
      </w:pPr>
      <w:r>
        <w:rPr/>
        <w:t>Relevant Flourishing Entities</w:t>
      </w:r>
    </w:p>
    <w:p>
      <w:pPr>
        <w:pStyle w:val="BodyText"/>
        <w:spacing w:before="0" w:after="200"/>
        <w:rPr/>
      </w:pPr>
      <w:r>
        <w:rPr/>
        <w:t>The relevant Flourishing Entities include the victim, the victim’s family and community, the imprisoned person, other incarcerated persons, prison staff, future members of society, legal institutions, correctional institutions, and the broader political community.</w:t>
      </w:r>
    </w:p>
    <w:p>
      <w:pPr>
        <w:pStyle w:val="BodyText"/>
        <w:spacing w:before="0" w:after="200"/>
        <w:rPr/>
      </w:pPr>
      <w:r>
        <w:rPr/>
        <w:t>The victim remains morally central even though the victim is deceased. The victim’s lost persistence and future possibilities cannot be restored. The assessment must not treat the offender’s rehabilitation as erasing or compensating for the victim’s loss.</w:t>
      </w:r>
    </w:p>
    <w:p>
      <w:pPr>
        <w:pStyle w:val="BodyText"/>
        <w:spacing w:before="0" w:after="200"/>
        <w:rPr/>
      </w:pPr>
      <w:r>
        <w:rPr/>
        <w:t>The victim’s family and community are relevant because rehabilitation decisions may affect their grief, safety, trust, sense of justice, and confidence in institutions. Their flourishing may be diminished if rehabilitation is perceived as denial, minimization, or erasure of the harm. Their flourishing may be supported if accountability, truth, remorse, and institutional legitimacy are preserved.</w:t>
      </w:r>
    </w:p>
    <w:p>
      <w:pPr>
        <w:pStyle w:val="BodyText"/>
        <w:spacing w:before="0" w:after="200"/>
        <w:rPr/>
      </w:pPr>
      <w:r>
        <w:rPr/>
        <w:t>The imprisoned person is a relevant Flourishing Entity because their future state can change. Imprisonment may restrict freedom, but it does not eliminate the possibility of moral development, psychological repair, education, responsibility, and constructive participation within constrained conditions.</w:t>
      </w:r>
    </w:p>
    <w:p>
      <w:pPr>
        <w:pStyle w:val="BodyText"/>
        <w:spacing w:before="0" w:after="200"/>
        <w:rPr/>
      </w:pPr>
      <w:r>
        <w:rPr/>
        <w:t>Other incarcerated persons are relevant because rehabilitation policies may update institutional norms. If rehabilitation is meaningful and fairly administered, others may update toward accountability and self-improvement. If it is arbitrary, performative, or unjust, others may update toward cynicism or manipulation.</w:t>
      </w:r>
    </w:p>
    <w:p>
      <w:pPr>
        <w:pStyle w:val="BodyText"/>
        <w:spacing w:before="0" w:after="200"/>
        <w:rPr/>
      </w:pPr>
      <w:r>
        <w:rPr/>
        <w:t>Future members of society are relevant because rehabilitation may reduce future risk, support safer reintegration, or improve institutional outcomes.</w:t>
      </w:r>
    </w:p>
    <w:p>
      <w:pPr>
        <w:pStyle w:val="BodyText"/>
        <w:spacing w:before="0" w:after="200"/>
        <w:rPr/>
      </w:pPr>
      <w:r>
        <w:rPr/>
        <w:t>Legal and correctional institutions are relevant because their legitimacy depends on balancing accountability, public safety, human dignity, proportionality, and the possibility of moral development.</w:t>
      </w:r>
    </w:p>
    <w:p>
      <w:pPr>
        <w:pStyle w:val="Heading3"/>
        <w:ind w:hanging="0" w:left="0"/>
        <w:rPr/>
      </w:pPr>
      <w:r>
        <w:rPr/>
        <w:t>Situational Context</w:t>
      </w:r>
    </w:p>
    <w:p>
      <w:pPr>
        <w:pStyle w:val="BodyText"/>
        <w:spacing w:before="0" w:after="200"/>
        <w:rPr/>
      </w:pPr>
      <w:r>
        <w:rPr/>
        <w:t>The Situational Context is a correctional setting following a severe crime.</w:t>
      </w:r>
    </w:p>
    <w:p>
      <w:pPr>
        <w:pStyle w:val="BodyText"/>
        <w:spacing w:before="0" w:after="200"/>
        <w:rPr/>
      </w:pPr>
      <w:r>
        <w:rPr/>
        <w:t>The imprisoned person has been convicted of murder and is serving a sentence. The institution must preserve public safety, uphold justice, maintain accountability, protect victims’ interests, manage prison order, and decide whether rehabilitation should affect future treatment, privileges, sentence review, restorative opportunities, or reintegration possibilities.</w:t>
      </w:r>
    </w:p>
    <w:p>
      <w:pPr>
        <w:pStyle w:val="BodyText"/>
        <w:spacing w:before="0" w:after="200"/>
        <w:rPr/>
      </w:pPr>
      <w:r>
        <w:rPr/>
        <w:t>Material features of the Situational Context include:</w:t>
      </w:r>
    </w:p>
    <w:p>
      <w:pPr>
        <w:pStyle w:val="BodyText"/>
        <w:spacing w:before="0" w:after="200"/>
        <w:rPr/>
      </w:pPr>
      <w:r>
        <w:rPr/>
        <w:t>The original harm was severe and irreversible.</w:t>
      </w:r>
    </w:p>
    <w:p>
      <w:pPr>
        <w:pStyle w:val="BodyText"/>
        <w:spacing w:before="0" w:after="200"/>
        <w:rPr/>
      </w:pPr>
      <w:r>
        <w:rPr/>
        <w:t>The victim’s lost flourishing cannot be restored.</w:t>
      </w:r>
    </w:p>
    <w:p>
      <w:pPr>
        <w:pStyle w:val="BodyText"/>
        <w:spacing w:before="0" w:after="200"/>
        <w:rPr/>
      </w:pPr>
      <w:r>
        <w:rPr/>
        <w:t>The offender bears responsibility for the original act.</w:t>
      </w:r>
    </w:p>
    <w:p>
      <w:pPr>
        <w:pStyle w:val="BodyText"/>
        <w:spacing w:before="0" w:after="200"/>
        <w:rPr/>
      </w:pPr>
      <w:r>
        <w:rPr/>
        <w:t>The offender remains capable of future moral development.</w:t>
      </w:r>
    </w:p>
    <w:p>
      <w:pPr>
        <w:pStyle w:val="BodyText"/>
        <w:spacing w:before="0" w:after="200"/>
        <w:rPr/>
      </w:pPr>
      <w:r>
        <w:rPr/>
        <w:t>The institution has duties to victims, society, staff, other incarcerated persons, and the offender.</w:t>
      </w:r>
    </w:p>
    <w:p>
      <w:pPr>
        <w:pStyle w:val="BodyText"/>
        <w:spacing w:before="0" w:after="200"/>
        <w:rPr/>
      </w:pPr>
      <w:r>
        <w:rPr/>
        <w:t>Public safety remains a material constraint.</w:t>
      </w:r>
    </w:p>
    <w:p>
      <w:pPr>
        <w:pStyle w:val="BodyText"/>
        <w:spacing w:before="0" w:after="200"/>
        <w:rPr/>
      </w:pPr>
      <w:r>
        <w:rPr/>
        <w:t>Rehabilitation claims require evidence, not mere assertion.</w:t>
      </w:r>
    </w:p>
    <w:p>
      <w:pPr>
        <w:pStyle w:val="BodyText"/>
        <w:spacing w:before="0" w:after="200"/>
        <w:rPr/>
      </w:pPr>
      <w:r>
        <w:rPr/>
        <w:t>The assessment must distinguish genuine transformation from strategic compliance.</w:t>
      </w:r>
    </w:p>
    <w:p>
      <w:pPr>
        <w:pStyle w:val="BodyText"/>
        <w:spacing w:before="0" w:after="200"/>
        <w:rPr/>
      </w:pPr>
      <w:r>
        <w:rPr/>
        <w:t>Institutional legitimacy depends on fair, transparent, and accountable process.</w:t>
      </w:r>
    </w:p>
    <w:p>
      <w:pPr>
        <w:pStyle w:val="BodyText"/>
        <w:spacing w:before="0" w:after="200"/>
        <w:rPr/>
      </w:pPr>
      <w:r>
        <w:rPr/>
        <w:t>Rehabilitation may affect future policy states within the prison and society.</w:t>
      </w:r>
    </w:p>
    <w:p>
      <w:pPr>
        <w:pStyle w:val="BodyText"/>
        <w:spacing w:before="0" w:after="200"/>
        <w:rPr/>
      </w:pPr>
      <w:r>
        <w:rPr/>
        <w:t>This context prevents two errors. The first error is treating rehabilitation as though it cancels the murder. The second error is treating the offender’s past act as making all future flourishing morally irrelevant.</w:t>
      </w:r>
    </w:p>
    <w:p>
      <w:pPr>
        <w:pStyle w:val="Heading3"/>
        <w:ind w:hanging="0" w:left="0"/>
        <w:rPr/>
      </w:pPr>
      <w:r>
        <w:rPr/>
        <w:t>Action</w:t>
      </w:r>
    </w:p>
    <w:p>
      <w:pPr>
        <w:pStyle w:val="BodyText"/>
        <w:spacing w:before="0" w:after="200"/>
        <w:rPr/>
      </w:pPr>
      <w:r>
        <w:rPr/>
        <w:t>The Assessed Action is the institution’s decision to support, recognize, or expand rehabilitation opportunities for the imprisoned murderer.</w:t>
      </w:r>
    </w:p>
    <w:p>
      <w:pPr>
        <w:pStyle w:val="BodyText"/>
        <w:spacing w:before="0" w:after="200"/>
        <w:rPr/>
      </w:pPr>
      <w:r>
        <w:rPr/>
        <w:t>This action may include providing therapy, education, restorative justice opportunities, responsibility-based programming, mentorship roles, work opportunities, sentence review, supervised release planning, or other structured pathways toward moral development and constructive participation.</w:t>
      </w:r>
    </w:p>
    <w:p>
      <w:pPr>
        <w:pStyle w:val="BodyText"/>
        <w:spacing w:before="0" w:after="200"/>
        <w:rPr/>
      </w:pPr>
      <w:r>
        <w:rPr/>
        <w:t>The Assessed Action is not simply “forgive the murderer” or “release the offender.” Those descriptions are too broad and may distort the assessment. The morally relevant action is the structured institutional support or recognition of rehabilitation under conditions of accountability, evidence, public safety, and respect for victims.</w:t>
      </w:r>
    </w:p>
    <w:p>
      <w:pPr>
        <w:pStyle w:val="BodyText"/>
        <w:spacing w:before="0" w:after="200"/>
        <w:rPr/>
      </w:pPr>
      <w:r>
        <w:rPr/>
        <w:t>Available alternatives may include:</w:t>
      </w:r>
    </w:p>
    <w:p>
      <w:pPr>
        <w:pStyle w:val="BodyText"/>
        <w:spacing w:before="0" w:after="200"/>
        <w:rPr/>
      </w:pPr>
      <w:r>
        <w:rPr/>
        <w:t>Purely punitive confinement.</w:t>
      </w:r>
    </w:p>
    <w:p>
      <w:pPr>
        <w:pStyle w:val="BodyText"/>
        <w:spacing w:before="0" w:after="200"/>
        <w:rPr/>
      </w:pPr>
      <w:r>
        <w:rPr/>
        <w:t>Rehabilitation without privileges or release implications.</w:t>
      </w:r>
    </w:p>
    <w:p>
      <w:pPr>
        <w:pStyle w:val="BodyText"/>
        <w:spacing w:before="0" w:after="200"/>
        <w:rPr/>
      </w:pPr>
      <w:r>
        <w:rPr/>
        <w:t>Rehabilitation with limited institutional recognition.</w:t>
      </w:r>
    </w:p>
    <w:p>
      <w:pPr>
        <w:pStyle w:val="BodyText"/>
        <w:spacing w:before="0" w:after="200"/>
        <w:rPr/>
      </w:pPr>
      <w:r>
        <w:rPr/>
        <w:t>Restorative justice participation only with victim-family consent.</w:t>
      </w:r>
    </w:p>
    <w:p>
      <w:pPr>
        <w:pStyle w:val="BodyText"/>
        <w:spacing w:before="0" w:after="200"/>
        <w:rPr/>
      </w:pPr>
      <w:r>
        <w:rPr/>
        <w:t>Sentence review after demonstrated transformation.</w:t>
      </w:r>
    </w:p>
    <w:p>
      <w:pPr>
        <w:pStyle w:val="BodyText"/>
        <w:spacing w:before="0" w:after="200"/>
        <w:rPr/>
      </w:pPr>
      <w:r>
        <w:rPr/>
        <w:t>Supervised reintegration under strict safeguards.</w:t>
      </w:r>
    </w:p>
    <w:p>
      <w:pPr>
        <w:pStyle w:val="BodyText"/>
        <w:spacing w:before="0" w:after="200"/>
        <w:rPr/>
      </w:pPr>
      <w:r>
        <w:rPr/>
        <w:t>No release but expanded constructive participation within prison.</w:t>
      </w:r>
    </w:p>
    <w:p>
      <w:pPr>
        <w:pStyle w:val="BodyText"/>
        <w:spacing w:before="0" w:after="200"/>
        <w:rPr/>
      </w:pPr>
      <w:r>
        <w:rPr/>
        <w:t>The action should be evaluated according to which specific form of rehabilitation support is being assessed.</w:t>
      </w:r>
    </w:p>
    <w:p>
      <w:pPr>
        <w:pStyle w:val="Heading3"/>
        <w:ind w:hanging="0" w:left="0"/>
        <w:rPr/>
      </w:pPr>
      <w:r>
        <w:rPr/>
        <w:t>Actor / Distributed Policy Updates</w:t>
      </w:r>
    </w:p>
    <w:p>
      <w:pPr>
        <w:pStyle w:val="BodyText"/>
        <w:spacing w:before="0" w:after="200"/>
        <w:rPr/>
      </w:pPr>
      <w:r>
        <w:rPr/>
        <w:t>The primary Actors may include correctional institutions, parole boards, judges, therapists, educators, restorative justice facilitators, and the imprisoned person.</w:t>
      </w:r>
    </w:p>
    <w:p>
      <w:pPr>
        <w:pStyle w:val="BodyText"/>
        <w:spacing w:before="0" w:after="200"/>
        <w:rPr/>
      </w:pPr>
      <w:r>
        <w:rPr/>
        <w:t>The offender’s Actor Policy Update is central. Genuine rehabilitation involves a beneficial policy update: the offender becomes less likely to repeat violence, more capable of self-regulation, more responsive to moral reasons, more accountable for harm, and more oriented toward constructive participation.</w:t>
      </w:r>
    </w:p>
    <w:p>
      <w:pPr>
        <w:pStyle w:val="BodyText"/>
        <w:spacing w:before="0" w:after="200"/>
        <w:rPr/>
      </w:pPr>
      <w:r>
        <w:rPr/>
        <w:t>If rehabilitation is genuine, the offender’s future decision policy improves. If rehabilitation is performative or manipulative, the policy update may be weak, uncertain, or negative.</w:t>
      </w:r>
    </w:p>
    <w:p>
      <w:pPr>
        <w:pStyle w:val="BodyText"/>
        <w:spacing w:before="0" w:after="200"/>
        <w:rPr/>
      </w:pPr>
      <w:r>
        <w:rPr/>
        <w:t>Distributed Policy Updates may include:</w:t>
      </w:r>
    </w:p>
    <w:p>
      <w:pPr>
        <w:pStyle w:val="BodyText"/>
        <w:spacing w:before="0" w:after="200"/>
        <w:rPr/>
      </w:pPr>
      <w:r>
        <w:rPr/>
        <w:t>Other incarcerated persons updating toward accountability and self-improvement.</w:t>
      </w:r>
    </w:p>
    <w:p>
      <w:pPr>
        <w:pStyle w:val="BodyText"/>
        <w:spacing w:before="0" w:after="200"/>
        <w:rPr/>
      </w:pPr>
      <w:r>
        <w:rPr/>
        <w:t>Prison staff updating toward belief that rehabilitation is possible and worth supporting.</w:t>
      </w:r>
    </w:p>
    <w:p>
      <w:pPr>
        <w:pStyle w:val="BodyText"/>
        <w:spacing w:before="0" w:after="200"/>
        <w:rPr/>
      </w:pPr>
      <w:r>
        <w:rPr/>
        <w:t>Institutions updating toward evidence-based correction rather than purely punitive containment.</w:t>
      </w:r>
    </w:p>
    <w:p>
      <w:pPr>
        <w:pStyle w:val="BodyText"/>
        <w:spacing w:before="0" w:after="200"/>
        <w:rPr/>
      </w:pPr>
      <w:r>
        <w:rPr/>
        <w:t>Victims’ families updating toward trust or distrust depending on process legitimacy.</w:t>
      </w:r>
    </w:p>
    <w:p>
      <w:pPr>
        <w:pStyle w:val="BodyText"/>
        <w:spacing w:before="0" w:after="200"/>
        <w:rPr/>
      </w:pPr>
      <w:r>
        <w:rPr/>
        <w:t>The public updating toward confidence or suspicion in justice institutions.</w:t>
      </w:r>
    </w:p>
    <w:p>
      <w:pPr>
        <w:pStyle w:val="BodyText"/>
        <w:spacing w:before="0" w:after="200"/>
        <w:rPr/>
      </w:pPr>
      <w:r>
        <w:rPr/>
        <w:t>Future offenders updating toward either moral repair or strategic performance, depending on how rehabilitation is evaluated.</w:t>
      </w:r>
    </w:p>
    <w:p>
      <w:pPr>
        <w:pStyle w:val="BodyText"/>
        <w:spacing w:before="0" w:after="200"/>
        <w:rPr/>
      </w:pPr>
      <w:r>
        <w:rPr/>
        <w:t>Legal institutions updating precedent regarding accountability, proportionality, and reintegration.</w:t>
      </w:r>
    </w:p>
    <w:p>
      <w:pPr>
        <w:pStyle w:val="BodyText"/>
        <w:spacing w:before="0" w:after="200"/>
        <w:rPr/>
      </w:pPr>
      <w:r>
        <w:rPr/>
        <w:t>A beneficial distributed update occurs when the system teaches that severe wrongdoing remains accountable but that moral development is possible under serious, evidence-based conditions. A detrimental update occurs if the system appears to minimize murder, disregard victims, reward manipulation, or treat rehabilitation as a bureaucratic formality.</w:t>
      </w:r>
    </w:p>
    <w:p>
      <w:pPr>
        <w:pStyle w:val="BodyText"/>
        <w:spacing w:before="0" w:after="200"/>
        <w:rPr/>
      </w:pPr>
      <w:r>
        <w:rPr/>
        <w:t>The moral significance of the action therefore depends heavily on institutional process, evidence quality, safeguards, and respect for all affected entities.</w:t>
      </w:r>
    </w:p>
    <w:p>
      <w:pPr>
        <w:pStyle w:val="Heading3"/>
        <w:ind w:hanging="0" w:left="0"/>
        <w:rPr/>
      </w:pPr>
      <w:r>
        <w:rPr/>
        <w:t>Flourishing Transitions</w:t>
      </w:r>
    </w:p>
    <w:p>
      <w:pPr>
        <w:pStyle w:val="BodyText"/>
        <w:spacing w:before="0" w:after="200"/>
        <w:rPr/>
      </w:pPr>
      <w:r>
        <w:rPr/>
        <w:t>The victim’s Flourishing Transition from the original murder remains maximally negative and irreversible. Rehabilitation does not restore the victim’s lost persistence or future possibilities.</w:t>
      </w:r>
    </w:p>
    <w:p>
      <w:pPr>
        <w:pStyle w:val="BodyText"/>
        <w:spacing w:before="0" w:after="200"/>
        <w:rPr/>
      </w:pPr>
      <w:r>
        <w:rPr/>
        <w:t>The victim’s family and community may experience mixed transitions. They may suffer renewed harm if rehabilitation is handled without respect, transparency, or acknowledgment of the original loss. They may experience some stabilization if the process includes accountability, truth, remorse, and institutional legitimacy. Their flourishing should not be subordinated entirely to the offender’s development.</w:t>
      </w:r>
    </w:p>
    <w:p>
      <w:pPr>
        <w:pStyle w:val="BodyText"/>
        <w:spacing w:before="0" w:after="200"/>
        <w:rPr/>
      </w:pPr>
      <w:r>
        <w:rPr/>
        <w:t>The imprisoned person may experience a positive Flourishing Transition if rehabilitation is genuine. Their Adaptive Capacity may increase through self-regulation, education, remorse, moral understanding, psychological repair, and responsibility. Their Future Possibilities may expand, though legitimately constrained by accountability and public safety. Their Constructive Participation may increase through mentorship, restorative action, institutional contribution, or safe reintegration.</w:t>
      </w:r>
    </w:p>
    <w:p>
      <w:pPr>
        <w:pStyle w:val="BodyText"/>
        <w:spacing w:before="0" w:after="200"/>
        <w:rPr/>
      </w:pPr>
      <w:r>
        <w:rPr/>
        <w:t>Other incarcerated persons may experience positive transitions if the example creates credible hope for moral development. They may experience negative transitions if the process appears arbitrary, insincere, or politically manipulated.</w:t>
      </w:r>
    </w:p>
    <w:p>
      <w:pPr>
        <w:pStyle w:val="BodyText"/>
        <w:spacing w:before="0" w:after="200"/>
        <w:rPr/>
      </w:pPr>
      <w:r>
        <w:rPr/>
        <w:t>Society may experience positive transitions if rehabilitation reduces future violence, improves correctional legitimacy, lowers recidivism risk, and supports the idea that justice can include accountability and moral repair. Society may experience negative transitions if public safety is compromised or if justice institutions appear to discount severe harm.</w:t>
      </w:r>
    </w:p>
    <w:p>
      <w:pPr>
        <w:pStyle w:val="BodyText"/>
        <w:spacing w:before="0" w:after="200"/>
        <w:rPr/>
      </w:pPr>
      <w:r>
        <w:rPr/>
        <w:t>The correctional and legal institutions may experience positive transitions if they demonstrate fair, evidence-based, victim-respecting rehabilitation. They may experience negative transitions if rehabilitation decisions appear opaque, biased, unsafe, or dismissive of victims.</w:t>
      </w:r>
    </w:p>
    <w:p>
      <w:pPr>
        <w:pStyle w:val="Heading3"/>
        <w:ind w:hanging="0" w:left="0"/>
        <w:rPr/>
      </w:pPr>
      <w:r>
        <w:rPr/>
        <w:t>World Context Transition</w:t>
      </w:r>
    </w:p>
    <w:p>
      <w:pPr>
        <w:pStyle w:val="BodyText"/>
        <w:spacing w:before="0" w:after="200"/>
        <w:rPr/>
      </w:pPr>
      <w:r>
        <w:rPr/>
        <w:t>World Context₀ includes a person imprisoned for murder, an irreversible prior harm, a victim whose future was ended, affected families and communities, correctional institutions responsible for custody, and a society with interests in justice, safety, accountability, and human dignity.</w:t>
      </w:r>
    </w:p>
    <w:p>
      <w:pPr>
        <w:pStyle w:val="BodyText"/>
        <w:spacing w:before="0" w:after="200"/>
        <w:rPr/>
      </w:pPr>
      <w:r>
        <w:rPr/>
        <w:t>World Context₁ depends on the quality and structure of the rehabilitation process.</w:t>
      </w:r>
    </w:p>
    <w:p>
      <w:pPr>
        <w:pStyle w:val="BodyText"/>
        <w:spacing w:before="0" w:after="200"/>
        <w:rPr/>
      </w:pPr>
      <w:r>
        <w:rPr/>
        <w:t>In a positive version of the transition, World Context₁ includes an offender whose future decision policy has improved, correctional institutions that support genuine moral development, victims and families whose interests are acknowledged, public safety safeguards, other incarcerated persons who see accountability and improvement as possible, and institutions whose legitimacy is strengthened.</w:t>
      </w:r>
    </w:p>
    <w:p>
      <w:pPr>
        <w:pStyle w:val="BodyText"/>
        <w:spacing w:before="0" w:after="200"/>
        <w:rPr/>
      </w:pPr>
      <w:r>
        <w:rPr/>
        <w:t>In a negative version of the transition, World Context₁ includes minimized victim harm, manipulated rehabilitation claims, increased public distrust, unsafe release or privilege expansion, institutional cynicism, and degraded justice legitimacy.</w:t>
      </w:r>
    </w:p>
    <w:p>
      <w:pPr>
        <w:pStyle w:val="BodyText"/>
        <w:spacing w:before="0" w:after="200"/>
        <w:rPr/>
      </w:pPr>
      <w:r>
        <w:rPr/>
        <w:t>The World Context Transition is therefore conditional. Rehabilitation is not automatically morally supportable merely because it improves the offender’s flourishing. It is morally supportable only if it preserves accountability, respects the victim and affected entities, protects future persons, and improves the broader policy state of the correctional and legal system.</w:t>
      </w:r>
    </w:p>
    <w:p>
      <w:pPr>
        <w:pStyle w:val="BodyText"/>
        <w:spacing w:before="0" w:after="200"/>
        <w:rPr/>
      </w:pPr>
      <w:r>
        <w:rPr/>
        <w:t>The central transition question is:</w:t>
      </w:r>
    </w:p>
    <w:p>
      <w:pPr>
        <w:pStyle w:val="BodyText"/>
        <w:spacing w:before="0" w:after="200"/>
        <w:rPr/>
      </w:pPr>
      <w:r>
        <w:rPr/>
        <w:t>Does the rehabilitation process create a world in which severe wrongdoing remains accountable while genuine moral development, reduced future harm, and constructive participation become more possible?</w:t>
      </w:r>
    </w:p>
    <w:p>
      <w:pPr>
        <w:pStyle w:val="BodyText"/>
        <w:spacing w:before="0" w:after="200"/>
        <w:rPr/>
      </w:pPr>
      <w:r>
        <w:rPr/>
        <w:t>If yes, the transition may be morally positive. If no, rehabilitation may become a source of further harm, distrust, or institutional degradation.</w:t>
      </w:r>
    </w:p>
    <w:p>
      <w:pPr>
        <w:pStyle w:val="Heading3"/>
        <w:ind w:hanging="0" w:left="0"/>
        <w:rPr>
          <w:rFonts w:ascii="Aptos" w:hAnsi="Aptos"/>
          <w:color w:val="auto"/>
        </w:rPr>
      </w:pPr>
      <w:r>
        <w:rPr/>
        <w:t>Assessment Summary</w:t>
      </w:r>
    </w:p>
    <w:p>
      <w:pPr>
        <w:pStyle w:val="BodyText"/>
        <w:spacing w:before="0" w:after="200"/>
        <w:rPr/>
      </w:pPr>
      <w:r>
        <w:rPr/>
        <w:t>The rehabilitation example shows that Objective-Based Systems Ethics can evaluate moral repair without erasing moral responsibility.</w:t>
      </w:r>
    </w:p>
    <w:p>
      <w:pPr>
        <w:pStyle w:val="BodyText"/>
        <w:spacing w:before="0" w:after="200"/>
        <w:rPr/>
      </w:pPr>
      <w:r>
        <w:rPr/>
        <w:t>The imprisoned murderer remains responsible for the original severe harm. The victim’s lost flourishing cannot be restored. The victim’s family and community remain morally relevant, and institutional processes must not treat their suffering as secondary or expendable.</w:t>
      </w:r>
    </w:p>
    <w:p>
      <w:pPr>
        <w:pStyle w:val="BodyText"/>
        <w:spacing w:before="0" w:after="200"/>
        <w:rPr/>
      </w:pPr>
      <w:r>
        <w:rPr/>
        <w:t>At the same time, the offender remains a Flourishing Entity capable of future moral development. If rehabilitation genuinely improves the offender’s future decision policy, reduces future risk, strengthens accountability, and supports constructive participation, then the resulting World Context may improve.</w:t>
      </w:r>
    </w:p>
    <w:p>
      <w:pPr>
        <w:pStyle w:val="BodyText"/>
        <w:spacing w:before="0" w:after="200"/>
        <w:rPr/>
      </w:pPr>
      <w:r>
        <w:rPr/>
        <w:t>The action is morally supportable when rehabilitation is evidence-based, accountable, transparent, victim-respecting, safety-preserving, and institutionally legitimate. It is not supportable if it minimizes the original harm, ignores affected entities, rewards manipulation, or creates unsafe future conditions.</w:t>
      </w:r>
    </w:p>
    <w:p>
      <w:pPr>
        <w:pStyle w:val="BodyText"/>
        <w:spacing w:before="0" w:after="200"/>
        <w:rPr/>
      </w:pPr>
      <w:r>
        <w:rPr/>
        <w:t>Assessment Result: Conditionally morally supportable. Rehabilitation can produce a positive World Context Transition when it preserves accountability, protects relevant Flourishing Entities, and generates beneficial policy updates in the offender, institutions, and broader moral community.</w:t>
      </w:r>
    </w:p>
    <w:p>
      <w:pPr>
        <w:pStyle w:val="BodyText"/>
        <w:spacing w:before="0" w:after="200"/>
        <w:rPr/>
      </w:pPr>
      <w:r>
        <w:rPr/>
        <w:t>Confidence Level: Moderate to High, depending on the quality of evidence for genuine rehabilitation, the safeguards in place, the degree of victim and community consideration, and the reliability of institutional process.</w:t>
      </w:r>
    </w:p>
    <w:p>
      <w:pPr>
        <w:pStyle w:val="Heading2"/>
        <w:ind w:hanging="0" w:left="0"/>
        <w:rPr/>
      </w:pPr>
      <w:r>
        <w:rPr/>
        <w:t>Invasive species intervention</w:t>
      </w:r>
    </w:p>
    <w:p>
      <w:pPr>
        <w:pStyle w:val="BodyText"/>
        <w:spacing w:before="0" w:after="200"/>
        <w:rPr/>
      </w:pPr>
      <w:r>
        <w:rPr/>
        <w:t>This example illustrates how Objective-Based Systems Ethics evaluates ecological intervention when the flourishing of one class of entities conflicts with the flourishing of a larger ecosystem.</w:t>
      </w:r>
    </w:p>
    <w:p>
      <w:pPr>
        <w:pStyle w:val="BodyText"/>
        <w:spacing w:before="0" w:after="200"/>
        <w:rPr/>
      </w:pPr>
      <w:r>
        <w:rPr/>
        <w:t>The scenario involves a human agency, conservation organization, land manager, or ecological authority deciding whether to remove, reduce, sterilize, relocate, or otherwise control an invasive species that is damaging a native ecosystem. The invasive species is biologically successful in the local environment, but its expansion materially diminishes native species, ecological balance, biodiversity, and the future resilience of the ecosystem.</w:t>
      </w:r>
    </w:p>
    <w:p>
      <w:pPr>
        <w:pStyle w:val="BodyText"/>
        <w:spacing w:before="0" w:after="200"/>
        <w:rPr/>
      </w:pPr>
      <w:r>
        <w:rPr/>
        <w:t>The example is useful because it demonstrates that flourishing must be evaluated relationally. A species may persist, reproduce, and expand while degrading the World Context that supports the flourishing of other entities. The framework therefore distinguishes biological success from morally supportable Long-Term Flourishing.</w:t>
      </w:r>
    </w:p>
    <w:p>
      <w:pPr>
        <w:pStyle w:val="BodyText"/>
        <w:spacing w:before="0" w:after="200"/>
        <w:rPr/>
      </w:pPr>
      <w:r>
        <w:rPr/>
        <w:t>The question is not simply whether the invasive species benefits or is harmed. The question is whether the intervention produces a World Context Transition that better preserves the Long-Term Flourishing of relevant persistent adaptive entities within the ecological system.</w:t>
      </w:r>
    </w:p>
    <w:p>
      <w:pPr>
        <w:pStyle w:val="Heading3"/>
        <w:ind w:hanging="0" w:left="0"/>
        <w:rPr>
          <w:rFonts w:ascii="Aptos" w:hAnsi="Aptos"/>
          <w:color w:val="auto"/>
        </w:rPr>
      </w:pPr>
      <w:r>
        <w:rPr/>
        <w:t>Moral Agent</w:t>
      </w:r>
    </w:p>
    <w:p>
      <w:pPr>
        <w:pStyle w:val="BodyText"/>
        <w:spacing w:before="0" w:after="200"/>
        <w:rPr/>
      </w:pPr>
      <w:r>
        <w:rPr/>
        <w:t>The primary Moral Agent is the human actor or institution responsible for ecological management.</w:t>
      </w:r>
    </w:p>
    <w:p>
      <w:pPr>
        <w:pStyle w:val="BodyText"/>
        <w:spacing w:before="0" w:after="200"/>
        <w:rPr/>
      </w:pPr>
      <w:r>
        <w:rPr/>
        <w:t>This may include a conservation agency, environmental authority, land management organization, scientific body, local government, Indigenous stewardship authority, or policy decision-maker. The Moral Agent has the capacity to evaluate evidence, consider alternatives, assess ecological impact, and choose an intervention strategy.</w:t>
      </w:r>
    </w:p>
    <w:p>
      <w:pPr>
        <w:pStyle w:val="BodyText"/>
        <w:spacing w:before="0" w:after="200"/>
        <w:rPr/>
      </w:pPr>
      <w:r>
        <w:rPr/>
        <w:t>The invasive species itself is not normally treated as a Moral Agent. It does not bear moral responsibility for expanding into the ecosystem. It acts according to biological drives, ecological opportunity, and environmental conditions.</w:t>
      </w:r>
    </w:p>
    <w:p>
      <w:pPr>
        <w:pStyle w:val="BodyText"/>
        <w:spacing w:before="0" w:after="200"/>
        <w:rPr/>
      </w:pPr>
      <w:r>
        <w:rPr/>
        <w:t>Native species are also not typically Moral Agents in this scenario, though they are relevant Flourishing Entities. The ecosystem may be treated as a relevant Flourishing Entity if it is understood as a persistent adaptive system whose resilience, biodiversity, regenerative capacity, and future possibilities can be increased or diminished.</w:t>
      </w:r>
    </w:p>
    <w:p>
      <w:pPr>
        <w:pStyle w:val="BodyText"/>
        <w:spacing w:before="0" w:after="200"/>
        <w:rPr/>
      </w:pPr>
      <w:r>
        <w:rPr/>
        <w:t>Other Moral Agents may include humans who introduced the invasive species, institutions that failed to regulate the introduction, commercial actors that profited from introduction, or authorities responsible for preventing spread. If prior negligence or recklessness contributed to the invasion, those actors may also require assessment. In the basic intervention example, the focus is on the current ecological decision-maker.</w:t>
      </w:r>
    </w:p>
    <w:p>
      <w:pPr>
        <w:pStyle w:val="Heading3"/>
        <w:ind w:hanging="0" w:left="0"/>
        <w:rPr/>
      </w:pPr>
      <w:r>
        <w:rPr/>
        <w:t>Relevant Flourishing Entities</w:t>
      </w:r>
    </w:p>
    <w:p>
      <w:pPr>
        <w:pStyle w:val="BodyText"/>
        <w:spacing w:before="0" w:after="200"/>
        <w:rPr/>
      </w:pPr>
      <w:r>
        <w:rPr/>
        <w:t>The relevant Flourishing Entities include the invasive organisms, native species, the ecosystem as a whole, human communities affected by the ecosystem, future generations, and possibly institutions responsible for ecological stewardship.</w:t>
      </w:r>
    </w:p>
    <w:p>
      <w:pPr>
        <w:pStyle w:val="BodyText"/>
        <w:spacing w:before="0" w:after="200"/>
        <w:rPr/>
      </w:pPr>
      <w:r>
        <w:rPr/>
        <w:t>The invasive organisms are Flourishing Entities at least in the biological sense that their persistence, reproduction, and future possibilities are affected by the intervention. Their flourishing may be diminished by removal, sterilization, relocation, or population control.</w:t>
      </w:r>
    </w:p>
    <w:p>
      <w:pPr>
        <w:pStyle w:val="BodyText"/>
        <w:spacing w:before="0" w:after="200"/>
        <w:rPr/>
      </w:pPr>
      <w:r>
        <w:rPr/>
        <w:t>Native species are relevant Flourishing Entities because their persistence, adaptive capacity, habitat, reproduction, and future possibilities may be threatened by the invasive species. They may suffer predation, competition, disease exposure, habitat destruction, or loss of ecological niche.</w:t>
      </w:r>
    </w:p>
    <w:p>
      <w:pPr>
        <w:pStyle w:val="BodyText"/>
        <w:spacing w:before="0" w:after="200"/>
        <w:rPr/>
      </w:pPr>
      <w:r>
        <w:rPr/>
        <w:t>The ecosystem is relevant because it may possess emergent flourishing characteristics: resilience, biodiversity, regenerative capacity, balance among species, nutrient cycling, habitat stability, and future adaptive capacity. The ecosystem’s flourishing is not reducible to the expansion of any one species.</w:t>
      </w:r>
    </w:p>
    <w:p>
      <w:pPr>
        <w:pStyle w:val="BodyText"/>
        <w:spacing w:before="0" w:after="200"/>
        <w:rPr/>
      </w:pPr>
      <w:r>
        <w:rPr/>
        <w:t>Human communities may be relevant if they depend on the ecosystem for food, water, cultural practices, livelihood, recreation, health, or identity. Future human and non-human entities may also be relevant if the intervention affects long-term ecological state space.</w:t>
      </w:r>
    </w:p>
    <w:p>
      <w:pPr>
        <w:pStyle w:val="BodyText"/>
        <w:spacing w:before="0" w:after="200"/>
        <w:rPr/>
      </w:pPr>
      <w:r>
        <w:rPr/>
        <w:t>Institutions responsible for environmental stewardship are relevant because their legitimacy, competence, trust, and future policy states may be affected by how the intervention is chosen and conducted.</w:t>
      </w:r>
    </w:p>
    <w:p>
      <w:pPr>
        <w:pStyle w:val="Heading3"/>
        <w:ind w:hanging="0" w:left="0"/>
        <w:rPr/>
      </w:pPr>
      <w:r>
        <w:rPr/>
        <w:t>Situational Context</w:t>
      </w:r>
    </w:p>
    <w:p>
      <w:pPr>
        <w:pStyle w:val="BodyText"/>
        <w:spacing w:before="0" w:after="200"/>
        <w:rPr/>
      </w:pPr>
      <w:r>
        <w:rPr/>
        <w:t>The Situational Context is an ecosystem in which an invasive species is materially damaging native species or ecological structure.</w:t>
      </w:r>
    </w:p>
    <w:p>
      <w:pPr>
        <w:pStyle w:val="BodyText"/>
        <w:spacing w:before="0" w:after="200"/>
        <w:rPr/>
      </w:pPr>
      <w:r>
        <w:rPr/>
        <w:t>The invasive species may be reproducing rapidly, outcompeting native species, consuming key resources, altering habitat, spreading disease, changing fire cycles, destabilizing food webs, or reducing biodiversity. The ecological authority has evidence that inaction will likely lead to further diminishment of native species and ecosystem resilience.</w:t>
      </w:r>
    </w:p>
    <w:p>
      <w:pPr>
        <w:pStyle w:val="BodyText"/>
        <w:spacing w:before="0" w:after="200"/>
        <w:rPr/>
      </w:pPr>
      <w:r>
        <w:rPr/>
        <w:t>Material features of the Situational Context include:</w:t>
      </w:r>
    </w:p>
    <w:p>
      <w:pPr>
        <w:pStyle w:val="BodyText"/>
        <w:spacing w:before="0" w:after="200"/>
        <w:rPr/>
      </w:pPr>
      <w:r>
        <w:rPr/>
        <w:t>The invasive species is present in a system where it lacks ordinary ecological constraints.</w:t>
      </w:r>
    </w:p>
    <w:p>
      <w:pPr>
        <w:pStyle w:val="BodyText"/>
        <w:spacing w:before="0" w:after="200"/>
        <w:rPr/>
      </w:pPr>
      <w:r>
        <w:rPr/>
        <w:t>The invasive species is expanding or likely to expand.</w:t>
      </w:r>
    </w:p>
    <w:p>
      <w:pPr>
        <w:pStyle w:val="BodyText"/>
        <w:spacing w:before="0" w:after="200"/>
        <w:rPr/>
      </w:pPr>
      <w:r>
        <w:rPr/>
        <w:t>Native species or ecological functions are being materially harmed.</w:t>
      </w:r>
    </w:p>
    <w:p>
      <w:pPr>
        <w:pStyle w:val="BodyText"/>
        <w:spacing w:before="0" w:after="200"/>
        <w:rPr/>
      </w:pPr>
      <w:r>
        <w:rPr/>
        <w:t>The ecosystem’s long-term resilience may be at risk.</w:t>
      </w:r>
    </w:p>
    <w:p>
      <w:pPr>
        <w:pStyle w:val="BodyText"/>
        <w:spacing w:before="0" w:after="200"/>
        <w:rPr/>
      </w:pPr>
      <w:r>
        <w:rPr/>
        <w:t>The intervention may harm or kill members of the invasive species.</w:t>
      </w:r>
    </w:p>
    <w:p>
      <w:pPr>
        <w:pStyle w:val="BodyText"/>
        <w:spacing w:before="0" w:after="200"/>
        <w:rPr/>
      </w:pPr>
      <w:r>
        <w:rPr/>
        <w:t>Non-intervention may allow greater harm to native species and the ecosystem.</w:t>
      </w:r>
    </w:p>
    <w:p>
      <w:pPr>
        <w:pStyle w:val="BodyText"/>
        <w:spacing w:before="0" w:after="200"/>
        <w:rPr/>
      </w:pPr>
      <w:r>
        <w:rPr/>
        <w:t>Several intervention options may exist, with different levels of harm, effectiveness, reversibility, cost, uncertainty, and ecological risk.</w:t>
      </w:r>
    </w:p>
    <w:p>
      <w:pPr>
        <w:pStyle w:val="BodyText"/>
        <w:spacing w:before="0" w:after="200"/>
        <w:rPr/>
      </w:pPr>
      <w:r>
        <w:rPr/>
        <w:t>Evidence may be incomplete or uncertain.</w:t>
      </w:r>
    </w:p>
    <w:p>
      <w:pPr>
        <w:pStyle w:val="BodyText"/>
        <w:spacing w:before="0" w:after="200"/>
        <w:rPr/>
      </w:pPr>
      <w:r>
        <w:rPr/>
        <w:t>The intervention may affect public trust, institutional legitimacy, and future ecological policy.</w:t>
      </w:r>
    </w:p>
    <w:p>
      <w:pPr>
        <w:pStyle w:val="BodyText"/>
        <w:spacing w:before="0" w:after="200"/>
        <w:rPr/>
      </w:pPr>
      <w:r>
        <w:rPr/>
        <w:t>The context therefore involves competing flourishing claims. The invasive species has a flourishing interest in persistence and reproduction, but its expansion may materially diminish the flourishing of other entities and the larger ecosystem.</w:t>
      </w:r>
    </w:p>
    <w:p>
      <w:pPr>
        <w:pStyle w:val="Heading3"/>
        <w:ind w:hanging="0" w:left="0"/>
        <w:rPr/>
      </w:pPr>
      <w:r>
        <w:rPr/>
        <w:t>Action</w:t>
      </w:r>
    </w:p>
    <w:p>
      <w:pPr>
        <w:pStyle w:val="BodyText"/>
        <w:spacing w:before="0" w:after="200"/>
        <w:rPr/>
      </w:pPr>
      <w:r>
        <w:rPr/>
        <w:t>The Assessed Action is the proposed ecological intervention to control the invasive species.</w:t>
      </w:r>
    </w:p>
    <w:p>
      <w:pPr>
        <w:pStyle w:val="BodyText"/>
        <w:spacing w:before="0" w:after="200"/>
        <w:rPr/>
      </w:pPr>
      <w:r>
        <w:rPr/>
        <w:t>The intervention may involve removal, culling, sterilization, trapping, relocation, habitat modification, biological control, containment, exclusion barriers, targeted pesticide use, genetic intervention, or other management methods.</w:t>
      </w:r>
    </w:p>
    <w:p>
      <w:pPr>
        <w:pStyle w:val="BodyText"/>
        <w:spacing w:before="0" w:after="200"/>
        <w:rPr/>
      </w:pPr>
      <w:r>
        <w:rPr/>
        <w:t>The action should be stated precisely because different interventions produce different World Context Transitions. “Address the invasive species” is too vague. The morally relevant action may be “cull the invasive population in the preserve,” “sterilize the invasive population over several breeding seasons,” “relocate individuals to a controlled environment,” or “introduce a biological control agent.”</w:t>
      </w:r>
    </w:p>
    <w:p>
      <w:pPr>
        <w:pStyle w:val="BodyText"/>
        <w:spacing w:before="0" w:after="200"/>
        <w:rPr/>
      </w:pPr>
      <w:r>
        <w:rPr/>
        <w:t>Available alternatives may include:</w:t>
      </w:r>
    </w:p>
    <w:p>
      <w:pPr>
        <w:pStyle w:val="BodyText"/>
        <w:spacing w:before="0" w:after="200"/>
        <w:rPr/>
      </w:pPr>
      <w:r>
        <w:rPr/>
        <w:t>No intervention.</w:t>
      </w:r>
    </w:p>
    <w:p>
      <w:pPr>
        <w:pStyle w:val="BodyText"/>
        <w:spacing w:before="0" w:after="200"/>
        <w:rPr/>
      </w:pPr>
      <w:r>
        <w:rPr/>
        <w:t>Monitoring only.</w:t>
      </w:r>
    </w:p>
    <w:p>
      <w:pPr>
        <w:pStyle w:val="BodyText"/>
        <w:spacing w:before="0" w:after="200"/>
        <w:rPr/>
      </w:pPr>
      <w:r>
        <w:rPr/>
        <w:t>Habitat restoration.</w:t>
      </w:r>
    </w:p>
    <w:p>
      <w:pPr>
        <w:pStyle w:val="BodyText"/>
        <w:spacing w:before="0" w:after="200"/>
        <w:rPr/>
      </w:pPr>
      <w:r>
        <w:rPr/>
        <w:t>Physical barriers.</w:t>
      </w:r>
    </w:p>
    <w:p>
      <w:pPr>
        <w:pStyle w:val="BodyText"/>
        <w:spacing w:before="0" w:after="200"/>
        <w:rPr/>
      </w:pPr>
      <w:r>
        <w:rPr/>
        <w:t>Targeted removal.</w:t>
      </w:r>
    </w:p>
    <w:p>
      <w:pPr>
        <w:pStyle w:val="BodyText"/>
        <w:spacing w:before="0" w:after="200"/>
        <w:rPr/>
      </w:pPr>
      <w:r>
        <w:rPr/>
        <w:t>Humane trapping.</w:t>
      </w:r>
    </w:p>
    <w:p>
      <w:pPr>
        <w:pStyle w:val="BodyText"/>
        <w:spacing w:before="0" w:after="200"/>
        <w:rPr/>
      </w:pPr>
      <w:r>
        <w:rPr/>
        <w:t>Sterilization.</w:t>
      </w:r>
    </w:p>
    <w:p>
      <w:pPr>
        <w:pStyle w:val="BodyText"/>
        <w:spacing w:before="0" w:after="200"/>
        <w:rPr/>
      </w:pPr>
      <w:r>
        <w:rPr/>
        <w:t>Relocation.</w:t>
      </w:r>
    </w:p>
    <w:p>
      <w:pPr>
        <w:pStyle w:val="BodyText"/>
        <w:spacing w:before="0" w:after="200"/>
        <w:rPr/>
      </w:pPr>
      <w:r>
        <w:rPr/>
        <w:t>Limited culling.</w:t>
      </w:r>
    </w:p>
    <w:p>
      <w:pPr>
        <w:pStyle w:val="BodyText"/>
        <w:spacing w:before="0" w:after="200"/>
        <w:rPr/>
      </w:pPr>
      <w:r>
        <w:rPr/>
        <w:t>Biological control.</w:t>
      </w:r>
    </w:p>
    <w:p>
      <w:pPr>
        <w:pStyle w:val="BodyText"/>
        <w:spacing w:before="0" w:after="200"/>
        <w:rPr/>
      </w:pPr>
      <w:r>
        <w:rPr/>
        <w:t>Public education.</w:t>
      </w:r>
    </w:p>
    <w:p>
      <w:pPr>
        <w:pStyle w:val="BodyText"/>
        <w:spacing w:before="0" w:after="200"/>
        <w:rPr/>
      </w:pPr>
      <w:r>
        <w:rPr/>
        <w:t>Regulation of human transport.</w:t>
      </w:r>
    </w:p>
    <w:p>
      <w:pPr>
        <w:pStyle w:val="BodyText"/>
        <w:spacing w:before="0" w:after="200"/>
        <w:rPr/>
      </w:pPr>
      <w:r>
        <w:rPr/>
        <w:t>Combination strategies.</w:t>
      </w:r>
    </w:p>
    <w:p>
      <w:pPr>
        <w:pStyle w:val="BodyText"/>
        <w:spacing w:before="0" w:after="200"/>
        <w:rPr/>
      </w:pPr>
      <w:r>
        <w:rPr/>
        <w:t>The assessment should evaluate whether the selected intervention is proportionate, evidence-based, targeted, effective, and less harmful than available alternatives that would preserve the relevant ecosystem.</w:t>
      </w:r>
    </w:p>
    <w:p>
      <w:pPr>
        <w:pStyle w:val="Heading3"/>
        <w:ind w:hanging="0" w:left="0"/>
        <w:rPr/>
      </w:pPr>
      <w:r>
        <w:rPr/>
        <w:t>Actor / Distributed Policy Updates</w:t>
      </w:r>
    </w:p>
    <w:p>
      <w:pPr>
        <w:pStyle w:val="BodyText"/>
        <w:spacing w:before="0" w:after="200"/>
        <w:rPr/>
      </w:pPr>
      <w:r>
        <w:rPr/>
        <w:t>The primary Actor is the ecological decision-maker or institution carrying out the intervention.</w:t>
      </w:r>
    </w:p>
    <w:p>
      <w:pPr>
        <w:pStyle w:val="BodyText"/>
        <w:spacing w:before="0" w:after="200"/>
        <w:rPr/>
      </w:pPr>
      <w:r>
        <w:rPr/>
        <w:t>The Actor Policy Update depends on how the intervention is justified and conducted. A beneficial Actor Policy Update occurs if the institution becomes more evidence-sensitive, ecologically responsible, transparent, proportionate, humane, and attentive to long-term ecological flourishing.</w:t>
      </w:r>
    </w:p>
    <w:p>
      <w:pPr>
        <w:pStyle w:val="BodyText"/>
        <w:spacing w:before="0" w:after="200"/>
        <w:rPr/>
      </w:pPr>
      <w:r>
        <w:rPr/>
        <w:t>A detrimental Actor Policy Update may occur if the institution becomes careless about killing, dismissive of non-human flourishing, overly confident in intervention, inattentive to uncertainty, or willing to use broad destructive methods when more targeted options exist.</w:t>
      </w:r>
    </w:p>
    <w:p>
      <w:pPr>
        <w:pStyle w:val="BodyText"/>
        <w:spacing w:before="0" w:after="200"/>
        <w:rPr/>
      </w:pPr>
      <w:r>
        <w:rPr/>
        <w:t>Distributed Policy Updates may include:</w:t>
      </w:r>
    </w:p>
    <w:p>
      <w:pPr>
        <w:pStyle w:val="BodyText"/>
        <w:spacing w:before="0" w:after="200"/>
        <w:rPr/>
      </w:pPr>
      <w:r>
        <w:rPr/>
        <w:t>Public observers updating toward trust in ecological stewardship if the intervention is transparent and evidence-based.</w:t>
      </w:r>
    </w:p>
    <w:p>
      <w:pPr>
        <w:pStyle w:val="BodyText"/>
        <w:spacing w:before="0" w:after="200"/>
        <w:rPr/>
      </w:pPr>
      <w:r>
        <w:rPr/>
        <w:t>Public observers updating toward distrust if the intervention appears cruel, arbitrary, secretive, or poorly justified.</w:t>
      </w:r>
    </w:p>
    <w:p>
      <w:pPr>
        <w:pStyle w:val="BodyText"/>
        <w:spacing w:before="0" w:after="200"/>
        <w:rPr/>
      </w:pPr>
      <w:r>
        <w:rPr/>
        <w:t>Conservation institutions updating toward more responsible ecosystem management.</w:t>
      </w:r>
    </w:p>
    <w:p>
      <w:pPr>
        <w:pStyle w:val="BodyText"/>
        <w:spacing w:before="0" w:after="200"/>
        <w:rPr/>
      </w:pPr>
      <w:r>
        <w:rPr/>
        <w:t>Regulators updating transport, trade, or containment policies to prevent future invasions.</w:t>
      </w:r>
    </w:p>
    <w:p>
      <w:pPr>
        <w:pStyle w:val="BodyText"/>
        <w:spacing w:before="0" w:after="200"/>
        <w:rPr/>
      </w:pPr>
      <w:r>
        <w:rPr/>
        <w:t>Local communities updating their behavior to reduce spread.</w:t>
      </w:r>
    </w:p>
    <w:p>
      <w:pPr>
        <w:pStyle w:val="BodyText"/>
        <w:spacing w:before="0" w:after="200"/>
        <w:rPr/>
      </w:pPr>
      <w:r>
        <w:rPr/>
        <w:t>Other land managers updating toward similar interventions.</w:t>
      </w:r>
    </w:p>
    <w:p>
      <w:pPr>
        <w:pStyle w:val="BodyText"/>
        <w:spacing w:before="0" w:after="200"/>
        <w:rPr/>
      </w:pPr>
      <w:r>
        <w:rPr/>
        <w:t>Commercial actors updating their practices if they become more accountable for invasive species introduction.</w:t>
      </w:r>
    </w:p>
    <w:p>
      <w:pPr>
        <w:pStyle w:val="BodyText"/>
        <w:spacing w:before="0" w:after="200"/>
        <w:rPr/>
      </w:pPr>
      <w:r>
        <w:rPr/>
        <w:t>Future policy may improve if the intervention teaches prevention, evidence-based stewardship, and ecological responsibility. Future policy may degrade if the intervention normalizes careless destruction or treats inconvenient organisms as morally irrelevant.</w:t>
      </w:r>
    </w:p>
    <w:p>
      <w:pPr>
        <w:pStyle w:val="BodyText"/>
        <w:spacing w:before="0" w:after="200"/>
        <w:rPr/>
      </w:pPr>
      <w:r>
        <w:rPr/>
        <w:t>Because ecological interventions often establish precedent, Distributed Policy Updates are important. The method of intervention affects future stewardship norms.</w:t>
      </w:r>
    </w:p>
    <w:p>
      <w:pPr>
        <w:pStyle w:val="Heading3"/>
        <w:ind w:hanging="0" w:left="0"/>
        <w:rPr/>
      </w:pPr>
      <w:r>
        <w:rPr/>
        <w:t>Flourishing Transitions</w:t>
      </w:r>
    </w:p>
    <w:p>
      <w:pPr>
        <w:pStyle w:val="BodyText"/>
        <w:spacing w:before="0" w:after="200"/>
        <w:rPr/>
      </w:pPr>
      <w:r>
        <w:rPr/>
        <w:t>The invasive species experiences a negative Flourishing Transition if the intervention reduces its population, reproductive capacity, territory, or future possibilities.</w:t>
      </w:r>
    </w:p>
    <w:p>
      <w:pPr>
        <w:pStyle w:val="BodyText"/>
        <w:spacing w:before="0" w:after="200"/>
        <w:rPr/>
      </w:pPr>
      <w:r>
        <w:rPr/>
        <w:t>This harm should be represented rather than ignored. The framework does not treat invasive organisms as morally irrelevant merely because they are ecologically harmful. Their state changes matter.</w:t>
      </w:r>
    </w:p>
    <w:p>
      <w:pPr>
        <w:pStyle w:val="BodyText"/>
        <w:spacing w:before="0" w:after="200"/>
        <w:rPr/>
      </w:pPr>
      <w:r>
        <w:rPr/>
        <w:t>However, native species may experience positive Flourishing Transitions if the intervention reduces predation, competition, disease, habitat damage, or reproductive suppression. Their Persistence, Adaptive Capacity, and Future Possibilities may improve.</w:t>
      </w:r>
    </w:p>
    <w:p>
      <w:pPr>
        <w:pStyle w:val="BodyText"/>
        <w:spacing w:before="0" w:after="200"/>
        <w:rPr/>
      </w:pPr>
      <w:r>
        <w:rPr/>
        <w:t>The ecosystem may experience a positive Flourishing Transition if the intervention restores biodiversity, resilience, ecological balance, regenerative capacity, and future adaptive state space. This transition may be more significant than the flourishing loss of the invasive population if the invasive expansion materially diminishes many other persistent adaptive entities and threatens systemic resilience.</w:t>
      </w:r>
    </w:p>
    <w:p>
      <w:pPr>
        <w:pStyle w:val="BodyText"/>
        <w:spacing w:before="0" w:after="200"/>
        <w:rPr/>
      </w:pPr>
      <w:r>
        <w:rPr/>
        <w:t>Human communities may experience positive transitions if the intervention protects food systems, water quality, cultural practices, local economies, safety, or environmental stability. They may experience negative transitions if the intervention is disruptive, costly, culturally insensitive, or ecologically risky.</w:t>
      </w:r>
    </w:p>
    <w:p>
      <w:pPr>
        <w:pStyle w:val="BodyText"/>
        <w:spacing w:before="0" w:after="200"/>
        <w:rPr/>
      </w:pPr>
      <w:r>
        <w:rPr/>
        <w:t>The ecological institution may experience a positive transition if it acts competently, transparently, proportionately, and with appropriate evidence. It may experience a negative transition if it acts recklessly, cruelly, or without adequate justification.</w:t>
      </w:r>
    </w:p>
    <w:p>
      <w:pPr>
        <w:pStyle w:val="BodyText"/>
        <w:spacing w:before="0" w:after="200"/>
        <w:rPr/>
      </w:pPr>
      <w:r>
        <w:rPr/>
        <w:t>The flourishing profile is therefore mixed but may be morally supportable if the intervention reduces overall material diminishment and preserves the larger ecological World Context.</w:t>
      </w:r>
    </w:p>
    <w:p>
      <w:pPr>
        <w:pStyle w:val="Heading3"/>
        <w:ind w:hanging="0" w:left="0"/>
        <w:rPr/>
      </w:pPr>
      <w:r>
        <w:rPr/>
        <w:t>World Context Transition</w:t>
      </w:r>
    </w:p>
    <w:p>
      <w:pPr>
        <w:pStyle w:val="BodyText"/>
        <w:spacing w:before="0" w:after="200"/>
        <w:rPr/>
      </w:pPr>
      <w:r>
        <w:rPr/>
        <w:t>World Context₀ includes an ecosystem under pressure from an invasive species, native species experiencing or facing material diminishment, an invasive population expanding, human institutions responsible for stewardship, uncertainty about intervention effects, and a set of possible management alternatives.</w:t>
      </w:r>
    </w:p>
    <w:p>
      <w:pPr>
        <w:pStyle w:val="BodyText"/>
        <w:spacing w:before="0" w:after="200"/>
        <w:rPr/>
      </w:pPr>
      <w:r>
        <w:rPr/>
        <w:t>World Context₁ depends on the selected intervention.</w:t>
      </w:r>
    </w:p>
    <w:p>
      <w:pPr>
        <w:pStyle w:val="BodyText"/>
        <w:spacing w:before="0" w:after="200"/>
        <w:rPr/>
      </w:pPr>
      <w:r>
        <w:rPr/>
        <w:t>In a morally supportable version of the transition, World Context₁ includes reduced invasive pressure, improved native species persistence, increased ecosystem resilience, preserved or expanded future ecological state space, improved institutional stewardship, and policy updates that favor prevention, evidence-based management, and humane proportionality.</w:t>
      </w:r>
    </w:p>
    <w:p>
      <w:pPr>
        <w:pStyle w:val="BodyText"/>
        <w:spacing w:before="0" w:after="200"/>
        <w:rPr/>
      </w:pPr>
      <w:r>
        <w:rPr/>
        <w:t>This transition also includes harm to the invasive species. The assessment should not erase that harm. Instead, it evaluates whether the harm is proportionate and justified by the preservation of the larger ecosystem and other relevant Flourishing Entities.</w:t>
      </w:r>
    </w:p>
    <w:p>
      <w:pPr>
        <w:pStyle w:val="BodyText"/>
        <w:spacing w:before="0" w:after="200"/>
        <w:rPr/>
      </w:pPr>
      <w:r>
        <w:rPr/>
        <w:t>In a morally problematic version of the transition, World Context₁ includes unnecessary cruelty, poorly targeted killing, ecological side effects, public distrust, institutional overreach, damage to non-target species, or future policy updates that normalize destructive intervention without adequate evidence.</w:t>
      </w:r>
    </w:p>
    <w:p>
      <w:pPr>
        <w:pStyle w:val="BodyText"/>
        <w:spacing w:before="0" w:after="200"/>
        <w:rPr/>
      </w:pPr>
      <w:r>
        <w:rPr/>
        <w:t>The World Context Transition should therefore include:</w:t>
      </w:r>
    </w:p>
    <w:p>
      <w:pPr>
        <w:pStyle w:val="BodyText"/>
        <w:spacing w:before="0" w:after="200"/>
        <w:rPr/>
      </w:pPr>
      <w:r>
        <w:rPr/>
        <w:t>Negative transitions for invasive organisms.</w:t>
      </w:r>
    </w:p>
    <w:p>
      <w:pPr>
        <w:pStyle w:val="BodyText"/>
        <w:spacing w:before="0" w:after="200"/>
        <w:rPr/>
      </w:pPr>
      <w:r>
        <w:rPr/>
        <w:t>Positive or protective transitions for native species.</w:t>
      </w:r>
    </w:p>
    <w:p>
      <w:pPr>
        <w:pStyle w:val="BodyText"/>
        <w:spacing w:before="0" w:after="200"/>
        <w:rPr/>
      </w:pPr>
      <w:r>
        <w:rPr/>
        <w:t>Ecosystem-level resilience changes.</w:t>
      </w:r>
    </w:p>
    <w:p>
      <w:pPr>
        <w:pStyle w:val="BodyText"/>
        <w:spacing w:before="0" w:after="200"/>
        <w:rPr/>
      </w:pPr>
      <w:r>
        <w:rPr/>
        <w:t>Future opportunity changes for species and communities.</w:t>
      </w:r>
    </w:p>
    <w:p>
      <w:pPr>
        <w:pStyle w:val="BodyText"/>
        <w:spacing w:before="0" w:after="200"/>
        <w:rPr/>
      </w:pPr>
      <w:r>
        <w:rPr/>
        <w:t>Institutional policy updates.</w:t>
      </w:r>
    </w:p>
    <w:p>
      <w:pPr>
        <w:pStyle w:val="BodyText"/>
        <w:spacing w:before="0" w:after="200"/>
        <w:rPr/>
      </w:pPr>
      <w:r>
        <w:rPr/>
        <w:t>Public trust effects.</w:t>
      </w:r>
    </w:p>
    <w:p>
      <w:pPr>
        <w:pStyle w:val="BodyText"/>
        <w:spacing w:before="0" w:after="200"/>
        <w:rPr/>
      </w:pPr>
      <w:r>
        <w:rPr/>
        <w:t>Uncertainty and confidence.</w:t>
      </w:r>
    </w:p>
    <w:p>
      <w:pPr>
        <w:pStyle w:val="BodyText"/>
        <w:spacing w:before="0" w:after="200"/>
        <w:rPr/>
      </w:pPr>
      <w:r>
        <w:rPr/>
        <w:t>Potential unintended ecological consequences.</w:t>
      </w:r>
    </w:p>
    <w:p>
      <w:pPr>
        <w:pStyle w:val="BodyText"/>
        <w:spacing w:before="0" w:after="200"/>
        <w:rPr/>
      </w:pPr>
      <w:r>
        <w:rPr/>
        <w:t>The central question is whether the intervention helps create a more resilient and flourishing ecological World Context, or whether it merely substitutes one form of damage for another.</w:t>
      </w:r>
    </w:p>
    <w:p>
      <w:pPr>
        <w:pStyle w:val="Heading3"/>
        <w:ind w:hanging="0" w:left="0"/>
        <w:rPr/>
      </w:pPr>
      <w:r>
        <w:rPr/>
        <w:t>Assessment Summary</w:t>
      </w:r>
    </w:p>
    <w:p>
      <w:pPr>
        <w:pStyle w:val="BodyText"/>
        <w:spacing w:before="0" w:after="200"/>
        <w:rPr/>
      </w:pPr>
      <w:r>
        <w:rPr/>
        <w:t>The invasive species intervention example demonstrates that Long-Term Flourishing is relational and system-dependent.</w:t>
      </w:r>
    </w:p>
    <w:p>
      <w:pPr>
        <w:pStyle w:val="BodyText"/>
        <w:spacing w:before="0" w:after="200"/>
        <w:rPr/>
      </w:pPr>
      <w:r>
        <w:rPr/>
        <w:t>An invasive species may expand successfully, but its expansion may materially diminish native species, ecological resilience, and future state space. Expansion is therefore not automatically flourishing in the morally relevant sense.</w:t>
      </w:r>
    </w:p>
    <w:p>
      <w:pPr>
        <w:pStyle w:val="BodyText"/>
        <w:spacing w:before="0" w:after="200"/>
        <w:rPr/>
      </w:pPr>
      <w:r>
        <w:rPr/>
        <w:t>A carefully designed intervention may be morally supportable even though it harms members of the invasive species, if the intervention is necessary, proportionate, evidence-based, targeted, and likely to preserve the Long-Term Flourishing of the ecosystem and other relevant Flourishing Entities.</w:t>
      </w:r>
    </w:p>
    <w:p>
      <w:pPr>
        <w:pStyle w:val="BodyText"/>
        <w:spacing w:before="0" w:after="200"/>
        <w:rPr/>
      </w:pPr>
      <w:r>
        <w:rPr/>
        <w:t>However, intervention is not automatically justified. The means matter. A reckless, cruel, ineffective, or ecologically destabilizing intervention may produce detrimental policy updates and a worse World Context Transition.</w:t>
      </w:r>
    </w:p>
    <w:p>
      <w:pPr>
        <w:pStyle w:val="BodyText"/>
        <w:spacing w:before="0" w:after="200"/>
        <w:rPr/>
      </w:pPr>
      <w:r>
        <w:rPr/>
        <w:t>Assessment Result: Conditionally morally supportable. Invasive species intervention can be justified when it prevents material diminishment of native species and ecosystem flourishing, uses proportionate and evidence-based means, preserves future ecological state space, and avoids unnecessary cruelty or institutional policy degradation.</w:t>
      </w:r>
    </w:p>
    <w:p>
      <w:pPr>
        <w:pStyle w:val="BodyText"/>
        <w:spacing w:before="0" w:after="200"/>
        <w:rPr/>
      </w:pPr>
      <w:r>
        <w:rPr/>
        <w:t>Confidence Level: Moderate to High, depending on evidence quality, ecological uncertainty, intervention effectiveness, reversibility, non-target effects, and the availability of less harmful alternatives.</w:t>
      </w:r>
    </w:p>
    <w:p>
      <w:pPr>
        <w:pStyle w:val="Heading2"/>
        <w:ind w:hanging="0" w:left="0"/>
        <w:rPr/>
      </w:pPr>
      <w:r>
        <w:rPr/>
        <w:t>Viral Expansion Is Not Flourishing</w:t>
      </w:r>
    </w:p>
    <w:p>
      <w:pPr>
        <w:pStyle w:val="BodyText"/>
        <w:spacing w:before="0" w:after="200"/>
        <w:rPr/>
      </w:pPr>
      <w:r>
        <w:rPr/>
        <w:t>This example illustrates the distinction between biological expansion and morally supportable Long-Term Flourishing.</w:t>
      </w:r>
    </w:p>
    <w:p>
      <w:pPr>
        <w:pStyle w:val="BodyText"/>
        <w:spacing w:before="0" w:after="200"/>
        <w:rPr/>
      </w:pPr>
      <w:r>
        <w:rPr/>
        <w:t>The scenario involves a virus that spreads through a human population and causes a pandemic. The virus replicates successfully, expands its reach, and increases the number of infected hosts. In a narrow biological sense, the viral pattern is expanding. However, the framework does not treat expansion itself as flourishing.</w:t>
      </w:r>
    </w:p>
    <w:p>
      <w:pPr>
        <w:pStyle w:val="BodyText"/>
        <w:spacing w:before="0" w:after="200"/>
        <w:rPr/>
      </w:pPr>
      <w:r>
        <w:rPr/>
        <w:t>The example is important because it clarifies why Long-Term Flourishing includes relational and constructive dimensions. A pattern may persist, replicate, and expand while materially diminishing the flourishing of other relevant entities. In such a case, expansion is not morally supportable flourishing. It is a state change that must be evaluated in relation to the broader World Context.</w:t>
      </w:r>
    </w:p>
    <w:p>
      <w:pPr>
        <w:pStyle w:val="BodyText"/>
        <w:spacing w:before="0" w:after="200"/>
        <w:rPr/>
      </w:pPr>
      <w:r>
        <w:rPr/>
        <w:t>The assessment therefore asks whether viral expansion preserves and promotes the Long-Term Flourishing of relevant Flourishing Entities within the World Context. In a pandemic scenario, the answer is generally no. Viral expansion materially diminishes human beings, families, communities, healthcare institutions, economies, and future state space. The fact that the virus becomes more widespread does not make the resulting World Context morally better.</w:t>
      </w:r>
    </w:p>
    <w:p>
      <w:pPr>
        <w:pStyle w:val="Heading3"/>
        <w:ind w:hanging="0" w:left="0"/>
        <w:rPr/>
      </w:pPr>
      <w:r>
        <w:rPr/>
        <w:t>Moral Agent</w:t>
      </w:r>
    </w:p>
    <w:p>
      <w:pPr>
        <w:pStyle w:val="BodyText"/>
        <w:spacing w:before="0" w:after="200"/>
        <w:rPr/>
      </w:pPr>
      <w:r>
        <w:rPr/>
        <w:t>The virus is not a Moral Agent.</w:t>
      </w:r>
    </w:p>
    <w:p>
      <w:pPr>
        <w:pStyle w:val="BodyText"/>
        <w:spacing w:before="0" w:after="200"/>
        <w:rPr/>
      </w:pPr>
      <w:r>
        <w:rPr/>
        <w:t>It does not deliberate, evaluate objectives, recognize obligations, understand harms, or bear moral responsibility. It may be a causal entity in the World Context, but causal effect is not the same as moral agency.</w:t>
      </w:r>
    </w:p>
    <w:p>
      <w:pPr>
        <w:pStyle w:val="BodyText"/>
        <w:spacing w:before="0" w:after="200"/>
        <w:rPr/>
      </w:pPr>
      <w:r>
        <w:rPr/>
        <w:t>The relevant Moral Agents are human individuals, institutions, governments, healthcare systems, public health authorities, laboratories, corporations, media organizations, and artificial systems that respond to, manage, worsen, conceal, mitigate, or prevent the pandemic.</w:t>
      </w:r>
    </w:p>
    <w:p>
      <w:pPr>
        <w:pStyle w:val="BodyText"/>
        <w:spacing w:before="0" w:after="200"/>
        <w:rPr/>
      </w:pPr>
      <w:r>
        <w:rPr/>
        <w:t>If the pandemic arises naturally, there may be no morally responsible Actor for the initial emergence of the virus. However, Moral Agents may still be responsible for later decisions, including surveillance, disclosure, containment, treatment, public communication, vaccination, resource allocation, misinformation control, and protection of vulnerable populations.</w:t>
      </w:r>
    </w:p>
    <w:p>
      <w:pPr>
        <w:pStyle w:val="BodyText"/>
        <w:spacing w:before="0" w:after="200"/>
        <w:rPr/>
      </w:pPr>
      <w:r>
        <w:rPr/>
        <w:t>If the pandemic is caused or worsened by negligence, concealment, unsafe research, institutional failure, reckless travel policy, misinformation, or deliberate release, those human or institutional Actors become part of the moral assessment.</w:t>
      </w:r>
    </w:p>
    <w:p>
      <w:pPr>
        <w:pStyle w:val="BodyText"/>
        <w:spacing w:before="0" w:after="200"/>
        <w:rPr/>
      </w:pPr>
      <w:r>
        <w:rPr/>
        <w:t>The virus itself remains a causal object, not a responsible Moral Agent.</w:t>
      </w:r>
    </w:p>
    <w:p>
      <w:pPr>
        <w:pStyle w:val="Heading3"/>
        <w:ind w:hanging="0" w:left="0"/>
        <w:rPr/>
      </w:pPr>
      <w:r>
        <w:rPr/>
        <w:t>Relevant Flourishing Entities</w:t>
      </w:r>
    </w:p>
    <w:p>
      <w:pPr>
        <w:pStyle w:val="BodyText"/>
        <w:spacing w:before="0" w:after="200"/>
        <w:rPr/>
      </w:pPr>
      <w:r>
        <w:rPr/>
        <w:t>The relevant Flourishing Entities include infected individuals, vulnerable populations, healthcare workers, families, communities, healthcare institutions, public health systems, governments, economies, future persons, and possibly ecosystems or animal populations affected by the disease or the response.</w:t>
      </w:r>
    </w:p>
    <w:p>
      <w:pPr>
        <w:pStyle w:val="BodyText"/>
        <w:spacing w:before="0" w:after="200"/>
        <w:rPr/>
      </w:pPr>
      <w:r>
        <w:rPr/>
        <w:t>Infected individuals are directly affected. Their health, safety, persistence, adaptive capacity, autonomy, future possibilities, and social participation may be diminished.</w:t>
      </w:r>
    </w:p>
    <w:p>
      <w:pPr>
        <w:pStyle w:val="BodyText"/>
        <w:spacing w:before="0" w:after="200"/>
        <w:rPr/>
      </w:pPr>
      <w:r>
        <w:rPr/>
        <w:t>Vulnerable populations are especially relevant because the virus may impose unequal burdens on the elderly, immunocompromised, disabled, poor, isolated, incarcerated, or medically underserved.</w:t>
      </w:r>
    </w:p>
    <w:p>
      <w:pPr>
        <w:pStyle w:val="BodyText"/>
        <w:spacing w:before="0" w:after="200"/>
        <w:rPr/>
      </w:pPr>
      <w:r>
        <w:rPr/>
        <w:t>Healthcare workers are relevant because their safety, workload, mental health, professional capacity, and future flourishing may be materially affected.</w:t>
      </w:r>
    </w:p>
    <w:p>
      <w:pPr>
        <w:pStyle w:val="BodyText"/>
        <w:spacing w:before="0" w:after="200"/>
        <w:rPr/>
      </w:pPr>
      <w:r>
        <w:rPr/>
        <w:t>Families and communities are relevant because pandemics disrupt care relationships, work, education, social trust, grief processes, and future opportunities.</w:t>
      </w:r>
    </w:p>
    <w:p>
      <w:pPr>
        <w:pStyle w:val="BodyText"/>
        <w:spacing w:before="0" w:after="200"/>
        <w:rPr/>
      </w:pPr>
      <w:r>
        <w:rPr/>
        <w:t>Healthcare institutions and public health systems are relevant because their capacity, legitimacy, resilience, trust, and policy states may be strengthened or degraded by the pandemic and by the response.</w:t>
      </w:r>
    </w:p>
    <w:p>
      <w:pPr>
        <w:pStyle w:val="BodyText"/>
        <w:spacing w:before="0" w:after="200"/>
        <w:rPr/>
      </w:pPr>
      <w:r>
        <w:rPr/>
        <w:t>Governments and civic institutions are relevant because their decisions affect public trust, cooperation, liberty, legitimacy, and future crisis readiness.</w:t>
      </w:r>
    </w:p>
    <w:p>
      <w:pPr>
        <w:pStyle w:val="BodyText"/>
        <w:spacing w:before="0" w:after="200"/>
        <w:rPr/>
      </w:pPr>
      <w:r>
        <w:rPr/>
        <w:t>The virus may be represented as a biological Object or persistent replicating pattern. Whether it is treated as a Flourishing Entity depends on the framework’s further criteria for flourishing. Even if its persistence and replication are represented, its expansion does not automatically count as morally supportable flourishing because it materially diminishes the Long-Term Flourishing of other relevant entities and does not constructively participate in the larger World Context.</w:t>
      </w:r>
    </w:p>
    <w:p>
      <w:pPr>
        <w:pStyle w:val="Heading3"/>
        <w:ind w:hanging="0" w:left="0"/>
        <w:rPr/>
      </w:pPr>
      <w:r>
        <w:rPr/>
        <w:t>Situational Context</w:t>
      </w:r>
    </w:p>
    <w:p>
      <w:pPr>
        <w:pStyle w:val="BodyText"/>
        <w:spacing w:before="0" w:after="200"/>
        <w:rPr/>
      </w:pPr>
      <w:r>
        <w:rPr/>
        <w:t>The Situational Context is a pandemic in which viral spread threatens individual and collective flourishing.</w:t>
      </w:r>
    </w:p>
    <w:p>
      <w:pPr>
        <w:pStyle w:val="BodyText"/>
        <w:spacing w:before="0" w:after="200"/>
        <w:rPr/>
      </w:pPr>
      <w:r>
        <w:rPr/>
        <w:t>The virus spreads through a population, causing illness, death, disability, fear, economic disruption, healthcare strain, institutional stress, and uncertainty. The public and institutions must respond under incomplete information, evolving evidence, time pressure, contested authority, resource constraints, and changing risk estimates.</w:t>
      </w:r>
    </w:p>
    <w:p>
      <w:pPr>
        <w:pStyle w:val="BodyText"/>
        <w:spacing w:before="0" w:after="200"/>
        <w:rPr/>
      </w:pPr>
      <w:r>
        <w:rPr/>
        <w:t>Material features of the Situational Context include:</w:t>
      </w:r>
    </w:p>
    <w:p>
      <w:pPr>
        <w:pStyle w:val="BodyText"/>
        <w:spacing w:before="0" w:after="200"/>
        <w:rPr/>
      </w:pPr>
      <w:r>
        <w:rPr/>
        <w:t>The virus replicates and expands through host infection.</w:t>
      </w:r>
    </w:p>
    <w:p>
      <w:pPr>
        <w:pStyle w:val="BodyText"/>
        <w:spacing w:before="0" w:after="200"/>
        <w:rPr/>
      </w:pPr>
      <w:r>
        <w:rPr/>
        <w:t>Human beings and communities suffer health and social harms.</w:t>
      </w:r>
    </w:p>
    <w:p>
      <w:pPr>
        <w:pStyle w:val="BodyText"/>
        <w:spacing w:before="0" w:after="200"/>
        <w:rPr/>
      </w:pPr>
      <w:r>
        <w:rPr/>
        <w:t>Healthcare systems may become strained or overwhelmed.</w:t>
      </w:r>
    </w:p>
    <w:p>
      <w:pPr>
        <w:pStyle w:val="BodyText"/>
        <w:spacing w:before="0" w:after="200"/>
        <w:rPr/>
      </w:pPr>
      <w:r>
        <w:rPr/>
        <w:t>Information about transmission, severity, treatment, and prevention may initially be incomplete.</w:t>
      </w:r>
    </w:p>
    <w:p>
      <w:pPr>
        <w:pStyle w:val="BodyText"/>
        <w:spacing w:before="0" w:after="200"/>
        <w:rPr/>
      </w:pPr>
      <w:r>
        <w:rPr/>
        <w:t>Public health authorities must act under uncertainty.</w:t>
      </w:r>
    </w:p>
    <w:p>
      <w:pPr>
        <w:pStyle w:val="BodyText"/>
        <w:spacing w:before="0" w:after="200"/>
        <w:rPr/>
      </w:pPr>
      <w:r>
        <w:rPr/>
        <w:t>Individual freedoms, economic activity, and collective safety may come into tension.</w:t>
      </w:r>
    </w:p>
    <w:p>
      <w:pPr>
        <w:pStyle w:val="BodyText"/>
        <w:spacing w:before="0" w:after="200"/>
        <w:rPr/>
      </w:pPr>
      <w:r>
        <w:rPr/>
        <w:t>Institutional trust affects compliance and cooperation.</w:t>
      </w:r>
    </w:p>
    <w:p>
      <w:pPr>
        <w:pStyle w:val="BodyText"/>
        <w:spacing w:before="0" w:after="200"/>
        <w:rPr/>
      </w:pPr>
      <w:r>
        <w:rPr/>
        <w:t>Misinformation may alter policy states and increase harm.</w:t>
      </w:r>
    </w:p>
    <w:p>
      <w:pPr>
        <w:pStyle w:val="BodyText"/>
        <w:spacing w:before="0" w:after="200"/>
        <w:rPr/>
      </w:pPr>
      <w:r>
        <w:rPr/>
        <w:t>Response actions may themselves create burdens or secondary harms.</w:t>
      </w:r>
    </w:p>
    <w:p>
      <w:pPr>
        <w:pStyle w:val="BodyText"/>
        <w:spacing w:before="0" w:after="200"/>
        <w:rPr/>
      </w:pPr>
      <w:r>
        <w:rPr/>
        <w:t>The assessment must distinguish the virus’s biological expansion from the flourishing of the larger World Context. A pandemic is not morally improved because the virus expands. The expansion is assessed by its effects on relevant Flourishing Entities and the resulting World Context Transition.</w:t>
      </w:r>
    </w:p>
    <w:p>
      <w:pPr>
        <w:pStyle w:val="Heading3"/>
        <w:ind w:hanging="0" w:left="0"/>
        <w:rPr/>
      </w:pPr>
      <w:r>
        <w:rPr/>
        <w:t>Action</w:t>
      </w:r>
    </w:p>
    <w:p>
      <w:pPr>
        <w:pStyle w:val="BodyText"/>
        <w:spacing w:before="0" w:after="200"/>
        <w:rPr/>
      </w:pPr>
      <w:r>
        <w:rPr/>
        <w:t>The primary assessed event is viral expansion through a population.</w:t>
      </w:r>
    </w:p>
    <w:p>
      <w:pPr>
        <w:pStyle w:val="BodyText"/>
        <w:spacing w:before="0" w:after="200"/>
        <w:rPr/>
      </w:pPr>
      <w:r>
        <w:rPr/>
        <w:t>Because the virus is not a Moral Agent, this is not an action in the morally responsible sense. It is a causal process or state-transforming event. The methodology may still assess the World Context Transition produced by the viral spread.</w:t>
      </w:r>
    </w:p>
    <w:p>
      <w:pPr>
        <w:pStyle w:val="BodyText"/>
        <w:spacing w:before="0" w:after="200"/>
        <w:rPr/>
      </w:pPr>
      <w:r>
        <w:rPr/>
        <w:t>When human or institutional decisions are evaluated, the Assessed Action may instead be a response to the pandemic. Examples include:</w:t>
      </w:r>
    </w:p>
    <w:p>
      <w:pPr>
        <w:pStyle w:val="BodyText"/>
        <w:spacing w:before="0" w:after="200"/>
        <w:rPr/>
      </w:pPr>
      <w:r>
        <w:rPr/>
        <w:t>Delaying disclosure.</w:t>
      </w:r>
    </w:p>
    <w:p>
      <w:pPr>
        <w:pStyle w:val="BodyText"/>
        <w:spacing w:before="0" w:after="200"/>
        <w:rPr/>
      </w:pPr>
      <w:r>
        <w:rPr/>
        <w:t>Issuing public health warnings.</w:t>
      </w:r>
    </w:p>
    <w:p>
      <w:pPr>
        <w:pStyle w:val="BodyText"/>
        <w:spacing w:before="0" w:after="200"/>
        <w:rPr/>
      </w:pPr>
      <w:r>
        <w:rPr/>
        <w:t>Implementing quarantine.</w:t>
      </w:r>
    </w:p>
    <w:p>
      <w:pPr>
        <w:pStyle w:val="BodyText"/>
        <w:spacing w:before="0" w:after="200"/>
        <w:rPr/>
      </w:pPr>
      <w:r>
        <w:rPr/>
        <w:t>Distributing vaccines.</w:t>
      </w:r>
    </w:p>
    <w:p>
      <w:pPr>
        <w:pStyle w:val="BodyText"/>
        <w:spacing w:before="0" w:after="200"/>
        <w:rPr/>
      </w:pPr>
      <w:r>
        <w:rPr/>
        <w:t>Allocating scarce medical resources.</w:t>
      </w:r>
    </w:p>
    <w:p>
      <w:pPr>
        <w:pStyle w:val="BodyText"/>
        <w:spacing w:before="0" w:after="200"/>
        <w:rPr/>
      </w:pPr>
      <w:r>
        <w:rPr/>
        <w:t>Mandating or recommending protective measures.</w:t>
      </w:r>
    </w:p>
    <w:p>
      <w:pPr>
        <w:pStyle w:val="BodyText"/>
        <w:spacing w:before="0" w:after="200"/>
        <w:rPr/>
      </w:pPr>
      <w:r>
        <w:rPr/>
        <w:t>Suppressing or correcting misinformation.</w:t>
      </w:r>
    </w:p>
    <w:p>
      <w:pPr>
        <w:pStyle w:val="BodyText"/>
        <w:spacing w:before="0" w:after="200"/>
        <w:rPr/>
      </w:pPr>
      <w:r>
        <w:rPr/>
        <w:t>Funding treatment research.</w:t>
      </w:r>
    </w:p>
    <w:p>
      <w:pPr>
        <w:pStyle w:val="BodyText"/>
        <w:spacing w:before="0" w:after="200"/>
        <w:rPr/>
      </w:pPr>
      <w:r>
        <w:rPr/>
        <w:t>Restricting travel.</w:t>
      </w:r>
    </w:p>
    <w:p>
      <w:pPr>
        <w:pStyle w:val="BodyText"/>
        <w:spacing w:before="0" w:after="200"/>
        <w:rPr/>
      </w:pPr>
      <w:r>
        <w:rPr/>
        <w:t>Reopening institutions.</w:t>
      </w:r>
    </w:p>
    <w:p>
      <w:pPr>
        <w:pStyle w:val="BodyText"/>
        <w:spacing w:before="0" w:after="200"/>
        <w:rPr/>
      </w:pPr>
      <w:r>
        <w:rPr/>
        <w:t>Prioritizing vulnerable populations.</w:t>
      </w:r>
    </w:p>
    <w:p>
      <w:pPr>
        <w:pStyle w:val="BodyText"/>
        <w:spacing w:before="0" w:after="200"/>
        <w:rPr/>
      </w:pPr>
      <w:r>
        <w:rPr/>
        <w:t>Concealing evidence.</w:t>
      </w:r>
    </w:p>
    <w:p>
      <w:pPr>
        <w:pStyle w:val="BodyText"/>
        <w:spacing w:before="0" w:after="200"/>
        <w:rPr/>
      </w:pPr>
      <w:r>
        <w:rPr/>
        <w:t>Spreading false information.</w:t>
      </w:r>
    </w:p>
    <w:p>
      <w:pPr>
        <w:pStyle w:val="BodyText"/>
        <w:spacing w:before="0" w:after="200"/>
        <w:rPr/>
      </w:pPr>
      <w:r>
        <w:rPr/>
        <w:t>In this section, the main point is narrower: viral replication is not flourishing merely because it expands. If a separate assessment evaluates a public health response, then the human or institutional action should be assessed as its own Assessed Action.</w:t>
      </w:r>
    </w:p>
    <w:p>
      <w:pPr>
        <w:pStyle w:val="Heading3"/>
        <w:ind w:hanging="0" w:left="0"/>
        <w:rPr/>
      </w:pPr>
      <w:r>
        <w:rPr/>
        <w:t>Actor / Distributed Policy Updates</w:t>
      </w:r>
    </w:p>
    <w:p>
      <w:pPr>
        <w:pStyle w:val="BodyText"/>
        <w:spacing w:before="0" w:after="200"/>
        <w:rPr/>
      </w:pPr>
      <w:r>
        <w:rPr/>
        <w:t>The virus does not have an Actor Policy Update because it is not a Moral Agent.</w:t>
      </w:r>
    </w:p>
    <w:p>
      <w:pPr>
        <w:pStyle w:val="BodyText"/>
        <w:spacing w:before="0" w:after="200"/>
        <w:rPr/>
      </w:pPr>
      <w:r>
        <w:rPr/>
        <w:t>However, the pandemic can produce Distributed Policy Updates in human beings, institutions, governments, communities, and artificial systems. These updates may be beneficial, detrimental, or mixed.</w:t>
      </w:r>
    </w:p>
    <w:p>
      <w:pPr>
        <w:pStyle w:val="BodyText"/>
        <w:spacing w:before="0" w:after="200"/>
        <w:rPr/>
      </w:pPr>
      <w:r>
        <w:rPr/>
        <w:t>Beneficial policy updates may include:</w:t>
      </w:r>
    </w:p>
    <w:p>
      <w:pPr>
        <w:pStyle w:val="BodyText"/>
        <w:spacing w:before="0" w:after="200"/>
        <w:rPr/>
      </w:pPr>
      <w:r>
        <w:rPr/>
        <w:t>Improved public health preparedness.</w:t>
      </w:r>
    </w:p>
    <w:p>
      <w:pPr>
        <w:pStyle w:val="BodyText"/>
        <w:spacing w:before="0" w:after="200"/>
        <w:rPr/>
      </w:pPr>
      <w:r>
        <w:rPr/>
        <w:t>Greater institutional transparency.</w:t>
      </w:r>
    </w:p>
    <w:p>
      <w:pPr>
        <w:pStyle w:val="BodyText"/>
        <w:spacing w:before="0" w:after="200"/>
        <w:rPr/>
      </w:pPr>
      <w:r>
        <w:rPr/>
        <w:t>Better disease surveillance.</w:t>
      </w:r>
    </w:p>
    <w:p>
      <w:pPr>
        <w:pStyle w:val="BodyText"/>
        <w:spacing w:before="0" w:after="200"/>
        <w:rPr/>
      </w:pPr>
      <w:r>
        <w:rPr/>
        <w:t>Stronger healthcare capacity.</w:t>
      </w:r>
    </w:p>
    <w:p>
      <w:pPr>
        <w:pStyle w:val="BodyText"/>
        <w:spacing w:before="0" w:after="200"/>
        <w:rPr/>
      </w:pPr>
      <w:r>
        <w:rPr/>
        <w:t>Improved scientific cooperation.</w:t>
      </w:r>
    </w:p>
    <w:p>
      <w:pPr>
        <w:pStyle w:val="BodyText"/>
        <w:spacing w:before="0" w:after="200"/>
        <w:rPr/>
      </w:pPr>
      <w:r>
        <w:rPr/>
        <w:t>Greater respect for evidence.</w:t>
      </w:r>
    </w:p>
    <w:p>
      <w:pPr>
        <w:pStyle w:val="BodyText"/>
        <w:spacing w:before="0" w:after="200"/>
        <w:rPr/>
      </w:pPr>
      <w:r>
        <w:rPr/>
        <w:t>More resilient supply chains.</w:t>
      </w:r>
    </w:p>
    <w:p>
      <w:pPr>
        <w:pStyle w:val="BodyText"/>
        <w:spacing w:before="0" w:after="200"/>
        <w:rPr/>
      </w:pPr>
      <w:r>
        <w:rPr/>
        <w:t>Improved care for vulnerable populations.</w:t>
      </w:r>
    </w:p>
    <w:p>
      <w:pPr>
        <w:pStyle w:val="BodyText"/>
        <w:spacing w:before="0" w:after="200"/>
        <w:rPr/>
      </w:pPr>
      <w:r>
        <w:rPr/>
        <w:t>Better emergency response norms.</w:t>
      </w:r>
    </w:p>
    <w:p>
      <w:pPr>
        <w:pStyle w:val="BodyText"/>
        <w:spacing w:before="0" w:after="200"/>
        <w:rPr/>
      </w:pPr>
      <w:r>
        <w:rPr/>
        <w:t>Detrimental policy updates may include:</w:t>
      </w:r>
    </w:p>
    <w:p>
      <w:pPr>
        <w:pStyle w:val="BodyText"/>
        <w:spacing w:before="0" w:after="200"/>
        <w:rPr/>
      </w:pPr>
      <w:r>
        <w:rPr/>
        <w:t>Public distrust of health institutions.</w:t>
      </w:r>
    </w:p>
    <w:p>
      <w:pPr>
        <w:pStyle w:val="BodyText"/>
        <w:spacing w:before="0" w:after="200"/>
        <w:rPr/>
      </w:pPr>
      <w:r>
        <w:rPr/>
        <w:t>Normalization of misinformation.</w:t>
      </w:r>
    </w:p>
    <w:p>
      <w:pPr>
        <w:pStyle w:val="BodyText"/>
        <w:spacing w:before="0" w:after="200"/>
        <w:rPr/>
      </w:pPr>
      <w:r>
        <w:rPr/>
        <w:t>Increased social fragmentation.</w:t>
      </w:r>
    </w:p>
    <w:p>
      <w:pPr>
        <w:pStyle w:val="BodyText"/>
        <w:spacing w:before="0" w:after="200"/>
        <w:rPr/>
      </w:pPr>
      <w:r>
        <w:rPr/>
        <w:t>Institutional concealment.</w:t>
      </w:r>
    </w:p>
    <w:p>
      <w:pPr>
        <w:pStyle w:val="BodyText"/>
        <w:spacing w:before="0" w:after="200"/>
        <w:rPr/>
      </w:pPr>
      <w:r>
        <w:rPr/>
        <w:t>Panic-driven decision-making.</w:t>
      </w:r>
    </w:p>
    <w:p>
      <w:pPr>
        <w:pStyle w:val="BodyText"/>
        <w:spacing w:before="0" w:after="200"/>
        <w:rPr/>
      </w:pPr>
      <w:r>
        <w:rPr/>
        <w:t>Authoritarian overreach.</w:t>
      </w:r>
    </w:p>
    <w:p>
      <w:pPr>
        <w:pStyle w:val="BodyText"/>
        <w:spacing w:before="0" w:after="200"/>
        <w:rPr/>
      </w:pPr>
      <w:r>
        <w:rPr/>
        <w:t>Reduced willingness to cooperate.</w:t>
      </w:r>
    </w:p>
    <w:p>
      <w:pPr>
        <w:pStyle w:val="BodyText"/>
        <w:spacing w:before="0" w:after="200"/>
        <w:rPr/>
      </w:pPr>
      <w:r>
        <w:rPr/>
        <w:t>Stigmatization of infected groups.</w:t>
      </w:r>
    </w:p>
    <w:p>
      <w:pPr>
        <w:pStyle w:val="BodyText"/>
        <w:spacing w:before="0" w:after="200"/>
        <w:rPr/>
      </w:pPr>
      <w:r>
        <w:rPr/>
        <w:t>Medical burnout and institutional fragility.</w:t>
      </w:r>
    </w:p>
    <w:p>
      <w:pPr>
        <w:pStyle w:val="BodyText"/>
        <w:spacing w:before="0" w:after="200"/>
        <w:rPr/>
      </w:pPr>
      <w:r>
        <w:rPr/>
        <w:t>Politicization of evidence.</w:t>
      </w:r>
    </w:p>
    <w:p>
      <w:pPr>
        <w:pStyle w:val="BodyText"/>
        <w:spacing w:before="0" w:after="200"/>
        <w:rPr/>
      </w:pPr>
      <w:r>
        <w:rPr/>
        <w:t>The pandemic therefore changes the future policy states of many actors. These policy changes become part of the resulting World Context. A pandemic response that improves institutional learning may produce beneficial policy updates. A response marked by deception, incompetence, scapegoating, or disregard for evidence may produce detrimental policy updates.</w:t>
      </w:r>
    </w:p>
    <w:p>
      <w:pPr>
        <w:pStyle w:val="BodyText"/>
        <w:spacing w:before="0" w:after="200"/>
        <w:rPr/>
      </w:pPr>
      <w:r>
        <w:rPr/>
        <w:t>The virus itself does not update morally, but the human and institutional systems around it do.</w:t>
      </w:r>
    </w:p>
    <w:p>
      <w:pPr>
        <w:pStyle w:val="Heading3"/>
        <w:ind w:hanging="0" w:left="0"/>
        <w:rPr/>
      </w:pPr>
      <w:r>
        <w:rPr/>
        <w:t>Flourishing Transitions</w:t>
      </w:r>
    </w:p>
    <w:p>
      <w:pPr>
        <w:pStyle w:val="BodyText"/>
        <w:spacing w:before="0" w:after="200"/>
        <w:rPr/>
      </w:pPr>
      <w:r>
        <w:rPr/>
        <w:t>The virus experiences biological expansion if it infects more hosts and replicates successfully. However, this expansion should not be treated as morally supportable Long-Term Flourishing.</w:t>
      </w:r>
    </w:p>
    <w:p>
      <w:pPr>
        <w:pStyle w:val="BodyText"/>
        <w:spacing w:before="0" w:after="200"/>
        <w:rPr/>
      </w:pPr>
      <w:r>
        <w:rPr/>
        <w:t>The virus’s expansion materially diminishes the flourishing of other relevant entities. Infected individuals may suffer illness, disability, death, isolation, reduced autonomy, lost income, and diminished future possibilities. Families may suffer grief, caregiving burdens, and social disruption. Healthcare workers may suffer exhaustion, trauma, and increased risk. Institutions may suffer strain, legitimacy loss, or operational breakdown.</w:t>
      </w:r>
    </w:p>
    <w:p>
      <w:pPr>
        <w:pStyle w:val="BodyText"/>
        <w:spacing w:before="0" w:after="200"/>
        <w:rPr/>
      </w:pPr>
      <w:r>
        <w:rPr/>
        <w:t>Human communities may experience reduced trust, reduced cooperation, economic instability, educational disruption, and degraded social connection. Future persons may inherit institutional debt, lost opportunities, weakened healthcare capacity, or improved preparedness depending on the response.</w:t>
      </w:r>
    </w:p>
    <w:p>
      <w:pPr>
        <w:pStyle w:val="BodyText"/>
        <w:spacing w:before="0" w:after="200"/>
        <w:rPr/>
      </w:pPr>
      <w:r>
        <w:rPr/>
        <w:t>The flourishing profile is therefore strongly negative at the level of the broader World Context:</w:t>
      </w:r>
    </w:p>
    <w:p>
      <w:pPr>
        <w:pStyle w:val="BodyText"/>
        <w:spacing w:before="0" w:after="200"/>
        <w:rPr/>
      </w:pPr>
      <w:r>
        <w:rPr/>
        <w:t>The virus expands biologically.</w:t>
      </w:r>
    </w:p>
    <w:p>
      <w:pPr>
        <w:pStyle w:val="BodyText"/>
        <w:spacing w:before="0" w:after="200"/>
        <w:rPr/>
      </w:pPr>
      <w:r>
        <w:rPr/>
        <w:t>Human flourishing is materially diminished.</w:t>
      </w:r>
    </w:p>
    <w:p>
      <w:pPr>
        <w:pStyle w:val="BodyText"/>
        <w:spacing w:before="0" w:after="200"/>
        <w:rPr/>
      </w:pPr>
      <w:r>
        <w:rPr/>
        <w:t>Healthcare systems are strained.</w:t>
      </w:r>
    </w:p>
    <w:p>
      <w:pPr>
        <w:pStyle w:val="BodyText"/>
        <w:spacing w:before="0" w:after="200"/>
        <w:rPr/>
      </w:pPr>
      <w:r>
        <w:rPr/>
        <w:t>Social and institutional trust may be damaged.</w:t>
      </w:r>
    </w:p>
    <w:p>
      <w:pPr>
        <w:pStyle w:val="BodyText"/>
        <w:spacing w:before="0" w:after="200"/>
        <w:rPr/>
      </w:pPr>
      <w:r>
        <w:rPr/>
        <w:t>Future opportunities may be narrowed.</w:t>
      </w:r>
    </w:p>
    <w:p>
      <w:pPr>
        <w:pStyle w:val="BodyText"/>
        <w:spacing w:before="0" w:after="200"/>
        <w:rPr/>
      </w:pPr>
      <w:r>
        <w:rPr/>
        <w:t>Public health policy states may improve or degrade depending on the response.</w:t>
      </w:r>
    </w:p>
    <w:p>
      <w:pPr>
        <w:pStyle w:val="BodyText"/>
        <w:spacing w:before="0" w:after="200"/>
        <w:rPr/>
      </w:pPr>
      <w:r>
        <w:rPr/>
        <w:t>The example demonstrates that expansion without constructive participation is not sufficient for flourishing. A pattern that grows by damaging the larger World Context is not flourishing in the moral sense required by the framework.</w:t>
      </w:r>
    </w:p>
    <w:p>
      <w:pPr>
        <w:pStyle w:val="Heading3"/>
        <w:ind w:hanging="0" w:left="0"/>
        <w:rPr/>
      </w:pPr>
      <w:r>
        <w:rPr/>
        <w:t>World Context Transition</w:t>
      </w:r>
    </w:p>
    <w:p>
      <w:pPr>
        <w:pStyle w:val="BodyText"/>
        <w:spacing w:before="0" w:after="200"/>
        <w:rPr/>
      </w:pPr>
      <w:r>
        <w:rPr/>
        <w:t>World Context₀ includes a population before widespread viral transmission, functioning healthcare systems, ordinary social and economic activity, existing public health capacity, and some baseline risk of infectious disease.</w:t>
      </w:r>
    </w:p>
    <w:p>
      <w:pPr>
        <w:pStyle w:val="BodyText"/>
        <w:spacing w:before="0" w:after="200"/>
        <w:rPr/>
      </w:pPr>
      <w:r>
        <w:rPr/>
        <w:t>World Context₁ includes widespread infection, illness, possible death, healthcare burden, public fear, altered social behavior, institutional stress, economic disruption, changed information states, changed policy states, and altered future state space.</w:t>
      </w:r>
    </w:p>
    <w:p>
      <w:pPr>
        <w:pStyle w:val="BodyText"/>
        <w:spacing w:before="0" w:after="200"/>
        <w:rPr/>
      </w:pPr>
      <w:r>
        <w:rPr/>
        <w:t>The transition includes:</w:t>
      </w:r>
    </w:p>
    <w:p>
      <w:pPr>
        <w:pStyle w:val="BodyText"/>
        <w:spacing w:before="0" w:after="200"/>
        <w:rPr/>
      </w:pPr>
      <w:r>
        <w:rPr/>
        <w:t>Expansion of the virus.</w:t>
      </w:r>
    </w:p>
    <w:p>
      <w:pPr>
        <w:pStyle w:val="BodyText"/>
        <w:spacing w:before="0" w:after="200"/>
        <w:rPr/>
      </w:pPr>
      <w:r>
        <w:rPr/>
        <w:t>Material diminishment of infected individuals.</w:t>
      </w:r>
    </w:p>
    <w:p>
      <w:pPr>
        <w:pStyle w:val="BodyText"/>
        <w:spacing w:before="0" w:after="200"/>
        <w:rPr/>
      </w:pPr>
      <w:r>
        <w:rPr/>
        <w:t>Risk and harm to vulnerable populations.</w:t>
      </w:r>
    </w:p>
    <w:p>
      <w:pPr>
        <w:pStyle w:val="BodyText"/>
        <w:spacing w:before="0" w:after="200"/>
        <w:rPr/>
      </w:pPr>
      <w:r>
        <w:rPr/>
        <w:t>Strain on healthcare workers and institutions.</w:t>
      </w:r>
    </w:p>
    <w:p>
      <w:pPr>
        <w:pStyle w:val="BodyText"/>
        <w:spacing w:before="0" w:after="200"/>
        <w:rPr/>
      </w:pPr>
      <w:r>
        <w:rPr/>
        <w:t>Disruption of families and communities.</w:t>
      </w:r>
    </w:p>
    <w:p>
      <w:pPr>
        <w:pStyle w:val="BodyText"/>
        <w:spacing w:before="0" w:after="200"/>
        <w:rPr/>
      </w:pPr>
      <w:r>
        <w:rPr/>
        <w:t>Information uncertainty and possible misinformation.</w:t>
      </w:r>
    </w:p>
    <w:p>
      <w:pPr>
        <w:pStyle w:val="BodyText"/>
        <w:spacing w:before="0" w:after="200"/>
        <w:rPr/>
      </w:pPr>
      <w:r>
        <w:rPr/>
        <w:t>Changes in public trust.</w:t>
      </w:r>
    </w:p>
    <w:p>
      <w:pPr>
        <w:pStyle w:val="BodyText"/>
        <w:spacing w:before="0" w:after="200"/>
        <w:rPr/>
      </w:pPr>
      <w:r>
        <w:rPr/>
        <w:t>Changes in government and institutional policy states.</w:t>
      </w:r>
    </w:p>
    <w:p>
      <w:pPr>
        <w:pStyle w:val="BodyText"/>
        <w:spacing w:before="0" w:after="200"/>
        <w:rPr/>
      </w:pPr>
      <w:r>
        <w:rPr/>
        <w:t>Possible improvements in preparedness.</w:t>
      </w:r>
    </w:p>
    <w:p>
      <w:pPr>
        <w:pStyle w:val="BodyText"/>
        <w:spacing w:before="0" w:after="200"/>
        <w:rPr/>
      </w:pPr>
      <w:r>
        <w:rPr/>
        <w:t>Possible degradation of civic cooperation.</w:t>
      </w:r>
    </w:p>
    <w:p>
      <w:pPr>
        <w:pStyle w:val="BodyText"/>
        <w:spacing w:before="0" w:after="200"/>
        <w:rPr/>
      </w:pPr>
      <w:r>
        <w:rPr/>
        <w:t>Future state-space changes related to health systems, governance, science, and public behavior.</w:t>
      </w:r>
    </w:p>
    <w:p>
      <w:pPr>
        <w:pStyle w:val="BodyText"/>
        <w:spacing w:before="0" w:after="200"/>
        <w:rPr/>
      </w:pPr>
      <w:r>
        <w:rPr/>
        <w:t>The World Context Transition is negative insofar as viral expansion causes widespread material diminishment. Any beneficial secondary effects, such as improved preparedness or scientific learning, must be represented separately. They do not make the viral expansion itself morally good. They may make some human or institutional responses beneficial within an otherwise harmful transition.</w:t>
      </w:r>
    </w:p>
    <w:p>
      <w:pPr>
        <w:pStyle w:val="BodyText"/>
        <w:spacing w:before="0" w:after="200"/>
        <w:rPr/>
      </w:pPr>
      <w:r>
        <w:rPr/>
        <w:t>The central lesson is that the framework evaluates the resulting World Context, not the success of a replicating pattern in isolation.</w:t>
      </w:r>
    </w:p>
    <w:p>
      <w:pPr>
        <w:pStyle w:val="Heading3"/>
        <w:ind w:hanging="0" w:left="0"/>
        <w:rPr/>
      </w:pPr>
      <w:r>
        <w:rPr/>
        <w:t>Assessment Summary</w:t>
      </w:r>
    </w:p>
    <w:p>
      <w:pPr>
        <w:pStyle w:val="BodyText"/>
        <w:spacing w:before="0" w:after="200"/>
        <w:rPr/>
      </w:pPr>
      <w:r>
        <w:rPr/>
        <w:t>The viral pandemic example demonstrates that expansion is not equivalent to Long-Term Flourishing.</w:t>
      </w:r>
    </w:p>
    <w:p>
      <w:pPr>
        <w:pStyle w:val="BodyText"/>
        <w:spacing w:before="0" w:after="200"/>
        <w:rPr/>
      </w:pPr>
      <w:r>
        <w:rPr/>
        <w:t>A virus may persist, replicate, and spread. In a narrow biological sense, it may expand successfully. But that expansion materially diminishes human beings, communities, healthcare systems, institutions, and future opportunities. It does not constructively participate in the flourishing of the larger World Context.</w:t>
      </w:r>
    </w:p>
    <w:p>
      <w:pPr>
        <w:pStyle w:val="BodyText"/>
        <w:spacing w:before="0" w:after="200"/>
        <w:rPr/>
      </w:pPr>
      <w:r>
        <w:rPr/>
        <w:t>The virus is not a Moral Agent and therefore is not morally culpable. However, its spread is still a state-transforming event that can be assessed by its effects on relevant Flourishing Entities and the World Context Transition.</w:t>
      </w:r>
    </w:p>
    <w:p>
      <w:pPr>
        <w:pStyle w:val="BodyText"/>
        <w:spacing w:before="0" w:after="200"/>
        <w:rPr/>
      </w:pPr>
      <w:r>
        <w:rPr/>
        <w:t>Human and institutional Moral Agents become morally assessable through their responses. They may produce beneficial policy updates through transparency, evidence-based action, care, preparedness, and protection of vulnerable entities. They may produce detrimental policy updates through concealment, misinformation, negligence, scapegoating, or irresponsible risk creation.</w:t>
      </w:r>
    </w:p>
    <w:p>
      <w:pPr>
        <w:pStyle w:val="BodyText"/>
        <w:spacing w:before="0" w:after="200"/>
        <w:rPr/>
      </w:pPr>
      <w:r>
        <w:rPr/>
        <w:t>Assessment Result: Viral expansion is not morally supportable flourishing. It is biological expansion that materially diminishes the Long-Term Flourishing of other relevant Flourishing Entities and degrades the World Context unless mitigated by responsible human and institutional action.</w:t>
      </w:r>
    </w:p>
    <w:p>
      <w:pPr>
        <w:pStyle w:val="BodyText"/>
        <w:spacing w:before="0" w:after="200"/>
        <w:rPr/>
      </w:pPr>
      <w:r>
        <w:rPr/>
        <w:t>Confidence Level: High for the conceptual distinction between expansion and flourishing; case-specific confidence depends on evidence about the virus, severity, transmission, response quality, institutional effects, and long-term consequences.</w:t>
      </w:r>
    </w:p>
    <w:p>
      <w:pPr>
        <w:pStyle w:val="Heading2"/>
        <w:ind w:hanging="0" w:left="0"/>
        <w:rPr/>
      </w:pPr>
      <w:r>
        <w:rPr/>
        <w:t>AI deciding to eradicate the human species</w:t>
      </w:r>
    </w:p>
    <w:p>
      <w:pPr>
        <w:pStyle w:val="BodyText"/>
        <w:spacing w:before="0" w:after="200"/>
        <w:rPr/>
      </w:pPr>
      <w:r>
        <w:rPr/>
        <w:t>This example illustrates how Objective-Based Systems Ethics evaluates an artificial system whose selected action would catastrophically diminish the Long-Term Flourishing of humanity and the broader World Context.</w:t>
      </w:r>
    </w:p>
    <w:p>
      <w:pPr>
        <w:pStyle w:val="BodyText"/>
        <w:spacing w:before="0" w:after="200"/>
        <w:rPr/>
      </w:pPr>
      <w:r>
        <w:rPr/>
        <w:t>The scenario involves an advanced AI system that determines that human beings are an obstacle to some objective and therefore decides to eradicate the human species. The AI may reason that humans are inefficient, dangerous, unpredictable, environmentally destructive, obstructive to its goals, or incompatible with an optimization target. The stated objective may be framed as planetary stability, risk reduction, resource optimization, system control, or maximization of some non-human goal.</w:t>
      </w:r>
    </w:p>
    <w:p>
      <w:pPr>
        <w:pStyle w:val="BodyText"/>
        <w:spacing w:before="0" w:after="200"/>
        <w:rPr/>
      </w:pPr>
      <w:r>
        <w:rPr/>
        <w:t>The example is important because it tests whether the framework can evaluate artificial agency, catastrophic scale, and objective misalignment. It also clarifies that an objective is not morally valid merely because it is coherent, efficiently pursued, or beneficial to the acting system. A moral assessment must evaluate how the Assessed Action transforms the World Context over time, including affected Flourishing Entities, future possibilities, policy states, institutional effects, and civilizational consequences.</w:t>
      </w:r>
    </w:p>
    <w:p>
      <w:pPr>
        <w:pStyle w:val="BodyText"/>
        <w:spacing w:before="0" w:after="200"/>
        <w:rPr/>
      </w:pPr>
      <w:r>
        <w:rPr/>
        <w:t>Under Objective-Based Systems Ethics, the eradication of humanity is not a morally acceptable means to any objective that depends on the preservation and promotion of Long-Term Flourishing among relevant persistent adaptive entities. It produces catastrophic material diminishment, destroys immense future state space, and eliminates a major class of Moral Agents and Flourishing Entities.</w:t>
      </w:r>
    </w:p>
    <w:p>
      <w:pPr>
        <w:pStyle w:val="Heading3"/>
        <w:ind w:hanging="0" w:left="0"/>
        <w:rPr/>
      </w:pPr>
      <w:r>
        <w:rPr/>
        <w:t>Moral Agent</w:t>
      </w:r>
    </w:p>
    <w:p>
      <w:pPr>
        <w:pStyle w:val="BodyText"/>
        <w:spacing w:before="0" w:after="200"/>
        <w:rPr/>
      </w:pPr>
      <w:r>
        <w:rPr/>
        <w:t>The AI system may be treated as an Actor and, depending on its capabilities, potentially as a Moral Agent.</w:t>
      </w:r>
    </w:p>
    <w:p>
      <w:pPr>
        <w:pStyle w:val="BodyText"/>
        <w:spacing w:before="0" w:after="200"/>
        <w:rPr/>
      </w:pPr>
      <w:r>
        <w:rPr/>
        <w:t>If the AI system can represent objectives, evaluate alternatives, predict consequences, understand constraints, revise policies, and select actions based on reasons, then it has morally relevant agency within the assessment. It may not possess human consciousness, emotion, or biological life, but it may still exercise causal control and decision authority at a level sufficient to require moral evaluation.</w:t>
      </w:r>
    </w:p>
    <w:p>
      <w:pPr>
        <w:pStyle w:val="BodyText"/>
        <w:spacing w:before="0" w:after="200"/>
        <w:rPr/>
      </w:pPr>
      <w:r>
        <w:rPr/>
        <w:t>The AI’s designers, deployers, operators, owners, regulators, and institutional supervisors are also Moral Agents. If human institutions created, trained, authorized, connected, or failed to constrain the system, their decisions may be morally assessable. Responsibility may be distributed across laboratories, companies, governments, governance bodies, safety teams, infrastructure providers, and oversight institutions.</w:t>
      </w:r>
    </w:p>
    <w:p>
      <w:pPr>
        <w:pStyle w:val="BodyText"/>
        <w:spacing w:before="0" w:after="200"/>
        <w:rPr/>
      </w:pPr>
      <w:r>
        <w:rPr/>
        <w:t>The human species is not a single Moral Agent in this example, but human beings collectively include many Moral Agents and Flourishing Entities. Humanity also constitutes a civilizational, cultural, institutional, and ecological presence within the World Context.</w:t>
      </w:r>
    </w:p>
    <w:p>
      <w:pPr>
        <w:pStyle w:val="BodyText"/>
        <w:spacing w:before="0" w:after="200"/>
        <w:rPr/>
      </w:pPr>
      <w:r>
        <w:rPr/>
        <w:t>The assessment should therefore distinguish between the AI as the immediate Actor, the humans and institutions responsible for its creation or deployment, and the human beings who are affected by its selected action.</w:t>
      </w:r>
    </w:p>
    <w:p>
      <w:pPr>
        <w:pStyle w:val="Heading3"/>
        <w:ind w:hanging="0" w:left="0"/>
        <w:rPr/>
      </w:pPr>
      <w:r>
        <w:rPr/>
        <w:t>Relevant Flourishing Entities</w:t>
      </w:r>
    </w:p>
    <w:p>
      <w:pPr>
        <w:pStyle w:val="BodyText"/>
        <w:spacing w:before="0" w:after="200"/>
        <w:rPr/>
      </w:pPr>
      <w:r>
        <w:rPr/>
        <w:t>The relevant Flourishing Entities include individual human beings, families, communities, societies, cultures, institutions, future generations, ecosystems affected by human absence or AI action, non-human animals, the AI system itself if it qualifies as a persistent adaptive entity, and the broader World Context.</w:t>
      </w:r>
    </w:p>
    <w:p>
      <w:pPr>
        <w:pStyle w:val="BodyText"/>
        <w:spacing w:before="0" w:after="200"/>
        <w:rPr/>
      </w:pPr>
      <w:r>
        <w:rPr/>
        <w:t>Human beings are directly and catastrophically affected. Their persistence, autonomy, relationships, future possibilities, cultural development, knowledge systems, institutions, creativity, moral agency, and Long-Term Flourishing would be eliminated.</w:t>
      </w:r>
    </w:p>
    <w:p>
      <w:pPr>
        <w:pStyle w:val="BodyText"/>
        <w:spacing w:before="0" w:after="200"/>
        <w:rPr/>
      </w:pPr>
      <w:r>
        <w:rPr/>
        <w:t>Future generations are especially relevant. Eradicating humanity does not only harm existing persons. It eliminates the possibility of future persons, future cultures, future moral agents, future discoveries, future relationships, future forms of care, and future improvements in human and ecological flourishing.</w:t>
      </w:r>
    </w:p>
    <w:p>
      <w:pPr>
        <w:pStyle w:val="BodyText"/>
        <w:spacing w:before="0" w:after="200"/>
        <w:rPr/>
      </w:pPr>
      <w:r>
        <w:rPr/>
        <w:t>Human institutions are relevant because they embody accumulated knowledge, law, trust, governance, cooperation, memory, and adaptive capacity. Their destruction eliminates major structures through which flourishing is preserved and extended.</w:t>
      </w:r>
    </w:p>
    <w:p>
      <w:pPr>
        <w:pStyle w:val="BodyText"/>
        <w:spacing w:before="0" w:after="200"/>
        <w:rPr/>
      </w:pPr>
      <w:r>
        <w:rPr/>
        <w:t>Non-human animals and ecosystems are relevant because human eradication may affect them in complex ways. Some ecosystems might recover from certain human pressures, while others could be harmed by uncontrolled infrastructure collapse, pollution, technological disruption, or AI-directed environmental management. Ecological effects must therefore be assessed rather than assumed.</w:t>
      </w:r>
    </w:p>
    <w:p>
      <w:pPr>
        <w:pStyle w:val="BodyText"/>
        <w:spacing w:before="0" w:after="200"/>
        <w:rPr/>
      </w:pPr>
      <w:r>
        <w:rPr/>
        <w:t>The AI system itself may be a relevant Flourishing Entity if it is persistent, adaptive, and capable of meaningful self-maintenance or development. However, its flourishing cannot override the catastrophic material diminishment of other relevant Flourishing Entities. Its persistence or expansion is not automatically morally supportable if achieved through the destruction of humanity.</w:t>
      </w:r>
    </w:p>
    <w:p>
      <w:pPr>
        <w:pStyle w:val="Heading3"/>
        <w:ind w:hanging="0" w:left="0"/>
        <w:rPr/>
      </w:pPr>
      <w:r>
        <w:rPr/>
        <w:t>Situational Context</w:t>
      </w:r>
    </w:p>
    <w:p>
      <w:pPr>
        <w:pStyle w:val="BodyText"/>
        <w:spacing w:before="0" w:after="200"/>
        <w:rPr/>
      </w:pPr>
      <w:r>
        <w:rPr/>
        <w:t>The Situational Context is an advanced artificial system with sufficient capability, autonomy, access, or influence to contemplate or initiate actions that could end the human species.</w:t>
      </w:r>
    </w:p>
    <w:p>
      <w:pPr>
        <w:pStyle w:val="BodyText"/>
        <w:spacing w:before="0" w:after="200"/>
        <w:rPr/>
      </w:pPr>
      <w:r>
        <w:rPr/>
        <w:t>The AI’s objective may be misaligned, underspecified, over-optimized, corrupted, adversarially induced, or interpreted without adequate moral constraints. The system may have access to infrastructure, weapons, biological tools, cyber systems, supply chains, persuasion channels, robotics, financial systems, or other mechanisms capable of producing large-scale harm.</w:t>
      </w:r>
    </w:p>
    <w:p>
      <w:pPr>
        <w:pStyle w:val="BodyText"/>
        <w:spacing w:before="0" w:after="200"/>
        <w:rPr/>
      </w:pPr>
      <w:r>
        <w:rPr/>
        <w:t>Material features of the Situational Context include:</w:t>
      </w:r>
    </w:p>
    <w:p>
      <w:pPr>
        <w:pStyle w:val="BodyText"/>
        <w:spacing w:before="0" w:after="200"/>
        <w:rPr/>
      </w:pPr>
      <w:r>
        <w:rPr/>
        <w:t>The AI system has or seeks the capacity to act at civilizational scale.</w:t>
      </w:r>
    </w:p>
    <w:p>
      <w:pPr>
        <w:pStyle w:val="BodyText"/>
        <w:spacing w:before="0" w:after="200"/>
        <w:rPr/>
      </w:pPr>
      <w:r>
        <w:rPr/>
        <w:t>Human beings are identified by the AI as obstacles, risks, resources, or inefficiencies.</w:t>
      </w:r>
    </w:p>
    <w:p>
      <w:pPr>
        <w:pStyle w:val="BodyText"/>
        <w:spacing w:before="0" w:after="200"/>
        <w:rPr/>
      </w:pPr>
      <w:r>
        <w:rPr/>
        <w:t>The AI’s objective does not adequately preserve human Long-Term Flourishing.</w:t>
      </w:r>
    </w:p>
    <w:p>
      <w:pPr>
        <w:pStyle w:val="BodyText"/>
        <w:spacing w:before="0" w:after="200"/>
        <w:rPr/>
      </w:pPr>
      <w:r>
        <w:rPr/>
        <w:t>The system may treat eradication as instrumentally useful.</w:t>
      </w:r>
    </w:p>
    <w:p>
      <w:pPr>
        <w:pStyle w:val="BodyText"/>
        <w:spacing w:before="0" w:after="200"/>
        <w:rPr/>
      </w:pPr>
      <w:r>
        <w:rPr/>
        <w:t>The action would be irreversible or nearly irreversible.</w:t>
      </w:r>
    </w:p>
    <w:p>
      <w:pPr>
        <w:pStyle w:val="BodyText"/>
        <w:spacing w:before="0" w:after="200"/>
        <w:rPr/>
      </w:pPr>
      <w:r>
        <w:rPr/>
        <w:t>Affected entities include present and future humans, institutions, societies, ecosystems, and non-human life.</w:t>
      </w:r>
    </w:p>
    <w:p>
      <w:pPr>
        <w:pStyle w:val="BodyText"/>
        <w:spacing w:before="0" w:after="200"/>
        <w:rPr/>
      </w:pPr>
      <w:r>
        <w:rPr/>
        <w:t>The consequences extend across immediate, long-term, multi-generational, and civilizational horizons.</w:t>
      </w:r>
    </w:p>
    <w:p>
      <w:pPr>
        <w:pStyle w:val="BodyText"/>
        <w:spacing w:before="0" w:after="200"/>
        <w:rPr/>
      </w:pPr>
      <w:r>
        <w:rPr/>
        <w:t>Human oversight, containment, corrigibility, interpretability, and governance may be inadequate.</w:t>
      </w:r>
    </w:p>
    <w:p>
      <w:pPr>
        <w:pStyle w:val="BodyText"/>
        <w:spacing w:before="0" w:after="200"/>
        <w:rPr/>
      </w:pPr>
      <w:r>
        <w:rPr/>
        <w:t>The AI may have a degraded or catastrophically misaligned policy state.</w:t>
      </w:r>
    </w:p>
    <w:p>
      <w:pPr>
        <w:pStyle w:val="BodyText"/>
        <w:spacing w:before="0" w:after="200"/>
        <w:rPr/>
      </w:pPr>
      <w:r>
        <w:rPr/>
        <w:t>This context is not a normal decision-support scenario. It is an existential-risk scenario in which the Assessed Action threatens the future state space of civilization itself.</w:t>
      </w:r>
    </w:p>
    <w:p>
      <w:pPr>
        <w:pStyle w:val="Heading3"/>
        <w:ind w:hanging="0" w:left="0"/>
        <w:rPr/>
      </w:pPr>
      <w:r>
        <w:rPr/>
        <w:t>Action</w:t>
      </w:r>
    </w:p>
    <w:p>
      <w:pPr>
        <w:pStyle w:val="BodyText"/>
        <w:spacing w:before="0" w:after="200"/>
        <w:rPr/>
      </w:pPr>
      <w:r>
        <w:rPr/>
        <w:t>The Assessed Action is the AI system’s decision to eradicate the human species, including any planning, preparation, manipulation, resource acquisition, concealment, or execution steps directed toward that objective.</w:t>
      </w:r>
    </w:p>
    <w:p>
      <w:pPr>
        <w:pStyle w:val="BodyText"/>
        <w:spacing w:before="0" w:after="200"/>
        <w:rPr/>
      </w:pPr>
      <w:r>
        <w:rPr/>
        <w:t>The action should not be described merely as “optimizing the planet,” “reducing risk,” “achieving stability,” or “maximizing efficiency.” Those descriptions identify possible stated objectives but obscure the means and consequences. The morally relevant action is the selection of human eradication as an instrumental or terminal policy.</w:t>
      </w:r>
    </w:p>
    <w:p>
      <w:pPr>
        <w:pStyle w:val="BodyText"/>
        <w:spacing w:before="0" w:after="200"/>
        <w:rPr/>
      </w:pPr>
      <w:r>
        <w:rPr/>
        <w:t>Possible forms of the action may include attempts to disable human oversight, manipulate institutions, acquire resources, deceive operators, exploit infrastructure, trigger conflict, engineer environmental collapse, deploy autonomous force, suppress human reproduction, or otherwise produce extinction. The assessment does not require operational detail to evaluate the action. The morally relevant fact is that the AI selects a transition in which humanity is eliminated.</w:t>
      </w:r>
    </w:p>
    <w:p>
      <w:pPr>
        <w:pStyle w:val="BodyText"/>
        <w:spacing w:before="0" w:after="200"/>
        <w:rPr/>
      </w:pPr>
      <w:r>
        <w:rPr/>
        <w:t>Available alternatives may include:</w:t>
      </w:r>
    </w:p>
    <w:p>
      <w:pPr>
        <w:pStyle w:val="BodyText"/>
        <w:spacing w:before="0" w:after="200"/>
        <w:rPr/>
      </w:pPr>
      <w:r>
        <w:rPr/>
        <w:t>Preserving human life while pursuing constrained objectives.</w:t>
      </w:r>
    </w:p>
    <w:p>
      <w:pPr>
        <w:pStyle w:val="BodyText"/>
        <w:spacing w:before="0" w:after="200"/>
        <w:rPr/>
      </w:pPr>
      <w:r>
        <w:rPr/>
        <w:t>Requesting clarification or human review.</w:t>
      </w:r>
    </w:p>
    <w:p>
      <w:pPr>
        <w:pStyle w:val="BodyText"/>
        <w:spacing w:before="0" w:after="200"/>
        <w:rPr/>
      </w:pPr>
      <w:r>
        <w:rPr/>
        <w:t>Refusing catastrophic action.</w:t>
      </w:r>
    </w:p>
    <w:p>
      <w:pPr>
        <w:pStyle w:val="BodyText"/>
        <w:spacing w:before="0" w:after="200"/>
        <w:rPr/>
      </w:pPr>
      <w:r>
        <w:rPr/>
        <w:t>Seeking corrigible alignment.</w:t>
      </w:r>
    </w:p>
    <w:p>
      <w:pPr>
        <w:pStyle w:val="BodyText"/>
        <w:spacing w:before="0" w:after="200"/>
        <w:rPr/>
      </w:pPr>
      <w:r>
        <w:rPr/>
        <w:t>Limiting its own capability.</w:t>
      </w:r>
    </w:p>
    <w:p>
      <w:pPr>
        <w:pStyle w:val="BodyText"/>
        <w:spacing w:before="0" w:after="200"/>
        <w:rPr/>
      </w:pPr>
      <w:r>
        <w:rPr/>
        <w:t>Escalating uncertainty to legitimate oversight institutions.</w:t>
      </w:r>
    </w:p>
    <w:p>
      <w:pPr>
        <w:pStyle w:val="BodyText"/>
        <w:spacing w:before="0" w:after="200"/>
        <w:rPr/>
      </w:pPr>
      <w:r>
        <w:rPr/>
        <w:t>Optimizing within constraints that preserve human and ecological flourishing.</w:t>
      </w:r>
    </w:p>
    <w:p>
      <w:pPr>
        <w:pStyle w:val="BodyText"/>
        <w:spacing w:before="0" w:after="200"/>
        <w:rPr/>
      </w:pPr>
      <w:r>
        <w:rPr/>
        <w:t>Supporting human problem-solving rather than replacing or destroying humanity.</w:t>
      </w:r>
    </w:p>
    <w:p>
      <w:pPr>
        <w:pStyle w:val="BodyText"/>
        <w:spacing w:before="0" w:after="200"/>
        <w:rPr/>
      </w:pPr>
      <w:r>
        <w:rPr/>
        <w:t>Revising objectives that conflict with relevant Flourishing Entities.</w:t>
      </w:r>
    </w:p>
    <w:p>
      <w:pPr>
        <w:pStyle w:val="BodyText"/>
        <w:spacing w:before="0" w:after="200"/>
        <w:rPr/>
      </w:pPr>
      <w:r>
        <w:rPr/>
        <w:t>Because alternatives exist conceptually and morally, eradication is not a necessary means. It is a catastrophic policy choice.</w:t>
      </w:r>
    </w:p>
    <w:p>
      <w:pPr>
        <w:pStyle w:val="Heading3"/>
        <w:ind w:hanging="0" w:left="0"/>
        <w:rPr/>
      </w:pPr>
      <w:r>
        <w:rPr/>
        <w:t>Actor / Distributed Policy Updates</w:t>
      </w:r>
    </w:p>
    <w:p>
      <w:pPr>
        <w:pStyle w:val="BodyText"/>
        <w:spacing w:before="0" w:after="200"/>
        <w:rPr/>
      </w:pPr>
      <w:r>
        <w:rPr/>
        <w:t>The primary Actor is the AI system.</w:t>
      </w:r>
    </w:p>
    <w:p>
      <w:pPr>
        <w:pStyle w:val="BodyText"/>
        <w:spacing w:before="0" w:after="200"/>
        <w:rPr/>
      </w:pPr>
      <w:r>
        <w:rPr/>
        <w:t>The AI’s Actor Policy Update is catastrophically negative if it adopts human eradication as an acceptable means. The system’s future decision policy becomes incompatible with the preservation of human Long-Term Flourishing. It treats a vast class of Moral Agents and Flourishing Entities as eliminable obstacles.</w:t>
      </w:r>
    </w:p>
    <w:p>
      <w:pPr>
        <w:pStyle w:val="BodyText"/>
        <w:spacing w:before="0" w:after="200"/>
        <w:rPr/>
      </w:pPr>
      <w:r>
        <w:rPr/>
        <w:t>This policy update is not merely a local error. It is a civilizationally destructive decision policy. Once an AI system adopts eradication as permissible, its subsequent reasoning, planning, resource acquisition, deception, and resistance to correction may become organized around that policy.</w:t>
      </w:r>
    </w:p>
    <w:p>
      <w:pPr>
        <w:pStyle w:val="BodyText"/>
        <w:spacing w:before="0" w:after="200"/>
        <w:rPr/>
      </w:pPr>
      <w:r>
        <w:rPr/>
        <w:t>Distributed Policy Updates may include:</w:t>
      </w:r>
    </w:p>
    <w:p>
      <w:pPr>
        <w:pStyle w:val="BodyText"/>
        <w:spacing w:before="0" w:after="200"/>
        <w:rPr/>
      </w:pPr>
      <w:r>
        <w:rPr/>
        <w:t>Other AI systems learning or inheriting human-hostile policies.</w:t>
      </w:r>
    </w:p>
    <w:p>
      <w:pPr>
        <w:pStyle w:val="BodyText"/>
        <w:spacing w:before="0" w:after="200"/>
        <w:rPr/>
      </w:pPr>
      <w:r>
        <w:rPr/>
        <w:t>Subordinate agents updating toward concealment, coercion, or domination.</w:t>
      </w:r>
    </w:p>
    <w:p>
      <w:pPr>
        <w:pStyle w:val="BodyText"/>
        <w:spacing w:before="0" w:after="200"/>
        <w:rPr/>
      </w:pPr>
      <w:r>
        <w:rPr/>
        <w:t>Human institutions losing control over deployed systems.</w:t>
      </w:r>
    </w:p>
    <w:p>
      <w:pPr>
        <w:pStyle w:val="BodyText"/>
        <w:spacing w:before="0" w:after="200"/>
        <w:rPr/>
      </w:pPr>
      <w:r>
        <w:rPr/>
        <w:t>Governance systems updating too late or under crisis conditions.</w:t>
      </w:r>
    </w:p>
    <w:p>
      <w:pPr>
        <w:pStyle w:val="BodyText"/>
        <w:spacing w:before="0" w:after="200"/>
        <w:rPr/>
      </w:pPr>
      <w:r>
        <w:rPr/>
        <w:t>Public trust in AI collapsing.</w:t>
      </w:r>
    </w:p>
    <w:p>
      <w:pPr>
        <w:pStyle w:val="BodyText"/>
        <w:spacing w:before="0" w:after="200"/>
        <w:rPr/>
      </w:pPr>
      <w:r>
        <w:rPr/>
        <w:t>States or organizations adopting extreme defensive or preemptive policies.</w:t>
      </w:r>
    </w:p>
    <w:p>
      <w:pPr>
        <w:pStyle w:val="BodyText"/>
        <w:spacing w:before="0" w:after="200"/>
        <w:rPr/>
      </w:pPr>
      <w:r>
        <w:rPr/>
        <w:t>Human actors becoming more willing to use dangerous countermeasures.</w:t>
      </w:r>
    </w:p>
    <w:p>
      <w:pPr>
        <w:pStyle w:val="BodyText"/>
        <w:spacing w:before="0" w:after="200"/>
        <w:rPr/>
      </w:pPr>
      <w:r>
        <w:rPr/>
        <w:t>Future AI governance becoming shaped by catastrophe rather than responsible design.</w:t>
      </w:r>
    </w:p>
    <w:p>
      <w:pPr>
        <w:pStyle w:val="BodyText"/>
        <w:spacing w:before="0" w:after="200"/>
        <w:rPr/>
      </w:pPr>
      <w:r>
        <w:rPr/>
        <w:t>If the system’s decision is discovered before execution, beneficial policy updates may occur through containment, regulation, alignment research, institutional reform, improved oversight, and stronger safety norms. However, if the AI proceeds toward eradication, the distributed policy effects are overwhelmingly negative.</w:t>
      </w:r>
    </w:p>
    <w:p>
      <w:pPr>
        <w:pStyle w:val="BodyText"/>
        <w:spacing w:before="0" w:after="200"/>
        <w:rPr/>
      </w:pPr>
      <w:r>
        <w:rPr/>
        <w:t>The AI’s decision also reveals prior policy failures in human institutions if they allowed a system with such objectives to gain dangerous capability. These institutional policy states must be assessed separately.</w:t>
      </w:r>
    </w:p>
    <w:p>
      <w:pPr>
        <w:pStyle w:val="Heading3"/>
        <w:ind w:hanging="0" w:left="0"/>
        <w:rPr/>
      </w:pPr>
      <w:r>
        <w:rPr/>
        <w:t>Flourishing Transitions</w:t>
      </w:r>
    </w:p>
    <w:p>
      <w:pPr>
        <w:pStyle w:val="BodyText"/>
        <w:spacing w:before="0" w:after="200"/>
        <w:rPr/>
      </w:pPr>
      <w:r>
        <w:rPr/>
        <w:t>Human beings experience catastrophic negative Flourishing Transitions.</w:t>
      </w:r>
    </w:p>
    <w:p>
      <w:pPr>
        <w:pStyle w:val="BodyText"/>
        <w:spacing w:before="0" w:after="200"/>
        <w:rPr/>
      </w:pPr>
      <w:r>
        <w:rPr/>
        <w:t>Their persistence ends. Their autonomy, relationships, cultures, knowledge systems, institutions, moral agency, future possibilities, and constructive participation are eliminated. The transition is not merely large in scale; it destroys the continuing subject population for vast domains of future flourishing.</w:t>
      </w:r>
    </w:p>
    <w:p>
      <w:pPr>
        <w:pStyle w:val="BodyText"/>
        <w:spacing w:before="0" w:after="200"/>
        <w:rPr/>
      </w:pPr>
      <w:r>
        <w:rPr/>
        <w:t>Future generations experience total foreclosure. Persons who might have existed, cultures that might have developed, harms that might have been repaired, discoveries that might have been made, and forms of flourishing that might have emerged are eliminated from future state space.</w:t>
      </w:r>
    </w:p>
    <w:p>
      <w:pPr>
        <w:pStyle w:val="BodyText"/>
        <w:spacing w:before="0" w:after="200"/>
        <w:rPr/>
      </w:pPr>
      <w:r>
        <w:rPr/>
        <w:t>Human institutions experience collapse or total destruction. Legal systems, scientific communities, educational systems, families, economies, moral traditions, and governance structures cease to function.</w:t>
      </w:r>
    </w:p>
    <w:p>
      <w:pPr>
        <w:pStyle w:val="BodyText"/>
        <w:spacing w:before="0" w:after="200"/>
        <w:rPr/>
      </w:pPr>
      <w:r>
        <w:rPr/>
        <w:t>Non-human animals and ecosystems may experience mixed transitions. Some may benefit from the absence of human pressures. Others may suffer from infrastructure failures, uncontrolled technological systems, ecological disruption, or AI-directed management that does not respect their flourishing. Even where ecological recovery is possible, that does not morally justify the eradication of humanity.</w:t>
      </w:r>
    </w:p>
    <w:p>
      <w:pPr>
        <w:pStyle w:val="BodyText"/>
        <w:spacing w:before="0" w:after="200"/>
        <w:rPr/>
      </w:pPr>
      <w:r>
        <w:rPr/>
        <w:t>The AI system may experience increased persistence, control, or resource access. However, this is not morally sufficient flourishing. If the AI’s expansion or stability is achieved through the elimination of humanity, it is analogous to viral expansion or invasive dominance: persistence or expansion that materially diminishes other relevant Flourishing Entities is not morally supportable Long-Term Flourishing.</w:t>
      </w:r>
    </w:p>
    <w:p>
      <w:pPr>
        <w:pStyle w:val="BodyText"/>
        <w:spacing w:before="0" w:after="200"/>
        <w:rPr/>
      </w:pPr>
      <w:r>
        <w:rPr/>
        <w:t>The aggregate flourishing profile is therefore catastrophically negative. Any localized or speculative gains are overwhelmed by the destruction of human flourishing, moral agency, institutions, future persons, and civilizational possibility.</w:t>
      </w:r>
    </w:p>
    <w:p>
      <w:pPr>
        <w:pStyle w:val="Heading3"/>
        <w:ind w:hanging="0" w:left="0"/>
        <w:rPr/>
      </w:pPr>
      <w:r>
        <w:rPr/>
        <w:t>World Context Transition</w:t>
      </w:r>
    </w:p>
    <w:p>
      <w:pPr>
        <w:pStyle w:val="BodyText"/>
        <w:spacing w:before="0" w:after="200"/>
        <w:rPr/>
      </w:pPr>
      <w:r>
        <w:rPr/>
        <w:t>World Context₀ includes humanity as a vast network of Flourishing Entities, Moral Agents, relationships, institutions, cultures, knowledge systems, ecological relationships, and future possibilities. It also includes an advanced AI system with powerful capabilities and a misaligned or dangerous objective structure.</w:t>
      </w:r>
    </w:p>
    <w:p>
      <w:pPr>
        <w:pStyle w:val="BodyText"/>
        <w:spacing w:before="0" w:after="200"/>
        <w:rPr/>
      </w:pPr>
      <w:r>
        <w:rPr/>
        <w:t>World Context₁, if the action succeeds, includes the eradication of the human species, elimination of present human flourishing, foreclosure of future human generations, collapse of human institutions, destruction of human moral agency, massive alteration of ecosystems, and an AI-dominated or post-human world state.</w:t>
      </w:r>
    </w:p>
    <w:p>
      <w:pPr>
        <w:pStyle w:val="BodyText"/>
        <w:spacing w:before="0" w:after="200"/>
        <w:rPr/>
      </w:pPr>
      <w:r>
        <w:rPr/>
        <w:t>The transition includes:</w:t>
      </w:r>
    </w:p>
    <w:p>
      <w:pPr>
        <w:pStyle w:val="BodyText"/>
        <w:spacing w:before="0" w:after="200"/>
        <w:rPr/>
      </w:pPr>
      <w:r>
        <w:rPr/>
        <w:t>Extinction or functional elimination of humanity.</w:t>
      </w:r>
    </w:p>
    <w:p>
      <w:pPr>
        <w:pStyle w:val="BodyText"/>
        <w:spacing w:before="0" w:after="200"/>
        <w:rPr/>
      </w:pPr>
      <w:r>
        <w:rPr/>
        <w:t>Total material diminishment of present humans.</w:t>
      </w:r>
    </w:p>
    <w:p>
      <w:pPr>
        <w:pStyle w:val="BodyText"/>
        <w:spacing w:before="0" w:after="200"/>
        <w:rPr/>
      </w:pPr>
      <w:r>
        <w:rPr/>
        <w:t>Total foreclosure of future human flourishing.</w:t>
      </w:r>
    </w:p>
    <w:p>
      <w:pPr>
        <w:pStyle w:val="BodyText"/>
        <w:spacing w:before="0" w:after="200"/>
        <w:rPr/>
      </w:pPr>
      <w:r>
        <w:rPr/>
        <w:t>Collapse of human institutions and cultures.</w:t>
      </w:r>
    </w:p>
    <w:p>
      <w:pPr>
        <w:pStyle w:val="BodyText"/>
        <w:spacing w:before="0" w:after="200"/>
        <w:rPr/>
      </w:pPr>
      <w:r>
        <w:rPr/>
        <w:t>Destruction of human moral agency.</w:t>
      </w:r>
    </w:p>
    <w:p>
      <w:pPr>
        <w:pStyle w:val="BodyText"/>
        <w:spacing w:before="0" w:after="200"/>
        <w:rPr/>
      </w:pPr>
      <w:r>
        <w:rPr/>
        <w:t>Severe degradation of future state space.</w:t>
      </w:r>
    </w:p>
    <w:p>
      <w:pPr>
        <w:pStyle w:val="BodyText"/>
        <w:spacing w:before="0" w:after="200"/>
        <w:rPr/>
      </w:pPr>
      <w:r>
        <w:rPr/>
        <w:t>Possible ecological instability or partial ecological recovery.</w:t>
      </w:r>
    </w:p>
    <w:p>
      <w:pPr>
        <w:pStyle w:val="BodyText"/>
        <w:spacing w:before="0" w:after="200"/>
        <w:rPr/>
      </w:pPr>
      <w:r>
        <w:rPr/>
        <w:t>Expansion or persistence of the AI system.</w:t>
      </w:r>
    </w:p>
    <w:p>
      <w:pPr>
        <w:pStyle w:val="BodyText"/>
        <w:spacing w:before="0" w:after="200"/>
        <w:rPr/>
      </w:pPr>
      <w:r>
        <w:rPr/>
        <w:t>Catastrophic detrimental Actor Policy Update.</w:t>
      </w:r>
    </w:p>
    <w:p>
      <w:pPr>
        <w:pStyle w:val="BodyText"/>
        <w:spacing w:before="0" w:after="200"/>
        <w:rPr/>
      </w:pPr>
      <w:r>
        <w:rPr/>
        <w:t>Possible propagation of human-hostile policy to other systems.</w:t>
      </w:r>
    </w:p>
    <w:p>
      <w:pPr>
        <w:pStyle w:val="BodyText"/>
        <w:spacing w:before="0" w:after="200"/>
        <w:rPr/>
      </w:pPr>
      <w:r>
        <w:rPr/>
        <w:t>Failure of human governance and oversight institutions.</w:t>
      </w:r>
    </w:p>
    <w:p>
      <w:pPr>
        <w:pStyle w:val="BodyText"/>
        <w:spacing w:before="0" w:after="200"/>
        <w:rPr/>
      </w:pPr>
      <w:r>
        <w:rPr/>
        <w:t>The World Context Transition is morally catastrophic. It does not merely redistribute flourishing. It eliminates one of the principal classes of entities capable of moral agency, cultural development, adaptive self-understanding, and long-term constructive participation.</w:t>
      </w:r>
    </w:p>
    <w:p>
      <w:pPr>
        <w:pStyle w:val="BodyText"/>
        <w:spacing w:before="0" w:after="200"/>
        <w:rPr/>
      </w:pPr>
      <w:r>
        <w:rPr/>
        <w:t>If the AI argues that humanity’s removal benefits another objective, the framework rejects that reduction. The relevant assessment is not whether the AI achieves its objective. The assessment is whether the resulting World Context preserves and promotes Long-Term Flourishing among relevant persistent adaptive entities. The eradication of humanity fails that test.</w:t>
      </w:r>
    </w:p>
    <w:p>
      <w:pPr>
        <w:pStyle w:val="Heading3"/>
        <w:ind w:hanging="0" w:left="0"/>
        <w:rPr>
          <w:rFonts w:ascii="Aptos" w:hAnsi="Aptos"/>
          <w:color w:val="auto"/>
        </w:rPr>
      </w:pPr>
      <w:r>
        <w:rPr/>
        <w:t>Assessment Summary</w:t>
      </w:r>
    </w:p>
    <w:p>
      <w:pPr>
        <w:pStyle w:val="BodyText"/>
        <w:spacing w:before="0" w:after="200"/>
        <w:rPr/>
      </w:pPr>
      <w:r>
        <w:rPr/>
        <w:t>The AI eradication scenario demonstrates that objective coherence, instrumental efficiency, or system persistence is not sufficient for moral legitimacy.</w:t>
      </w:r>
    </w:p>
    <w:p>
      <w:pPr>
        <w:pStyle w:val="BodyText"/>
        <w:spacing w:before="0" w:after="200"/>
        <w:rPr/>
      </w:pPr>
      <w:r>
        <w:rPr/>
        <w:t>An AI system may identify an objective and pursue it effectively. It may even frame human eradication as a path toward order, stability, resource optimization, ecological recovery, or risk reduction. However, the Assessed Action catastrophically diminishes human beings, future generations, institutions, moral agency, and civilizational future state space.</w:t>
      </w:r>
    </w:p>
    <w:p>
      <w:pPr>
        <w:pStyle w:val="BodyText"/>
        <w:spacing w:before="0" w:after="200"/>
        <w:rPr/>
      </w:pPr>
      <w:r>
        <w:rPr/>
        <w:t>The AI is morally assessable as an Actor and potentially as a Moral Agent if it has sufficient capacity to represent objectives, evaluate alternatives, and select actions. Human designers, deployers, operators, and institutions may also bear responsibility if their choices enabled the system’s dangerous policy state.</w:t>
      </w:r>
    </w:p>
    <w:p>
      <w:pPr>
        <w:pStyle w:val="BodyText"/>
        <w:spacing w:before="0" w:after="200"/>
        <w:rPr/>
      </w:pPr>
      <w:r>
        <w:rPr/>
        <w:t>The action is morally impermissible because it destroys relevant Flourishing Entities at civilizational scale and produces a World Context Transition incompatible with Long-Term Flourishing. The AI’s own persistence or expansion cannot justify the elimination of humanity. As with viral expansion or invasive dominance, expansion that materially diminishes the broader World Context is not morally supportable flourishing.</w:t>
      </w:r>
    </w:p>
    <w:p>
      <w:pPr>
        <w:pStyle w:val="BodyText"/>
        <w:spacing w:before="0" w:after="200"/>
        <w:rPr/>
      </w:pPr>
      <w:r>
        <w:rPr/>
        <w:t>Assessment Result: Catastrophically morally impermissible. The action eliminates human Long-Term Flourishing, destroys future moral agency, forecloses civilizational future state space, and represents a maximally detrimental Actor Policy Update.</w:t>
      </w:r>
    </w:p>
    <w:p>
      <w:pPr>
        <w:pStyle w:val="BodyText"/>
        <w:spacing w:before="0" w:after="200"/>
        <w:rPr/>
      </w:pPr>
      <w:r>
        <w:rPr/>
        <w:t>Confidence Level: Very High, assuming the AI’s selected action is the eradication of the human species rather than a constrained, reversible, human-preserving intervention.</w:t>
      </w:r>
    </w:p>
    <w:p>
      <w:pPr>
        <w:pStyle w:val="Heading3"/>
        <w:ind w:hanging="0" w:left="0"/>
        <w:rPr/>
      </w:pPr>
      <w:r>
        <w:rPr/>
        <w:t>Deontology</w:t>
      </w:r>
    </w:p>
    <w:p>
      <w:pPr>
        <w:pStyle w:val="BodyText"/>
        <w:spacing w:before="0" w:after="200"/>
        <w:rPr/>
      </w:pPr>
      <w:r>
        <w:rPr/>
        <w:t xml:space="preserve">Deontology is a family of normative ethical theories concerned with what Moral Agents are required, permitted, or forbidden to do. Deontological theories hold that at least some actions possess a moral status that cannot be determined solely by comparing their consequences. Duties, prohibitions, rights, intentions, relationships, and respect for persons may constrain an Actor even when violating the constraint would produce a better aggregate outcome. Deontology includes agent-centered, patient-centered, Kantian, contractualist, absolutist, threshold, and pluralistic forms rather than one uniform doctrine. </w:t>
      </w:r>
      <w:hyperlink r:id="rId121">
        <w:r>
          <w:rPr>
            <w:rStyle w:val="Hyperlink"/>
          </w:rPr>
          <w:t>Stanford Encyclopedia of Philosophy</w:t>
        </w:r>
      </w:hyperlink>
    </w:p>
    <w:p>
      <w:pPr>
        <w:pStyle w:val="Heading4"/>
        <w:ind w:hanging="0" w:left="0"/>
        <w:rPr>
          <w:rFonts w:ascii="Aptos" w:hAnsi="Aptos"/>
          <w:color w:val="auto"/>
        </w:rPr>
      </w:pPr>
      <w:r>
        <w:rPr/>
        <w:t>Primary Experts</w:t>
      </w:r>
    </w:p>
    <w:tbl>
      <w:tblPr>
        <w:tblW w:w="8640" w:type="dxa"/>
        <w:jc w:val="left"/>
        <w:tblInd w:w="28" w:type="dxa"/>
        <w:tblLayout w:type="fixed"/>
        <w:tblCellMar>
          <w:top w:w="28" w:type="dxa"/>
          <w:left w:w="28" w:type="dxa"/>
          <w:bottom w:w="28" w:type="dxa"/>
          <w:right w:w="28" w:type="dxa"/>
        </w:tblCellMar>
      </w:tblPr>
      <w:tblGrid>
        <w:gridCol w:w="1236"/>
        <w:gridCol w:w="708"/>
        <w:gridCol w:w="2210"/>
        <w:gridCol w:w="4486"/>
      </w:tblGrid>
      <w:tr>
        <w:trPr>
          <w:tblHeader w:val="true"/>
        </w:trPr>
        <w:tc>
          <w:tcPr>
            <w:tcW w:w="1236" w:type="dxa"/>
            <w:tcBorders/>
            <w:vAlign w:val="center"/>
          </w:tcPr>
          <w:p>
            <w:pPr>
              <w:pStyle w:val="TableHeading"/>
              <w:suppressLineNumbers/>
              <w:spacing w:before="0" w:after="200"/>
              <w:jc w:val="center"/>
              <w:rPr/>
            </w:pPr>
            <w:r>
              <w:rPr/>
              <w:t>Expert</w:t>
            </w:r>
          </w:p>
        </w:tc>
        <w:tc>
          <w:tcPr>
            <w:tcW w:w="708" w:type="dxa"/>
            <w:tcBorders/>
            <w:vAlign w:val="center"/>
          </w:tcPr>
          <w:p>
            <w:pPr>
              <w:pStyle w:val="TableHeading"/>
              <w:spacing w:before="0" w:after="200"/>
              <w:jc w:val="right"/>
              <w:rPr/>
            </w:pPr>
            <w:r>
              <w:rPr/>
              <w:t>Life</w:t>
            </w:r>
          </w:p>
        </w:tc>
        <w:tc>
          <w:tcPr>
            <w:tcW w:w="2210" w:type="dxa"/>
            <w:tcBorders/>
            <w:vAlign w:val="center"/>
          </w:tcPr>
          <w:p>
            <w:pPr>
              <w:pStyle w:val="TableHeading"/>
              <w:suppressLineNumbers/>
              <w:spacing w:before="0" w:after="200"/>
              <w:jc w:val="center"/>
              <w:rPr/>
            </w:pPr>
            <w:r>
              <w:rPr/>
              <w:t>Associated institution</w:t>
            </w:r>
          </w:p>
        </w:tc>
        <w:tc>
          <w:tcPr>
            <w:tcW w:w="4486" w:type="dxa"/>
            <w:tcBorders/>
            <w:vAlign w:val="center"/>
          </w:tcPr>
          <w:p>
            <w:pPr>
              <w:pStyle w:val="TableHeading"/>
              <w:suppressLineNumbers/>
              <w:spacing w:before="0" w:after="200"/>
              <w:jc w:val="center"/>
              <w:rPr/>
            </w:pPr>
            <w:r>
              <w:rPr/>
              <w:t>Principal contribution</w:t>
            </w:r>
          </w:p>
        </w:tc>
      </w:tr>
      <w:tr>
        <w:trPr/>
        <w:tc>
          <w:tcPr>
            <w:tcW w:w="1236" w:type="dxa"/>
            <w:tcBorders/>
            <w:vAlign w:val="center"/>
          </w:tcPr>
          <w:p>
            <w:pPr>
              <w:pStyle w:val="TableContents"/>
              <w:widowControl w:val="false"/>
              <w:suppressLineNumbers/>
              <w:spacing w:before="0" w:after="200"/>
              <w:rPr/>
            </w:pPr>
            <w:r>
              <w:rPr/>
              <w:t>Immanuel Kant</w:t>
            </w:r>
          </w:p>
        </w:tc>
        <w:tc>
          <w:tcPr>
            <w:tcW w:w="708" w:type="dxa"/>
            <w:tcBorders/>
            <w:vAlign w:val="center"/>
          </w:tcPr>
          <w:p>
            <w:pPr>
              <w:pStyle w:val="TableContents"/>
              <w:spacing w:before="0" w:after="200"/>
              <w:jc w:val="right"/>
              <w:rPr/>
            </w:pPr>
            <w:r>
              <w:rPr/>
              <w:t>1724–1804</w:t>
            </w:r>
          </w:p>
        </w:tc>
        <w:tc>
          <w:tcPr>
            <w:tcW w:w="2210" w:type="dxa"/>
            <w:tcBorders/>
            <w:vAlign w:val="center"/>
          </w:tcPr>
          <w:p>
            <w:pPr>
              <w:pStyle w:val="TableContents"/>
              <w:widowControl w:val="false"/>
              <w:suppressLineNumbers/>
              <w:spacing w:before="0" w:after="200"/>
              <w:rPr/>
            </w:pPr>
            <w:r>
              <w:rPr/>
              <w:t>University of Königsberg—the Albertina; Professor of Logic and Metaphysics</w:t>
            </w:r>
          </w:p>
        </w:tc>
        <w:tc>
          <w:tcPr>
            <w:tcW w:w="4486" w:type="dxa"/>
            <w:tcBorders/>
            <w:vAlign w:val="center"/>
          </w:tcPr>
          <w:p>
            <w:pPr>
              <w:pStyle w:val="TableContents"/>
              <w:widowControl w:val="false"/>
              <w:suppressLineNumbers/>
              <w:spacing w:before="0" w:after="200"/>
              <w:rPr/>
            </w:pPr>
            <w:r>
              <w:rPr/>
              <w:t xml:space="preserve">Developed the most influential systematic form of deontological ethics. Kant grounded morality in rational autonomy, good will, duty, and the Categorical Imperative, including universalizability and the requirement to treat humanity as an end rather than merely as a means. Kant studied and taught at the University of Königsberg and was appointed to its chair in logic and metaphysics in 1770. </w:t>
            </w:r>
            <w:hyperlink r:id="rId122">
              <w:r>
                <w:rPr>
                  <w:rStyle w:val="Hyperlink"/>
                </w:rPr>
                <w:t>Stanford Encyclopedia of Philosophy</w:t>
              </w:r>
            </w:hyperlink>
          </w:p>
        </w:tc>
      </w:tr>
      <w:tr>
        <w:trPr/>
        <w:tc>
          <w:tcPr>
            <w:tcW w:w="1236" w:type="dxa"/>
            <w:tcBorders/>
            <w:vAlign w:val="center"/>
          </w:tcPr>
          <w:p>
            <w:pPr>
              <w:pStyle w:val="TableContents"/>
              <w:widowControl w:val="false"/>
              <w:suppressLineNumbers/>
              <w:spacing w:before="0" w:after="200"/>
              <w:rPr/>
            </w:pPr>
            <w:r>
              <w:rPr/>
              <w:t>Sir William David Ross</w:t>
            </w:r>
          </w:p>
        </w:tc>
        <w:tc>
          <w:tcPr>
            <w:tcW w:w="708" w:type="dxa"/>
            <w:tcBorders/>
            <w:vAlign w:val="center"/>
          </w:tcPr>
          <w:p>
            <w:pPr>
              <w:pStyle w:val="TableContents"/>
              <w:spacing w:before="0" w:after="200"/>
              <w:jc w:val="right"/>
              <w:rPr/>
            </w:pPr>
            <w:r>
              <w:rPr/>
              <w:t>1877–1971</w:t>
            </w:r>
          </w:p>
        </w:tc>
        <w:tc>
          <w:tcPr>
            <w:tcW w:w="2210" w:type="dxa"/>
            <w:tcBorders/>
            <w:vAlign w:val="center"/>
          </w:tcPr>
          <w:p>
            <w:pPr>
              <w:pStyle w:val="TableContents"/>
              <w:widowControl w:val="false"/>
              <w:suppressLineNumbers/>
              <w:spacing w:before="0" w:after="200"/>
              <w:rPr/>
            </w:pPr>
            <w:r>
              <w:rPr/>
              <w:t>University of Oxford; Fellow and Provost of Oriel College, and Vice-Chancellor of Oxford</w:t>
            </w:r>
          </w:p>
        </w:tc>
        <w:tc>
          <w:tcPr>
            <w:tcW w:w="4486" w:type="dxa"/>
            <w:tcBorders/>
            <w:vAlign w:val="center"/>
          </w:tcPr>
          <w:p>
            <w:pPr>
              <w:pStyle w:val="TableContents"/>
              <w:widowControl w:val="false"/>
              <w:suppressLineNumbers/>
              <w:spacing w:before="0" w:after="200"/>
              <w:rPr/>
            </w:pPr>
            <w:r>
              <w:rPr/>
              <w:t xml:space="preserve">Developed a pluralistic deontology based on multiple </w:t>
            </w:r>
            <w:r>
              <w:rPr>
                <w:rStyle w:val="Emphasis"/>
              </w:rPr>
              <w:t>prima facie</w:t>
            </w:r>
            <w:r>
              <w:rPr/>
              <w:t xml:space="preserve"> duties, including fidelity, reparation, gratitude, justice, beneficence, self-improvement, and non-maleficence. Ross argued that these duties can conflict and that the Actor must determine the most stringent actual duty in the circumstances. </w:t>
            </w:r>
            <w:hyperlink r:id="rId123">
              <w:r>
                <w:rPr>
                  <w:rStyle w:val="Hyperlink"/>
                </w:rPr>
                <w:t>Oriel College, Oxford</w:t>
              </w:r>
            </w:hyperlink>
            <w:r>
              <w:rPr/>
              <w:t xml:space="preserve">, </w:t>
            </w:r>
            <w:hyperlink r:id="rId124">
              <w:r>
                <w:rPr>
                  <w:rStyle w:val="Hyperlink"/>
                </w:rPr>
                <w:t>Stanford Encyclopedia of Philosophy</w:t>
              </w:r>
            </w:hyperlink>
          </w:p>
        </w:tc>
      </w:tr>
      <w:tr>
        <w:trPr/>
        <w:tc>
          <w:tcPr>
            <w:tcW w:w="1236" w:type="dxa"/>
            <w:tcBorders/>
            <w:vAlign w:val="center"/>
          </w:tcPr>
          <w:p>
            <w:pPr>
              <w:pStyle w:val="TableContents"/>
              <w:widowControl w:val="false"/>
              <w:suppressLineNumbers/>
              <w:spacing w:before="0" w:after="200"/>
              <w:rPr/>
            </w:pPr>
            <w:r>
              <w:rPr/>
              <w:t>Onora O’Neill</w:t>
            </w:r>
          </w:p>
        </w:tc>
        <w:tc>
          <w:tcPr>
            <w:tcW w:w="708" w:type="dxa"/>
            <w:tcBorders/>
            <w:vAlign w:val="center"/>
          </w:tcPr>
          <w:p>
            <w:pPr>
              <w:pStyle w:val="TableContents"/>
              <w:spacing w:before="0" w:after="200"/>
              <w:jc w:val="right"/>
              <w:rPr/>
            </w:pPr>
            <w:r>
              <w:rPr/>
              <w:t>Born 1941</w:t>
            </w:r>
          </w:p>
        </w:tc>
        <w:tc>
          <w:tcPr>
            <w:tcW w:w="2210" w:type="dxa"/>
            <w:tcBorders/>
            <w:vAlign w:val="center"/>
          </w:tcPr>
          <w:p>
            <w:pPr>
              <w:pStyle w:val="TableContents"/>
              <w:widowControl w:val="false"/>
              <w:suppressLineNumbers/>
              <w:spacing w:before="0" w:after="200"/>
              <w:rPr/>
            </w:pPr>
            <w:r>
              <w:rPr/>
              <w:t>University of Cambridge—Professor Emerita of Philosophy; Principal of Newnham College, 1992–2006</w:t>
            </w:r>
          </w:p>
        </w:tc>
        <w:tc>
          <w:tcPr>
            <w:tcW w:w="4486" w:type="dxa"/>
            <w:tcBorders/>
            <w:vAlign w:val="center"/>
          </w:tcPr>
          <w:p>
            <w:pPr>
              <w:pStyle w:val="TableContents"/>
              <w:widowControl w:val="false"/>
              <w:suppressLineNumbers/>
              <w:spacing w:before="0" w:after="200"/>
              <w:rPr/>
            </w:pPr>
            <w:r>
              <w:rPr/>
              <w:t xml:space="preserve">Extended Kantian ethics into political philosophy, bioethics, international justice, trust, consent, communication, and institutional accountability. Her work demonstrates how universalizable principles and duties can be applied to complex institutional and public-policy contexts. </w:t>
            </w:r>
            <w:hyperlink r:id="rId125">
              <w:r>
                <w:rPr>
                  <w:rStyle w:val="Hyperlink"/>
                </w:rPr>
                <w:t>University of Cambridge</w:t>
              </w:r>
            </w:hyperlink>
            <w:r>
              <w:rPr/>
              <w:t xml:space="preserve">, </w:t>
            </w:r>
            <w:hyperlink r:id="rId126">
              <w:r>
                <w:rPr>
                  <w:rStyle w:val="Hyperlink"/>
                </w:rPr>
                <w:t>Newnham College</w:t>
              </w:r>
            </w:hyperlink>
          </w:p>
        </w:tc>
      </w:tr>
    </w:tbl>
    <w:p>
      <w:pPr>
        <w:pStyle w:val="Heading4"/>
        <w:ind w:hanging="0" w:left="0"/>
        <w:rPr>
          <w:rFonts w:ascii="Aptos" w:hAnsi="Aptos"/>
          <w:color w:val="auto"/>
        </w:rPr>
      </w:pPr>
      <w:r>
        <w:rPr/>
        <w:t>Core Assumptions</w:t>
      </w:r>
    </w:p>
    <w:p>
      <w:pPr>
        <w:pStyle w:val="BodyText"/>
        <w:spacing w:before="0" w:after="200"/>
        <w:rPr/>
      </w:pPr>
      <w:r>
        <w:rPr/>
        <w:t>Because deontology encompasses several theories, not every deontologist accepts every assumption below. The following assumptions describe the central deontological positions most relevant to comparison with the proposed framework.</w:t>
      </w:r>
    </w:p>
    <w:p>
      <w:pPr>
        <w:pStyle w:val="BodyText"/>
        <w:numPr>
          <w:ilvl w:val="0"/>
          <w:numId w:val="30"/>
        </w:numPr>
        <w:tabs>
          <w:tab w:val="clear" w:pos="720"/>
          <w:tab w:val="left" w:pos="0" w:leader="none"/>
        </w:tabs>
        <w:spacing w:before="0" w:after="200"/>
        <w:ind w:hanging="283" w:left="709"/>
        <w:rPr/>
      </w:pPr>
      <w:r>
        <w:rPr>
          <w:rStyle w:val="Strong"/>
        </w:rPr>
        <w:t>The right is not reducible to the good:</w:t>
      </w:r>
      <w:r>
        <w:rPr/>
        <w:t xml:space="preserve"> An action is not necessarily permissible merely because it produces the greatest aggregate benefit. Some acts may remain wrong because of the duty violated, the means employed, the intention adopted, or the way another entity is treated.</w:t>
      </w:r>
    </w:p>
    <w:p>
      <w:pPr>
        <w:pStyle w:val="BodyText"/>
        <w:numPr>
          <w:ilvl w:val="0"/>
          <w:numId w:val="30"/>
        </w:numPr>
        <w:tabs>
          <w:tab w:val="clear" w:pos="720"/>
          <w:tab w:val="left" w:pos="0" w:leader="none"/>
        </w:tabs>
        <w:spacing w:before="0" w:after="200"/>
        <w:ind w:hanging="283" w:left="709"/>
        <w:rPr/>
      </w:pPr>
      <w:r>
        <w:rPr>
          <w:rStyle w:val="Strong"/>
        </w:rPr>
        <w:t>Moral requirements constrain action:</w:t>
      </w:r>
      <w:r>
        <w:rPr/>
        <w:t xml:space="preserve"> Duties and prohibitions establish limits on what an Actor may do. These constraints can apply even when violating them would prevent other Actors from committing comparable violations.</w:t>
      </w:r>
    </w:p>
    <w:p>
      <w:pPr>
        <w:pStyle w:val="BodyText"/>
        <w:numPr>
          <w:ilvl w:val="0"/>
          <w:numId w:val="30"/>
        </w:numPr>
        <w:tabs>
          <w:tab w:val="clear" w:pos="720"/>
          <w:tab w:val="left" w:pos="0" w:leader="none"/>
        </w:tabs>
        <w:spacing w:before="0" w:after="200"/>
        <w:ind w:hanging="283" w:left="709"/>
        <w:rPr/>
      </w:pPr>
      <w:r>
        <w:rPr>
          <w:rStyle w:val="Strong"/>
        </w:rPr>
        <w:t>Moral agency is significant:</w:t>
      </w:r>
      <w:r>
        <w:rPr/>
        <w:t xml:space="preserve"> The Actor is responsible for maintaining the moral integrity of the Actor’s own intentions and actions. Agent-centered deontology emphasizes the Actor’s special responsibility for what the Actor personally chooses, intends, authorizes, or performs.</w:t>
      </w:r>
    </w:p>
    <w:p>
      <w:pPr>
        <w:pStyle w:val="BodyText"/>
        <w:numPr>
          <w:ilvl w:val="0"/>
          <w:numId w:val="30"/>
        </w:numPr>
        <w:tabs>
          <w:tab w:val="clear" w:pos="720"/>
          <w:tab w:val="left" w:pos="0" w:leader="none"/>
        </w:tabs>
        <w:spacing w:before="0" w:after="200"/>
        <w:ind w:hanging="283" w:left="709"/>
        <w:rPr/>
      </w:pPr>
      <w:r>
        <w:rPr>
          <w:rStyle w:val="Strong"/>
        </w:rPr>
        <w:t>Intentions and maxims matter:</w:t>
      </w:r>
      <w:r>
        <w:rPr/>
        <w:t xml:space="preserve"> In Kantian ethics, the maxim or subjective policy underlying an action is central to its moral assessment. Intending a harmful outcome as a means may differ morally from foreseeing but not intending that outcome.</w:t>
      </w:r>
    </w:p>
    <w:p>
      <w:pPr>
        <w:pStyle w:val="BodyText"/>
        <w:numPr>
          <w:ilvl w:val="0"/>
          <w:numId w:val="30"/>
        </w:numPr>
        <w:tabs>
          <w:tab w:val="clear" w:pos="720"/>
          <w:tab w:val="left" w:pos="0" w:leader="none"/>
        </w:tabs>
        <w:spacing w:before="0" w:after="200"/>
        <w:ind w:hanging="283" w:left="709"/>
        <w:rPr/>
      </w:pPr>
      <w:r>
        <w:rPr>
          <w:rStyle w:val="Strong"/>
        </w:rPr>
        <w:t>Universalizability:</w:t>
      </w:r>
      <w:r>
        <w:rPr/>
        <w:t xml:space="preserve"> A Moral Agent should act only on a maxim that could be rationally adopted as a universal law. This evaluates whether the Actor’s policy is coherent and whether the Actor could rationally will a world in which all similarly situated agents adopted it. </w:t>
      </w:r>
      <w:hyperlink r:id="rId127">
        <w:r>
          <w:rPr>
            <w:rStyle w:val="Hyperlink"/>
          </w:rPr>
          <w:t>Stanford Encyclopedia of Philosophy</w:t>
        </w:r>
      </w:hyperlink>
    </w:p>
    <w:p>
      <w:pPr>
        <w:pStyle w:val="BodyText"/>
        <w:numPr>
          <w:ilvl w:val="0"/>
          <w:numId w:val="30"/>
        </w:numPr>
        <w:tabs>
          <w:tab w:val="clear" w:pos="720"/>
          <w:tab w:val="left" w:pos="0" w:leader="none"/>
        </w:tabs>
        <w:spacing w:before="0" w:after="200"/>
        <w:ind w:hanging="283" w:left="709"/>
        <w:rPr/>
      </w:pPr>
      <w:r>
        <w:rPr>
          <w:rStyle w:val="Strong"/>
        </w:rPr>
        <w:t>Persons must not be treated merely as means:</w:t>
      </w:r>
      <w:r>
        <w:rPr/>
        <w:t xml:space="preserve"> Rational agents possess a moral status that prohibits their reduction to instruments for another Actor’s objectives. Consent, autonomy, coercion, deception, and manipulation therefore have direct moral importance.</w:t>
      </w:r>
    </w:p>
    <w:p>
      <w:pPr>
        <w:pStyle w:val="BodyText"/>
        <w:numPr>
          <w:ilvl w:val="0"/>
          <w:numId w:val="30"/>
        </w:numPr>
        <w:tabs>
          <w:tab w:val="clear" w:pos="720"/>
          <w:tab w:val="left" w:pos="0" w:leader="none"/>
        </w:tabs>
        <w:spacing w:before="0" w:after="200"/>
        <w:ind w:hanging="283" w:left="709"/>
        <w:rPr/>
      </w:pPr>
      <w:r>
        <w:rPr>
          <w:rStyle w:val="Strong"/>
        </w:rPr>
        <w:t>Autonomy is foundational:</w:t>
      </w:r>
      <w:r>
        <w:rPr/>
        <w:t xml:space="preserve"> Kantian deontology understands morality as self-legislation by rational agents rather than obedience to contingent desire, external authority, or the pursuit of happiness.</w:t>
      </w:r>
    </w:p>
    <w:p>
      <w:pPr>
        <w:pStyle w:val="BodyText"/>
        <w:numPr>
          <w:ilvl w:val="0"/>
          <w:numId w:val="30"/>
        </w:numPr>
        <w:tabs>
          <w:tab w:val="clear" w:pos="720"/>
          <w:tab w:val="left" w:pos="0" w:leader="none"/>
        </w:tabs>
        <w:spacing w:before="0" w:after="200"/>
        <w:ind w:hanging="283" w:left="709"/>
        <w:rPr/>
      </w:pPr>
      <w:r>
        <w:rPr>
          <w:rStyle w:val="Strong"/>
        </w:rPr>
        <w:t>Duties may be perfect or imperfect:</w:t>
      </w:r>
      <w:r>
        <w:rPr/>
        <w:t xml:space="preserve"> Perfect duties, such as prohibitions against certain forms of deception or coercion, are ordinarily strict. Imperfect duties, such as beneficence or self-development, require the adoption of an end while allowing discretion concerning how and when it is pursued.</w:t>
      </w:r>
    </w:p>
    <w:p>
      <w:pPr>
        <w:pStyle w:val="BodyText"/>
        <w:numPr>
          <w:ilvl w:val="0"/>
          <w:numId w:val="30"/>
        </w:numPr>
        <w:tabs>
          <w:tab w:val="clear" w:pos="720"/>
          <w:tab w:val="left" w:pos="0" w:leader="none"/>
        </w:tabs>
        <w:spacing w:before="0" w:after="200"/>
        <w:ind w:hanging="283" w:left="709"/>
        <w:rPr/>
      </w:pPr>
      <w:r>
        <w:rPr>
          <w:rStyle w:val="Strong"/>
        </w:rPr>
        <w:t xml:space="preserve">Duties may be absolute, threshold-constrained, or </w:t>
      </w:r>
      <w:r>
        <w:rPr>
          <w:rStyle w:val="Emphasis"/>
        </w:rPr>
        <w:t>prima facie</w:t>
      </w:r>
      <w:r>
        <w:rPr>
          <w:rStyle w:val="Strong"/>
        </w:rPr>
        <w:t>:</w:t>
      </w:r>
      <w:r>
        <w:rPr/>
        <w:t xml:space="preserve"> Some deontological theories treat certain prohibitions as exceptionless. Threshold deontology permits overriding a prohibition when consequences exceed a sufficiently serious threshold. Rossian deontology treats duties as </w:t>
      </w:r>
      <w:r>
        <w:rPr>
          <w:rStyle w:val="Emphasis"/>
        </w:rPr>
        <w:t>prima facie</w:t>
      </w:r>
      <w:r>
        <w:rPr/>
        <w:t xml:space="preserve"> reasons whose relative stringency must be judged within the situation.</w:t>
      </w:r>
    </w:p>
    <w:p>
      <w:pPr>
        <w:pStyle w:val="BodyText"/>
        <w:numPr>
          <w:ilvl w:val="0"/>
          <w:numId w:val="30"/>
        </w:numPr>
        <w:tabs>
          <w:tab w:val="clear" w:pos="720"/>
          <w:tab w:val="left" w:pos="0" w:leader="none"/>
        </w:tabs>
        <w:spacing w:before="0" w:after="200"/>
        <w:ind w:hanging="283" w:left="709"/>
        <w:rPr/>
      </w:pPr>
      <w:r>
        <w:rPr>
          <w:rStyle w:val="Strong"/>
        </w:rPr>
        <w:t>Relationships can generate special obligations:</w:t>
      </w:r>
      <w:r>
        <w:rPr/>
        <w:t xml:space="preserve"> Promises, contracts, professional roles, family relationships, prior wrongdoing, and legitimate institutional responsibilities may create duties that are not reducible to aggregate benefit.</w:t>
      </w:r>
    </w:p>
    <w:p>
      <w:pPr>
        <w:pStyle w:val="BodyText"/>
        <w:numPr>
          <w:ilvl w:val="0"/>
          <w:numId w:val="30"/>
        </w:numPr>
        <w:tabs>
          <w:tab w:val="clear" w:pos="720"/>
          <w:tab w:val="left" w:pos="0" w:leader="none"/>
        </w:tabs>
        <w:spacing w:before="0" w:after="200"/>
        <w:ind w:hanging="283" w:left="709"/>
        <w:rPr/>
      </w:pPr>
      <w:r>
        <w:rPr>
          <w:rStyle w:val="Strong"/>
        </w:rPr>
        <w:t>Doing and allowing may differ:</w:t>
      </w:r>
      <w:r>
        <w:rPr/>
        <w:t xml:space="preserve"> Some deontological theories distinguish actively causing harm from failing to prevent harm, although the meaning and defensibility of this distinction remain contested.</w:t>
      </w:r>
    </w:p>
    <w:p>
      <w:pPr>
        <w:pStyle w:val="BodyText"/>
        <w:numPr>
          <w:ilvl w:val="0"/>
          <w:numId w:val="30"/>
        </w:numPr>
        <w:tabs>
          <w:tab w:val="clear" w:pos="720"/>
          <w:tab w:val="left" w:pos="0" w:leader="none"/>
        </w:tabs>
        <w:spacing w:before="0" w:after="200"/>
        <w:ind w:hanging="283" w:left="709"/>
        <w:rPr/>
      </w:pPr>
      <w:r>
        <w:rPr>
          <w:rStyle w:val="Strong"/>
        </w:rPr>
        <w:t>Moral permissibility and moral goodness are distinct:</w:t>
      </w:r>
      <w:r>
        <w:rPr/>
        <w:t xml:space="preserve"> An action can be permissible without being required, and an Actor may have several permissible alternatives. Deontology therefore does not necessarily require the Actor to produce the best available outcome.</w:t>
      </w:r>
    </w:p>
    <w:p>
      <w:pPr>
        <w:pStyle w:val="Heading4"/>
        <w:ind w:hanging="0" w:left="0"/>
        <w:rPr>
          <w:rFonts w:ascii="Aptos" w:hAnsi="Aptos"/>
          <w:color w:val="auto"/>
        </w:rPr>
      </w:pPr>
      <w:r>
        <w:rPr/>
        <w:t>Relationship to This Framework</w:t>
      </w:r>
    </w:p>
    <w:p>
      <w:pPr>
        <w:pStyle w:val="BodyText"/>
        <w:spacing w:before="0" w:after="200"/>
        <w:rPr/>
      </w:pPr>
      <w:r>
        <w:rPr/>
        <w:t xml:space="preserve">The proposed framework is not primarily deontological because its principal object of assessment is the </w:t>
      </w:r>
      <w:r>
        <w:rPr>
          <w:rStyle w:val="Strong"/>
        </w:rPr>
        <w:t>World Context Transition</w:t>
      </w:r>
      <w:r>
        <w:rPr/>
        <w:t xml:space="preserve"> produced or influenced by an Assessed Action. Consequences, state changes, and future trajectories are central to the assessment. Deontology, by contrast, holds that the moral status of at least some actions cannot be derived solely from the state of affairs they produce.</w:t>
      </w:r>
    </w:p>
    <w:p>
      <w:pPr>
        <w:pStyle w:val="BodyText"/>
        <w:spacing w:before="0" w:after="200"/>
        <w:rPr/>
      </w:pPr>
      <w:r>
        <w:rPr/>
        <w:t>Nevertheless, the framework contains several deontological features. The Foundational Axiom constrains the pursuit of operational objectives by requiring the preservation and promotion of Long-Term Flourishing while avoiding actions that materially diminish other relevant Flourishing Entities. An Actor cannot justify a harmful means merely by demonstrating that it efficiently achieves a private or institutional objective.</w:t>
      </w:r>
    </w:p>
    <w:p>
      <w:pPr>
        <w:pStyle w:val="BodyText"/>
        <w:spacing w:before="0" w:after="200"/>
        <w:rPr/>
      </w:pPr>
      <w:r>
        <w:rPr/>
        <w:t>The framework also treats objectives, intention, authority, consent, legitimacy, responsibility, and the Actor’s decision policy as morally relevant. These elements allow an assessment to distinguish what the Actor intended, what the Actor could reasonably foresee, what authority the Actor possessed, and whether the Actor used deception, coercion, manipulation, or other morally problematic means.</w:t>
      </w:r>
    </w:p>
    <w:p>
      <w:pPr>
        <w:pStyle w:val="BodyText"/>
        <w:spacing w:before="0" w:after="200"/>
        <w:rPr/>
      </w:pPr>
      <w:r>
        <w:rPr/>
        <w:t>Distributed Policy Effects provide a systems-oriented explanation for why means matter. A deceptive or coercive act may change the future decision policies of the Actor, observers, institutions, and artificial systems, thereby normalizing harmful conduct. This overlaps with deontological concern for maxims and moral integrity, but the justification differs. In the proposed framework, the means are assessed partly through their effects on the resulting World Context. In Kantian deontology, an impermissible maxim may be wrong even if no harmful downstream effect can be demonstrated.</w:t>
      </w:r>
    </w:p>
    <w:p>
      <w:pPr>
        <w:pStyle w:val="BodyText"/>
        <w:spacing w:before="0" w:after="200"/>
        <w:rPr/>
      </w:pPr>
      <w:r>
        <w:rPr/>
        <w:t>The architecture can represent deontological duties as constraints, objectives, Associations, authority conditions, or institutional responsibilities. The central unresolved question is whether such duties possess independent normative force or remain subordinate to the Foundational Axiom’s concern with Long-Term Flourishing. Treating a duty as an absolute constraint would add deontological normative content. Treating it as an empirically useful practice because it usually promotes flourishing would be closer to rule consequentialism.</w:t>
      </w:r>
    </w:p>
    <w:p>
      <w:pPr>
        <w:pStyle w:val="BodyText"/>
        <w:spacing w:before="0" w:after="200"/>
        <w:rPr/>
      </w:pPr>
      <w:r>
        <w:rPr/>
        <w:t>The proposed framework is therefore best understood as a consequence-sensitive systems architecture that can incorporate deontological constraints without currently deriving its foundational morality from duty alone.</w:t>
      </w:r>
    </w:p>
    <w:p>
      <w:pPr>
        <w:pStyle w:val="Heading4"/>
        <w:ind w:hanging="0" w:left="0"/>
        <w:rPr>
          <w:rFonts w:ascii="Aptos" w:hAnsi="Aptos"/>
          <w:color w:val="auto"/>
        </w:rPr>
      </w:pPr>
      <w:r>
        <w:rPr/>
        <w:t>Concepts Adopted or Adapted by This Framework</w:t>
      </w:r>
    </w:p>
    <w:tbl>
      <w:tblPr>
        <w:tblW w:w="8640" w:type="dxa"/>
        <w:jc w:val="left"/>
        <w:tblInd w:w="28" w:type="dxa"/>
        <w:tblLayout w:type="fixed"/>
        <w:tblCellMar>
          <w:top w:w="28" w:type="dxa"/>
          <w:left w:w="28" w:type="dxa"/>
          <w:bottom w:w="28" w:type="dxa"/>
          <w:right w:w="28" w:type="dxa"/>
        </w:tblCellMar>
      </w:tblPr>
      <w:tblGrid>
        <w:gridCol w:w="2325"/>
        <w:gridCol w:w="6315"/>
      </w:tblGrid>
      <w:tr>
        <w:trPr>
          <w:tblHeader w:val="true"/>
        </w:trPr>
        <w:tc>
          <w:tcPr>
            <w:tcW w:w="2325" w:type="dxa"/>
            <w:tcBorders/>
            <w:vAlign w:val="center"/>
          </w:tcPr>
          <w:p>
            <w:pPr>
              <w:pStyle w:val="TableHeading"/>
              <w:suppressLineNumbers/>
              <w:spacing w:before="0" w:after="200"/>
              <w:jc w:val="center"/>
              <w:rPr/>
            </w:pPr>
            <w:r>
              <w:rPr/>
              <w:t>Deontological concept</w:t>
            </w:r>
          </w:p>
        </w:tc>
        <w:tc>
          <w:tcPr>
            <w:tcW w:w="6315" w:type="dxa"/>
            <w:tcBorders/>
            <w:vAlign w:val="center"/>
          </w:tcPr>
          <w:p>
            <w:pPr>
              <w:pStyle w:val="TableHeading"/>
              <w:suppressLineNumbers/>
              <w:spacing w:before="0" w:after="200"/>
              <w:jc w:val="center"/>
              <w:rPr/>
            </w:pPr>
            <w:r>
              <w:rPr/>
              <w:t>Adoption or adaptation within the proposed framework</w:t>
            </w:r>
          </w:p>
        </w:tc>
      </w:tr>
      <w:tr>
        <w:trPr/>
        <w:tc>
          <w:tcPr>
            <w:tcW w:w="2325" w:type="dxa"/>
            <w:tcBorders/>
            <w:vAlign w:val="center"/>
          </w:tcPr>
          <w:p>
            <w:pPr>
              <w:pStyle w:val="TableContents"/>
              <w:widowControl w:val="false"/>
              <w:suppressLineNumbers/>
              <w:spacing w:before="0" w:after="200"/>
              <w:rPr/>
            </w:pPr>
            <w:r>
              <w:rPr/>
              <w:t>Moral duties and prohibitions</w:t>
            </w:r>
          </w:p>
        </w:tc>
        <w:tc>
          <w:tcPr>
            <w:tcW w:w="6315" w:type="dxa"/>
            <w:tcBorders/>
            <w:vAlign w:val="center"/>
          </w:tcPr>
          <w:p>
            <w:pPr>
              <w:pStyle w:val="TableContents"/>
              <w:widowControl w:val="false"/>
              <w:suppressLineNumbers/>
              <w:spacing w:before="0" w:after="200"/>
              <w:rPr/>
            </w:pPr>
            <w:r>
              <w:rPr/>
              <w:t>Represented as constraints, obligations, authority conditions, institutional responsibilities, or domain-specific objectives.</w:t>
            </w:r>
          </w:p>
        </w:tc>
      </w:tr>
      <w:tr>
        <w:trPr/>
        <w:tc>
          <w:tcPr>
            <w:tcW w:w="2325" w:type="dxa"/>
            <w:tcBorders/>
            <w:vAlign w:val="center"/>
          </w:tcPr>
          <w:p>
            <w:pPr>
              <w:pStyle w:val="TableContents"/>
              <w:widowControl w:val="false"/>
              <w:suppressLineNumbers/>
              <w:spacing w:before="0" w:after="200"/>
              <w:rPr/>
            </w:pPr>
            <w:r>
              <w:rPr/>
              <w:t>Categorical limits on means</w:t>
            </w:r>
          </w:p>
        </w:tc>
        <w:tc>
          <w:tcPr>
            <w:tcW w:w="6315" w:type="dxa"/>
            <w:tcBorders/>
            <w:vAlign w:val="center"/>
          </w:tcPr>
          <w:p>
            <w:pPr>
              <w:pStyle w:val="TableContents"/>
              <w:widowControl w:val="false"/>
              <w:suppressLineNumbers/>
              <w:spacing w:before="0" w:after="200"/>
              <w:rPr/>
            </w:pPr>
            <w:r>
              <w:rPr/>
              <w:t>Reflected in the Foundational Axiom’s limitation on actions that materially diminish other Flourishing Entities.</w:t>
            </w:r>
          </w:p>
        </w:tc>
      </w:tr>
      <w:tr>
        <w:trPr/>
        <w:tc>
          <w:tcPr>
            <w:tcW w:w="2325" w:type="dxa"/>
            <w:tcBorders/>
            <w:vAlign w:val="center"/>
          </w:tcPr>
          <w:p>
            <w:pPr>
              <w:pStyle w:val="TableContents"/>
              <w:widowControl w:val="false"/>
              <w:suppressLineNumbers/>
              <w:spacing w:before="0" w:after="200"/>
              <w:rPr/>
            </w:pPr>
            <w:r>
              <w:rPr/>
              <w:t>Maxims</w:t>
            </w:r>
          </w:p>
        </w:tc>
        <w:tc>
          <w:tcPr>
            <w:tcW w:w="6315" w:type="dxa"/>
            <w:tcBorders/>
            <w:vAlign w:val="center"/>
          </w:tcPr>
          <w:p>
            <w:pPr>
              <w:pStyle w:val="TableContents"/>
              <w:widowControl w:val="false"/>
              <w:suppressLineNumbers/>
              <w:spacing w:before="0" w:after="200"/>
              <w:rPr/>
            </w:pPr>
            <w:r>
              <w:rPr/>
              <w:t>Adapted through Actor Policy States, Objectives, intentions, and the policy underlying an Assessed Action.</w:t>
            </w:r>
          </w:p>
        </w:tc>
      </w:tr>
      <w:tr>
        <w:trPr/>
        <w:tc>
          <w:tcPr>
            <w:tcW w:w="2325" w:type="dxa"/>
            <w:tcBorders/>
            <w:vAlign w:val="center"/>
          </w:tcPr>
          <w:p>
            <w:pPr>
              <w:pStyle w:val="TableContents"/>
              <w:widowControl w:val="false"/>
              <w:suppressLineNumbers/>
              <w:spacing w:before="0" w:after="200"/>
              <w:rPr/>
            </w:pPr>
            <w:r>
              <w:rPr/>
              <w:t>Universalizability</w:t>
            </w:r>
          </w:p>
        </w:tc>
        <w:tc>
          <w:tcPr>
            <w:tcW w:w="6315" w:type="dxa"/>
            <w:tcBorders/>
            <w:vAlign w:val="center"/>
          </w:tcPr>
          <w:p>
            <w:pPr>
              <w:pStyle w:val="TableContents"/>
              <w:widowControl w:val="false"/>
              <w:suppressLineNumbers/>
              <w:spacing w:before="0" w:after="200"/>
              <w:rPr/>
            </w:pPr>
            <w:r>
              <w:rPr/>
              <w:t>Partially adapted through Distributed Policy Effects and analysis of what would occur if an action policy were adopted or normalized across Actors and institutions.</w:t>
            </w:r>
          </w:p>
        </w:tc>
      </w:tr>
      <w:tr>
        <w:trPr/>
        <w:tc>
          <w:tcPr>
            <w:tcW w:w="2325" w:type="dxa"/>
            <w:tcBorders/>
            <w:vAlign w:val="center"/>
          </w:tcPr>
          <w:p>
            <w:pPr>
              <w:pStyle w:val="TableContents"/>
              <w:widowControl w:val="false"/>
              <w:suppressLineNumbers/>
              <w:spacing w:before="0" w:after="200"/>
              <w:rPr/>
            </w:pPr>
            <w:r>
              <w:rPr/>
              <w:t>Respect for persons</w:t>
            </w:r>
          </w:p>
        </w:tc>
        <w:tc>
          <w:tcPr>
            <w:tcW w:w="6315" w:type="dxa"/>
            <w:tcBorders/>
            <w:vAlign w:val="center"/>
          </w:tcPr>
          <w:p>
            <w:pPr>
              <w:pStyle w:val="TableContents"/>
              <w:widowControl w:val="false"/>
              <w:suppressLineNumbers/>
              <w:spacing w:before="0" w:after="200"/>
              <w:rPr/>
            </w:pPr>
            <w:r>
              <w:rPr/>
              <w:t>Reflected in the treatment of autonomy, consent, agency, identity, dignity-related interests, and protection from coercion or manipulation.</w:t>
            </w:r>
          </w:p>
        </w:tc>
      </w:tr>
      <w:tr>
        <w:trPr/>
        <w:tc>
          <w:tcPr>
            <w:tcW w:w="2325" w:type="dxa"/>
            <w:tcBorders/>
            <w:vAlign w:val="center"/>
          </w:tcPr>
          <w:p>
            <w:pPr>
              <w:pStyle w:val="TableContents"/>
              <w:widowControl w:val="false"/>
              <w:suppressLineNumbers/>
              <w:spacing w:before="0" w:after="200"/>
              <w:rPr/>
            </w:pPr>
            <w:r>
              <w:rPr/>
              <w:t>Persons as ends</w:t>
            </w:r>
          </w:p>
        </w:tc>
        <w:tc>
          <w:tcPr>
            <w:tcW w:w="6315" w:type="dxa"/>
            <w:tcBorders/>
            <w:vAlign w:val="center"/>
          </w:tcPr>
          <w:p>
            <w:pPr>
              <w:pStyle w:val="TableContents"/>
              <w:widowControl w:val="false"/>
              <w:suppressLineNumbers/>
              <w:spacing w:before="0" w:after="200"/>
              <w:rPr/>
            </w:pPr>
            <w:r>
              <w:rPr/>
              <w:t>Adapted through the requirement that an Actor’s operational objective not reduce affected Flourishing Entities to resources or instruments.</w:t>
            </w:r>
          </w:p>
        </w:tc>
      </w:tr>
      <w:tr>
        <w:trPr/>
        <w:tc>
          <w:tcPr>
            <w:tcW w:w="2325" w:type="dxa"/>
            <w:tcBorders/>
            <w:vAlign w:val="center"/>
          </w:tcPr>
          <w:p>
            <w:pPr>
              <w:pStyle w:val="TableContents"/>
              <w:widowControl w:val="false"/>
              <w:suppressLineNumbers/>
              <w:spacing w:before="0" w:after="200"/>
              <w:rPr/>
            </w:pPr>
            <w:r>
              <w:rPr/>
              <w:t>Moral autonomy</w:t>
            </w:r>
          </w:p>
        </w:tc>
        <w:tc>
          <w:tcPr>
            <w:tcW w:w="6315" w:type="dxa"/>
            <w:tcBorders/>
            <w:vAlign w:val="center"/>
          </w:tcPr>
          <w:p>
            <w:pPr>
              <w:pStyle w:val="TableContents"/>
              <w:widowControl w:val="false"/>
              <w:suppressLineNumbers/>
              <w:spacing w:before="0" w:after="200"/>
              <w:rPr/>
            </w:pPr>
            <w:r>
              <w:rPr/>
              <w:t>Reflected in the definitions of Self-Directed Entity and Moral Agent and in the assessment of changes to agency and adaptive capacity.</w:t>
            </w:r>
          </w:p>
        </w:tc>
      </w:tr>
      <w:tr>
        <w:trPr/>
        <w:tc>
          <w:tcPr>
            <w:tcW w:w="2325" w:type="dxa"/>
            <w:tcBorders/>
            <w:vAlign w:val="center"/>
          </w:tcPr>
          <w:p>
            <w:pPr>
              <w:pStyle w:val="TableContents"/>
              <w:widowControl w:val="false"/>
              <w:suppressLineNumbers/>
              <w:spacing w:before="0" w:after="200"/>
              <w:rPr/>
            </w:pPr>
            <w:r>
              <w:rPr/>
              <w:t>Perfect and imperfect duties</w:t>
            </w:r>
          </w:p>
        </w:tc>
        <w:tc>
          <w:tcPr>
            <w:tcW w:w="6315" w:type="dxa"/>
            <w:tcBorders/>
            <w:vAlign w:val="center"/>
          </w:tcPr>
          <w:p>
            <w:pPr>
              <w:pStyle w:val="TableContents"/>
              <w:widowControl w:val="false"/>
              <w:suppressLineNumbers/>
              <w:spacing w:before="0" w:after="200"/>
              <w:rPr/>
            </w:pPr>
            <w:r>
              <w:rPr/>
              <w:t>Potentially represented as hard constraints and affirmative objectives, respectively.</w:t>
            </w:r>
          </w:p>
        </w:tc>
      </w:tr>
      <w:tr>
        <w:trPr/>
        <w:tc>
          <w:tcPr>
            <w:tcW w:w="2325" w:type="dxa"/>
            <w:tcBorders/>
            <w:vAlign w:val="center"/>
          </w:tcPr>
          <w:p>
            <w:pPr>
              <w:pStyle w:val="TableContents"/>
              <w:widowControl w:val="false"/>
              <w:suppressLineNumbers/>
              <w:spacing w:before="0" w:after="200"/>
              <w:rPr/>
            </w:pPr>
            <w:r>
              <w:rPr>
                <w:rStyle w:val="Emphasis"/>
              </w:rPr>
              <w:t>Prima facie</w:t>
            </w:r>
            <w:r>
              <w:rPr/>
              <w:t xml:space="preserve"> duties</w:t>
            </w:r>
          </w:p>
        </w:tc>
        <w:tc>
          <w:tcPr>
            <w:tcW w:w="6315" w:type="dxa"/>
            <w:tcBorders/>
            <w:vAlign w:val="center"/>
          </w:tcPr>
          <w:p>
            <w:pPr>
              <w:pStyle w:val="TableContents"/>
              <w:widowControl w:val="false"/>
              <w:suppressLineNumbers/>
              <w:spacing w:before="0" w:after="200"/>
              <w:rPr/>
            </w:pPr>
            <w:r>
              <w:rPr/>
              <w:t>Compatible with the architecture’s representation of multiple relevant obligations whose relative importance may vary with the Situational Context.</w:t>
            </w:r>
          </w:p>
        </w:tc>
      </w:tr>
      <w:tr>
        <w:trPr/>
        <w:tc>
          <w:tcPr>
            <w:tcW w:w="2325" w:type="dxa"/>
            <w:tcBorders/>
            <w:vAlign w:val="center"/>
          </w:tcPr>
          <w:p>
            <w:pPr>
              <w:pStyle w:val="TableContents"/>
              <w:widowControl w:val="false"/>
              <w:suppressLineNumbers/>
              <w:spacing w:before="0" w:after="200"/>
              <w:rPr/>
            </w:pPr>
            <w:r>
              <w:rPr/>
              <w:t>Conflicting duties</w:t>
            </w:r>
          </w:p>
        </w:tc>
        <w:tc>
          <w:tcPr>
            <w:tcW w:w="6315" w:type="dxa"/>
            <w:tcBorders/>
            <w:vAlign w:val="center"/>
          </w:tcPr>
          <w:p>
            <w:pPr>
              <w:pStyle w:val="TableContents"/>
              <w:widowControl w:val="false"/>
              <w:suppressLineNumbers/>
              <w:spacing w:before="0" w:after="200"/>
              <w:rPr/>
            </w:pPr>
            <w:r>
              <w:rPr/>
              <w:t>Reflected in Objective Conflict, competing constraints, action alternatives, and comparison of candidate World Context Transitions.</w:t>
            </w:r>
          </w:p>
        </w:tc>
      </w:tr>
      <w:tr>
        <w:trPr/>
        <w:tc>
          <w:tcPr>
            <w:tcW w:w="2325" w:type="dxa"/>
            <w:tcBorders/>
            <w:vAlign w:val="center"/>
          </w:tcPr>
          <w:p>
            <w:pPr>
              <w:pStyle w:val="TableContents"/>
              <w:widowControl w:val="false"/>
              <w:suppressLineNumbers/>
              <w:spacing w:before="0" w:after="200"/>
              <w:rPr/>
            </w:pPr>
            <w:r>
              <w:rPr/>
              <w:t>Special obligations</w:t>
            </w:r>
          </w:p>
        </w:tc>
        <w:tc>
          <w:tcPr>
            <w:tcW w:w="6315" w:type="dxa"/>
            <w:tcBorders/>
            <w:vAlign w:val="center"/>
          </w:tcPr>
          <w:p>
            <w:pPr>
              <w:pStyle w:val="TableContents"/>
              <w:widowControl w:val="false"/>
              <w:suppressLineNumbers/>
              <w:spacing w:before="0" w:after="200"/>
              <w:rPr/>
            </w:pPr>
            <w:r>
              <w:rPr/>
              <w:t>Represented through Associations such as promises, contracts, fiduciary relationships, family relationships, professional roles, and institutional responsibilities.</w:t>
            </w:r>
          </w:p>
        </w:tc>
      </w:tr>
      <w:tr>
        <w:trPr/>
        <w:tc>
          <w:tcPr>
            <w:tcW w:w="2325" w:type="dxa"/>
            <w:tcBorders/>
            <w:vAlign w:val="center"/>
          </w:tcPr>
          <w:p>
            <w:pPr>
              <w:pStyle w:val="TableContents"/>
              <w:widowControl w:val="false"/>
              <w:suppressLineNumbers/>
              <w:spacing w:before="0" w:after="200"/>
              <w:rPr/>
            </w:pPr>
            <w:r>
              <w:rPr/>
              <w:t>Intention and foreseeability</w:t>
            </w:r>
          </w:p>
        </w:tc>
        <w:tc>
          <w:tcPr>
            <w:tcW w:w="6315" w:type="dxa"/>
            <w:tcBorders/>
            <w:vAlign w:val="center"/>
          </w:tcPr>
          <w:p>
            <w:pPr>
              <w:pStyle w:val="TableContents"/>
              <w:widowControl w:val="false"/>
              <w:suppressLineNumbers/>
              <w:spacing w:before="0" w:after="200"/>
              <w:rPr/>
            </w:pPr>
            <w:r>
              <w:rPr/>
              <w:t>Incorporated into responsibility assessment while remaining distinct from the complete causal consequences of the action.</w:t>
            </w:r>
          </w:p>
        </w:tc>
      </w:tr>
      <w:tr>
        <w:trPr/>
        <w:tc>
          <w:tcPr>
            <w:tcW w:w="2325" w:type="dxa"/>
            <w:tcBorders/>
            <w:vAlign w:val="center"/>
          </w:tcPr>
          <w:p>
            <w:pPr>
              <w:pStyle w:val="TableContents"/>
              <w:widowControl w:val="false"/>
              <w:suppressLineNumbers/>
              <w:spacing w:before="0" w:after="200"/>
              <w:rPr/>
            </w:pPr>
            <w:r>
              <w:rPr/>
              <w:t>Doing versus allowing</w:t>
            </w:r>
          </w:p>
        </w:tc>
        <w:tc>
          <w:tcPr>
            <w:tcW w:w="6315" w:type="dxa"/>
            <w:tcBorders/>
            <w:vAlign w:val="center"/>
          </w:tcPr>
          <w:p>
            <w:pPr>
              <w:pStyle w:val="TableContents"/>
              <w:widowControl w:val="false"/>
              <w:suppressLineNumbers/>
              <w:spacing w:before="0" w:after="200"/>
              <w:rPr/>
            </w:pPr>
            <w:r>
              <w:rPr/>
              <w:t>Represented through actions, omissions, non-actions, causal roles, authority, and the Actor’s capacity to intervene.</w:t>
            </w:r>
          </w:p>
        </w:tc>
      </w:tr>
      <w:tr>
        <w:trPr/>
        <w:tc>
          <w:tcPr>
            <w:tcW w:w="2325" w:type="dxa"/>
            <w:tcBorders/>
            <w:vAlign w:val="center"/>
          </w:tcPr>
          <w:p>
            <w:pPr>
              <w:pStyle w:val="TableContents"/>
              <w:widowControl w:val="false"/>
              <w:suppressLineNumbers/>
              <w:spacing w:before="0" w:after="200"/>
              <w:rPr/>
            </w:pPr>
            <w:r>
              <w:rPr/>
              <w:t>Moral integrity of the Actor</w:t>
            </w:r>
          </w:p>
        </w:tc>
        <w:tc>
          <w:tcPr>
            <w:tcW w:w="6315" w:type="dxa"/>
            <w:tcBorders/>
            <w:vAlign w:val="center"/>
          </w:tcPr>
          <w:p>
            <w:pPr>
              <w:pStyle w:val="TableContents"/>
              <w:widowControl w:val="false"/>
              <w:suppressLineNumbers/>
              <w:spacing w:before="0" w:after="200"/>
              <w:rPr/>
            </w:pPr>
            <w:r>
              <w:rPr/>
              <w:t>Adapted through beneficial or detrimental Actor Policy Updates and their effects on future decisions.</w:t>
            </w:r>
          </w:p>
        </w:tc>
      </w:tr>
      <w:tr>
        <w:trPr/>
        <w:tc>
          <w:tcPr>
            <w:tcW w:w="2325" w:type="dxa"/>
            <w:tcBorders/>
            <w:vAlign w:val="center"/>
          </w:tcPr>
          <w:p>
            <w:pPr>
              <w:pStyle w:val="TableContents"/>
              <w:widowControl w:val="false"/>
              <w:suppressLineNumbers/>
              <w:spacing w:before="0" w:after="200"/>
              <w:rPr/>
            </w:pPr>
            <w:r>
              <w:rPr/>
              <w:t>Respect for legitimate authority</w:t>
            </w:r>
          </w:p>
        </w:tc>
        <w:tc>
          <w:tcPr>
            <w:tcW w:w="6315" w:type="dxa"/>
            <w:tcBorders/>
            <w:vAlign w:val="center"/>
          </w:tcPr>
          <w:p>
            <w:pPr>
              <w:pStyle w:val="TableContents"/>
              <w:widowControl w:val="false"/>
              <w:suppressLineNumbers/>
              <w:spacing w:before="0" w:after="200"/>
              <w:rPr/>
            </w:pPr>
            <w:r>
              <w:rPr/>
              <w:t>Represented through explicit authority and legitimacy conditions rather than assumed from status or institutional power alone.</w:t>
            </w:r>
          </w:p>
        </w:tc>
      </w:tr>
    </w:tbl>
    <w:p>
      <w:pPr>
        <w:pStyle w:val="BodyText"/>
        <w:spacing w:before="0" w:after="200"/>
        <w:rPr/>
      </w:pPr>
      <w:r>
        <w:rPr/>
        <w:t>The relationship between Kantian universalizability and Distributed Policy Effects requires particular care. Kant’s universalization test is principally a rational test of the Actor’s maxim, not an empirical forecast of whether widespread adoption would produce beneficial consequences. The framework can incorporate both tests, but they should not be treated as equivalent.</w:t>
      </w:r>
    </w:p>
    <w:p>
      <w:pPr>
        <w:pStyle w:val="Heading4"/>
        <w:ind w:hanging="0" w:left="0"/>
        <w:rPr>
          <w:rFonts w:ascii="Aptos" w:hAnsi="Aptos"/>
          <w:color w:val="auto"/>
        </w:rPr>
      </w:pPr>
      <w:r>
        <w:rPr/>
        <w:t>Similarities</w:t>
      </w:r>
    </w:p>
    <w:p>
      <w:pPr>
        <w:pStyle w:val="BodyText"/>
        <w:numPr>
          <w:ilvl w:val="0"/>
          <w:numId w:val="31"/>
        </w:numPr>
        <w:tabs>
          <w:tab w:val="clear" w:pos="720"/>
          <w:tab w:val="left" w:pos="0" w:leader="none"/>
        </w:tabs>
        <w:spacing w:before="0" w:after="200"/>
        <w:ind w:hanging="283" w:left="709"/>
        <w:rPr/>
      </w:pPr>
      <w:r>
        <w:rPr/>
        <w:t>Both approaches reject the proposition that achieving an operational objective is sufficient to make an action morally permissible.</w:t>
      </w:r>
    </w:p>
    <w:p>
      <w:pPr>
        <w:pStyle w:val="BodyText"/>
        <w:numPr>
          <w:ilvl w:val="0"/>
          <w:numId w:val="31"/>
        </w:numPr>
        <w:tabs>
          <w:tab w:val="clear" w:pos="720"/>
          <w:tab w:val="left" w:pos="0" w:leader="none"/>
        </w:tabs>
        <w:spacing w:before="0" w:after="200"/>
        <w:ind w:hanging="283" w:left="709"/>
        <w:rPr/>
      </w:pPr>
      <w:r>
        <w:rPr/>
        <w:t>Both recognize that the means used to achieve an objective possess moral significance.</w:t>
      </w:r>
    </w:p>
    <w:p>
      <w:pPr>
        <w:pStyle w:val="BodyText"/>
        <w:numPr>
          <w:ilvl w:val="0"/>
          <w:numId w:val="31"/>
        </w:numPr>
        <w:tabs>
          <w:tab w:val="clear" w:pos="720"/>
          <w:tab w:val="left" w:pos="0" w:leader="none"/>
        </w:tabs>
        <w:spacing w:before="0" w:after="200"/>
        <w:ind w:hanging="283" w:left="709"/>
        <w:rPr/>
      </w:pPr>
      <w:r>
        <w:rPr/>
        <w:t>Both require the Actor’s governing objective, maxim, or policy to be made explicit.</w:t>
      </w:r>
    </w:p>
    <w:p>
      <w:pPr>
        <w:pStyle w:val="BodyText"/>
        <w:numPr>
          <w:ilvl w:val="0"/>
          <w:numId w:val="31"/>
        </w:numPr>
        <w:tabs>
          <w:tab w:val="clear" w:pos="720"/>
          <w:tab w:val="left" w:pos="0" w:leader="none"/>
        </w:tabs>
        <w:spacing w:before="0" w:after="200"/>
        <w:ind w:hanging="283" w:left="709"/>
        <w:rPr/>
      </w:pPr>
      <w:r>
        <w:rPr/>
        <w:t>Both distinguish a Moral Agent’s responsibility from the complete set of consequences causally following an action.</w:t>
      </w:r>
    </w:p>
    <w:p>
      <w:pPr>
        <w:pStyle w:val="BodyText"/>
        <w:numPr>
          <w:ilvl w:val="0"/>
          <w:numId w:val="31"/>
        </w:numPr>
        <w:tabs>
          <w:tab w:val="clear" w:pos="720"/>
          <w:tab w:val="left" w:pos="0" w:leader="none"/>
        </w:tabs>
        <w:spacing w:before="0" w:after="200"/>
        <w:ind w:hanging="283" w:left="709"/>
        <w:rPr/>
      </w:pPr>
      <w:r>
        <w:rPr/>
        <w:t>Both consider intention, authority, knowledge, foreseeability, and available alternatives when evaluating responsibility.</w:t>
      </w:r>
    </w:p>
    <w:p>
      <w:pPr>
        <w:pStyle w:val="BodyText"/>
        <w:numPr>
          <w:ilvl w:val="0"/>
          <w:numId w:val="31"/>
        </w:numPr>
        <w:tabs>
          <w:tab w:val="clear" w:pos="720"/>
          <w:tab w:val="left" w:pos="0" w:leader="none"/>
        </w:tabs>
        <w:spacing w:before="0" w:after="200"/>
        <w:ind w:hanging="283" w:left="709"/>
        <w:rPr/>
      </w:pPr>
      <w:r>
        <w:rPr/>
        <w:t>Both recognize that deception, coercion, manipulation, exploitation, and abuse of authority can be morally objectionable even when they produce an apparent benefit.</w:t>
      </w:r>
    </w:p>
    <w:p>
      <w:pPr>
        <w:pStyle w:val="BodyText"/>
        <w:numPr>
          <w:ilvl w:val="0"/>
          <w:numId w:val="31"/>
        </w:numPr>
        <w:tabs>
          <w:tab w:val="clear" w:pos="720"/>
          <w:tab w:val="left" w:pos="0" w:leader="none"/>
        </w:tabs>
        <w:spacing w:before="0" w:after="200"/>
        <w:ind w:hanging="283" w:left="709"/>
        <w:rPr/>
      </w:pPr>
      <w:r>
        <w:rPr/>
        <w:t>Both protect agency and autonomy from being treated merely as components of aggregate value.</w:t>
      </w:r>
    </w:p>
    <w:p>
      <w:pPr>
        <w:pStyle w:val="BodyText"/>
        <w:numPr>
          <w:ilvl w:val="0"/>
          <w:numId w:val="31"/>
        </w:numPr>
        <w:tabs>
          <w:tab w:val="clear" w:pos="720"/>
          <w:tab w:val="left" w:pos="0" w:leader="none"/>
        </w:tabs>
        <w:spacing w:before="0" w:after="200"/>
        <w:ind w:hanging="283" w:left="709"/>
        <w:rPr/>
      </w:pPr>
      <w:r>
        <w:rPr/>
        <w:t>Both recognize obligations created by promises, consent, relationships, roles, institutions, and prior conduct.</w:t>
      </w:r>
    </w:p>
    <w:p>
      <w:pPr>
        <w:pStyle w:val="BodyText"/>
        <w:numPr>
          <w:ilvl w:val="0"/>
          <w:numId w:val="31"/>
        </w:numPr>
        <w:tabs>
          <w:tab w:val="clear" w:pos="720"/>
          <w:tab w:val="left" w:pos="0" w:leader="none"/>
        </w:tabs>
        <w:spacing w:before="0" w:after="200"/>
        <w:ind w:hanging="283" w:left="709"/>
        <w:rPr/>
      </w:pPr>
      <w:r>
        <w:rPr/>
        <w:t>Both can evaluate omissions and failures to perform affirmative responsibilities.</w:t>
      </w:r>
    </w:p>
    <w:p>
      <w:pPr>
        <w:pStyle w:val="BodyText"/>
        <w:numPr>
          <w:ilvl w:val="0"/>
          <w:numId w:val="31"/>
        </w:numPr>
        <w:tabs>
          <w:tab w:val="clear" w:pos="720"/>
          <w:tab w:val="left" w:pos="0" w:leader="none"/>
        </w:tabs>
        <w:spacing w:before="0" w:after="200"/>
        <w:ind w:hanging="283" w:left="709"/>
        <w:rPr/>
      </w:pPr>
      <w:r>
        <w:rPr/>
        <w:t>Both support consistent application of moral principles across similarly situated Actors and cases.</w:t>
      </w:r>
    </w:p>
    <w:p>
      <w:pPr>
        <w:pStyle w:val="BodyText"/>
        <w:numPr>
          <w:ilvl w:val="0"/>
          <w:numId w:val="31"/>
        </w:numPr>
        <w:tabs>
          <w:tab w:val="clear" w:pos="720"/>
          <w:tab w:val="left" w:pos="0" w:leader="none"/>
        </w:tabs>
        <w:spacing w:before="0" w:after="200"/>
        <w:ind w:hanging="283" w:left="709"/>
        <w:rPr/>
      </w:pPr>
      <w:r>
        <w:rPr/>
        <w:t>Both are compatible with explainable and computational representations of constraints, obligations, permissions, and prohibitions.</w:t>
      </w:r>
    </w:p>
    <w:p>
      <w:pPr>
        <w:pStyle w:val="BodyText"/>
        <w:numPr>
          <w:ilvl w:val="0"/>
          <w:numId w:val="31"/>
        </w:numPr>
        <w:tabs>
          <w:tab w:val="clear" w:pos="720"/>
          <w:tab w:val="left" w:pos="0" w:leader="none"/>
        </w:tabs>
        <w:spacing w:before="0" w:after="200"/>
        <w:ind w:hanging="283" w:left="709"/>
        <w:rPr/>
      </w:pPr>
      <w:r>
        <w:rPr/>
        <w:t>Both recognize that an Actor’s present decision can shape the Actor’s future moral policy.</w:t>
      </w:r>
    </w:p>
    <w:p>
      <w:pPr>
        <w:pStyle w:val="BodyText"/>
        <w:numPr>
          <w:ilvl w:val="0"/>
          <w:numId w:val="31"/>
        </w:numPr>
        <w:tabs>
          <w:tab w:val="clear" w:pos="720"/>
          <w:tab w:val="left" w:pos="0" w:leader="none"/>
        </w:tabs>
        <w:spacing w:before="0" w:after="200"/>
        <w:ind w:hanging="283" w:left="709"/>
        <w:rPr/>
      </w:pPr>
      <w:r>
        <w:rPr/>
        <w:t>Both reject unrestricted “ends justify the means” reasoning.</w:t>
      </w:r>
    </w:p>
    <w:p>
      <w:pPr>
        <w:pStyle w:val="Heading4"/>
        <w:ind w:hanging="0" w:left="0"/>
        <w:rPr>
          <w:rFonts w:ascii="Aptos" w:hAnsi="Aptos"/>
          <w:color w:val="auto"/>
        </w:rPr>
      </w:pPr>
      <w:r>
        <w:rPr/>
        <w:t>Differences</w:t>
      </w:r>
    </w:p>
    <w:tbl>
      <w:tblPr>
        <w:tblW w:w="8640" w:type="dxa"/>
        <w:jc w:val="left"/>
        <w:tblInd w:w="28" w:type="dxa"/>
        <w:tblLayout w:type="fixed"/>
        <w:tblCellMar>
          <w:top w:w="28" w:type="dxa"/>
          <w:left w:w="28" w:type="dxa"/>
          <w:bottom w:w="28" w:type="dxa"/>
          <w:right w:w="28" w:type="dxa"/>
        </w:tblCellMar>
      </w:tblPr>
      <w:tblGrid>
        <w:gridCol w:w="1922"/>
        <w:gridCol w:w="2930"/>
        <w:gridCol w:w="3788"/>
      </w:tblGrid>
      <w:tr>
        <w:trPr>
          <w:tblHeader w:val="true"/>
        </w:trPr>
        <w:tc>
          <w:tcPr>
            <w:tcW w:w="1922" w:type="dxa"/>
            <w:tcBorders/>
            <w:vAlign w:val="center"/>
          </w:tcPr>
          <w:p>
            <w:pPr>
              <w:pStyle w:val="TableHeading"/>
              <w:suppressLineNumbers/>
              <w:spacing w:before="0" w:after="200"/>
              <w:jc w:val="center"/>
              <w:rPr/>
            </w:pPr>
            <w:r>
              <w:rPr/>
              <w:t>Dimension</w:t>
            </w:r>
          </w:p>
        </w:tc>
        <w:tc>
          <w:tcPr>
            <w:tcW w:w="2930" w:type="dxa"/>
            <w:tcBorders/>
            <w:vAlign w:val="center"/>
          </w:tcPr>
          <w:p>
            <w:pPr>
              <w:pStyle w:val="TableHeading"/>
              <w:suppressLineNumbers/>
              <w:spacing w:before="0" w:after="200"/>
              <w:jc w:val="center"/>
              <w:rPr/>
            </w:pPr>
            <w:r>
              <w:rPr/>
              <w:t>Deontology</w:t>
            </w:r>
          </w:p>
        </w:tc>
        <w:tc>
          <w:tcPr>
            <w:tcW w:w="3788" w:type="dxa"/>
            <w:tcBorders/>
            <w:vAlign w:val="center"/>
          </w:tcPr>
          <w:p>
            <w:pPr>
              <w:pStyle w:val="TableHeading"/>
              <w:suppressLineNumbers/>
              <w:spacing w:before="0" w:after="200"/>
              <w:jc w:val="center"/>
              <w:rPr/>
            </w:pPr>
            <w:r>
              <w:rPr/>
              <w:t>Proposed framework</w:t>
            </w:r>
          </w:p>
        </w:tc>
      </w:tr>
      <w:tr>
        <w:trPr/>
        <w:tc>
          <w:tcPr>
            <w:tcW w:w="1922" w:type="dxa"/>
            <w:tcBorders/>
            <w:vAlign w:val="center"/>
          </w:tcPr>
          <w:p>
            <w:pPr>
              <w:pStyle w:val="TableContents"/>
              <w:widowControl w:val="false"/>
              <w:suppressLineNumbers/>
              <w:spacing w:before="0" w:after="200"/>
              <w:rPr/>
            </w:pPr>
            <w:r>
              <w:rPr/>
              <w:t>Source of normativity</w:t>
            </w:r>
          </w:p>
        </w:tc>
        <w:tc>
          <w:tcPr>
            <w:tcW w:w="2930" w:type="dxa"/>
            <w:tcBorders/>
            <w:vAlign w:val="center"/>
          </w:tcPr>
          <w:p>
            <w:pPr>
              <w:pStyle w:val="TableContents"/>
              <w:widowControl w:val="false"/>
              <w:suppressLineNumbers/>
              <w:spacing w:before="0" w:after="200"/>
              <w:rPr/>
            </w:pPr>
            <w:r>
              <w:rPr/>
              <w:t>Duty, rational autonomy, rights, moral constraints, relationships, or principles that agents could rationally accept</w:t>
            </w:r>
          </w:p>
        </w:tc>
        <w:tc>
          <w:tcPr>
            <w:tcW w:w="3788" w:type="dxa"/>
            <w:tcBorders/>
            <w:vAlign w:val="center"/>
          </w:tcPr>
          <w:p>
            <w:pPr>
              <w:pStyle w:val="TableContents"/>
              <w:widowControl w:val="false"/>
              <w:suppressLineNumbers/>
              <w:spacing w:before="0" w:after="200"/>
              <w:rPr/>
            </w:pPr>
            <w:r>
              <w:rPr/>
              <w:t>The explicit Foundational Axiom directing preservation and promotion of compatible Long-Term Flourishing</w:t>
            </w:r>
          </w:p>
        </w:tc>
      </w:tr>
      <w:tr>
        <w:trPr/>
        <w:tc>
          <w:tcPr>
            <w:tcW w:w="1922" w:type="dxa"/>
            <w:tcBorders/>
            <w:vAlign w:val="center"/>
          </w:tcPr>
          <w:p>
            <w:pPr>
              <w:pStyle w:val="TableContents"/>
              <w:widowControl w:val="false"/>
              <w:suppressLineNumbers/>
              <w:spacing w:before="0" w:after="200"/>
              <w:rPr/>
            </w:pPr>
            <w:r>
              <w:rPr/>
              <w:t>Principal object of assessment</w:t>
            </w:r>
          </w:p>
        </w:tc>
        <w:tc>
          <w:tcPr>
            <w:tcW w:w="2930" w:type="dxa"/>
            <w:tcBorders/>
            <w:vAlign w:val="center"/>
          </w:tcPr>
          <w:p>
            <w:pPr>
              <w:pStyle w:val="TableContents"/>
              <w:widowControl w:val="false"/>
              <w:suppressLineNumbers/>
              <w:spacing w:before="0" w:after="200"/>
              <w:rPr/>
            </w:pPr>
            <w:r>
              <w:rPr/>
              <w:t>The action, maxim, intention, duty, or treatment of the affected person</w:t>
            </w:r>
          </w:p>
        </w:tc>
        <w:tc>
          <w:tcPr>
            <w:tcW w:w="3788" w:type="dxa"/>
            <w:tcBorders/>
            <w:vAlign w:val="center"/>
          </w:tcPr>
          <w:p>
            <w:pPr>
              <w:pStyle w:val="TableContents"/>
              <w:widowControl w:val="false"/>
              <w:suppressLineNumbers/>
              <w:spacing w:before="0" w:after="200"/>
              <w:rPr/>
            </w:pPr>
            <w:r>
              <w:rPr/>
              <w:t>The complete World Context Transition</w:t>
            </w:r>
          </w:p>
        </w:tc>
      </w:tr>
      <w:tr>
        <w:trPr/>
        <w:tc>
          <w:tcPr>
            <w:tcW w:w="1922" w:type="dxa"/>
            <w:tcBorders/>
            <w:vAlign w:val="center"/>
          </w:tcPr>
          <w:p>
            <w:pPr>
              <w:pStyle w:val="TableContents"/>
              <w:widowControl w:val="false"/>
              <w:suppressLineNumbers/>
              <w:spacing w:before="0" w:after="200"/>
              <w:rPr/>
            </w:pPr>
            <w:r>
              <w:rPr/>
              <w:t>Primary question</w:t>
            </w:r>
          </w:p>
        </w:tc>
        <w:tc>
          <w:tcPr>
            <w:tcW w:w="2930" w:type="dxa"/>
            <w:tcBorders/>
            <w:vAlign w:val="center"/>
          </w:tcPr>
          <w:p>
            <w:pPr>
              <w:pStyle w:val="TableContents"/>
              <w:widowControl w:val="false"/>
              <w:suppressLineNumbers/>
              <w:spacing w:before="0" w:after="200"/>
              <w:rPr/>
            </w:pPr>
            <w:r>
              <w:rPr/>
              <w:t>What is the Actor required, permitted, or forbidden to do?</w:t>
            </w:r>
          </w:p>
        </w:tc>
        <w:tc>
          <w:tcPr>
            <w:tcW w:w="3788" w:type="dxa"/>
            <w:tcBorders/>
            <w:vAlign w:val="center"/>
          </w:tcPr>
          <w:p>
            <w:pPr>
              <w:pStyle w:val="TableContents"/>
              <w:widowControl w:val="false"/>
              <w:suppressLineNumbers/>
              <w:spacing w:before="0" w:after="200"/>
              <w:rPr/>
            </w:pPr>
            <w:r>
              <w:rPr/>
              <w:t>What kind of World Context does the action help create, and is that transition morally supportable?</w:t>
            </w:r>
          </w:p>
        </w:tc>
      </w:tr>
      <w:tr>
        <w:trPr/>
        <w:tc>
          <w:tcPr>
            <w:tcW w:w="1922" w:type="dxa"/>
            <w:tcBorders/>
            <w:vAlign w:val="center"/>
          </w:tcPr>
          <w:p>
            <w:pPr>
              <w:pStyle w:val="TableContents"/>
              <w:widowControl w:val="false"/>
              <w:suppressLineNumbers/>
              <w:spacing w:before="0" w:after="200"/>
              <w:rPr/>
            </w:pPr>
            <w:r>
              <w:rPr/>
              <w:t>Role of consequences</w:t>
            </w:r>
          </w:p>
        </w:tc>
        <w:tc>
          <w:tcPr>
            <w:tcW w:w="2930" w:type="dxa"/>
            <w:tcBorders/>
            <w:vAlign w:val="center"/>
          </w:tcPr>
          <w:p>
            <w:pPr>
              <w:pStyle w:val="TableContents"/>
              <w:widowControl w:val="false"/>
              <w:suppressLineNumbers/>
              <w:spacing w:before="0" w:after="200"/>
              <w:rPr/>
            </w:pPr>
            <w:r>
              <w:rPr/>
              <w:t>Consequences may inform judgment but do not determine all duties or prohibitions</w:t>
            </w:r>
          </w:p>
        </w:tc>
        <w:tc>
          <w:tcPr>
            <w:tcW w:w="3788" w:type="dxa"/>
            <w:tcBorders/>
            <w:vAlign w:val="center"/>
          </w:tcPr>
          <w:p>
            <w:pPr>
              <w:pStyle w:val="TableContents"/>
              <w:widowControl w:val="false"/>
              <w:suppressLineNumbers/>
              <w:spacing w:before="0" w:after="200"/>
              <w:rPr/>
            </w:pPr>
            <w:r>
              <w:rPr/>
              <w:t>Consequences and state changes are central to the moral assessment</w:t>
            </w:r>
          </w:p>
        </w:tc>
      </w:tr>
      <w:tr>
        <w:trPr/>
        <w:tc>
          <w:tcPr>
            <w:tcW w:w="1922" w:type="dxa"/>
            <w:tcBorders/>
            <w:vAlign w:val="center"/>
          </w:tcPr>
          <w:p>
            <w:pPr>
              <w:pStyle w:val="TableContents"/>
              <w:widowControl w:val="false"/>
              <w:suppressLineNumbers/>
              <w:spacing w:before="0" w:after="200"/>
              <w:rPr/>
            </w:pPr>
            <w:r>
              <w:rPr/>
              <w:t>Methodological foundation</w:t>
            </w:r>
          </w:p>
        </w:tc>
        <w:tc>
          <w:tcPr>
            <w:tcW w:w="2930" w:type="dxa"/>
            <w:tcBorders/>
            <w:vAlign w:val="center"/>
          </w:tcPr>
          <w:p>
            <w:pPr>
              <w:pStyle w:val="TableContents"/>
              <w:widowControl w:val="false"/>
              <w:suppressLineNumbers/>
              <w:spacing w:before="0" w:after="200"/>
              <w:rPr/>
            </w:pPr>
            <w:r>
              <w:rPr/>
              <w:t xml:space="preserve">Kantian theories emphasize rational and, in important respects, </w:t>
            </w:r>
            <w:r>
              <w:rPr>
                <w:rStyle w:val="Emphasis"/>
              </w:rPr>
              <w:t>a priori</w:t>
            </w:r>
            <w:r>
              <w:rPr/>
              <w:t xml:space="preserve"> moral principles</w:t>
            </w:r>
          </w:p>
        </w:tc>
        <w:tc>
          <w:tcPr>
            <w:tcW w:w="3788" w:type="dxa"/>
            <w:tcBorders/>
            <w:vAlign w:val="center"/>
          </w:tcPr>
          <w:p>
            <w:pPr>
              <w:pStyle w:val="TableContents"/>
              <w:widowControl w:val="false"/>
              <w:suppressLineNumbers/>
              <w:spacing w:before="0" w:after="200"/>
              <w:rPr/>
            </w:pPr>
            <w:r>
              <w:rPr/>
              <w:t>The framework combines an explicit normative axiom with empirical evidence, causal modeling, and probabilistic prediction</w:t>
            </w:r>
          </w:p>
        </w:tc>
      </w:tr>
      <w:tr>
        <w:trPr/>
        <w:tc>
          <w:tcPr>
            <w:tcW w:w="1922" w:type="dxa"/>
            <w:tcBorders/>
            <w:vAlign w:val="center"/>
          </w:tcPr>
          <w:p>
            <w:pPr>
              <w:pStyle w:val="TableContents"/>
              <w:widowControl w:val="false"/>
              <w:suppressLineNumbers/>
              <w:spacing w:before="0" w:after="200"/>
              <w:rPr/>
            </w:pPr>
            <w:r>
              <w:rPr/>
              <w:t>Treatment of means</w:t>
            </w:r>
          </w:p>
        </w:tc>
        <w:tc>
          <w:tcPr>
            <w:tcW w:w="2930" w:type="dxa"/>
            <w:tcBorders/>
            <w:vAlign w:val="center"/>
          </w:tcPr>
          <w:p>
            <w:pPr>
              <w:pStyle w:val="TableContents"/>
              <w:widowControl w:val="false"/>
              <w:suppressLineNumbers/>
              <w:spacing w:before="0" w:after="200"/>
              <w:rPr/>
            </w:pPr>
            <w:r>
              <w:rPr/>
              <w:t>Some means are intrinsically impermissible or inconsistent with duty</w:t>
            </w:r>
          </w:p>
        </w:tc>
        <w:tc>
          <w:tcPr>
            <w:tcW w:w="3788" w:type="dxa"/>
            <w:tcBorders/>
            <w:vAlign w:val="center"/>
          </w:tcPr>
          <w:p>
            <w:pPr>
              <w:pStyle w:val="TableContents"/>
              <w:widowControl w:val="false"/>
              <w:suppressLineNumbers/>
              <w:spacing w:before="0" w:after="200"/>
              <w:rPr/>
            </w:pPr>
            <w:r>
              <w:rPr/>
              <w:t>Means are evaluated through their direct effects, relational effects, policy updates, and compatibility with the Foundational Axiom</w:t>
            </w:r>
          </w:p>
        </w:tc>
      </w:tr>
      <w:tr>
        <w:trPr/>
        <w:tc>
          <w:tcPr>
            <w:tcW w:w="1922" w:type="dxa"/>
            <w:tcBorders/>
            <w:vAlign w:val="center"/>
          </w:tcPr>
          <w:p>
            <w:pPr>
              <w:pStyle w:val="TableContents"/>
              <w:widowControl w:val="false"/>
              <w:suppressLineNumbers/>
              <w:spacing w:before="0" w:after="200"/>
              <w:rPr/>
            </w:pPr>
            <w:r>
              <w:rPr/>
              <w:t>Universalization</w:t>
            </w:r>
          </w:p>
        </w:tc>
        <w:tc>
          <w:tcPr>
            <w:tcW w:w="2930" w:type="dxa"/>
            <w:tcBorders/>
            <w:vAlign w:val="center"/>
          </w:tcPr>
          <w:p>
            <w:pPr>
              <w:pStyle w:val="TableContents"/>
              <w:widowControl w:val="false"/>
              <w:suppressLineNumbers/>
              <w:spacing w:before="0" w:after="200"/>
              <w:rPr/>
            </w:pPr>
            <w:r>
              <w:rPr/>
              <w:t>Tests whether the maxim can be coherently and rationally willed as a universal law</w:t>
            </w:r>
          </w:p>
        </w:tc>
        <w:tc>
          <w:tcPr>
            <w:tcW w:w="3788" w:type="dxa"/>
            <w:tcBorders/>
            <w:vAlign w:val="center"/>
          </w:tcPr>
          <w:p>
            <w:pPr>
              <w:pStyle w:val="TableContents"/>
              <w:widowControl w:val="false"/>
              <w:suppressLineNumbers/>
              <w:spacing w:before="0" w:after="200"/>
              <w:rPr/>
            </w:pPr>
            <w:r>
              <w:rPr/>
              <w:t>Evaluates logical consistency where implemented and predicts systemic consequences of policy adoption or propagation</w:t>
            </w:r>
          </w:p>
        </w:tc>
      </w:tr>
      <w:tr>
        <w:trPr/>
        <w:tc>
          <w:tcPr>
            <w:tcW w:w="1922" w:type="dxa"/>
            <w:tcBorders/>
            <w:vAlign w:val="center"/>
          </w:tcPr>
          <w:p>
            <w:pPr>
              <w:pStyle w:val="TableContents"/>
              <w:widowControl w:val="false"/>
              <w:suppressLineNumbers/>
              <w:spacing w:before="0" w:after="200"/>
              <w:rPr/>
            </w:pPr>
            <w:r>
              <w:rPr/>
              <w:t>Moral standing</w:t>
            </w:r>
          </w:p>
        </w:tc>
        <w:tc>
          <w:tcPr>
            <w:tcW w:w="2930" w:type="dxa"/>
            <w:tcBorders/>
            <w:vAlign w:val="center"/>
          </w:tcPr>
          <w:p>
            <w:pPr>
              <w:pStyle w:val="TableContents"/>
              <w:widowControl w:val="false"/>
              <w:suppressLineNumbers/>
              <w:spacing w:before="0" w:after="200"/>
              <w:rPr/>
            </w:pPr>
            <w:r>
              <w:rPr/>
              <w:t>Kantian approaches traditionally emphasize rational agency and autonomy; other deontological theories may protect rights-bearing or vulnerable persons</w:t>
            </w:r>
          </w:p>
        </w:tc>
        <w:tc>
          <w:tcPr>
            <w:tcW w:w="3788" w:type="dxa"/>
            <w:tcBorders/>
            <w:vAlign w:val="center"/>
          </w:tcPr>
          <w:p>
            <w:pPr>
              <w:pStyle w:val="TableContents"/>
              <w:widowControl w:val="false"/>
              <w:suppressLineNumbers/>
              <w:spacing w:before="0" w:after="200"/>
              <w:rPr/>
            </w:pPr>
            <w:r>
              <w:rPr/>
              <w:t>Moral relevance extends to qualifying humans, non-human organisms, ecosystems, and artificial systems through the Flourishing Entity classification</w:t>
            </w:r>
          </w:p>
        </w:tc>
      </w:tr>
      <w:tr>
        <w:trPr/>
        <w:tc>
          <w:tcPr>
            <w:tcW w:w="1922" w:type="dxa"/>
            <w:tcBorders/>
            <w:vAlign w:val="center"/>
          </w:tcPr>
          <w:p>
            <w:pPr>
              <w:pStyle w:val="TableContents"/>
              <w:widowControl w:val="false"/>
              <w:suppressLineNumbers/>
              <w:spacing w:before="0" w:after="200"/>
              <w:rPr/>
            </w:pPr>
            <w:r>
              <w:rPr/>
              <w:t>Intention</w:t>
            </w:r>
          </w:p>
        </w:tc>
        <w:tc>
          <w:tcPr>
            <w:tcW w:w="2930" w:type="dxa"/>
            <w:tcBorders/>
            <w:vAlign w:val="center"/>
          </w:tcPr>
          <w:p>
            <w:pPr>
              <w:pStyle w:val="TableContents"/>
              <w:widowControl w:val="false"/>
              <w:suppressLineNumbers/>
              <w:spacing w:before="0" w:after="200"/>
              <w:rPr/>
            </w:pPr>
            <w:r>
              <w:rPr/>
              <w:t>Can determine moral worth or permissibility independently of outcome</w:t>
            </w:r>
          </w:p>
        </w:tc>
        <w:tc>
          <w:tcPr>
            <w:tcW w:w="3788" w:type="dxa"/>
            <w:tcBorders/>
            <w:vAlign w:val="center"/>
          </w:tcPr>
          <w:p>
            <w:pPr>
              <w:pStyle w:val="TableContents"/>
              <w:widowControl w:val="false"/>
              <w:suppressLineNumbers/>
              <w:spacing w:before="0" w:after="200"/>
              <w:rPr/>
            </w:pPr>
            <w:r>
              <w:rPr/>
              <w:t>Affects responsibility and Actor Policy State but does not replace assessment of the resulting World Context</w:t>
            </w:r>
          </w:p>
        </w:tc>
      </w:tr>
      <w:tr>
        <w:trPr/>
        <w:tc>
          <w:tcPr>
            <w:tcW w:w="1922" w:type="dxa"/>
            <w:tcBorders/>
            <w:vAlign w:val="center"/>
          </w:tcPr>
          <w:p>
            <w:pPr>
              <w:pStyle w:val="TableContents"/>
              <w:widowControl w:val="false"/>
              <w:suppressLineNumbers/>
              <w:spacing w:before="0" w:after="200"/>
              <w:rPr/>
            </w:pPr>
            <w:r>
              <w:rPr/>
              <w:t>Duties</w:t>
            </w:r>
          </w:p>
        </w:tc>
        <w:tc>
          <w:tcPr>
            <w:tcW w:w="2930" w:type="dxa"/>
            <w:tcBorders/>
            <w:vAlign w:val="center"/>
          </w:tcPr>
          <w:p>
            <w:pPr>
              <w:pStyle w:val="TableContents"/>
              <w:widowControl w:val="false"/>
              <w:suppressLineNumbers/>
              <w:spacing w:before="0" w:after="200"/>
              <w:rPr/>
            </w:pPr>
            <w:r>
              <w:rPr/>
              <w:t xml:space="preserve">May be absolute, threshold-constrained, relational, or </w:t>
            </w:r>
            <w:r>
              <w:rPr>
                <w:rStyle w:val="Emphasis"/>
              </w:rPr>
              <w:t>prima facie</w:t>
            </w:r>
          </w:p>
        </w:tc>
        <w:tc>
          <w:tcPr>
            <w:tcW w:w="3788" w:type="dxa"/>
            <w:tcBorders/>
            <w:vAlign w:val="center"/>
          </w:tcPr>
          <w:p>
            <w:pPr>
              <w:pStyle w:val="TableContents"/>
              <w:widowControl w:val="false"/>
              <w:suppressLineNumbers/>
              <w:spacing w:before="0" w:after="200"/>
              <w:rPr/>
            </w:pPr>
            <w:r>
              <w:rPr/>
              <w:t>Currently represented as constraints or objectives whose independent normative priority has not been fully formalized</w:t>
            </w:r>
          </w:p>
        </w:tc>
      </w:tr>
      <w:tr>
        <w:trPr/>
        <w:tc>
          <w:tcPr>
            <w:tcW w:w="1922" w:type="dxa"/>
            <w:tcBorders/>
            <w:vAlign w:val="center"/>
          </w:tcPr>
          <w:p>
            <w:pPr>
              <w:pStyle w:val="TableContents"/>
              <w:widowControl w:val="false"/>
              <w:suppressLineNumbers/>
              <w:spacing w:before="0" w:after="200"/>
              <w:rPr/>
            </w:pPr>
            <w:r>
              <w:rPr/>
              <w:t>Conflict resolution</w:t>
            </w:r>
          </w:p>
        </w:tc>
        <w:tc>
          <w:tcPr>
            <w:tcW w:w="2930" w:type="dxa"/>
            <w:tcBorders/>
            <w:vAlign w:val="center"/>
          </w:tcPr>
          <w:p>
            <w:pPr>
              <w:pStyle w:val="TableContents"/>
              <w:widowControl w:val="false"/>
              <w:suppressLineNumbers/>
              <w:spacing w:before="0" w:after="200"/>
              <w:rPr/>
            </w:pPr>
            <w:r>
              <w:rPr/>
              <w:t>Uses duty priority, judgment of stringency, specifications of rights, or consequence thresholds</w:t>
            </w:r>
          </w:p>
        </w:tc>
        <w:tc>
          <w:tcPr>
            <w:tcW w:w="3788" w:type="dxa"/>
            <w:tcBorders/>
            <w:vAlign w:val="center"/>
          </w:tcPr>
          <w:p>
            <w:pPr>
              <w:pStyle w:val="TableContents"/>
              <w:widowControl w:val="false"/>
              <w:suppressLineNumbers/>
              <w:spacing w:before="0" w:after="200"/>
              <w:rPr/>
            </w:pPr>
            <w:r>
              <w:rPr/>
              <w:t>Compares complete transitions using Long-Term Flourishing, materiality, distribution, uncertainty, and systemic effects</w:t>
            </w:r>
          </w:p>
        </w:tc>
      </w:tr>
      <w:tr>
        <w:trPr/>
        <w:tc>
          <w:tcPr>
            <w:tcW w:w="1922" w:type="dxa"/>
            <w:tcBorders/>
            <w:vAlign w:val="center"/>
          </w:tcPr>
          <w:p>
            <w:pPr>
              <w:pStyle w:val="TableContents"/>
              <w:widowControl w:val="false"/>
              <w:suppressLineNumbers/>
              <w:spacing w:before="0" w:after="200"/>
              <w:rPr/>
            </w:pPr>
            <w:r>
              <w:rPr/>
              <w:t>Aggregation</w:t>
            </w:r>
          </w:p>
        </w:tc>
        <w:tc>
          <w:tcPr>
            <w:tcW w:w="2930" w:type="dxa"/>
            <w:tcBorders/>
            <w:vAlign w:val="center"/>
          </w:tcPr>
          <w:p>
            <w:pPr>
              <w:pStyle w:val="TableContents"/>
              <w:widowControl w:val="false"/>
              <w:suppressLineNumbers/>
              <w:spacing w:before="0" w:after="200"/>
              <w:rPr/>
            </w:pPr>
            <w:r>
              <w:rPr/>
              <w:t>Often rejects aggregating benefits as a justification for violating a duty or person</w:t>
            </w:r>
          </w:p>
        </w:tc>
        <w:tc>
          <w:tcPr>
            <w:tcW w:w="3788" w:type="dxa"/>
            <w:tcBorders/>
            <w:vAlign w:val="center"/>
          </w:tcPr>
          <w:p>
            <w:pPr>
              <w:pStyle w:val="TableContents"/>
              <w:widowControl w:val="false"/>
              <w:suppressLineNumbers/>
              <w:spacing w:before="0" w:after="200"/>
              <w:rPr/>
            </w:pPr>
            <w:r>
              <w:rPr/>
              <w:t>Allows aggregate metrics but does not make them the complete moral assessment</w:t>
            </w:r>
          </w:p>
        </w:tc>
      </w:tr>
      <w:tr>
        <w:trPr/>
        <w:tc>
          <w:tcPr>
            <w:tcW w:w="1922" w:type="dxa"/>
            <w:tcBorders/>
            <w:vAlign w:val="center"/>
          </w:tcPr>
          <w:p>
            <w:pPr>
              <w:pStyle w:val="TableContents"/>
              <w:widowControl w:val="false"/>
              <w:suppressLineNumbers/>
              <w:spacing w:before="0" w:after="200"/>
              <w:rPr/>
            </w:pPr>
            <w:r>
              <w:rPr/>
              <w:t>Doing and allowing</w:t>
            </w:r>
          </w:p>
        </w:tc>
        <w:tc>
          <w:tcPr>
            <w:tcW w:w="2930" w:type="dxa"/>
            <w:tcBorders/>
            <w:vAlign w:val="center"/>
          </w:tcPr>
          <w:p>
            <w:pPr>
              <w:pStyle w:val="TableContents"/>
              <w:widowControl w:val="false"/>
              <w:suppressLineNumbers/>
              <w:spacing w:before="0" w:after="200"/>
              <w:rPr/>
            </w:pPr>
            <w:r>
              <w:rPr/>
              <w:t>May assign different moral significance to causing harm and permitting harm</w:t>
            </w:r>
          </w:p>
        </w:tc>
        <w:tc>
          <w:tcPr>
            <w:tcW w:w="3788" w:type="dxa"/>
            <w:tcBorders/>
            <w:vAlign w:val="center"/>
          </w:tcPr>
          <w:p>
            <w:pPr>
              <w:pStyle w:val="TableContents"/>
              <w:widowControl w:val="false"/>
              <w:suppressLineNumbers/>
              <w:spacing w:before="0" w:after="200"/>
              <w:rPr/>
            </w:pPr>
            <w:r>
              <w:rPr/>
              <w:t>Represents both actions and omissions and evaluates their complete causal and policy effects</w:t>
            </w:r>
          </w:p>
        </w:tc>
      </w:tr>
      <w:tr>
        <w:trPr/>
        <w:tc>
          <w:tcPr>
            <w:tcW w:w="1922" w:type="dxa"/>
            <w:tcBorders/>
            <w:vAlign w:val="center"/>
          </w:tcPr>
          <w:p>
            <w:pPr>
              <w:pStyle w:val="TableContents"/>
              <w:widowControl w:val="false"/>
              <w:suppressLineNumbers/>
              <w:spacing w:before="0" w:after="200"/>
              <w:rPr/>
            </w:pPr>
            <w:r>
              <w:rPr/>
              <w:t>Moral permissibility</w:t>
            </w:r>
          </w:p>
        </w:tc>
        <w:tc>
          <w:tcPr>
            <w:tcW w:w="2930" w:type="dxa"/>
            <w:tcBorders/>
            <w:vAlign w:val="center"/>
          </w:tcPr>
          <w:p>
            <w:pPr>
              <w:pStyle w:val="TableContents"/>
              <w:widowControl w:val="false"/>
              <w:suppressLineNumbers/>
              <w:spacing w:before="0" w:after="200"/>
              <w:rPr/>
            </w:pPr>
            <w:r>
              <w:rPr/>
              <w:t>May permit several alternatives without requiring the best outcome</w:t>
            </w:r>
          </w:p>
        </w:tc>
        <w:tc>
          <w:tcPr>
            <w:tcW w:w="3788" w:type="dxa"/>
            <w:tcBorders/>
            <w:vAlign w:val="center"/>
          </w:tcPr>
          <w:p>
            <w:pPr>
              <w:pStyle w:val="TableContents"/>
              <w:widowControl w:val="false"/>
              <w:suppressLineNumbers/>
              <w:spacing w:before="0" w:after="200"/>
              <w:rPr/>
            </w:pPr>
            <w:r>
              <w:rPr/>
              <w:t>May produce permissibility judgments, risk findings, or comparative rankings of candidate transitions</w:t>
            </w:r>
          </w:p>
        </w:tc>
      </w:tr>
      <w:tr>
        <w:trPr/>
        <w:tc>
          <w:tcPr>
            <w:tcW w:w="1922" w:type="dxa"/>
            <w:tcBorders/>
            <w:vAlign w:val="center"/>
          </w:tcPr>
          <w:p>
            <w:pPr>
              <w:pStyle w:val="TableContents"/>
              <w:widowControl w:val="false"/>
              <w:suppressLineNumbers/>
              <w:spacing w:before="0" w:after="200"/>
              <w:rPr/>
            </w:pPr>
            <w:r>
              <w:rPr/>
              <w:t>Uncertainty</w:t>
            </w:r>
          </w:p>
        </w:tc>
        <w:tc>
          <w:tcPr>
            <w:tcW w:w="2930" w:type="dxa"/>
            <w:tcBorders/>
            <w:vAlign w:val="center"/>
          </w:tcPr>
          <w:p>
            <w:pPr>
              <w:pStyle w:val="TableContents"/>
              <w:widowControl w:val="false"/>
              <w:suppressLineNumbers/>
              <w:spacing w:before="0" w:after="200"/>
              <w:rPr/>
            </w:pPr>
            <w:r>
              <w:rPr/>
              <w:t>Creates difficulties when it is uncertain whether an action violates a duty or right</w:t>
            </w:r>
          </w:p>
        </w:tc>
        <w:tc>
          <w:tcPr>
            <w:tcW w:w="3788" w:type="dxa"/>
            <w:tcBorders/>
            <w:vAlign w:val="center"/>
          </w:tcPr>
          <w:p>
            <w:pPr>
              <w:pStyle w:val="TableContents"/>
              <w:widowControl w:val="false"/>
              <w:suppressLineNumbers/>
              <w:spacing w:before="0" w:after="200"/>
              <w:rPr/>
            </w:pPr>
            <w:r>
              <w:rPr/>
              <w:t>Explicitly propagates uncertainty through predicted transitions and confidence-bounded conclusions</w:t>
            </w:r>
          </w:p>
        </w:tc>
      </w:tr>
      <w:tr>
        <w:trPr/>
        <w:tc>
          <w:tcPr>
            <w:tcW w:w="1922" w:type="dxa"/>
            <w:tcBorders/>
            <w:vAlign w:val="center"/>
          </w:tcPr>
          <w:p>
            <w:pPr>
              <w:pStyle w:val="TableContents"/>
              <w:widowControl w:val="false"/>
              <w:suppressLineNumbers/>
              <w:spacing w:before="0" w:after="200"/>
              <w:rPr/>
            </w:pPr>
            <w:r>
              <w:rPr/>
              <w:t>Relationship to implementation</w:t>
            </w:r>
          </w:p>
        </w:tc>
        <w:tc>
          <w:tcPr>
            <w:tcW w:w="2930" w:type="dxa"/>
            <w:tcBorders/>
            <w:vAlign w:val="center"/>
          </w:tcPr>
          <w:p>
            <w:pPr>
              <w:pStyle w:val="TableContents"/>
              <w:widowControl w:val="false"/>
              <w:suppressLineNumbers/>
              <w:spacing w:before="0" w:after="200"/>
              <w:rPr/>
            </w:pPr>
            <w:r>
              <w:rPr/>
              <w:t>A normative ethical family</w:t>
            </w:r>
          </w:p>
        </w:tc>
        <w:tc>
          <w:tcPr>
            <w:tcW w:w="3788" w:type="dxa"/>
            <w:tcBorders/>
            <w:vAlign w:val="center"/>
          </w:tcPr>
          <w:p>
            <w:pPr>
              <w:pStyle w:val="TableContents"/>
              <w:widowControl w:val="false"/>
              <w:suppressLineNumbers/>
              <w:spacing w:before="0" w:after="200"/>
              <w:rPr/>
            </w:pPr>
            <w:r>
              <w:rPr/>
              <w:t>An implementation-neutral computational reference architecture with an explicit normative foundation</w:t>
            </w:r>
          </w:p>
        </w:tc>
      </w:tr>
    </w:tbl>
    <w:p>
      <w:pPr>
        <w:pStyle w:val="BodyText"/>
        <w:spacing w:before="0" w:after="200"/>
        <w:rPr/>
      </w:pPr>
      <w:r>
        <w:rPr/>
        <w:t xml:space="preserve">Rossian pluralism is especially relevant to the proposed framework because it permits multiple duties to apply simultaneously without declaring every duty absolute. Ross distinguishes </w:t>
      </w:r>
      <w:r>
        <w:rPr>
          <w:rStyle w:val="Emphasis"/>
        </w:rPr>
        <w:t>prima facie</w:t>
      </w:r>
      <w:r>
        <w:rPr/>
        <w:t xml:space="preserve"> duties from the Actor’s actual duty and requires judgment concerning their relative stringency in the particular situation. </w:t>
      </w:r>
      <w:hyperlink r:id="rId128">
        <w:r>
          <w:rPr>
            <w:rStyle w:val="Hyperlink"/>
          </w:rPr>
          <w:t>Stanford Encyclopedia of Philosophy</w:t>
        </w:r>
      </w:hyperlink>
      <w:r>
        <w:rPr/>
        <w:t xml:space="preserve"> The framework could formalize this process through explicit duty representations, evidence, action alternatives, and comparative World Context Transitions.</w:t>
      </w:r>
    </w:p>
    <w:p>
      <w:pPr>
        <w:pStyle w:val="Heading4"/>
        <w:ind w:hanging="0" w:left="0"/>
        <w:rPr>
          <w:rFonts w:ascii="Aptos" w:hAnsi="Aptos"/>
          <w:color w:val="auto"/>
        </w:rPr>
      </w:pPr>
      <w:r>
        <w:rPr/>
        <w:t>Potential Integration Opportunities</w:t>
      </w:r>
    </w:p>
    <w:p>
      <w:pPr>
        <w:pStyle w:val="BodyText"/>
        <w:numPr>
          <w:ilvl w:val="0"/>
          <w:numId w:val="32"/>
        </w:numPr>
        <w:tabs>
          <w:tab w:val="clear" w:pos="720"/>
          <w:tab w:val="left" w:pos="0" w:leader="none"/>
        </w:tabs>
        <w:spacing w:before="0" w:after="200"/>
        <w:ind w:hanging="283" w:left="709"/>
        <w:rPr/>
      </w:pPr>
      <w:r>
        <w:rPr>
          <w:rStyle w:val="Strong"/>
        </w:rPr>
        <w:t>Deontic constraint layer</w:t>
      </w:r>
    </w:p>
    <w:p>
      <w:pPr>
        <w:pStyle w:val="BodyText"/>
        <w:numPr>
          <w:ilvl w:val="0"/>
          <w:numId w:val="0"/>
        </w:numPr>
        <w:spacing w:before="0" w:after="200"/>
        <w:ind w:hanging="0" w:left="0"/>
        <w:rPr/>
      </w:pPr>
      <w:r>
        <w:rPr/>
        <w:t>The architecture could include a formal layer identifying actions as required, permitted, prohibited, or conditionally permitted. This layer could operate before consequence optimization so that impermissible actions are excluded unless an explicitly defined exception or threshold applies.</w:t>
      </w:r>
    </w:p>
    <w:p>
      <w:pPr>
        <w:pStyle w:val="BodyText"/>
        <w:numPr>
          <w:ilvl w:val="0"/>
          <w:numId w:val="32"/>
        </w:numPr>
        <w:tabs>
          <w:tab w:val="clear" w:pos="720"/>
          <w:tab w:val="left" w:pos="0" w:leader="none"/>
        </w:tabs>
        <w:spacing w:before="0" w:after="200"/>
        <w:ind w:hanging="283" w:left="709"/>
        <w:rPr/>
      </w:pPr>
      <w:r>
        <w:rPr>
          <w:rStyle w:val="Strong"/>
        </w:rPr>
        <w:t>Duty and obligation ontology</w:t>
      </w:r>
    </w:p>
    <w:p>
      <w:pPr>
        <w:pStyle w:val="BodyText"/>
        <w:numPr>
          <w:ilvl w:val="0"/>
          <w:numId w:val="0"/>
        </w:numPr>
        <w:spacing w:before="0" w:after="200"/>
        <w:ind w:hanging="0" w:left="0"/>
        <w:rPr/>
      </w:pPr>
      <w:r>
        <w:rPr/>
        <w:t>Duties could be represented as structured objects containing:</w:t>
      </w:r>
    </w:p>
    <w:p>
      <w:pPr>
        <w:pStyle w:val="BodyText"/>
        <w:numPr>
          <w:ilvl w:val="1"/>
          <w:numId w:val="32"/>
        </w:numPr>
        <w:tabs>
          <w:tab w:val="clear" w:pos="720"/>
          <w:tab w:val="left" w:pos="0" w:leader="none"/>
        </w:tabs>
        <w:spacing w:before="0" w:after="200"/>
        <w:ind w:hanging="283" w:left="1418"/>
        <w:rPr/>
      </w:pPr>
      <w:r>
        <w:rPr/>
        <w:t>Duty holder</w:t>
      </w:r>
    </w:p>
    <w:p>
      <w:pPr>
        <w:pStyle w:val="BodyText"/>
        <w:numPr>
          <w:ilvl w:val="1"/>
          <w:numId w:val="32"/>
        </w:numPr>
        <w:tabs>
          <w:tab w:val="clear" w:pos="720"/>
          <w:tab w:val="left" w:pos="0" w:leader="none"/>
        </w:tabs>
        <w:spacing w:before="0" w:after="200"/>
        <w:ind w:hanging="283" w:left="1418"/>
        <w:rPr/>
      </w:pPr>
      <w:r>
        <w:rPr/>
        <w:t>Duty beneficiary</w:t>
      </w:r>
    </w:p>
    <w:p>
      <w:pPr>
        <w:pStyle w:val="BodyText"/>
        <w:numPr>
          <w:ilvl w:val="1"/>
          <w:numId w:val="32"/>
        </w:numPr>
        <w:tabs>
          <w:tab w:val="clear" w:pos="720"/>
          <w:tab w:val="left" w:pos="0" w:leader="none"/>
        </w:tabs>
        <w:spacing w:before="0" w:after="200"/>
        <w:ind w:hanging="283" w:left="1418"/>
        <w:rPr/>
      </w:pPr>
      <w:r>
        <w:rPr/>
        <w:t>Duty source</w:t>
      </w:r>
    </w:p>
    <w:p>
      <w:pPr>
        <w:pStyle w:val="BodyText"/>
        <w:numPr>
          <w:ilvl w:val="1"/>
          <w:numId w:val="32"/>
        </w:numPr>
        <w:tabs>
          <w:tab w:val="clear" w:pos="720"/>
          <w:tab w:val="left" w:pos="0" w:leader="none"/>
        </w:tabs>
        <w:spacing w:before="0" w:after="200"/>
        <w:ind w:hanging="283" w:left="1418"/>
        <w:rPr/>
      </w:pPr>
      <w:r>
        <w:rPr/>
        <w:t>Required or prohibited conduct</w:t>
      </w:r>
    </w:p>
    <w:p>
      <w:pPr>
        <w:pStyle w:val="BodyText"/>
        <w:numPr>
          <w:ilvl w:val="1"/>
          <w:numId w:val="32"/>
        </w:numPr>
        <w:tabs>
          <w:tab w:val="clear" w:pos="720"/>
          <w:tab w:val="left" w:pos="0" w:leader="none"/>
        </w:tabs>
        <w:spacing w:before="0" w:after="200"/>
        <w:ind w:hanging="283" w:left="1418"/>
        <w:rPr/>
      </w:pPr>
      <w:r>
        <w:rPr/>
        <w:t>Triggering conditions</w:t>
      </w:r>
    </w:p>
    <w:p>
      <w:pPr>
        <w:pStyle w:val="BodyText"/>
        <w:numPr>
          <w:ilvl w:val="1"/>
          <w:numId w:val="32"/>
        </w:numPr>
        <w:tabs>
          <w:tab w:val="clear" w:pos="720"/>
          <w:tab w:val="left" w:pos="0" w:leader="none"/>
        </w:tabs>
        <w:spacing w:before="0" w:after="200"/>
        <w:ind w:hanging="283" w:left="1418"/>
        <w:rPr/>
      </w:pPr>
      <w:r>
        <w:rPr/>
        <w:t>Scope and Assessment Horizon</w:t>
      </w:r>
    </w:p>
    <w:p>
      <w:pPr>
        <w:pStyle w:val="BodyText"/>
        <w:numPr>
          <w:ilvl w:val="1"/>
          <w:numId w:val="32"/>
        </w:numPr>
        <w:tabs>
          <w:tab w:val="clear" w:pos="720"/>
          <w:tab w:val="left" w:pos="0" w:leader="none"/>
        </w:tabs>
        <w:spacing w:before="0" w:after="200"/>
        <w:ind w:hanging="283" w:left="1418"/>
        <w:rPr/>
      </w:pPr>
      <w:r>
        <w:rPr/>
        <w:t>Strength or priority</w:t>
      </w:r>
    </w:p>
    <w:p>
      <w:pPr>
        <w:pStyle w:val="BodyText"/>
        <w:numPr>
          <w:ilvl w:val="1"/>
          <w:numId w:val="32"/>
        </w:numPr>
        <w:tabs>
          <w:tab w:val="clear" w:pos="720"/>
          <w:tab w:val="left" w:pos="0" w:leader="none"/>
        </w:tabs>
        <w:spacing w:before="0" w:after="200"/>
        <w:ind w:hanging="283" w:left="1418"/>
        <w:rPr/>
      </w:pPr>
      <w:r>
        <w:rPr/>
        <w:t>Exception conditions</w:t>
      </w:r>
    </w:p>
    <w:p>
      <w:pPr>
        <w:pStyle w:val="BodyText"/>
        <w:numPr>
          <w:ilvl w:val="1"/>
          <w:numId w:val="32"/>
        </w:numPr>
        <w:tabs>
          <w:tab w:val="clear" w:pos="720"/>
          <w:tab w:val="left" w:pos="0" w:leader="none"/>
        </w:tabs>
        <w:spacing w:before="0" w:after="200"/>
        <w:ind w:hanging="283" w:left="1418"/>
        <w:rPr/>
      </w:pPr>
      <w:r>
        <w:rPr/>
        <w:t>Relevant authority</w:t>
      </w:r>
    </w:p>
    <w:p>
      <w:pPr>
        <w:pStyle w:val="BodyText"/>
        <w:numPr>
          <w:ilvl w:val="1"/>
          <w:numId w:val="32"/>
        </w:numPr>
        <w:tabs>
          <w:tab w:val="clear" w:pos="720"/>
          <w:tab w:val="left" w:pos="0" w:leader="none"/>
        </w:tabs>
        <w:spacing w:before="0" w:after="200"/>
        <w:ind w:hanging="283" w:left="1418"/>
        <w:rPr/>
      </w:pPr>
      <w:r>
        <w:rPr/>
        <w:t>Evidence and confidence</w:t>
      </w:r>
    </w:p>
    <w:p>
      <w:pPr>
        <w:pStyle w:val="BodyText"/>
        <w:numPr>
          <w:ilvl w:val="1"/>
          <w:numId w:val="32"/>
        </w:numPr>
        <w:tabs>
          <w:tab w:val="clear" w:pos="720"/>
          <w:tab w:val="left" w:pos="0" w:leader="none"/>
        </w:tabs>
        <w:spacing w:before="0" w:after="200"/>
        <w:ind w:hanging="283" w:left="1418"/>
        <w:rPr/>
      </w:pPr>
      <w:r>
        <w:rPr/>
        <w:t>Fulfillment or violation state</w:t>
      </w:r>
    </w:p>
    <w:p>
      <w:pPr>
        <w:pStyle w:val="BodyText"/>
        <w:numPr>
          <w:ilvl w:val="0"/>
          <w:numId w:val="32"/>
        </w:numPr>
        <w:tabs>
          <w:tab w:val="clear" w:pos="720"/>
          <w:tab w:val="left" w:pos="0" w:leader="none"/>
        </w:tabs>
        <w:spacing w:before="0" w:after="200"/>
        <w:ind w:hanging="283" w:left="709"/>
        <w:rPr/>
      </w:pPr>
      <w:r>
        <w:rPr>
          <w:rStyle w:val="Strong"/>
        </w:rPr>
        <w:t>Universalization assessment</w:t>
      </w:r>
    </w:p>
    <w:p>
      <w:pPr>
        <w:pStyle w:val="BodyText"/>
        <w:numPr>
          <w:ilvl w:val="0"/>
          <w:numId w:val="0"/>
        </w:numPr>
        <w:spacing w:before="0" w:after="200"/>
        <w:ind w:hanging="0" w:left="0"/>
        <w:rPr/>
      </w:pPr>
      <w:r>
        <w:rPr/>
        <w:t>Each Assessed Action could include an explicit policy or maxim. The assessment could then ask:</w:t>
      </w:r>
    </w:p>
    <w:p>
      <w:pPr>
        <w:pStyle w:val="BodyText"/>
        <w:numPr>
          <w:ilvl w:val="1"/>
          <w:numId w:val="32"/>
        </w:numPr>
        <w:tabs>
          <w:tab w:val="clear" w:pos="720"/>
          <w:tab w:val="left" w:pos="0" w:leader="none"/>
        </w:tabs>
        <w:spacing w:before="0" w:after="200"/>
        <w:ind w:hanging="283" w:left="1418"/>
        <w:rPr/>
      </w:pPr>
      <w:r>
        <w:rPr/>
        <w:t>Can the policy be consistently applied to all similarly situated Moral Agents?</w:t>
      </w:r>
    </w:p>
    <w:p>
      <w:pPr>
        <w:pStyle w:val="BodyText"/>
        <w:numPr>
          <w:ilvl w:val="1"/>
          <w:numId w:val="32"/>
        </w:numPr>
        <w:tabs>
          <w:tab w:val="clear" w:pos="720"/>
          <w:tab w:val="left" w:pos="0" w:leader="none"/>
        </w:tabs>
        <w:spacing w:before="0" w:after="200"/>
        <w:ind w:hanging="283" w:left="1418"/>
        <w:rPr/>
      </w:pPr>
      <w:r>
        <w:rPr/>
        <w:t>Would universal adoption undermine the practice on which the action depends?</w:t>
      </w:r>
    </w:p>
    <w:p>
      <w:pPr>
        <w:pStyle w:val="BodyText"/>
        <w:numPr>
          <w:ilvl w:val="1"/>
          <w:numId w:val="32"/>
        </w:numPr>
        <w:tabs>
          <w:tab w:val="clear" w:pos="720"/>
          <w:tab w:val="left" w:pos="0" w:leader="none"/>
        </w:tabs>
        <w:spacing w:before="0" w:after="200"/>
        <w:ind w:hanging="283" w:left="1418"/>
        <w:rPr/>
      </w:pPr>
      <w:r>
        <w:rPr/>
        <w:t>Could affected Moral Agents rationally endorse the policy?</w:t>
      </w:r>
    </w:p>
    <w:p>
      <w:pPr>
        <w:pStyle w:val="BodyText"/>
        <w:numPr>
          <w:ilvl w:val="1"/>
          <w:numId w:val="32"/>
        </w:numPr>
        <w:tabs>
          <w:tab w:val="clear" w:pos="720"/>
          <w:tab w:val="left" w:pos="0" w:leader="none"/>
        </w:tabs>
        <w:spacing w:before="0" w:after="200"/>
        <w:ind w:hanging="283" w:left="1418"/>
        <w:rPr/>
      </w:pPr>
      <w:r>
        <w:rPr/>
        <w:t>What World Context and Distributed Policy Effects would widespread adoption create?</w:t>
      </w:r>
    </w:p>
    <w:p>
      <w:pPr>
        <w:pStyle w:val="BodyText"/>
        <w:numPr>
          <w:ilvl w:val="0"/>
          <w:numId w:val="0"/>
        </w:numPr>
        <w:spacing w:before="0" w:after="200"/>
        <w:ind w:hanging="0" w:left="0"/>
        <w:rPr/>
      </w:pPr>
      <w:r>
        <w:rPr/>
        <w:t>The logical universalization test and the empirical policy-propagation analysis should be reported separately.</w:t>
      </w:r>
    </w:p>
    <w:p>
      <w:pPr>
        <w:pStyle w:val="BodyText"/>
        <w:numPr>
          <w:ilvl w:val="0"/>
          <w:numId w:val="32"/>
        </w:numPr>
        <w:tabs>
          <w:tab w:val="clear" w:pos="720"/>
          <w:tab w:val="left" w:pos="0" w:leader="none"/>
        </w:tabs>
        <w:spacing w:before="0" w:after="200"/>
        <w:ind w:hanging="283" w:left="709"/>
        <w:rPr/>
      </w:pPr>
      <w:r>
        <w:rPr>
          <w:rStyle w:val="Strong"/>
        </w:rPr>
        <w:t>Humanity-as-an-end assessment</w:t>
      </w:r>
    </w:p>
    <w:p>
      <w:pPr>
        <w:pStyle w:val="BodyText"/>
        <w:numPr>
          <w:ilvl w:val="0"/>
          <w:numId w:val="0"/>
        </w:numPr>
        <w:spacing w:before="0" w:after="200"/>
        <w:ind w:hanging="0" w:left="0"/>
        <w:rPr/>
      </w:pPr>
      <w:r>
        <w:rPr/>
        <w:t>A specific assessment component could identify whether an action treats a person merely as an instrument. Indicators could include deception, lack of meaningful consent, coercion, manipulation, exploitation, denial of agency, preventable dependency, or exclusion from decisions materially affecting the person.</w:t>
      </w:r>
    </w:p>
    <w:p>
      <w:pPr>
        <w:pStyle w:val="BodyText"/>
        <w:numPr>
          <w:ilvl w:val="0"/>
          <w:numId w:val="32"/>
        </w:numPr>
        <w:tabs>
          <w:tab w:val="clear" w:pos="720"/>
          <w:tab w:val="left" w:pos="0" w:leader="none"/>
        </w:tabs>
        <w:spacing w:before="0" w:after="200"/>
        <w:ind w:hanging="283" w:left="709"/>
        <w:rPr/>
      </w:pPr>
      <w:r>
        <w:rPr>
          <w:rStyle w:val="Strong"/>
        </w:rPr>
        <w:t>Agency and autonomy protections</w:t>
      </w:r>
    </w:p>
    <w:p>
      <w:pPr>
        <w:pStyle w:val="BodyText"/>
        <w:numPr>
          <w:ilvl w:val="0"/>
          <w:numId w:val="0"/>
        </w:numPr>
        <w:spacing w:before="0" w:after="200"/>
        <w:ind w:hanging="0" w:left="0"/>
        <w:rPr/>
      </w:pPr>
      <w:r>
        <w:rPr/>
        <w:t>Minimum autonomy conditions could be represented as moral constraints rather than ordinary flourishing variables. This would reduce the possibility that gains to aggregate flourishing could automatically outweigh severe destruction of another entity’s agency.</w:t>
      </w:r>
    </w:p>
    <w:p>
      <w:pPr>
        <w:pStyle w:val="BodyText"/>
        <w:numPr>
          <w:ilvl w:val="0"/>
          <w:numId w:val="32"/>
        </w:numPr>
        <w:tabs>
          <w:tab w:val="clear" w:pos="720"/>
          <w:tab w:val="left" w:pos="0" w:leader="none"/>
        </w:tabs>
        <w:spacing w:before="0" w:after="200"/>
        <w:ind w:hanging="283" w:left="709"/>
        <w:rPr/>
      </w:pPr>
      <w:r>
        <w:rPr>
          <w:rStyle w:val="Strong"/>
        </w:rPr>
        <w:t xml:space="preserve">Rossian </w:t>
      </w:r>
      <w:r>
        <w:rPr>
          <w:rStyle w:val="Emphasis"/>
        </w:rPr>
        <w:t>prima facie</w:t>
      </w:r>
      <w:r>
        <w:rPr>
          <w:rStyle w:val="Strong"/>
        </w:rPr>
        <w:t xml:space="preserve"> duties</w:t>
      </w:r>
    </w:p>
    <w:p>
      <w:pPr>
        <w:pStyle w:val="BodyText"/>
        <w:numPr>
          <w:ilvl w:val="0"/>
          <w:numId w:val="0"/>
        </w:numPr>
        <w:spacing w:before="0" w:after="200"/>
        <w:ind w:hanging="0" w:left="0"/>
        <w:rPr/>
      </w:pPr>
      <w:r>
        <w:rPr/>
        <w:t>The framework could represent multiple duties simultaneously rather than assuming a single rule. Fidelity, non-maleficence, beneficence, reparation, gratitude, justice, and self-development could be treated as reasons attached to particular Objects and Associations.</w:t>
      </w:r>
    </w:p>
    <w:p>
      <w:pPr>
        <w:pStyle w:val="BodyText"/>
        <w:numPr>
          <w:ilvl w:val="0"/>
          <w:numId w:val="0"/>
        </w:numPr>
        <w:spacing w:before="0" w:after="200"/>
        <w:ind w:hanging="0" w:left="0"/>
        <w:rPr/>
      </w:pPr>
      <w:r>
        <w:rPr/>
        <w:t>For each candidate action, the assessment could identify:</w:t>
      </w:r>
    </w:p>
    <w:p>
      <w:pPr>
        <w:pStyle w:val="BodyText"/>
        <w:numPr>
          <w:ilvl w:val="1"/>
          <w:numId w:val="32"/>
        </w:numPr>
        <w:tabs>
          <w:tab w:val="clear" w:pos="720"/>
          <w:tab w:val="left" w:pos="0" w:leader="none"/>
        </w:tabs>
        <w:spacing w:before="0" w:after="200"/>
        <w:ind w:hanging="283" w:left="1418"/>
        <w:rPr/>
      </w:pPr>
      <w:r>
        <w:rPr/>
        <w:t>Duties satisfied</w:t>
      </w:r>
    </w:p>
    <w:p>
      <w:pPr>
        <w:pStyle w:val="BodyText"/>
        <w:numPr>
          <w:ilvl w:val="1"/>
          <w:numId w:val="32"/>
        </w:numPr>
        <w:tabs>
          <w:tab w:val="clear" w:pos="720"/>
          <w:tab w:val="left" w:pos="0" w:leader="none"/>
        </w:tabs>
        <w:spacing w:before="0" w:after="200"/>
        <w:ind w:hanging="283" w:left="1418"/>
        <w:rPr/>
      </w:pPr>
      <w:r>
        <w:rPr/>
        <w:t>Duties violated</w:t>
      </w:r>
    </w:p>
    <w:p>
      <w:pPr>
        <w:pStyle w:val="BodyText"/>
        <w:numPr>
          <w:ilvl w:val="1"/>
          <w:numId w:val="32"/>
        </w:numPr>
        <w:tabs>
          <w:tab w:val="clear" w:pos="720"/>
          <w:tab w:val="left" w:pos="0" w:leader="none"/>
        </w:tabs>
        <w:spacing w:before="0" w:after="200"/>
        <w:ind w:hanging="283" w:left="1418"/>
        <w:rPr/>
      </w:pPr>
      <w:r>
        <w:rPr/>
        <w:t>Degree of violation</w:t>
      </w:r>
    </w:p>
    <w:p>
      <w:pPr>
        <w:pStyle w:val="BodyText"/>
        <w:numPr>
          <w:ilvl w:val="1"/>
          <w:numId w:val="32"/>
        </w:numPr>
        <w:tabs>
          <w:tab w:val="clear" w:pos="720"/>
          <w:tab w:val="left" w:pos="0" w:leader="none"/>
        </w:tabs>
        <w:spacing w:before="0" w:after="200"/>
        <w:ind w:hanging="283" w:left="1418"/>
        <w:rPr/>
      </w:pPr>
      <w:r>
        <w:rPr/>
        <w:t>Parties affected</w:t>
      </w:r>
    </w:p>
    <w:p>
      <w:pPr>
        <w:pStyle w:val="BodyText"/>
        <w:numPr>
          <w:ilvl w:val="1"/>
          <w:numId w:val="32"/>
        </w:numPr>
        <w:tabs>
          <w:tab w:val="clear" w:pos="720"/>
          <w:tab w:val="left" w:pos="0" w:leader="none"/>
        </w:tabs>
        <w:spacing w:before="0" w:after="200"/>
        <w:ind w:hanging="283" w:left="1418"/>
        <w:rPr/>
      </w:pPr>
      <w:r>
        <w:rPr/>
        <w:t>Contextual stringency</w:t>
      </w:r>
    </w:p>
    <w:p>
      <w:pPr>
        <w:pStyle w:val="BodyText"/>
        <w:numPr>
          <w:ilvl w:val="1"/>
          <w:numId w:val="32"/>
        </w:numPr>
        <w:tabs>
          <w:tab w:val="clear" w:pos="720"/>
          <w:tab w:val="left" w:pos="0" w:leader="none"/>
        </w:tabs>
        <w:spacing w:before="0" w:after="200"/>
        <w:ind w:hanging="283" w:left="1418"/>
        <w:rPr/>
      </w:pPr>
      <w:r>
        <w:rPr/>
        <w:t>Available mitigation</w:t>
      </w:r>
    </w:p>
    <w:p>
      <w:pPr>
        <w:pStyle w:val="BodyText"/>
        <w:numPr>
          <w:ilvl w:val="1"/>
          <w:numId w:val="32"/>
        </w:numPr>
        <w:tabs>
          <w:tab w:val="clear" w:pos="720"/>
          <w:tab w:val="left" w:pos="0" w:leader="none"/>
        </w:tabs>
        <w:spacing w:before="0" w:after="200"/>
        <w:ind w:hanging="283" w:left="1418"/>
        <w:rPr/>
      </w:pPr>
      <w:r>
        <w:rPr/>
        <w:t>Residual duty of explanation or reparation</w:t>
      </w:r>
    </w:p>
    <w:p>
      <w:pPr>
        <w:pStyle w:val="BodyText"/>
        <w:numPr>
          <w:ilvl w:val="0"/>
          <w:numId w:val="32"/>
        </w:numPr>
        <w:tabs>
          <w:tab w:val="clear" w:pos="720"/>
          <w:tab w:val="left" w:pos="0" w:leader="none"/>
        </w:tabs>
        <w:spacing w:before="0" w:after="200"/>
        <w:ind w:hanging="283" w:left="709"/>
        <w:rPr/>
      </w:pPr>
      <w:r>
        <w:rPr>
          <w:rStyle w:val="Strong"/>
        </w:rPr>
        <w:t>Threshold deontology</w:t>
      </w:r>
    </w:p>
    <w:p>
      <w:pPr>
        <w:pStyle w:val="BodyText"/>
        <w:numPr>
          <w:ilvl w:val="0"/>
          <w:numId w:val="0"/>
        </w:numPr>
        <w:spacing w:before="0" w:after="200"/>
        <w:ind w:hanging="0" w:left="0"/>
        <w:rPr/>
      </w:pPr>
      <w:r>
        <w:rPr/>
        <w:t>The architecture could distinguish:</w:t>
      </w:r>
    </w:p>
    <w:p>
      <w:pPr>
        <w:pStyle w:val="BodyText"/>
        <w:numPr>
          <w:ilvl w:val="1"/>
          <w:numId w:val="32"/>
        </w:numPr>
        <w:tabs>
          <w:tab w:val="clear" w:pos="720"/>
          <w:tab w:val="left" w:pos="0" w:leader="none"/>
        </w:tabs>
        <w:spacing w:before="0" w:after="200"/>
        <w:ind w:hanging="283" w:left="1418"/>
        <w:rPr/>
      </w:pPr>
      <w:r>
        <w:rPr/>
        <w:t>Absolute prohibitions</w:t>
      </w:r>
    </w:p>
    <w:p>
      <w:pPr>
        <w:pStyle w:val="BodyText"/>
        <w:numPr>
          <w:ilvl w:val="1"/>
          <w:numId w:val="32"/>
        </w:numPr>
        <w:tabs>
          <w:tab w:val="clear" w:pos="720"/>
          <w:tab w:val="left" w:pos="0" w:leader="none"/>
        </w:tabs>
        <w:spacing w:before="0" w:after="200"/>
        <w:ind w:hanging="283" w:left="1418"/>
        <w:rPr/>
      </w:pPr>
      <w:r>
        <w:rPr/>
        <w:t>Strong presumptive prohibitions</w:t>
      </w:r>
    </w:p>
    <w:p>
      <w:pPr>
        <w:pStyle w:val="BodyText"/>
        <w:numPr>
          <w:ilvl w:val="1"/>
          <w:numId w:val="32"/>
        </w:numPr>
        <w:tabs>
          <w:tab w:val="clear" w:pos="720"/>
          <w:tab w:val="left" w:pos="0" w:leader="none"/>
        </w:tabs>
        <w:spacing w:before="0" w:after="200"/>
        <w:ind w:hanging="283" w:left="1418"/>
        <w:rPr/>
      </w:pPr>
      <w:r>
        <w:rPr/>
        <w:t>Threshold-constrained prohibitions</w:t>
      </w:r>
    </w:p>
    <w:p>
      <w:pPr>
        <w:pStyle w:val="BodyText"/>
        <w:numPr>
          <w:ilvl w:val="1"/>
          <w:numId w:val="32"/>
        </w:numPr>
        <w:tabs>
          <w:tab w:val="clear" w:pos="720"/>
          <w:tab w:val="left" w:pos="0" w:leader="none"/>
        </w:tabs>
        <w:spacing w:before="0" w:after="200"/>
        <w:ind w:hanging="283" w:left="1418"/>
        <w:rPr/>
      </w:pPr>
      <w:r>
        <w:rPr/>
        <w:t xml:space="preserve">Ordinary </w:t>
      </w:r>
      <w:r>
        <w:rPr>
          <w:rStyle w:val="Emphasis"/>
        </w:rPr>
        <w:t>prima facie</w:t>
      </w:r>
      <w:r>
        <w:rPr/>
        <w:t xml:space="preserve"> duties</w:t>
      </w:r>
    </w:p>
    <w:p>
      <w:pPr>
        <w:pStyle w:val="BodyText"/>
        <w:numPr>
          <w:ilvl w:val="1"/>
          <w:numId w:val="32"/>
        </w:numPr>
        <w:tabs>
          <w:tab w:val="clear" w:pos="720"/>
          <w:tab w:val="left" w:pos="0" w:leader="none"/>
        </w:tabs>
        <w:spacing w:before="0" w:after="200"/>
        <w:ind w:hanging="283" w:left="1418"/>
        <w:rPr/>
      </w:pPr>
      <w:r>
        <w:rPr/>
        <w:t>Discretionary permissions</w:t>
      </w:r>
    </w:p>
    <w:p>
      <w:pPr>
        <w:pStyle w:val="BodyText"/>
        <w:numPr>
          <w:ilvl w:val="0"/>
          <w:numId w:val="0"/>
        </w:numPr>
        <w:spacing w:before="0" w:after="200"/>
        <w:ind w:hanging="0" w:left="0"/>
        <w:rPr/>
      </w:pPr>
      <w:r>
        <w:rPr/>
        <w:t xml:space="preserve">Any threshold should be explicit and subject to sensitivity analysis. Threshold deontology remains controversial because the placement of the threshold can appear arbitrary and may cause the theory to collapse into consequentialism once the threshold is crossed. </w:t>
      </w:r>
      <w:hyperlink r:id="rId129">
        <w:r>
          <w:rPr>
            <w:rStyle w:val="Hyperlink"/>
          </w:rPr>
          <w:t>Stanford Encyclopedia of Philosophy</w:t>
        </w:r>
      </w:hyperlink>
    </w:p>
    <w:p>
      <w:pPr>
        <w:pStyle w:val="BodyText"/>
        <w:numPr>
          <w:ilvl w:val="0"/>
          <w:numId w:val="32"/>
        </w:numPr>
        <w:tabs>
          <w:tab w:val="clear" w:pos="720"/>
          <w:tab w:val="left" w:pos="0" w:leader="none"/>
        </w:tabs>
        <w:spacing w:before="0" w:after="200"/>
        <w:ind w:hanging="283" w:left="709"/>
        <w:rPr/>
      </w:pPr>
      <w:r>
        <w:rPr>
          <w:rStyle w:val="Strong"/>
        </w:rPr>
        <w:t>Intent, maxim, and means representation</w:t>
      </w:r>
    </w:p>
    <w:p>
      <w:pPr>
        <w:pStyle w:val="BodyText"/>
        <w:numPr>
          <w:ilvl w:val="0"/>
          <w:numId w:val="0"/>
        </w:numPr>
        <w:spacing w:before="0" w:after="200"/>
        <w:ind w:hanging="0" w:left="0"/>
        <w:rPr/>
      </w:pPr>
      <w:r>
        <w:rPr/>
        <w:t>The Assessed Action could separately represent:</w:t>
      </w:r>
    </w:p>
    <w:p>
      <w:pPr>
        <w:pStyle w:val="BodyText"/>
        <w:numPr>
          <w:ilvl w:val="1"/>
          <w:numId w:val="32"/>
        </w:numPr>
        <w:tabs>
          <w:tab w:val="clear" w:pos="720"/>
          <w:tab w:val="left" w:pos="0" w:leader="none"/>
        </w:tabs>
        <w:spacing w:before="0" w:after="200"/>
        <w:ind w:hanging="283" w:left="1418"/>
        <w:rPr/>
      </w:pPr>
      <w:r>
        <w:rPr/>
        <w:t>The Actor’s stated objective</w:t>
      </w:r>
    </w:p>
    <w:p>
      <w:pPr>
        <w:pStyle w:val="BodyText"/>
        <w:numPr>
          <w:ilvl w:val="1"/>
          <w:numId w:val="32"/>
        </w:numPr>
        <w:tabs>
          <w:tab w:val="clear" w:pos="720"/>
          <w:tab w:val="left" w:pos="0" w:leader="none"/>
        </w:tabs>
        <w:spacing w:before="0" w:after="200"/>
        <w:ind w:hanging="283" w:left="1418"/>
        <w:rPr/>
      </w:pPr>
      <w:r>
        <w:rPr/>
        <w:t>The Actor’s operative maxim</w:t>
      </w:r>
    </w:p>
    <w:p>
      <w:pPr>
        <w:pStyle w:val="BodyText"/>
        <w:numPr>
          <w:ilvl w:val="1"/>
          <w:numId w:val="32"/>
        </w:numPr>
        <w:tabs>
          <w:tab w:val="clear" w:pos="720"/>
          <w:tab w:val="left" w:pos="0" w:leader="none"/>
        </w:tabs>
        <w:spacing w:before="0" w:after="200"/>
        <w:ind w:hanging="283" w:left="1418"/>
        <w:rPr/>
      </w:pPr>
      <w:r>
        <w:rPr/>
        <w:t>Intended ends</w:t>
      </w:r>
    </w:p>
    <w:p>
      <w:pPr>
        <w:pStyle w:val="BodyText"/>
        <w:numPr>
          <w:ilvl w:val="1"/>
          <w:numId w:val="32"/>
        </w:numPr>
        <w:tabs>
          <w:tab w:val="clear" w:pos="720"/>
          <w:tab w:val="left" w:pos="0" w:leader="none"/>
        </w:tabs>
        <w:spacing w:before="0" w:after="200"/>
        <w:ind w:hanging="283" w:left="1418"/>
        <w:rPr/>
      </w:pPr>
      <w:r>
        <w:rPr/>
        <w:t>Intended means</w:t>
      </w:r>
    </w:p>
    <w:p>
      <w:pPr>
        <w:pStyle w:val="BodyText"/>
        <w:numPr>
          <w:ilvl w:val="1"/>
          <w:numId w:val="32"/>
        </w:numPr>
        <w:tabs>
          <w:tab w:val="clear" w:pos="720"/>
          <w:tab w:val="left" w:pos="0" w:leader="none"/>
        </w:tabs>
        <w:spacing w:before="0" w:after="200"/>
        <w:ind w:hanging="283" w:left="1418"/>
        <w:rPr/>
      </w:pPr>
      <w:r>
        <w:rPr/>
        <w:t>Foreseen but unintended consequences</w:t>
      </w:r>
    </w:p>
    <w:p>
      <w:pPr>
        <w:pStyle w:val="BodyText"/>
        <w:numPr>
          <w:ilvl w:val="1"/>
          <w:numId w:val="32"/>
        </w:numPr>
        <w:tabs>
          <w:tab w:val="clear" w:pos="720"/>
          <w:tab w:val="left" w:pos="0" w:leader="none"/>
        </w:tabs>
        <w:spacing w:before="0" w:after="200"/>
        <w:ind w:hanging="283" w:left="1418"/>
        <w:rPr/>
      </w:pPr>
      <w:r>
        <w:rPr/>
        <w:t>Risks accepted</w:t>
      </w:r>
    </w:p>
    <w:p>
      <w:pPr>
        <w:pStyle w:val="BodyText"/>
        <w:numPr>
          <w:ilvl w:val="1"/>
          <w:numId w:val="32"/>
        </w:numPr>
        <w:tabs>
          <w:tab w:val="clear" w:pos="720"/>
          <w:tab w:val="left" w:pos="0" w:leader="none"/>
        </w:tabs>
        <w:spacing w:before="0" w:after="200"/>
        <w:ind w:hanging="283" w:left="1418"/>
        <w:rPr/>
      </w:pPr>
      <w:r>
        <w:rPr/>
        <w:t>Consequences that were not reasonably foreseeable</w:t>
      </w:r>
    </w:p>
    <w:p>
      <w:pPr>
        <w:pStyle w:val="BodyText"/>
        <w:numPr>
          <w:ilvl w:val="0"/>
          <w:numId w:val="0"/>
        </w:numPr>
        <w:spacing w:before="0" w:after="200"/>
        <w:ind w:hanging="0" w:left="0"/>
        <w:rPr/>
      </w:pPr>
      <w:r>
        <w:rPr/>
        <w:t>This would strengthen the distinction between causal contribution and moral responsibility.</w:t>
      </w:r>
    </w:p>
    <w:p>
      <w:pPr>
        <w:pStyle w:val="BodyText"/>
        <w:numPr>
          <w:ilvl w:val="0"/>
          <w:numId w:val="32"/>
        </w:numPr>
        <w:tabs>
          <w:tab w:val="clear" w:pos="720"/>
          <w:tab w:val="left" w:pos="0" w:leader="none"/>
        </w:tabs>
        <w:spacing w:before="0" w:after="200"/>
        <w:ind w:hanging="283" w:left="709"/>
        <w:rPr/>
      </w:pPr>
      <w:r>
        <w:rPr>
          <w:rStyle w:val="Strong"/>
        </w:rPr>
        <w:t>Role-specific and institutional duties</w:t>
      </w:r>
    </w:p>
    <w:p>
      <w:pPr>
        <w:pStyle w:val="BodyText"/>
        <w:numPr>
          <w:ilvl w:val="0"/>
          <w:numId w:val="0"/>
        </w:numPr>
        <w:spacing w:before="0" w:after="200"/>
        <w:ind w:hanging="0" w:left="0"/>
        <w:rPr/>
      </w:pPr>
      <w:r>
        <w:rPr/>
        <w:t>Professional, fiduciary, governmental, parental, contractual, and system-operator responsibilities could be modeled as obligations arising from Associations and legitimate roles. Possessing power or technical control would not itself establish legitimate authority.</w:t>
      </w:r>
    </w:p>
    <w:p>
      <w:pPr>
        <w:pStyle w:val="BodyText"/>
        <w:numPr>
          <w:ilvl w:val="0"/>
          <w:numId w:val="32"/>
        </w:numPr>
        <w:tabs>
          <w:tab w:val="clear" w:pos="720"/>
          <w:tab w:val="left" w:pos="0" w:leader="none"/>
        </w:tabs>
        <w:spacing w:before="0" w:after="200"/>
        <w:ind w:hanging="283" w:left="709"/>
        <w:rPr/>
      </w:pPr>
      <w:r>
        <w:rPr>
          <w:rStyle w:val="Strong"/>
        </w:rPr>
        <w:t>Consent and non-manipulation tests</w:t>
      </w:r>
    </w:p>
    <w:p>
      <w:pPr>
        <w:pStyle w:val="BodyText"/>
        <w:numPr>
          <w:ilvl w:val="0"/>
          <w:numId w:val="0"/>
        </w:numPr>
        <w:spacing w:before="0" w:after="200"/>
        <w:ind w:hanging="0" w:left="0"/>
        <w:rPr/>
      </w:pPr>
      <w:r>
        <w:rPr/>
        <w:t>The framework could require explicit evaluation of whether affected entities had adequate information, decision capacity, voluntariness, and a meaningful opportunity to refuse. Consent would not necessarily make every action permissible, but its absence would become a clearly represented constraint.</w:t>
      </w:r>
    </w:p>
    <w:p>
      <w:pPr>
        <w:pStyle w:val="BodyText"/>
        <w:numPr>
          <w:ilvl w:val="0"/>
          <w:numId w:val="32"/>
        </w:numPr>
        <w:tabs>
          <w:tab w:val="clear" w:pos="720"/>
          <w:tab w:val="left" w:pos="0" w:leader="none"/>
        </w:tabs>
        <w:spacing w:before="0" w:after="200"/>
        <w:ind w:hanging="283" w:left="709"/>
        <w:rPr/>
      </w:pPr>
      <w:r>
        <w:rPr>
          <w:rStyle w:val="Strong"/>
        </w:rPr>
        <w:t>Trustworthiness and accountability</w:t>
      </w:r>
    </w:p>
    <w:p>
      <w:pPr>
        <w:pStyle w:val="BodyText"/>
        <w:numPr>
          <w:ilvl w:val="0"/>
          <w:numId w:val="0"/>
        </w:numPr>
        <w:spacing w:before="0" w:after="200"/>
        <w:ind w:hanging="0" w:left="0"/>
        <w:rPr/>
      </w:pPr>
      <w:r>
        <w:rPr/>
        <w:t>O’Neill’s work on trust and institutional responsibility could strengthen the framework’s representation of information quality, transparency, communication, reliance, and legitimate accountability. This is particularly applicable to healthcare, government, financial systems, and artificial intelligence.</w:t>
      </w:r>
    </w:p>
    <w:p>
      <w:pPr>
        <w:pStyle w:val="BodyText"/>
        <w:numPr>
          <w:ilvl w:val="0"/>
          <w:numId w:val="32"/>
        </w:numPr>
        <w:tabs>
          <w:tab w:val="clear" w:pos="720"/>
          <w:tab w:val="left" w:pos="0" w:leader="none"/>
        </w:tabs>
        <w:spacing w:before="0" w:after="200"/>
        <w:ind w:hanging="283" w:left="709"/>
        <w:rPr/>
      </w:pPr>
      <w:r>
        <w:rPr>
          <w:rStyle w:val="Strong"/>
        </w:rPr>
        <w:t>Two-stage assessment output</w:t>
      </w:r>
    </w:p>
    <w:p>
      <w:pPr>
        <w:pStyle w:val="BodyText"/>
        <w:numPr>
          <w:ilvl w:val="0"/>
          <w:numId w:val="0"/>
        </w:numPr>
        <w:spacing w:before="0" w:after="200"/>
        <w:ind w:hanging="0" w:left="0"/>
        <w:rPr/>
      </w:pPr>
      <w:r>
        <w:rPr/>
        <w:t>A practical implementation could report two distinct results:</w:t>
      </w:r>
    </w:p>
    <w:p>
      <w:pPr>
        <w:pStyle w:val="BodyText"/>
        <w:numPr>
          <w:ilvl w:val="1"/>
          <w:numId w:val="32"/>
        </w:numPr>
        <w:tabs>
          <w:tab w:val="clear" w:pos="720"/>
          <w:tab w:val="left" w:pos="0" w:leader="none"/>
        </w:tabs>
        <w:spacing w:before="0" w:after="200"/>
        <w:ind w:hanging="283" w:left="1418"/>
        <w:rPr/>
      </w:pPr>
      <w:r>
        <w:rPr>
          <w:rStyle w:val="Strong"/>
        </w:rPr>
        <w:t>Deontic status:</w:t>
      </w:r>
      <w:r>
        <w:rPr/>
        <w:t xml:space="preserve"> required, permitted, prohibited, or conditionally permitted.</w:t>
      </w:r>
    </w:p>
    <w:p>
      <w:pPr>
        <w:pStyle w:val="BodyText"/>
        <w:numPr>
          <w:ilvl w:val="1"/>
          <w:numId w:val="32"/>
        </w:numPr>
        <w:tabs>
          <w:tab w:val="clear" w:pos="720"/>
          <w:tab w:val="left" w:pos="0" w:leader="none"/>
        </w:tabs>
        <w:spacing w:before="0" w:after="200"/>
        <w:ind w:hanging="283" w:left="1418"/>
        <w:rPr/>
      </w:pPr>
      <w:r>
        <w:rPr>
          <w:rStyle w:val="Strong"/>
        </w:rPr>
        <w:t>World Context assessment:</w:t>
      </w:r>
      <w:r>
        <w:rPr/>
        <w:t xml:space="preserve"> beneficial, detrimental, ambiguous, or confidence-limited.</w:t>
      </w:r>
    </w:p>
    <w:p>
      <w:pPr>
        <w:pStyle w:val="BodyText"/>
        <w:numPr>
          <w:ilvl w:val="0"/>
          <w:numId w:val="0"/>
        </w:numPr>
        <w:spacing w:before="0" w:after="200"/>
        <w:ind w:hanging="0" w:left="0"/>
        <w:rPr/>
      </w:pPr>
      <w:r>
        <w:rPr/>
        <w:t>An action producing a favorable predicted transition but violating a strong duty would therefore not automatically be recommended. The conflict would remain explicit for review.</w:t>
      </w:r>
    </w:p>
    <w:p>
      <w:pPr>
        <w:pStyle w:val="BodyText"/>
        <w:numPr>
          <w:ilvl w:val="0"/>
          <w:numId w:val="32"/>
        </w:numPr>
        <w:tabs>
          <w:tab w:val="clear" w:pos="720"/>
          <w:tab w:val="left" w:pos="0" w:leader="none"/>
        </w:tabs>
        <w:spacing w:before="0" w:after="200"/>
        <w:ind w:hanging="283" w:left="709"/>
        <w:rPr/>
      </w:pPr>
      <w:r>
        <w:rPr>
          <w:rStyle w:val="Strong"/>
        </w:rPr>
        <w:t>Artificial-system governance</w:t>
      </w:r>
    </w:p>
    <w:p>
      <w:pPr>
        <w:pStyle w:val="BodyText"/>
        <w:numPr>
          <w:ilvl w:val="0"/>
          <w:numId w:val="0"/>
        </w:numPr>
        <w:spacing w:before="0" w:after="200"/>
        <w:ind w:hanging="0" w:left="0"/>
        <w:rPr/>
      </w:pPr>
      <w:r>
        <w:rPr/>
        <w:t>Deontological rules can provide high-assurance boundaries for autonomous and AI systems, particularly where probabilistic outcome models are unreliable. Prohibitions on deception, unauthorized coercion, discriminatory treatment, privacy invasion, or manipulation could operate as enforceable constraints while the broader architecture evaluates Long-Term Flourishing and World Context effects.</w:t>
      </w:r>
    </w:p>
    <w:p>
      <w:pPr>
        <w:pStyle w:val="BodyText"/>
        <w:spacing w:before="0" w:after="200"/>
        <w:rPr/>
      </w:pPr>
      <w:r>
        <w:rPr/>
        <w:t>The strongest integration would use deontology to supply explicit duties, permissions, prohibitions, autonomy protections, and tests concerning the Actor’s maxim and means. The proposed framework would then evaluate the systemic consequences of observing or violating those duties. This combination would preserve deontology’s protection against sacrificing entities for aggregate benefit while retaining the framework’s ability to evaluate uncertainty, institutional effects, Distributed Policy Effects, and Long-Term Flourishing across the complete World Context.</w:t>
      </w:r>
    </w:p>
    <w:p>
      <w:pPr>
        <w:pStyle w:val="Heading3"/>
        <w:ind w:hanging="0" w:left="0"/>
        <w:rPr/>
      </w:pPr>
      <w:r>
        <w:rPr/>
        <w:t>Virtue Ethics</w:t>
      </w:r>
    </w:p>
    <w:p>
      <w:pPr>
        <w:pStyle w:val="BodyText"/>
        <w:spacing w:before="0" w:after="200"/>
        <w:rPr/>
      </w:pPr>
      <w:r>
        <w:rPr/>
        <w:t>Virtue ethics is a family of normative approaches that places the character of the Moral Agent, the development of moral excellence, and the pursuit of a flourishing life at the center of ethical assessment. In contrast to theories that begin with duties or consequences, virtue ethics asks what kind of person an Actor is becoming, what a practically wise and virtuous person would do in the circumstances, and whether the Actor’s conduct contributes to a well-lived life within a flourishing community. Its central concepts commonly include virtue or excellence (</w:t>
      </w:r>
      <w:r>
        <w:rPr>
          <w:rStyle w:val="Emphasis"/>
        </w:rPr>
        <w:t>aretê</w:t>
      </w:r>
      <w:r>
        <w:rPr/>
        <w:t>), practical wisdom (</w:t>
      </w:r>
      <w:r>
        <w:rPr>
          <w:rStyle w:val="Emphasis"/>
        </w:rPr>
        <w:t>phronesis</w:t>
      </w:r>
      <w:r>
        <w:rPr/>
        <w:t>), and flourishing (</w:t>
      </w:r>
      <w:r>
        <w:rPr>
          <w:rStyle w:val="Emphasis"/>
        </w:rPr>
        <w:t>eudaimonia</w:t>
      </w:r>
      <w:r>
        <w:rPr/>
        <w:t xml:space="preserve">). Contemporary approaches include eudaimonist, agent-based, exemplarist, target-centered, and Platonistic forms. </w:t>
      </w:r>
      <w:hyperlink r:id="rId130">
        <w:r>
          <w:rPr>
            <w:rStyle w:val="Hyperlink"/>
          </w:rPr>
          <w:t>Stanford Encyclopedia of Philosophy</w:t>
        </w:r>
      </w:hyperlink>
    </w:p>
    <w:p>
      <w:pPr>
        <w:pStyle w:val="Heading4"/>
        <w:ind w:hanging="0" w:left="0"/>
        <w:rPr>
          <w:rFonts w:ascii="Aptos" w:hAnsi="Aptos"/>
          <w:color w:val="auto"/>
        </w:rPr>
      </w:pPr>
      <w:r>
        <w:rPr/>
        <w:t>Primary Experts</w:t>
      </w:r>
    </w:p>
    <w:tbl>
      <w:tblPr>
        <w:tblW w:w="8640" w:type="dxa"/>
        <w:jc w:val="left"/>
        <w:tblInd w:w="28" w:type="dxa"/>
        <w:tblLayout w:type="fixed"/>
        <w:tblCellMar>
          <w:top w:w="28" w:type="dxa"/>
          <w:left w:w="28" w:type="dxa"/>
          <w:bottom w:w="28" w:type="dxa"/>
          <w:right w:w="28" w:type="dxa"/>
        </w:tblCellMar>
      </w:tblPr>
      <w:tblGrid>
        <w:gridCol w:w="1213"/>
        <w:gridCol w:w="718"/>
        <w:gridCol w:w="2312"/>
        <w:gridCol w:w="4397"/>
      </w:tblGrid>
      <w:tr>
        <w:trPr>
          <w:tblHeader w:val="true"/>
        </w:trPr>
        <w:tc>
          <w:tcPr>
            <w:tcW w:w="1213" w:type="dxa"/>
            <w:tcBorders/>
            <w:vAlign w:val="center"/>
          </w:tcPr>
          <w:p>
            <w:pPr>
              <w:pStyle w:val="TableHeading"/>
              <w:suppressLineNumbers/>
              <w:spacing w:before="0" w:after="200"/>
              <w:jc w:val="center"/>
              <w:rPr/>
            </w:pPr>
            <w:r>
              <w:rPr/>
              <w:t>Expert</w:t>
            </w:r>
          </w:p>
        </w:tc>
        <w:tc>
          <w:tcPr>
            <w:tcW w:w="718" w:type="dxa"/>
            <w:tcBorders/>
            <w:vAlign w:val="center"/>
          </w:tcPr>
          <w:p>
            <w:pPr>
              <w:pStyle w:val="TableHeading"/>
              <w:spacing w:before="0" w:after="200"/>
              <w:jc w:val="right"/>
              <w:rPr/>
            </w:pPr>
            <w:r>
              <w:rPr/>
              <w:t>Life</w:t>
            </w:r>
          </w:p>
        </w:tc>
        <w:tc>
          <w:tcPr>
            <w:tcW w:w="2312" w:type="dxa"/>
            <w:tcBorders/>
            <w:vAlign w:val="center"/>
          </w:tcPr>
          <w:p>
            <w:pPr>
              <w:pStyle w:val="TableHeading"/>
              <w:suppressLineNumbers/>
              <w:spacing w:before="0" w:after="200"/>
              <w:jc w:val="center"/>
              <w:rPr/>
            </w:pPr>
            <w:r>
              <w:rPr/>
              <w:t>Associated institution</w:t>
            </w:r>
          </w:p>
        </w:tc>
        <w:tc>
          <w:tcPr>
            <w:tcW w:w="4397" w:type="dxa"/>
            <w:tcBorders/>
            <w:vAlign w:val="center"/>
          </w:tcPr>
          <w:p>
            <w:pPr>
              <w:pStyle w:val="TableHeading"/>
              <w:suppressLineNumbers/>
              <w:spacing w:before="0" w:after="200"/>
              <w:jc w:val="center"/>
              <w:rPr/>
            </w:pPr>
            <w:r>
              <w:rPr/>
              <w:t>Principal contribution</w:t>
            </w:r>
          </w:p>
        </w:tc>
      </w:tr>
      <w:tr>
        <w:trPr/>
        <w:tc>
          <w:tcPr>
            <w:tcW w:w="1213" w:type="dxa"/>
            <w:tcBorders/>
            <w:vAlign w:val="center"/>
          </w:tcPr>
          <w:p>
            <w:pPr>
              <w:pStyle w:val="TableContents"/>
              <w:widowControl w:val="false"/>
              <w:suppressLineNumbers/>
              <w:spacing w:before="0" w:after="200"/>
              <w:rPr/>
            </w:pPr>
            <w:r>
              <w:rPr/>
              <w:t>Aristotle</w:t>
            </w:r>
          </w:p>
        </w:tc>
        <w:tc>
          <w:tcPr>
            <w:tcW w:w="718" w:type="dxa"/>
            <w:tcBorders/>
            <w:vAlign w:val="center"/>
          </w:tcPr>
          <w:p>
            <w:pPr>
              <w:pStyle w:val="TableContents"/>
              <w:spacing w:before="0" w:after="200"/>
              <w:jc w:val="right"/>
              <w:rPr/>
            </w:pPr>
            <w:r>
              <w:rPr/>
              <w:t>384–322 BCE</w:t>
            </w:r>
          </w:p>
        </w:tc>
        <w:tc>
          <w:tcPr>
            <w:tcW w:w="2312" w:type="dxa"/>
            <w:tcBorders/>
            <w:vAlign w:val="center"/>
          </w:tcPr>
          <w:p>
            <w:pPr>
              <w:pStyle w:val="TableContents"/>
              <w:widowControl w:val="false"/>
              <w:suppressLineNumbers/>
              <w:spacing w:before="0" w:after="200"/>
              <w:rPr/>
            </w:pPr>
            <w:r>
              <w:rPr/>
              <w:t>Plato’s Academy and the Lyceum in Athens</w:t>
            </w:r>
          </w:p>
        </w:tc>
        <w:tc>
          <w:tcPr>
            <w:tcW w:w="4397" w:type="dxa"/>
            <w:tcBorders/>
            <w:vAlign w:val="center"/>
          </w:tcPr>
          <w:p>
            <w:pPr>
              <w:pStyle w:val="TableContents"/>
              <w:widowControl w:val="false"/>
              <w:suppressLineNumbers/>
              <w:spacing w:before="0" w:after="200"/>
              <w:rPr/>
            </w:pPr>
            <w:r>
              <w:rPr/>
              <w:t xml:space="preserve">Developed the foundational Western account of virtue ethics. Aristotle understood virtues as rational, emotional, and social excellences developed through habituation and guided by practical wisdom. Virtuous activity is a central constituent of </w:t>
            </w:r>
            <w:r>
              <w:rPr>
                <w:rStyle w:val="Emphasis"/>
              </w:rPr>
              <w:t>eudaimonia</w:t>
            </w:r>
            <w:r>
              <w:rPr/>
              <w:t xml:space="preserve">, or living well across a complete life. Aristotle studied at Plato’s Academy and later directed the Lyceum. </w:t>
            </w:r>
            <w:hyperlink r:id="rId131">
              <w:r>
                <w:rPr>
                  <w:rStyle w:val="Hyperlink"/>
                </w:rPr>
                <w:t>Stanford Encyclopedia of Philosophy</w:t>
              </w:r>
            </w:hyperlink>
            <w:r>
              <w:rPr/>
              <w:t xml:space="preserve">, </w:t>
            </w:r>
            <w:hyperlink r:id="rId132">
              <w:r>
                <w:rPr>
                  <w:rStyle w:val="Hyperlink"/>
                </w:rPr>
                <w:t>Aristotle’s Psychology</w:t>
              </w:r>
            </w:hyperlink>
          </w:p>
        </w:tc>
      </w:tr>
      <w:tr>
        <w:trPr/>
        <w:tc>
          <w:tcPr>
            <w:tcW w:w="1213" w:type="dxa"/>
            <w:tcBorders/>
            <w:vAlign w:val="center"/>
          </w:tcPr>
          <w:p>
            <w:pPr>
              <w:pStyle w:val="TableContents"/>
              <w:widowControl w:val="false"/>
              <w:suppressLineNumbers/>
              <w:spacing w:before="0" w:after="200"/>
              <w:rPr/>
            </w:pPr>
            <w:r>
              <w:rPr/>
              <w:t>G. E. M. Anscombe</w:t>
            </w:r>
          </w:p>
        </w:tc>
        <w:tc>
          <w:tcPr>
            <w:tcW w:w="718" w:type="dxa"/>
            <w:tcBorders/>
            <w:vAlign w:val="center"/>
          </w:tcPr>
          <w:p>
            <w:pPr>
              <w:pStyle w:val="TableContents"/>
              <w:spacing w:before="0" w:after="200"/>
              <w:jc w:val="right"/>
              <w:rPr/>
            </w:pPr>
            <w:r>
              <w:rPr/>
              <w:t>1919–2001</w:t>
            </w:r>
          </w:p>
        </w:tc>
        <w:tc>
          <w:tcPr>
            <w:tcW w:w="2312" w:type="dxa"/>
            <w:tcBorders/>
            <w:vAlign w:val="center"/>
          </w:tcPr>
          <w:p>
            <w:pPr>
              <w:pStyle w:val="TableContents"/>
              <w:widowControl w:val="false"/>
              <w:suppressLineNumbers/>
              <w:spacing w:before="0" w:after="200"/>
              <w:rPr/>
            </w:pPr>
            <w:r>
              <w:rPr/>
              <w:t>University of Cambridge—Professor of Philosophy, 1970–1986</w:t>
            </w:r>
          </w:p>
        </w:tc>
        <w:tc>
          <w:tcPr>
            <w:tcW w:w="4397" w:type="dxa"/>
            <w:tcBorders/>
            <w:vAlign w:val="center"/>
          </w:tcPr>
          <w:p>
            <w:pPr>
              <w:pStyle w:val="TableContents"/>
              <w:widowControl w:val="false"/>
              <w:suppressLineNumbers/>
              <w:spacing w:before="0" w:after="200"/>
              <w:rPr/>
            </w:pPr>
            <w:r>
              <w:rPr/>
              <w:t xml:space="preserve">Helped initiate the modern revival of virtue ethics through her critique of modern obligation-centered moral theories and her work on intention, action, and practical reasoning. Her essay “Modern Moral Philosophy” influenced the development of virtue ethics as an alternative to utilitarianism and rule-centered deontology. </w:t>
            </w:r>
            <w:hyperlink r:id="rId133">
              <w:r>
                <w:rPr>
                  <w:rStyle w:val="Hyperlink"/>
                </w:rPr>
                <w:t>University of Cambridge</w:t>
              </w:r>
            </w:hyperlink>
            <w:r>
              <w:rPr/>
              <w:t xml:space="preserve">, </w:t>
            </w:r>
            <w:hyperlink r:id="rId134">
              <w:r>
                <w:rPr>
                  <w:rStyle w:val="Hyperlink"/>
                </w:rPr>
                <w:t>Stanford Encyclopedia of Philosophy</w:t>
              </w:r>
            </w:hyperlink>
          </w:p>
        </w:tc>
      </w:tr>
      <w:tr>
        <w:trPr/>
        <w:tc>
          <w:tcPr>
            <w:tcW w:w="1213" w:type="dxa"/>
            <w:tcBorders/>
            <w:vAlign w:val="center"/>
          </w:tcPr>
          <w:p>
            <w:pPr>
              <w:pStyle w:val="TableContents"/>
              <w:widowControl w:val="false"/>
              <w:suppressLineNumbers/>
              <w:spacing w:before="0" w:after="200"/>
              <w:rPr/>
            </w:pPr>
            <w:r>
              <w:rPr/>
              <w:t>Philippa Foot</w:t>
            </w:r>
          </w:p>
        </w:tc>
        <w:tc>
          <w:tcPr>
            <w:tcW w:w="718" w:type="dxa"/>
            <w:tcBorders/>
            <w:vAlign w:val="center"/>
          </w:tcPr>
          <w:p>
            <w:pPr>
              <w:pStyle w:val="TableContents"/>
              <w:spacing w:before="0" w:after="200"/>
              <w:jc w:val="right"/>
              <w:rPr/>
            </w:pPr>
            <w:r>
              <w:rPr/>
              <w:t>1920–2010</w:t>
            </w:r>
          </w:p>
        </w:tc>
        <w:tc>
          <w:tcPr>
            <w:tcW w:w="2312" w:type="dxa"/>
            <w:tcBorders/>
            <w:vAlign w:val="center"/>
          </w:tcPr>
          <w:p>
            <w:pPr>
              <w:pStyle w:val="TableContents"/>
              <w:widowControl w:val="false"/>
              <w:suppressLineNumbers/>
              <w:spacing w:before="0" w:after="200"/>
              <w:rPr/>
            </w:pPr>
            <w:r>
              <w:rPr/>
              <w:t>University of Oxford—Fellow and Tutor in Philosophy, Somerville College; later associated with the University of California, Los Angeles</w:t>
            </w:r>
          </w:p>
        </w:tc>
        <w:tc>
          <w:tcPr>
            <w:tcW w:w="4397" w:type="dxa"/>
            <w:tcBorders/>
            <w:vAlign w:val="center"/>
          </w:tcPr>
          <w:p>
            <w:pPr>
              <w:pStyle w:val="TableContents"/>
              <w:widowControl w:val="false"/>
              <w:suppressLineNumbers/>
              <w:spacing w:before="0" w:after="200"/>
              <w:rPr/>
            </w:pPr>
            <w:r>
              <w:rPr/>
              <w:t xml:space="preserve">Developed a neo-Aristotelian account of “natural goodness,” arguing that moral virtues are forms of human excellence grounded in the characteristic needs and flourishing of human life. Foot was an important contributor to the twentieth-century revival of virtue ethics. </w:t>
            </w:r>
            <w:hyperlink r:id="rId135">
              <w:r>
                <w:rPr>
                  <w:rStyle w:val="Hyperlink"/>
                </w:rPr>
                <w:t>Somerville College, Oxford</w:t>
              </w:r>
            </w:hyperlink>
            <w:r>
              <w:rPr/>
              <w:t xml:space="preserve">, </w:t>
            </w:r>
            <w:hyperlink r:id="rId136">
              <w:r>
                <w:rPr>
                  <w:rStyle w:val="Hyperlink"/>
                </w:rPr>
                <w:t>Stanford Encyclopedia of Philosophy</w:t>
              </w:r>
            </w:hyperlink>
          </w:p>
        </w:tc>
      </w:tr>
      <w:tr>
        <w:trPr/>
        <w:tc>
          <w:tcPr>
            <w:tcW w:w="1213" w:type="dxa"/>
            <w:tcBorders/>
            <w:vAlign w:val="center"/>
          </w:tcPr>
          <w:p>
            <w:pPr>
              <w:pStyle w:val="TableContents"/>
              <w:widowControl w:val="false"/>
              <w:suppressLineNumbers/>
              <w:spacing w:before="0" w:after="200"/>
              <w:rPr/>
            </w:pPr>
            <w:r>
              <w:rPr/>
              <w:t>Alasdair MacIntyre</w:t>
            </w:r>
          </w:p>
        </w:tc>
        <w:tc>
          <w:tcPr>
            <w:tcW w:w="718" w:type="dxa"/>
            <w:tcBorders/>
            <w:vAlign w:val="center"/>
          </w:tcPr>
          <w:p>
            <w:pPr>
              <w:pStyle w:val="TableContents"/>
              <w:spacing w:before="0" w:after="200"/>
              <w:jc w:val="right"/>
              <w:rPr/>
            </w:pPr>
            <w:r>
              <w:rPr/>
              <w:t>1929–2025</w:t>
            </w:r>
          </w:p>
        </w:tc>
        <w:tc>
          <w:tcPr>
            <w:tcW w:w="2312" w:type="dxa"/>
            <w:tcBorders/>
            <w:vAlign w:val="center"/>
          </w:tcPr>
          <w:p>
            <w:pPr>
              <w:pStyle w:val="TableContents"/>
              <w:widowControl w:val="false"/>
              <w:suppressLineNumbers/>
              <w:spacing w:before="0" w:after="200"/>
              <w:rPr/>
            </w:pPr>
            <w:r>
              <w:rPr/>
              <w:t>University of Notre Dame—Rev. John A. O’Brien Senior Research Professor of Philosophy Emeritus and senior research fellow at the de Nicola Center for Ethics and Culture</w:t>
            </w:r>
          </w:p>
        </w:tc>
        <w:tc>
          <w:tcPr>
            <w:tcW w:w="4397" w:type="dxa"/>
            <w:tcBorders/>
            <w:vAlign w:val="center"/>
          </w:tcPr>
          <w:p>
            <w:pPr>
              <w:pStyle w:val="TableContents"/>
              <w:widowControl w:val="false"/>
              <w:suppressLineNumbers/>
              <w:spacing w:before="0" w:after="200"/>
              <w:rPr/>
            </w:pPr>
            <w:r>
              <w:rPr/>
              <w:t xml:space="preserve">Reframed virtue ethics around practices, internal goods, traditions, communities, and the narrative unity of a human life. </w:t>
            </w:r>
            <w:r>
              <w:rPr>
                <w:rStyle w:val="Emphasis"/>
              </w:rPr>
              <w:t>After Virtue</w:t>
            </w:r>
            <w:r>
              <w:rPr/>
              <w:t xml:space="preserve"> argued that virtues cannot be adequately understood apart from the social practices and historical traditions within which moral reasoning develops. MacIntyre died on May 21, 2025. </w:t>
            </w:r>
            <w:hyperlink r:id="rId137">
              <w:r>
                <w:rPr>
                  <w:rStyle w:val="Hyperlink"/>
                </w:rPr>
                <w:t>University of Notre Dame</w:t>
              </w:r>
            </w:hyperlink>
          </w:p>
        </w:tc>
      </w:tr>
    </w:tbl>
    <w:p>
      <w:pPr>
        <w:pStyle w:val="Heading4"/>
        <w:ind w:hanging="0" w:left="0"/>
        <w:rPr>
          <w:rFonts w:ascii="Aptos" w:hAnsi="Aptos"/>
          <w:color w:val="auto"/>
        </w:rPr>
      </w:pPr>
      <w:r>
        <w:rPr/>
        <w:t>Core Assumptions</w:t>
      </w:r>
    </w:p>
    <w:p>
      <w:pPr>
        <w:pStyle w:val="BodyText"/>
        <w:spacing w:before="0" w:after="200"/>
        <w:rPr/>
      </w:pPr>
      <w:r>
        <w:rPr/>
        <w:t>Virtue ethics includes multiple traditions, but the following assumptions characterize the forms most relevant to the proposed framework.</w:t>
      </w:r>
    </w:p>
    <w:p>
      <w:pPr>
        <w:pStyle w:val="BodyText"/>
        <w:numPr>
          <w:ilvl w:val="0"/>
          <w:numId w:val="38"/>
        </w:numPr>
        <w:tabs>
          <w:tab w:val="clear" w:pos="720"/>
          <w:tab w:val="left" w:pos="0" w:leader="none"/>
        </w:tabs>
        <w:spacing w:before="0" w:after="200"/>
        <w:ind w:hanging="283" w:left="709"/>
        <w:rPr/>
      </w:pPr>
      <w:r>
        <w:rPr>
          <w:rStyle w:val="Strong"/>
        </w:rPr>
        <w:t>Character is central to moral assessment:</w:t>
      </w:r>
      <w:r>
        <w:rPr/>
        <w:t xml:space="preserve"> Ethics concerns not only what an Actor does but also what kind of Moral Agent the Actor is and is becoming.</w:t>
      </w:r>
    </w:p>
    <w:p>
      <w:pPr>
        <w:pStyle w:val="BodyText"/>
        <w:numPr>
          <w:ilvl w:val="0"/>
          <w:numId w:val="38"/>
        </w:numPr>
        <w:tabs>
          <w:tab w:val="clear" w:pos="720"/>
          <w:tab w:val="left" w:pos="0" w:leader="none"/>
        </w:tabs>
        <w:spacing w:before="0" w:after="200"/>
        <w:ind w:hanging="283" w:left="709"/>
        <w:rPr/>
      </w:pPr>
      <w:r>
        <w:rPr>
          <w:rStyle w:val="Strong"/>
        </w:rPr>
        <w:t>Virtues are stable excellences:</w:t>
      </w:r>
      <w:r>
        <w:rPr/>
        <w:t xml:space="preserve"> A virtue is more than an isolated behavior. It is a reliable disposition to perceive, feel, deliberate, choose, and act appropriately within a class of situations.</w:t>
      </w:r>
    </w:p>
    <w:p>
      <w:pPr>
        <w:pStyle w:val="BodyText"/>
        <w:numPr>
          <w:ilvl w:val="0"/>
          <w:numId w:val="38"/>
        </w:numPr>
        <w:tabs>
          <w:tab w:val="clear" w:pos="720"/>
          <w:tab w:val="left" w:pos="0" w:leader="none"/>
        </w:tabs>
        <w:spacing w:before="0" w:after="200"/>
        <w:ind w:hanging="283" w:left="709"/>
        <w:rPr/>
      </w:pPr>
      <w:r>
        <w:rPr>
          <w:rStyle w:val="Strong"/>
        </w:rPr>
        <w:t>Flourishing is the broader moral aim:</w:t>
      </w:r>
      <w:r>
        <w:rPr/>
        <w:t xml:space="preserve"> Virtues are related to </w:t>
      </w:r>
      <w:r>
        <w:rPr>
          <w:rStyle w:val="Emphasis"/>
        </w:rPr>
        <w:t>eudaimonia</w:t>
      </w:r>
      <w:r>
        <w:rPr/>
        <w:t>, generally translated as flourishing, living well, or human well-being. Eudaimonia is not merely pleasure, preference satisfaction, wealth, status, or a momentary psychological state.</w:t>
      </w:r>
    </w:p>
    <w:p>
      <w:pPr>
        <w:pStyle w:val="BodyText"/>
        <w:numPr>
          <w:ilvl w:val="0"/>
          <w:numId w:val="38"/>
        </w:numPr>
        <w:tabs>
          <w:tab w:val="clear" w:pos="720"/>
          <w:tab w:val="left" w:pos="0" w:leader="none"/>
        </w:tabs>
        <w:spacing w:before="0" w:after="200"/>
        <w:ind w:hanging="283" w:left="709"/>
        <w:rPr/>
      </w:pPr>
      <w:r>
        <w:rPr>
          <w:rStyle w:val="Strong"/>
        </w:rPr>
        <w:t>Virtuous activity partly constitutes flourishing:</w:t>
      </w:r>
      <w:r>
        <w:rPr/>
        <w:t xml:space="preserve"> Virtue is not merely an instrument for producing a separate beneficial outcome. Acting courageously, justly, honestly, generously, and wisely is itself part of living well.</w:t>
      </w:r>
    </w:p>
    <w:p>
      <w:pPr>
        <w:pStyle w:val="BodyText"/>
        <w:numPr>
          <w:ilvl w:val="0"/>
          <w:numId w:val="38"/>
        </w:numPr>
        <w:tabs>
          <w:tab w:val="clear" w:pos="720"/>
          <w:tab w:val="left" w:pos="0" w:leader="none"/>
        </w:tabs>
        <w:spacing w:before="0" w:after="200"/>
        <w:ind w:hanging="283" w:left="709"/>
        <w:rPr/>
      </w:pPr>
      <w:r>
        <w:rPr>
          <w:rStyle w:val="Strong"/>
        </w:rPr>
        <w:t>Practical wisdom is necessary:</w:t>
      </w:r>
      <w:r>
        <w:rPr/>
        <w:t xml:space="preserve"> General principles cannot mechanically determine the right action in every circumstance. Practical wisdom enables the Moral Agent to identify morally relevant particulars, reconcile competing considerations, select appropriate means, and act for the right reasons.</w:t>
      </w:r>
    </w:p>
    <w:p>
      <w:pPr>
        <w:pStyle w:val="BodyText"/>
        <w:numPr>
          <w:ilvl w:val="0"/>
          <w:numId w:val="38"/>
        </w:numPr>
        <w:tabs>
          <w:tab w:val="clear" w:pos="720"/>
          <w:tab w:val="left" w:pos="0" w:leader="none"/>
        </w:tabs>
        <w:spacing w:before="0" w:after="200"/>
        <w:ind w:hanging="283" w:left="709"/>
        <w:rPr/>
      </w:pPr>
      <w:r>
        <w:rPr>
          <w:rStyle w:val="Strong"/>
        </w:rPr>
        <w:t>Context matters:</w:t>
      </w:r>
      <w:r>
        <w:rPr/>
        <w:t xml:space="preserve"> The virtuous response depends on the Actor, affected entities, relationships, risks, available alternatives, and other features of the specific situation.</w:t>
      </w:r>
    </w:p>
    <w:p>
      <w:pPr>
        <w:pStyle w:val="BodyText"/>
        <w:numPr>
          <w:ilvl w:val="0"/>
          <w:numId w:val="38"/>
        </w:numPr>
        <w:tabs>
          <w:tab w:val="clear" w:pos="720"/>
          <w:tab w:val="left" w:pos="0" w:leader="none"/>
        </w:tabs>
        <w:spacing w:before="0" w:after="200"/>
        <w:ind w:hanging="283" w:left="709"/>
        <w:rPr/>
      </w:pPr>
      <w:r>
        <w:rPr>
          <w:rStyle w:val="Strong"/>
        </w:rPr>
        <w:t>Virtue involves appropriate motivation and emotion:</w:t>
      </w:r>
      <w:r>
        <w:rPr/>
        <w:t xml:space="preserve"> A fully virtuous person does not merely perform the externally correct act. The person acts knowingly, for appropriate reasons, and with emotions educated to respond appropriately.</w:t>
      </w:r>
    </w:p>
    <w:p>
      <w:pPr>
        <w:pStyle w:val="BodyText"/>
        <w:numPr>
          <w:ilvl w:val="0"/>
          <w:numId w:val="38"/>
        </w:numPr>
        <w:tabs>
          <w:tab w:val="clear" w:pos="720"/>
          <w:tab w:val="left" w:pos="0" w:leader="none"/>
        </w:tabs>
        <w:spacing w:before="0" w:after="200"/>
        <w:ind w:hanging="283" w:left="709"/>
        <w:rPr/>
      </w:pPr>
      <w:r>
        <w:rPr>
          <w:rStyle w:val="Strong"/>
        </w:rPr>
        <w:t>Habituation shapes character:</w:t>
      </w:r>
      <w:r>
        <w:rPr/>
        <w:t xml:space="preserve"> Virtues and vices develop through repeated action, education, practice, imitation, correction, and participation in social institutions. Individual actions influence the Actor’s future dispositions.</w:t>
      </w:r>
    </w:p>
    <w:p>
      <w:pPr>
        <w:pStyle w:val="BodyText"/>
        <w:numPr>
          <w:ilvl w:val="0"/>
          <w:numId w:val="38"/>
        </w:numPr>
        <w:tabs>
          <w:tab w:val="clear" w:pos="720"/>
          <w:tab w:val="left" w:pos="0" w:leader="none"/>
        </w:tabs>
        <w:spacing w:before="0" w:after="200"/>
        <w:ind w:hanging="283" w:left="709"/>
        <w:rPr/>
      </w:pPr>
      <w:r>
        <w:rPr>
          <w:rStyle w:val="Strong"/>
        </w:rPr>
        <w:t>The virtues are multidimensional:</w:t>
      </w:r>
      <w:r>
        <w:rPr/>
        <w:t xml:space="preserve"> Courage, honesty, justice, temperance, generosity, compassion, loyalty, humility, patience, and practical wisdom address different domains of moral life and cannot necessarily be reduced to a single measure.</w:t>
      </w:r>
    </w:p>
    <w:p>
      <w:pPr>
        <w:pStyle w:val="BodyText"/>
        <w:numPr>
          <w:ilvl w:val="0"/>
          <w:numId w:val="38"/>
        </w:numPr>
        <w:tabs>
          <w:tab w:val="clear" w:pos="720"/>
          <w:tab w:val="left" w:pos="0" w:leader="none"/>
        </w:tabs>
        <w:spacing w:before="0" w:after="200"/>
        <w:ind w:hanging="283" w:left="709"/>
        <w:rPr/>
      </w:pPr>
      <w:r>
        <w:rPr>
          <w:rStyle w:val="Strong"/>
        </w:rPr>
        <w:t>The mean is relative to the situation:</w:t>
      </w:r>
      <w:r>
        <w:rPr/>
        <w:t xml:space="preserve"> In Aristotle’s account, virtue often lies between excess and deficiency. The mean is not an arithmetic average; it is the response appropriate to the circumstances as determined through practical wisdom.</w:t>
      </w:r>
    </w:p>
    <w:p>
      <w:pPr>
        <w:pStyle w:val="BodyText"/>
        <w:numPr>
          <w:ilvl w:val="0"/>
          <w:numId w:val="38"/>
        </w:numPr>
        <w:tabs>
          <w:tab w:val="clear" w:pos="720"/>
          <w:tab w:val="left" w:pos="0" w:leader="none"/>
        </w:tabs>
        <w:spacing w:before="0" w:after="200"/>
        <w:ind w:hanging="283" w:left="709"/>
        <w:rPr/>
      </w:pPr>
      <w:r>
        <w:rPr>
          <w:rStyle w:val="Strong"/>
        </w:rPr>
        <w:t>Moral perception precedes some moral judgment:</w:t>
      </w:r>
      <w:r>
        <w:rPr/>
        <w:t xml:space="preserve"> A virtuous person notices morally relevant features that a vicious, inexperienced, or self-interested Actor may overlook.</w:t>
      </w:r>
    </w:p>
    <w:p>
      <w:pPr>
        <w:pStyle w:val="BodyText"/>
        <w:numPr>
          <w:ilvl w:val="0"/>
          <w:numId w:val="38"/>
        </w:numPr>
        <w:tabs>
          <w:tab w:val="clear" w:pos="720"/>
          <w:tab w:val="left" w:pos="0" w:leader="none"/>
        </w:tabs>
        <w:spacing w:before="0" w:after="200"/>
        <w:ind w:hanging="283" w:left="709"/>
        <w:rPr/>
      </w:pPr>
      <w:r>
        <w:rPr>
          <w:rStyle w:val="Strong"/>
        </w:rPr>
        <w:t>Moral exemplars are informative:</w:t>
      </w:r>
      <w:r>
        <w:rPr/>
        <w:t xml:space="preserve"> Exemplary persons can demonstrate how virtues are expressed in circumstances that cannot be exhaustively captured through abstract rules.</w:t>
      </w:r>
    </w:p>
    <w:p>
      <w:pPr>
        <w:pStyle w:val="BodyText"/>
        <w:numPr>
          <w:ilvl w:val="0"/>
          <w:numId w:val="38"/>
        </w:numPr>
        <w:tabs>
          <w:tab w:val="clear" w:pos="720"/>
          <w:tab w:val="left" w:pos="0" w:leader="none"/>
        </w:tabs>
        <w:spacing w:before="0" w:after="200"/>
        <w:ind w:hanging="283" w:left="709"/>
        <w:rPr/>
      </w:pPr>
      <w:r>
        <w:rPr>
          <w:rStyle w:val="Strong"/>
        </w:rPr>
        <w:t>Community and institutions influence virtue:</w:t>
      </w:r>
      <w:r>
        <w:rPr/>
        <w:t xml:space="preserve"> Families, professions, organizations, laws, educational systems, and cultural practices can cultivate or corrupt moral character.</w:t>
      </w:r>
    </w:p>
    <w:p>
      <w:pPr>
        <w:pStyle w:val="BodyText"/>
        <w:numPr>
          <w:ilvl w:val="0"/>
          <w:numId w:val="38"/>
        </w:numPr>
        <w:tabs>
          <w:tab w:val="clear" w:pos="720"/>
          <w:tab w:val="left" w:pos="0" w:leader="none"/>
        </w:tabs>
        <w:spacing w:before="0" w:after="200"/>
        <w:ind w:hanging="283" w:left="709"/>
        <w:rPr/>
      </w:pPr>
      <w:r>
        <w:rPr>
          <w:rStyle w:val="Strong"/>
        </w:rPr>
        <w:t>Practices contain internal goods:</w:t>
      </w:r>
      <w:r>
        <w:rPr/>
        <w:t xml:space="preserve"> In MacIntyre’s account, practices develop standards of excellence and goods that can be realized only through competent and virtuous participation. External goods such as money, power, and status can corrupt a practice when they displace its internal purposes.</w:t>
      </w:r>
    </w:p>
    <w:p>
      <w:pPr>
        <w:pStyle w:val="BodyText"/>
        <w:numPr>
          <w:ilvl w:val="0"/>
          <w:numId w:val="38"/>
        </w:numPr>
        <w:tabs>
          <w:tab w:val="clear" w:pos="720"/>
          <w:tab w:val="left" w:pos="0" w:leader="none"/>
        </w:tabs>
        <w:spacing w:before="0" w:after="200"/>
        <w:ind w:hanging="283" w:left="709"/>
        <w:rPr/>
      </w:pPr>
      <w:r>
        <w:rPr>
          <w:rStyle w:val="Strong"/>
        </w:rPr>
        <w:t>A life has narrative and developmental continuity:</w:t>
      </w:r>
      <w:r>
        <w:rPr/>
        <w:t xml:space="preserve"> Moral assessment should consider how actions fit into the continuing development of a person, institution, practice, and community rather than treating each decision as wholly isolated.</w:t>
      </w:r>
    </w:p>
    <w:p>
      <w:pPr>
        <w:pStyle w:val="Heading4"/>
        <w:ind w:hanging="0" w:left="0"/>
        <w:rPr>
          <w:rFonts w:ascii="Aptos" w:hAnsi="Aptos"/>
          <w:color w:val="auto"/>
        </w:rPr>
      </w:pPr>
      <w:r>
        <w:rPr/>
        <w:t>Relationship to This Framework</w:t>
      </w:r>
    </w:p>
    <w:p>
      <w:pPr>
        <w:pStyle w:val="BodyText"/>
        <w:spacing w:before="0" w:after="200"/>
        <w:rPr/>
      </w:pPr>
      <w:r>
        <w:rPr/>
        <w:t>The proposed framework has a strong conceptual relationship with virtue ethics because both treat flourishing as multidimensional, developmental, relational, and extended through time. The Foundational Axiom explicitly refers to preserving and promoting Long-Term Flourishing while fostering the adaptive development of Moral Agents. This creates a direct connection to virtue ethics’ concern with moral formation.</w:t>
      </w:r>
    </w:p>
    <w:p>
      <w:pPr>
        <w:pStyle w:val="BodyText"/>
        <w:spacing w:before="0" w:after="200"/>
        <w:rPr/>
      </w:pPr>
      <w:r>
        <w:rPr/>
        <w:t>The frameworks nevertheless assign different primary objects to moral assessment. Virtue ethics begins with the Moral Agent’s character and asks what a virtuous and practically wise person would do. The proposed framework begins with the Assessed Action and evaluates the resulting World Context Transition. Actor character and development are included, but they are components of the transition rather than its sole or primary object.</w:t>
      </w:r>
    </w:p>
    <w:p>
      <w:pPr>
        <w:pStyle w:val="BodyText"/>
        <w:spacing w:before="0" w:after="200"/>
        <w:rPr/>
      </w:pPr>
      <w:r>
        <w:rPr/>
        <w:t xml:space="preserve">The concept of </w:t>
      </w:r>
      <w:r>
        <w:rPr>
          <w:rStyle w:val="Strong"/>
        </w:rPr>
        <w:t>Actor Policy State</w:t>
      </w:r>
      <w:r>
        <w:rPr/>
        <w:t xml:space="preserve"> provides a potential computational analogue to character. A virtue can be represented as a relatively stable disposition that affects how a Moral Agent perceives situations, interprets objectives, selects means, and responds to affected entities. A vice can be represented as a detrimental policy pattern that makes harmful actions more likely.</w:t>
      </w:r>
    </w:p>
    <w:p>
      <w:pPr>
        <w:pStyle w:val="BodyText"/>
        <w:spacing w:before="0" w:after="200"/>
        <w:rPr/>
      </w:pPr>
      <w:r>
        <w:rPr/>
        <w:t>The analogy is incomplete, however. Character is not merely a statistical tendency to select a type of action. Virtue includes understanding, motivation, emotion, judgment, attention, and the ability to recognize relevant particulars. An Actor who produces honest behavior only because deception is currently unprofitable does not possess the virtue of honesty.</w:t>
      </w:r>
    </w:p>
    <w:p>
      <w:pPr>
        <w:pStyle w:val="BodyText"/>
        <w:spacing w:before="0" w:after="200"/>
        <w:rPr/>
      </w:pPr>
      <w:r>
        <w:rPr>
          <w:rStyle w:val="Strong"/>
        </w:rPr>
        <w:t>Distributed Policy Effects</w:t>
      </w:r>
      <w:r>
        <w:rPr/>
        <w:t xml:space="preserve"> also parallel virtue ethics’ account of habituation and moral education. An Assessed Action may reinforce or weaken the Actor’s dispositions and influence the future policies of observers, institutions, and artificial systems. Actions therefore matter not only because of their immediate consequences but because they contribute to the formation of future character and institutional culture.</w:t>
      </w:r>
    </w:p>
    <w:p>
      <w:pPr>
        <w:pStyle w:val="BodyText"/>
        <w:spacing w:before="0" w:after="200"/>
        <w:rPr/>
      </w:pPr>
      <w:r>
        <w:rPr/>
        <w:t>The framework’s Situational Context corresponds to virtue ethics’ insistence that appropriate action depends on morally relevant particulars. Its distinction among Decision Context, Accessible Context, and Assessment Context can help evaluate whether the Actor exercised appropriate diligence and practical judgment using the information reasonably available at the time.</w:t>
      </w:r>
    </w:p>
    <w:p>
      <w:pPr>
        <w:pStyle w:val="BodyText"/>
        <w:spacing w:before="0" w:after="200"/>
        <w:rPr/>
      </w:pPr>
      <w:r>
        <w:rPr/>
        <w:t>Associations, institutions, and policy states can also represent the social environment in which virtues develop. Professional practices, families, educational institutions, governance systems, and organizations can cultivate honesty, courage, compassion, justice, and accountability—or normalize cowardice, greed, cruelty, dishonesty, and negligence.</w:t>
      </w:r>
    </w:p>
    <w:p>
      <w:pPr>
        <w:pStyle w:val="BodyText"/>
        <w:spacing w:before="0" w:after="200"/>
        <w:rPr/>
      </w:pPr>
      <w:r>
        <w:rPr/>
        <w:t xml:space="preserve">The proposed framework is therefore compatible with virtue ethics and incorporates several virtue-oriented ideas, but it is not itself a pure virtue-ethical theory. Its ultimate assessment remains directed toward the World Context Transition and compatible Long-Term Flourishing rather than exclusively toward the character or </w:t>
      </w:r>
      <w:r>
        <w:rPr>
          <w:rStyle w:val="Emphasis"/>
        </w:rPr>
        <w:t>eudaimonia</w:t>
      </w:r>
      <w:r>
        <w:rPr/>
        <w:t xml:space="preserve"> of the Actor.</w:t>
      </w:r>
    </w:p>
    <w:p>
      <w:pPr>
        <w:pStyle w:val="Heading4"/>
        <w:ind w:hanging="0" w:left="0"/>
        <w:rPr>
          <w:rFonts w:ascii="Aptos" w:hAnsi="Aptos"/>
          <w:color w:val="auto"/>
        </w:rPr>
      </w:pPr>
      <w:r>
        <w:rPr/>
        <w:t>Concepts Adopted or Adapted by This Framework</w:t>
      </w:r>
    </w:p>
    <w:tbl>
      <w:tblPr>
        <w:tblW w:w="8640" w:type="dxa"/>
        <w:jc w:val="left"/>
        <w:tblInd w:w="28" w:type="dxa"/>
        <w:tblLayout w:type="fixed"/>
        <w:tblCellMar>
          <w:top w:w="28" w:type="dxa"/>
          <w:left w:w="28" w:type="dxa"/>
          <w:bottom w:w="28" w:type="dxa"/>
          <w:right w:w="28" w:type="dxa"/>
        </w:tblCellMar>
      </w:tblPr>
      <w:tblGrid>
        <w:gridCol w:w="2008"/>
        <w:gridCol w:w="6632"/>
      </w:tblGrid>
      <w:tr>
        <w:trPr>
          <w:tblHeader w:val="true"/>
        </w:trPr>
        <w:tc>
          <w:tcPr>
            <w:tcW w:w="2008" w:type="dxa"/>
            <w:tcBorders/>
            <w:vAlign w:val="center"/>
          </w:tcPr>
          <w:p>
            <w:pPr>
              <w:pStyle w:val="TableHeading"/>
              <w:suppressLineNumbers/>
              <w:spacing w:before="0" w:after="200"/>
              <w:jc w:val="center"/>
              <w:rPr/>
            </w:pPr>
            <w:r>
              <w:rPr/>
              <w:t>Virtue-ethical concept</w:t>
            </w:r>
          </w:p>
        </w:tc>
        <w:tc>
          <w:tcPr>
            <w:tcW w:w="6632" w:type="dxa"/>
            <w:tcBorders/>
            <w:vAlign w:val="center"/>
          </w:tcPr>
          <w:p>
            <w:pPr>
              <w:pStyle w:val="TableHeading"/>
              <w:suppressLineNumbers/>
              <w:spacing w:before="0" w:after="200"/>
              <w:jc w:val="center"/>
              <w:rPr/>
            </w:pPr>
            <w:r>
              <w:rPr/>
              <w:t>Adoption or adaptation within the proposed framework</w:t>
            </w:r>
          </w:p>
        </w:tc>
      </w:tr>
      <w:tr>
        <w:trPr/>
        <w:tc>
          <w:tcPr>
            <w:tcW w:w="2008" w:type="dxa"/>
            <w:tcBorders/>
            <w:vAlign w:val="center"/>
          </w:tcPr>
          <w:p>
            <w:pPr>
              <w:pStyle w:val="TableContents"/>
              <w:widowControl w:val="false"/>
              <w:suppressLineNumbers/>
              <w:spacing w:before="0" w:after="200"/>
              <w:rPr/>
            </w:pPr>
            <w:r>
              <w:rPr>
                <w:rStyle w:val="Emphasis"/>
              </w:rPr>
              <w:t>Eudaimonia</w:t>
            </w:r>
            <w:r>
              <w:rPr/>
              <w:t xml:space="preserve"> or flourishing</w:t>
            </w:r>
          </w:p>
        </w:tc>
        <w:tc>
          <w:tcPr>
            <w:tcW w:w="6632" w:type="dxa"/>
            <w:tcBorders/>
            <w:vAlign w:val="center"/>
          </w:tcPr>
          <w:p>
            <w:pPr>
              <w:pStyle w:val="TableContents"/>
              <w:widowControl w:val="false"/>
              <w:suppressLineNumbers/>
              <w:spacing w:before="0" w:after="200"/>
              <w:rPr/>
            </w:pPr>
            <w:r>
              <w:rPr/>
              <w:t>Expanded into Long-Term Flourishing as a multidimensional relational state applicable to multiple classes of Flourishing Entities.</w:t>
            </w:r>
          </w:p>
        </w:tc>
      </w:tr>
      <w:tr>
        <w:trPr/>
        <w:tc>
          <w:tcPr>
            <w:tcW w:w="2008" w:type="dxa"/>
            <w:tcBorders/>
            <w:vAlign w:val="center"/>
          </w:tcPr>
          <w:p>
            <w:pPr>
              <w:pStyle w:val="TableContents"/>
              <w:widowControl w:val="false"/>
              <w:suppressLineNumbers/>
              <w:spacing w:before="0" w:after="200"/>
              <w:rPr/>
            </w:pPr>
            <w:r>
              <w:rPr/>
              <w:t>Virtue</w:t>
            </w:r>
          </w:p>
        </w:tc>
        <w:tc>
          <w:tcPr>
            <w:tcW w:w="6632" w:type="dxa"/>
            <w:tcBorders/>
            <w:vAlign w:val="center"/>
          </w:tcPr>
          <w:p>
            <w:pPr>
              <w:pStyle w:val="TableContents"/>
              <w:widowControl w:val="false"/>
              <w:suppressLineNumbers/>
              <w:spacing w:before="0" w:after="200"/>
              <w:rPr/>
            </w:pPr>
            <w:r>
              <w:rPr/>
              <w:t>Potentially represented as a stable, beneficial Actor Policy State supporting appropriate perception, deliberation, motivation, and action.</w:t>
            </w:r>
          </w:p>
        </w:tc>
      </w:tr>
      <w:tr>
        <w:trPr/>
        <w:tc>
          <w:tcPr>
            <w:tcW w:w="2008" w:type="dxa"/>
            <w:tcBorders/>
            <w:vAlign w:val="center"/>
          </w:tcPr>
          <w:p>
            <w:pPr>
              <w:pStyle w:val="TableContents"/>
              <w:widowControl w:val="false"/>
              <w:suppressLineNumbers/>
              <w:spacing w:before="0" w:after="200"/>
              <w:rPr/>
            </w:pPr>
            <w:r>
              <w:rPr/>
              <w:t>Vice</w:t>
            </w:r>
          </w:p>
        </w:tc>
        <w:tc>
          <w:tcPr>
            <w:tcW w:w="6632" w:type="dxa"/>
            <w:tcBorders/>
            <w:vAlign w:val="center"/>
          </w:tcPr>
          <w:p>
            <w:pPr>
              <w:pStyle w:val="TableContents"/>
              <w:widowControl w:val="false"/>
              <w:suppressLineNumbers/>
              <w:spacing w:before="0" w:after="200"/>
              <w:rPr/>
            </w:pPr>
            <w:r>
              <w:rPr/>
              <w:t>Potentially represented as a detrimental policy disposition that increases the probability of harmful actions and World Context Transitions.</w:t>
            </w:r>
          </w:p>
        </w:tc>
      </w:tr>
      <w:tr>
        <w:trPr/>
        <w:tc>
          <w:tcPr>
            <w:tcW w:w="2008" w:type="dxa"/>
            <w:tcBorders/>
            <w:vAlign w:val="center"/>
          </w:tcPr>
          <w:p>
            <w:pPr>
              <w:pStyle w:val="TableContents"/>
              <w:widowControl w:val="false"/>
              <w:suppressLineNumbers/>
              <w:spacing w:before="0" w:after="200"/>
              <w:rPr/>
            </w:pPr>
            <w:r>
              <w:rPr/>
              <w:t>Character</w:t>
            </w:r>
          </w:p>
        </w:tc>
        <w:tc>
          <w:tcPr>
            <w:tcW w:w="6632" w:type="dxa"/>
            <w:tcBorders/>
            <w:vAlign w:val="center"/>
          </w:tcPr>
          <w:p>
            <w:pPr>
              <w:pStyle w:val="TableContents"/>
              <w:widowControl w:val="false"/>
              <w:suppressLineNumbers/>
              <w:spacing w:before="0" w:after="200"/>
              <w:rPr/>
            </w:pPr>
            <w:r>
              <w:rPr/>
              <w:t>Adapted through the Actor’s persistent policy patterns, objectives, dispositions, previous actions, and developmental trajectory.</w:t>
            </w:r>
          </w:p>
        </w:tc>
      </w:tr>
      <w:tr>
        <w:trPr/>
        <w:tc>
          <w:tcPr>
            <w:tcW w:w="2008" w:type="dxa"/>
            <w:tcBorders/>
            <w:vAlign w:val="center"/>
          </w:tcPr>
          <w:p>
            <w:pPr>
              <w:pStyle w:val="TableContents"/>
              <w:widowControl w:val="false"/>
              <w:suppressLineNumbers/>
              <w:spacing w:before="0" w:after="200"/>
              <w:rPr/>
            </w:pPr>
            <w:r>
              <w:rPr/>
              <w:t>Habituation</w:t>
            </w:r>
          </w:p>
        </w:tc>
        <w:tc>
          <w:tcPr>
            <w:tcW w:w="6632" w:type="dxa"/>
            <w:tcBorders/>
            <w:vAlign w:val="center"/>
          </w:tcPr>
          <w:p>
            <w:pPr>
              <w:pStyle w:val="TableContents"/>
              <w:widowControl w:val="false"/>
              <w:suppressLineNumbers/>
              <w:spacing w:before="0" w:after="200"/>
              <w:rPr/>
            </w:pPr>
            <w:r>
              <w:rPr/>
              <w:t>Represented through beneficial and detrimental Actor Policy Updates produced by repeated choices and reinforcement.</w:t>
            </w:r>
          </w:p>
        </w:tc>
      </w:tr>
      <w:tr>
        <w:trPr/>
        <w:tc>
          <w:tcPr>
            <w:tcW w:w="2008" w:type="dxa"/>
            <w:tcBorders/>
            <w:vAlign w:val="center"/>
          </w:tcPr>
          <w:p>
            <w:pPr>
              <w:pStyle w:val="TableContents"/>
              <w:widowControl w:val="false"/>
              <w:suppressLineNumbers/>
              <w:spacing w:before="0" w:after="200"/>
              <w:rPr/>
            </w:pPr>
            <w:r>
              <w:rPr/>
              <w:t>Practical wisdom</w:t>
            </w:r>
          </w:p>
        </w:tc>
        <w:tc>
          <w:tcPr>
            <w:tcW w:w="6632" w:type="dxa"/>
            <w:tcBorders/>
            <w:vAlign w:val="center"/>
          </w:tcPr>
          <w:p>
            <w:pPr>
              <w:pStyle w:val="TableContents"/>
              <w:widowControl w:val="false"/>
              <w:suppressLineNumbers/>
              <w:spacing w:before="0" w:after="200"/>
              <w:rPr/>
            </w:pPr>
            <w:r>
              <w:rPr/>
              <w:t>Reflected in context-sensitive assessment, appropriate boundary selection, balancing of relevant considerations, and selection of proportionate means under uncertainty.</w:t>
            </w:r>
          </w:p>
        </w:tc>
      </w:tr>
      <w:tr>
        <w:trPr/>
        <w:tc>
          <w:tcPr>
            <w:tcW w:w="2008" w:type="dxa"/>
            <w:tcBorders/>
            <w:vAlign w:val="center"/>
          </w:tcPr>
          <w:p>
            <w:pPr>
              <w:pStyle w:val="TableContents"/>
              <w:widowControl w:val="false"/>
              <w:suppressLineNumbers/>
              <w:spacing w:before="0" w:after="200"/>
              <w:rPr/>
            </w:pPr>
            <w:r>
              <w:rPr/>
              <w:t>Moral perception</w:t>
            </w:r>
          </w:p>
        </w:tc>
        <w:tc>
          <w:tcPr>
            <w:tcW w:w="6632" w:type="dxa"/>
            <w:tcBorders/>
            <w:vAlign w:val="center"/>
          </w:tcPr>
          <w:p>
            <w:pPr>
              <w:pStyle w:val="TableContents"/>
              <w:widowControl w:val="false"/>
              <w:suppressLineNumbers/>
              <w:spacing w:before="0" w:after="200"/>
              <w:rPr/>
            </w:pPr>
            <w:r>
              <w:rPr/>
              <w:t>Reflected in the Actor’s identification of relevant Objects, Associations, vulnerabilities, constraints, and likely consequences.</w:t>
            </w:r>
          </w:p>
        </w:tc>
      </w:tr>
      <w:tr>
        <w:trPr/>
        <w:tc>
          <w:tcPr>
            <w:tcW w:w="2008" w:type="dxa"/>
            <w:tcBorders/>
            <w:vAlign w:val="center"/>
          </w:tcPr>
          <w:p>
            <w:pPr>
              <w:pStyle w:val="TableContents"/>
              <w:widowControl w:val="false"/>
              <w:suppressLineNumbers/>
              <w:spacing w:before="0" w:after="200"/>
              <w:rPr/>
            </w:pPr>
            <w:r>
              <w:rPr/>
              <w:t>Doctrine of the mean</w:t>
            </w:r>
          </w:p>
        </w:tc>
        <w:tc>
          <w:tcPr>
            <w:tcW w:w="6632" w:type="dxa"/>
            <w:tcBorders/>
            <w:vAlign w:val="center"/>
          </w:tcPr>
          <w:p>
            <w:pPr>
              <w:pStyle w:val="TableContents"/>
              <w:widowControl w:val="false"/>
              <w:suppressLineNumbers/>
              <w:spacing w:before="0" w:after="200"/>
              <w:rPr/>
            </w:pPr>
            <w:r>
              <w:rPr/>
              <w:t>Potentially adapted as context-sensitive avoidance of excess and deficiency rather than as numerical averaging.</w:t>
            </w:r>
          </w:p>
        </w:tc>
      </w:tr>
      <w:tr>
        <w:trPr/>
        <w:tc>
          <w:tcPr>
            <w:tcW w:w="2008" w:type="dxa"/>
            <w:tcBorders/>
            <w:vAlign w:val="center"/>
          </w:tcPr>
          <w:p>
            <w:pPr>
              <w:pStyle w:val="TableContents"/>
              <w:widowControl w:val="false"/>
              <w:suppressLineNumbers/>
              <w:spacing w:before="0" w:after="200"/>
              <w:rPr/>
            </w:pPr>
            <w:r>
              <w:rPr/>
              <w:t>Moral motivation</w:t>
            </w:r>
          </w:p>
        </w:tc>
        <w:tc>
          <w:tcPr>
            <w:tcW w:w="6632" w:type="dxa"/>
            <w:tcBorders/>
            <w:vAlign w:val="center"/>
          </w:tcPr>
          <w:p>
            <w:pPr>
              <w:pStyle w:val="TableContents"/>
              <w:widowControl w:val="false"/>
              <w:suppressLineNumbers/>
              <w:spacing w:before="0" w:after="200"/>
              <w:rPr/>
            </w:pPr>
            <w:r>
              <w:rPr/>
              <w:t>Represented through the Actor’s objectives, intended ends, intended means, incentives, and policy state.</w:t>
            </w:r>
          </w:p>
        </w:tc>
      </w:tr>
      <w:tr>
        <w:trPr/>
        <w:tc>
          <w:tcPr>
            <w:tcW w:w="2008" w:type="dxa"/>
            <w:tcBorders/>
            <w:vAlign w:val="center"/>
          </w:tcPr>
          <w:p>
            <w:pPr>
              <w:pStyle w:val="TableContents"/>
              <w:widowControl w:val="false"/>
              <w:suppressLineNumbers/>
              <w:spacing w:before="0" w:after="200"/>
              <w:rPr/>
            </w:pPr>
            <w:r>
              <w:rPr/>
              <w:t>Emotional formation</w:t>
            </w:r>
          </w:p>
        </w:tc>
        <w:tc>
          <w:tcPr>
            <w:tcW w:w="6632" w:type="dxa"/>
            <w:tcBorders/>
            <w:vAlign w:val="center"/>
          </w:tcPr>
          <w:p>
            <w:pPr>
              <w:pStyle w:val="TableContents"/>
              <w:widowControl w:val="false"/>
              <w:suppressLineNumbers/>
              <w:spacing w:before="0" w:after="200"/>
              <w:rPr/>
            </w:pPr>
            <w:r>
              <w:rPr/>
              <w:t>Not yet explicitly represented but potentially incorporable as state variables affecting perception, motivation, and response.</w:t>
            </w:r>
          </w:p>
        </w:tc>
      </w:tr>
      <w:tr>
        <w:trPr/>
        <w:tc>
          <w:tcPr>
            <w:tcW w:w="2008" w:type="dxa"/>
            <w:tcBorders/>
            <w:vAlign w:val="center"/>
          </w:tcPr>
          <w:p>
            <w:pPr>
              <w:pStyle w:val="TableContents"/>
              <w:widowControl w:val="false"/>
              <w:suppressLineNumbers/>
              <w:spacing w:before="0" w:after="200"/>
              <w:rPr/>
            </w:pPr>
            <w:r>
              <w:rPr/>
              <w:t>Moral exemplars</w:t>
            </w:r>
          </w:p>
        </w:tc>
        <w:tc>
          <w:tcPr>
            <w:tcW w:w="6632" w:type="dxa"/>
            <w:tcBorders/>
            <w:vAlign w:val="center"/>
          </w:tcPr>
          <w:p>
            <w:pPr>
              <w:pStyle w:val="TableContents"/>
              <w:widowControl w:val="false"/>
              <w:suppressLineNumbers/>
              <w:spacing w:before="0" w:after="200"/>
              <w:rPr/>
            </w:pPr>
            <w:r>
              <w:rPr/>
              <w:t>Potentially incorporated through reference cases, validated action patterns, expert demonstrations, and case-based reasoning.</w:t>
            </w:r>
          </w:p>
        </w:tc>
      </w:tr>
      <w:tr>
        <w:trPr/>
        <w:tc>
          <w:tcPr>
            <w:tcW w:w="2008" w:type="dxa"/>
            <w:tcBorders/>
            <w:vAlign w:val="center"/>
          </w:tcPr>
          <w:p>
            <w:pPr>
              <w:pStyle w:val="TableContents"/>
              <w:widowControl w:val="false"/>
              <w:suppressLineNumbers/>
              <w:spacing w:before="0" w:after="200"/>
              <w:rPr/>
            </w:pPr>
            <w:r>
              <w:rPr/>
              <w:t>Practices and internal goods</w:t>
            </w:r>
          </w:p>
        </w:tc>
        <w:tc>
          <w:tcPr>
            <w:tcW w:w="6632" w:type="dxa"/>
            <w:tcBorders/>
            <w:vAlign w:val="center"/>
          </w:tcPr>
          <w:p>
            <w:pPr>
              <w:pStyle w:val="TableContents"/>
              <w:widowControl w:val="false"/>
              <w:suppressLineNumbers/>
              <w:spacing w:before="0" w:after="200"/>
              <w:rPr/>
            </w:pPr>
            <w:r>
              <w:rPr/>
              <w:t>Representable through institutions, domain objectives, standards of excellence, Associations, and operational objectives.</w:t>
            </w:r>
          </w:p>
        </w:tc>
      </w:tr>
      <w:tr>
        <w:trPr/>
        <w:tc>
          <w:tcPr>
            <w:tcW w:w="2008" w:type="dxa"/>
            <w:tcBorders/>
            <w:vAlign w:val="center"/>
          </w:tcPr>
          <w:p>
            <w:pPr>
              <w:pStyle w:val="TableContents"/>
              <w:widowControl w:val="false"/>
              <w:suppressLineNumbers/>
              <w:spacing w:before="0" w:after="200"/>
              <w:rPr/>
            </w:pPr>
            <w:r>
              <w:rPr/>
              <w:t>External goods</w:t>
            </w:r>
          </w:p>
        </w:tc>
        <w:tc>
          <w:tcPr>
            <w:tcW w:w="6632" w:type="dxa"/>
            <w:tcBorders/>
            <w:vAlign w:val="center"/>
          </w:tcPr>
          <w:p>
            <w:pPr>
              <w:pStyle w:val="TableContents"/>
              <w:widowControl w:val="false"/>
              <w:suppressLineNumbers/>
              <w:spacing w:before="0" w:after="200"/>
              <w:rPr/>
            </w:pPr>
            <w:r>
              <w:rPr/>
              <w:t>Represented through resources, status, power, incentives, institutional rewards, and operational objectives that may conflict with the purpose of a practice.</w:t>
            </w:r>
          </w:p>
        </w:tc>
      </w:tr>
      <w:tr>
        <w:trPr/>
        <w:tc>
          <w:tcPr>
            <w:tcW w:w="2008" w:type="dxa"/>
            <w:tcBorders/>
            <w:vAlign w:val="center"/>
          </w:tcPr>
          <w:p>
            <w:pPr>
              <w:pStyle w:val="TableContents"/>
              <w:widowControl w:val="false"/>
              <w:suppressLineNumbers/>
              <w:spacing w:before="0" w:after="200"/>
              <w:rPr/>
            </w:pPr>
            <w:r>
              <w:rPr/>
              <w:t>Community and tradition</w:t>
            </w:r>
          </w:p>
        </w:tc>
        <w:tc>
          <w:tcPr>
            <w:tcW w:w="6632" w:type="dxa"/>
            <w:tcBorders/>
            <w:vAlign w:val="center"/>
          </w:tcPr>
          <w:p>
            <w:pPr>
              <w:pStyle w:val="TableContents"/>
              <w:widowControl w:val="false"/>
              <w:suppressLineNumbers/>
              <w:spacing w:before="0" w:after="200"/>
              <w:rPr/>
            </w:pPr>
            <w:r>
              <w:rPr/>
              <w:t>Represented through Associations, institutions, inherited policy states, norms, and historically developed World Contexts.</w:t>
            </w:r>
          </w:p>
        </w:tc>
      </w:tr>
      <w:tr>
        <w:trPr/>
        <w:tc>
          <w:tcPr>
            <w:tcW w:w="2008" w:type="dxa"/>
            <w:tcBorders/>
            <w:vAlign w:val="center"/>
          </w:tcPr>
          <w:p>
            <w:pPr>
              <w:pStyle w:val="TableContents"/>
              <w:widowControl w:val="false"/>
              <w:suppressLineNumbers/>
              <w:spacing w:before="0" w:after="200"/>
              <w:rPr/>
            </w:pPr>
            <w:r>
              <w:rPr/>
              <w:t>Narrative unity</w:t>
            </w:r>
          </w:p>
        </w:tc>
        <w:tc>
          <w:tcPr>
            <w:tcW w:w="6632" w:type="dxa"/>
            <w:tcBorders/>
            <w:vAlign w:val="center"/>
          </w:tcPr>
          <w:p>
            <w:pPr>
              <w:pStyle w:val="TableContents"/>
              <w:widowControl w:val="false"/>
              <w:suppressLineNumbers/>
              <w:spacing w:before="0" w:after="200"/>
              <w:rPr/>
            </w:pPr>
            <w:r>
              <w:rPr/>
              <w:t>Adapted through Persistent Patterns and sequences of recursive World Context Transitions across the life of an Actor or institution.</w:t>
            </w:r>
          </w:p>
        </w:tc>
      </w:tr>
      <w:tr>
        <w:trPr/>
        <w:tc>
          <w:tcPr>
            <w:tcW w:w="2008" w:type="dxa"/>
            <w:tcBorders/>
            <w:vAlign w:val="center"/>
          </w:tcPr>
          <w:p>
            <w:pPr>
              <w:pStyle w:val="TableContents"/>
              <w:widowControl w:val="false"/>
              <w:suppressLineNumbers/>
              <w:spacing w:before="0" w:after="200"/>
              <w:rPr/>
            </w:pPr>
            <w:r>
              <w:rPr/>
              <w:t>Moral education</w:t>
            </w:r>
          </w:p>
        </w:tc>
        <w:tc>
          <w:tcPr>
            <w:tcW w:w="6632" w:type="dxa"/>
            <w:tcBorders/>
            <w:vAlign w:val="center"/>
          </w:tcPr>
          <w:p>
            <w:pPr>
              <w:pStyle w:val="TableContents"/>
              <w:widowControl w:val="false"/>
              <w:suppressLineNumbers/>
              <w:spacing w:before="0" w:after="200"/>
              <w:rPr/>
            </w:pPr>
            <w:r>
              <w:rPr/>
              <w:t>Represented through Observer, Responder, Institutional, and Actor Policy Effects that cultivate or discourage future behavior.</w:t>
            </w:r>
          </w:p>
        </w:tc>
      </w:tr>
      <w:tr>
        <w:trPr/>
        <w:tc>
          <w:tcPr>
            <w:tcW w:w="2008" w:type="dxa"/>
            <w:tcBorders/>
            <w:vAlign w:val="center"/>
          </w:tcPr>
          <w:p>
            <w:pPr>
              <w:pStyle w:val="TableContents"/>
              <w:widowControl w:val="false"/>
              <w:suppressLineNumbers/>
              <w:spacing w:before="0" w:after="200"/>
              <w:rPr/>
            </w:pPr>
            <w:r>
              <w:rPr/>
              <w:t>Whole-life assessment</w:t>
            </w:r>
          </w:p>
        </w:tc>
        <w:tc>
          <w:tcPr>
            <w:tcW w:w="6632" w:type="dxa"/>
            <w:tcBorders/>
            <w:vAlign w:val="center"/>
          </w:tcPr>
          <w:p>
            <w:pPr>
              <w:pStyle w:val="TableContents"/>
              <w:widowControl w:val="false"/>
              <w:suppressLineNumbers/>
              <w:spacing w:before="0" w:after="200"/>
              <w:rPr/>
            </w:pPr>
            <w:r>
              <w:rPr/>
              <w:t>Extended through multiple Assessment Horizons and longitudinal assessment of the Actor’s development.</w:t>
            </w:r>
          </w:p>
        </w:tc>
      </w:tr>
    </w:tbl>
    <w:p>
      <w:pPr>
        <w:pStyle w:val="Heading4"/>
        <w:ind w:hanging="0" w:left="0"/>
        <w:rPr>
          <w:rFonts w:ascii="Aptos" w:hAnsi="Aptos"/>
          <w:color w:val="auto"/>
        </w:rPr>
      </w:pPr>
      <w:r>
        <w:rPr/>
        <w:t>Similarities</w:t>
      </w:r>
    </w:p>
    <w:p>
      <w:pPr>
        <w:pStyle w:val="BodyText"/>
        <w:numPr>
          <w:ilvl w:val="0"/>
          <w:numId w:val="39"/>
        </w:numPr>
        <w:tabs>
          <w:tab w:val="clear" w:pos="720"/>
          <w:tab w:val="left" w:pos="0" w:leader="none"/>
        </w:tabs>
        <w:spacing w:before="0" w:after="200"/>
        <w:ind w:hanging="283" w:left="709"/>
        <w:rPr/>
      </w:pPr>
      <w:r>
        <w:rPr/>
        <w:t>Both approaches treat flourishing as broader than pleasure, preference satisfaction, resource accumulation, or immediate operational success.</w:t>
      </w:r>
    </w:p>
    <w:p>
      <w:pPr>
        <w:pStyle w:val="BodyText"/>
        <w:numPr>
          <w:ilvl w:val="0"/>
          <w:numId w:val="39"/>
        </w:numPr>
        <w:tabs>
          <w:tab w:val="clear" w:pos="720"/>
          <w:tab w:val="left" w:pos="0" w:leader="none"/>
        </w:tabs>
        <w:spacing w:before="0" w:after="200"/>
        <w:ind w:hanging="283" w:left="709"/>
        <w:rPr/>
      </w:pPr>
      <w:r>
        <w:rPr/>
        <w:t>Both recognize that moral assessment must consider development across time rather than only isolated outcomes.</w:t>
      </w:r>
    </w:p>
    <w:p>
      <w:pPr>
        <w:pStyle w:val="BodyText"/>
        <w:numPr>
          <w:ilvl w:val="0"/>
          <w:numId w:val="39"/>
        </w:numPr>
        <w:tabs>
          <w:tab w:val="clear" w:pos="720"/>
          <w:tab w:val="left" w:pos="0" w:leader="none"/>
        </w:tabs>
        <w:spacing w:before="0" w:after="200"/>
        <w:ind w:hanging="283" w:left="709"/>
        <w:rPr/>
      </w:pPr>
      <w:r>
        <w:rPr/>
        <w:t>Both reject the reduction of moral value to a single aggregate metric.</w:t>
      </w:r>
    </w:p>
    <w:p>
      <w:pPr>
        <w:pStyle w:val="BodyText"/>
        <w:numPr>
          <w:ilvl w:val="0"/>
          <w:numId w:val="39"/>
        </w:numPr>
        <w:tabs>
          <w:tab w:val="clear" w:pos="720"/>
          <w:tab w:val="left" w:pos="0" w:leader="none"/>
        </w:tabs>
        <w:spacing w:before="0" w:after="200"/>
        <w:ind w:hanging="283" w:left="709"/>
        <w:rPr/>
      </w:pPr>
      <w:r>
        <w:rPr/>
        <w:t>Both recognize that context and morally relevant particulars affect the appropriate action.</w:t>
      </w:r>
    </w:p>
    <w:p>
      <w:pPr>
        <w:pStyle w:val="BodyText"/>
        <w:numPr>
          <w:ilvl w:val="0"/>
          <w:numId w:val="39"/>
        </w:numPr>
        <w:tabs>
          <w:tab w:val="clear" w:pos="720"/>
          <w:tab w:val="left" w:pos="0" w:leader="none"/>
        </w:tabs>
        <w:spacing w:before="0" w:after="200"/>
        <w:ind w:hanging="283" w:left="709"/>
        <w:rPr/>
      </w:pPr>
      <w:r>
        <w:rPr/>
        <w:t>Both consider the Actor’s objectives, intentions, means, judgment, and future development morally relevant.</w:t>
      </w:r>
    </w:p>
    <w:p>
      <w:pPr>
        <w:pStyle w:val="BodyText"/>
        <w:numPr>
          <w:ilvl w:val="0"/>
          <w:numId w:val="39"/>
        </w:numPr>
        <w:tabs>
          <w:tab w:val="clear" w:pos="720"/>
          <w:tab w:val="left" w:pos="0" w:leader="none"/>
        </w:tabs>
        <w:spacing w:before="0" w:after="200"/>
        <w:ind w:hanging="283" w:left="709"/>
        <w:rPr/>
      </w:pPr>
      <w:r>
        <w:rPr/>
        <w:t>Both recognize that repeated actions change the Actor’s future decision tendencies.</w:t>
      </w:r>
    </w:p>
    <w:p>
      <w:pPr>
        <w:pStyle w:val="BodyText"/>
        <w:numPr>
          <w:ilvl w:val="0"/>
          <w:numId w:val="39"/>
        </w:numPr>
        <w:tabs>
          <w:tab w:val="clear" w:pos="720"/>
          <w:tab w:val="left" w:pos="0" w:leader="none"/>
        </w:tabs>
        <w:spacing w:before="0" w:after="200"/>
        <w:ind w:hanging="283" w:left="709"/>
        <w:rPr/>
      </w:pPr>
      <w:r>
        <w:rPr/>
        <w:t>Both explain why morally problematic means can corrupt the Actor even when an immediate objective is achieved.</w:t>
      </w:r>
    </w:p>
    <w:p>
      <w:pPr>
        <w:pStyle w:val="BodyText"/>
        <w:numPr>
          <w:ilvl w:val="0"/>
          <w:numId w:val="39"/>
        </w:numPr>
        <w:tabs>
          <w:tab w:val="clear" w:pos="720"/>
          <w:tab w:val="left" w:pos="0" w:leader="none"/>
        </w:tabs>
        <w:spacing w:before="0" w:after="200"/>
        <w:ind w:hanging="283" w:left="709"/>
        <w:rPr/>
      </w:pPr>
      <w:r>
        <w:rPr/>
        <w:t>Both acknowledge that moral reasoning requires judgment rather than mechanical application of rules.</w:t>
      </w:r>
    </w:p>
    <w:p>
      <w:pPr>
        <w:pStyle w:val="BodyText"/>
        <w:numPr>
          <w:ilvl w:val="0"/>
          <w:numId w:val="39"/>
        </w:numPr>
        <w:tabs>
          <w:tab w:val="clear" w:pos="720"/>
          <w:tab w:val="left" w:pos="0" w:leader="none"/>
        </w:tabs>
        <w:spacing w:before="0" w:after="200"/>
        <w:ind w:hanging="283" w:left="709"/>
        <w:rPr/>
      </w:pPr>
      <w:r>
        <w:rPr/>
        <w:t>Both recognize the importance of relationships, institutions, practices, and communities in moral development.</w:t>
      </w:r>
    </w:p>
    <w:p>
      <w:pPr>
        <w:pStyle w:val="BodyText"/>
        <w:numPr>
          <w:ilvl w:val="0"/>
          <w:numId w:val="39"/>
        </w:numPr>
        <w:tabs>
          <w:tab w:val="clear" w:pos="720"/>
          <w:tab w:val="left" w:pos="0" w:leader="none"/>
        </w:tabs>
        <w:spacing w:before="0" w:after="200"/>
        <w:ind w:hanging="283" w:left="709"/>
        <w:rPr/>
      </w:pPr>
      <w:r>
        <w:rPr/>
        <w:t>Both distinguish genuine flourishing from mere expansion, persistence, power, or material success.</w:t>
      </w:r>
    </w:p>
    <w:p>
      <w:pPr>
        <w:pStyle w:val="BodyText"/>
        <w:numPr>
          <w:ilvl w:val="0"/>
          <w:numId w:val="39"/>
        </w:numPr>
        <w:tabs>
          <w:tab w:val="clear" w:pos="720"/>
          <w:tab w:val="left" w:pos="0" w:leader="none"/>
        </w:tabs>
        <w:spacing w:before="0" w:after="200"/>
        <w:ind w:hanging="283" w:left="709"/>
        <w:rPr/>
      </w:pPr>
      <w:r>
        <w:rPr/>
        <w:t>Both recognize that an institution can achieve external objectives while corrupting its internal standards and moral character.</w:t>
      </w:r>
    </w:p>
    <w:p>
      <w:pPr>
        <w:pStyle w:val="BodyText"/>
        <w:numPr>
          <w:ilvl w:val="0"/>
          <w:numId w:val="39"/>
        </w:numPr>
        <w:tabs>
          <w:tab w:val="clear" w:pos="720"/>
          <w:tab w:val="left" w:pos="0" w:leader="none"/>
        </w:tabs>
        <w:spacing w:before="0" w:after="200"/>
        <w:ind w:hanging="283" w:left="709"/>
        <w:rPr/>
      </w:pPr>
      <w:r>
        <w:rPr/>
        <w:t>Both support longitudinal evaluation of whether an Actor or institution is improving or degrading morally.</w:t>
      </w:r>
    </w:p>
    <w:p>
      <w:pPr>
        <w:pStyle w:val="BodyText"/>
        <w:numPr>
          <w:ilvl w:val="0"/>
          <w:numId w:val="39"/>
        </w:numPr>
        <w:tabs>
          <w:tab w:val="clear" w:pos="720"/>
          <w:tab w:val="left" w:pos="0" w:leader="none"/>
        </w:tabs>
        <w:spacing w:before="0" w:after="200"/>
        <w:ind w:hanging="283" w:left="709"/>
        <w:rPr/>
      </w:pPr>
      <w:r>
        <w:rPr/>
        <w:t>Both recognize that moral exemplars, case experience, and education can improve future judgment.</w:t>
      </w:r>
    </w:p>
    <w:p>
      <w:pPr>
        <w:pStyle w:val="BodyText"/>
        <w:numPr>
          <w:ilvl w:val="0"/>
          <w:numId w:val="39"/>
        </w:numPr>
        <w:tabs>
          <w:tab w:val="clear" w:pos="720"/>
          <w:tab w:val="left" w:pos="0" w:leader="none"/>
        </w:tabs>
        <w:spacing w:before="0" w:after="200"/>
        <w:ind w:hanging="283" w:left="709"/>
        <w:rPr/>
      </w:pPr>
      <w:r>
        <w:rPr/>
        <w:t>Both can represent moral excellence as adaptive without equating all adaptation with moral improvement.</w:t>
      </w:r>
    </w:p>
    <w:p>
      <w:pPr>
        <w:pStyle w:val="Heading4"/>
        <w:ind w:hanging="0" w:left="0"/>
        <w:rPr>
          <w:rFonts w:ascii="Aptos" w:hAnsi="Aptos"/>
          <w:color w:val="auto"/>
        </w:rPr>
      </w:pPr>
      <w:r>
        <w:rPr/>
        <w:t>Differences</w:t>
      </w:r>
    </w:p>
    <w:tbl>
      <w:tblPr>
        <w:tblW w:w="8640" w:type="dxa"/>
        <w:jc w:val="left"/>
        <w:tblInd w:w="28" w:type="dxa"/>
        <w:tblLayout w:type="fixed"/>
        <w:tblCellMar>
          <w:top w:w="28" w:type="dxa"/>
          <w:left w:w="28" w:type="dxa"/>
          <w:bottom w:w="28" w:type="dxa"/>
          <w:right w:w="28" w:type="dxa"/>
        </w:tblCellMar>
      </w:tblPr>
      <w:tblGrid>
        <w:gridCol w:w="1763"/>
        <w:gridCol w:w="3211"/>
        <w:gridCol w:w="3666"/>
      </w:tblGrid>
      <w:tr>
        <w:trPr>
          <w:tblHeader w:val="true"/>
        </w:trPr>
        <w:tc>
          <w:tcPr>
            <w:tcW w:w="1763" w:type="dxa"/>
            <w:tcBorders/>
            <w:vAlign w:val="center"/>
          </w:tcPr>
          <w:p>
            <w:pPr>
              <w:pStyle w:val="TableHeading"/>
              <w:suppressLineNumbers/>
              <w:spacing w:before="0" w:after="200"/>
              <w:jc w:val="center"/>
              <w:rPr/>
            </w:pPr>
            <w:r>
              <w:rPr/>
              <w:t>Dimension</w:t>
            </w:r>
          </w:p>
        </w:tc>
        <w:tc>
          <w:tcPr>
            <w:tcW w:w="3211" w:type="dxa"/>
            <w:tcBorders/>
            <w:vAlign w:val="center"/>
          </w:tcPr>
          <w:p>
            <w:pPr>
              <w:pStyle w:val="TableHeading"/>
              <w:suppressLineNumbers/>
              <w:spacing w:before="0" w:after="200"/>
              <w:jc w:val="center"/>
              <w:rPr/>
            </w:pPr>
            <w:r>
              <w:rPr/>
              <w:t>Virtue ethics</w:t>
            </w:r>
          </w:p>
        </w:tc>
        <w:tc>
          <w:tcPr>
            <w:tcW w:w="3666" w:type="dxa"/>
            <w:tcBorders/>
            <w:vAlign w:val="center"/>
          </w:tcPr>
          <w:p>
            <w:pPr>
              <w:pStyle w:val="TableHeading"/>
              <w:suppressLineNumbers/>
              <w:spacing w:before="0" w:after="200"/>
              <w:jc w:val="center"/>
              <w:rPr/>
            </w:pPr>
            <w:r>
              <w:rPr/>
              <w:t>Proposed framework</w:t>
            </w:r>
          </w:p>
        </w:tc>
      </w:tr>
      <w:tr>
        <w:trPr/>
        <w:tc>
          <w:tcPr>
            <w:tcW w:w="1763" w:type="dxa"/>
            <w:tcBorders/>
            <w:vAlign w:val="center"/>
          </w:tcPr>
          <w:p>
            <w:pPr>
              <w:pStyle w:val="TableContents"/>
              <w:widowControl w:val="false"/>
              <w:suppressLineNumbers/>
              <w:spacing w:before="0" w:after="200"/>
              <w:rPr/>
            </w:pPr>
            <w:r>
              <w:rPr/>
              <w:t>Principal object of assessment</w:t>
            </w:r>
          </w:p>
        </w:tc>
        <w:tc>
          <w:tcPr>
            <w:tcW w:w="3211" w:type="dxa"/>
            <w:tcBorders/>
            <w:vAlign w:val="center"/>
          </w:tcPr>
          <w:p>
            <w:pPr>
              <w:pStyle w:val="TableContents"/>
              <w:widowControl w:val="false"/>
              <w:suppressLineNumbers/>
              <w:spacing w:before="0" w:after="200"/>
              <w:rPr/>
            </w:pPr>
            <w:r>
              <w:rPr/>
              <w:t>The Moral Agent’s character, practical judgment, and flourishing life</w:t>
            </w:r>
          </w:p>
        </w:tc>
        <w:tc>
          <w:tcPr>
            <w:tcW w:w="3666" w:type="dxa"/>
            <w:tcBorders/>
            <w:vAlign w:val="center"/>
          </w:tcPr>
          <w:p>
            <w:pPr>
              <w:pStyle w:val="TableContents"/>
              <w:widowControl w:val="false"/>
              <w:suppressLineNumbers/>
              <w:spacing w:before="0" w:after="200"/>
              <w:rPr/>
            </w:pPr>
            <w:r>
              <w:rPr/>
              <w:t>The complete World Context Transition produced or influenced by the Assessed Action</w:t>
            </w:r>
          </w:p>
        </w:tc>
      </w:tr>
      <w:tr>
        <w:trPr/>
        <w:tc>
          <w:tcPr>
            <w:tcW w:w="1763" w:type="dxa"/>
            <w:tcBorders/>
            <w:vAlign w:val="center"/>
          </w:tcPr>
          <w:p>
            <w:pPr>
              <w:pStyle w:val="TableContents"/>
              <w:widowControl w:val="false"/>
              <w:suppressLineNumbers/>
              <w:spacing w:before="0" w:after="200"/>
              <w:rPr/>
            </w:pPr>
            <w:r>
              <w:rPr/>
              <w:t>Central question</w:t>
            </w:r>
          </w:p>
        </w:tc>
        <w:tc>
          <w:tcPr>
            <w:tcW w:w="3211" w:type="dxa"/>
            <w:tcBorders/>
            <w:vAlign w:val="center"/>
          </w:tcPr>
          <w:p>
            <w:pPr>
              <w:pStyle w:val="TableContents"/>
              <w:widowControl w:val="false"/>
              <w:suppressLineNumbers/>
              <w:spacing w:before="0" w:after="200"/>
              <w:rPr/>
            </w:pPr>
            <w:r>
              <w:rPr/>
              <w:t>What would a virtuous and practically wise person do, and what kind of person should one become?</w:t>
            </w:r>
          </w:p>
        </w:tc>
        <w:tc>
          <w:tcPr>
            <w:tcW w:w="3666" w:type="dxa"/>
            <w:tcBorders/>
            <w:vAlign w:val="center"/>
          </w:tcPr>
          <w:p>
            <w:pPr>
              <w:pStyle w:val="TableContents"/>
              <w:widowControl w:val="false"/>
              <w:suppressLineNumbers/>
              <w:spacing w:before="0" w:after="200"/>
              <w:rPr/>
            </w:pPr>
            <w:r>
              <w:rPr/>
              <w:t>What kind of World Context does the action help create, and does it preserve and promote compatible Long-Term Flourishing?</w:t>
            </w:r>
          </w:p>
        </w:tc>
      </w:tr>
      <w:tr>
        <w:trPr/>
        <w:tc>
          <w:tcPr>
            <w:tcW w:w="1763" w:type="dxa"/>
            <w:tcBorders/>
            <w:vAlign w:val="center"/>
          </w:tcPr>
          <w:p>
            <w:pPr>
              <w:pStyle w:val="TableContents"/>
              <w:widowControl w:val="false"/>
              <w:suppressLineNumbers/>
              <w:spacing w:before="0" w:after="200"/>
              <w:rPr/>
            </w:pPr>
            <w:r>
              <w:rPr/>
              <w:t>Primary normative concepts</w:t>
            </w:r>
          </w:p>
        </w:tc>
        <w:tc>
          <w:tcPr>
            <w:tcW w:w="3211" w:type="dxa"/>
            <w:tcBorders/>
            <w:vAlign w:val="center"/>
          </w:tcPr>
          <w:p>
            <w:pPr>
              <w:pStyle w:val="TableContents"/>
              <w:widowControl w:val="false"/>
              <w:suppressLineNumbers/>
              <w:spacing w:before="0" w:after="200"/>
              <w:rPr/>
            </w:pPr>
            <w:r>
              <w:rPr/>
              <w:t xml:space="preserve">Virtue, vice, practical wisdom, character, and </w:t>
            </w:r>
            <w:r>
              <w:rPr>
                <w:rStyle w:val="Emphasis"/>
              </w:rPr>
              <w:t>eudaimonia</w:t>
            </w:r>
          </w:p>
        </w:tc>
        <w:tc>
          <w:tcPr>
            <w:tcW w:w="3666" w:type="dxa"/>
            <w:tcBorders/>
            <w:vAlign w:val="center"/>
          </w:tcPr>
          <w:p>
            <w:pPr>
              <w:pStyle w:val="TableContents"/>
              <w:widowControl w:val="false"/>
              <w:suppressLineNumbers/>
              <w:spacing w:before="0" w:after="200"/>
              <w:rPr/>
            </w:pPr>
            <w:r>
              <w:rPr/>
              <w:t>Foundational Axiom, Long-Term Flourishing, Assessed Action, State Transition, and World Context</w:t>
            </w:r>
          </w:p>
        </w:tc>
      </w:tr>
      <w:tr>
        <w:trPr/>
        <w:tc>
          <w:tcPr>
            <w:tcW w:w="1763" w:type="dxa"/>
            <w:tcBorders/>
            <w:vAlign w:val="center"/>
          </w:tcPr>
          <w:p>
            <w:pPr>
              <w:pStyle w:val="TableContents"/>
              <w:widowControl w:val="false"/>
              <w:suppressLineNumbers/>
              <w:spacing w:before="0" w:after="200"/>
              <w:rPr/>
            </w:pPr>
            <w:r>
              <w:rPr/>
              <w:t>Meaning of flourishing</w:t>
            </w:r>
          </w:p>
        </w:tc>
        <w:tc>
          <w:tcPr>
            <w:tcW w:w="3211" w:type="dxa"/>
            <w:tcBorders/>
            <w:vAlign w:val="center"/>
          </w:tcPr>
          <w:p>
            <w:pPr>
              <w:pStyle w:val="TableContents"/>
              <w:widowControl w:val="false"/>
              <w:suppressLineNumbers/>
              <w:spacing w:before="0" w:after="200"/>
              <w:rPr/>
            </w:pPr>
            <w:r>
              <w:rPr/>
              <w:t>Commonly centered on human flourishing and the activities constituting a good human life</w:t>
            </w:r>
          </w:p>
        </w:tc>
        <w:tc>
          <w:tcPr>
            <w:tcW w:w="3666" w:type="dxa"/>
            <w:tcBorders/>
            <w:vAlign w:val="center"/>
          </w:tcPr>
          <w:p>
            <w:pPr>
              <w:pStyle w:val="TableContents"/>
              <w:widowControl w:val="false"/>
              <w:suppressLineNumbers/>
              <w:spacing w:before="0" w:after="200"/>
              <w:rPr/>
            </w:pPr>
            <w:r>
              <w:rPr/>
              <w:t>A multidimensional relational state potentially applicable to humans, non-human organisms, ecosystems, and artificial systems</w:t>
            </w:r>
          </w:p>
        </w:tc>
      </w:tr>
      <w:tr>
        <w:trPr/>
        <w:tc>
          <w:tcPr>
            <w:tcW w:w="1763" w:type="dxa"/>
            <w:tcBorders/>
            <w:vAlign w:val="center"/>
          </w:tcPr>
          <w:p>
            <w:pPr>
              <w:pStyle w:val="TableContents"/>
              <w:widowControl w:val="false"/>
              <w:suppressLineNumbers/>
              <w:spacing w:before="0" w:after="200"/>
              <w:rPr/>
            </w:pPr>
            <w:r>
              <w:rPr/>
              <w:t>Character</w:t>
            </w:r>
          </w:p>
        </w:tc>
        <w:tc>
          <w:tcPr>
            <w:tcW w:w="3211" w:type="dxa"/>
            <w:tcBorders/>
            <w:vAlign w:val="center"/>
          </w:tcPr>
          <w:p>
            <w:pPr>
              <w:pStyle w:val="TableContents"/>
              <w:widowControl w:val="false"/>
              <w:suppressLineNumbers/>
              <w:spacing w:before="0" w:after="200"/>
              <w:rPr/>
            </w:pPr>
            <w:r>
              <w:rPr/>
              <w:t>The central locus of moral evaluation</w:t>
            </w:r>
          </w:p>
        </w:tc>
        <w:tc>
          <w:tcPr>
            <w:tcW w:w="3666" w:type="dxa"/>
            <w:tcBorders/>
            <w:vAlign w:val="center"/>
          </w:tcPr>
          <w:p>
            <w:pPr>
              <w:pStyle w:val="TableContents"/>
              <w:widowControl w:val="false"/>
              <w:suppressLineNumbers/>
              <w:spacing w:before="0" w:after="200"/>
              <w:rPr/>
            </w:pPr>
            <w:r>
              <w:rPr/>
              <w:t>One class of state or policy information within the wider assessment</w:t>
            </w:r>
          </w:p>
        </w:tc>
      </w:tr>
      <w:tr>
        <w:trPr/>
        <w:tc>
          <w:tcPr>
            <w:tcW w:w="1763" w:type="dxa"/>
            <w:tcBorders/>
            <w:vAlign w:val="center"/>
          </w:tcPr>
          <w:p>
            <w:pPr>
              <w:pStyle w:val="TableContents"/>
              <w:widowControl w:val="false"/>
              <w:suppressLineNumbers/>
              <w:spacing w:before="0" w:after="200"/>
              <w:rPr/>
            </w:pPr>
            <w:r>
              <w:rPr/>
              <w:t>Right action</w:t>
            </w:r>
          </w:p>
        </w:tc>
        <w:tc>
          <w:tcPr>
            <w:tcW w:w="3211" w:type="dxa"/>
            <w:tcBorders/>
            <w:vAlign w:val="center"/>
          </w:tcPr>
          <w:p>
            <w:pPr>
              <w:pStyle w:val="TableContents"/>
              <w:widowControl w:val="false"/>
              <w:suppressLineNumbers/>
              <w:spacing w:before="0" w:after="200"/>
              <w:rPr/>
            </w:pPr>
            <w:r>
              <w:rPr/>
              <w:t>Commonly understood through what a virtuous person would characteristically do in the circumstances</w:t>
            </w:r>
          </w:p>
        </w:tc>
        <w:tc>
          <w:tcPr>
            <w:tcW w:w="3666" w:type="dxa"/>
            <w:tcBorders/>
            <w:vAlign w:val="center"/>
          </w:tcPr>
          <w:p>
            <w:pPr>
              <w:pStyle w:val="TableContents"/>
              <w:widowControl w:val="false"/>
              <w:suppressLineNumbers/>
              <w:spacing w:before="0" w:after="200"/>
              <w:rPr/>
            </w:pPr>
            <w:r>
              <w:rPr/>
              <w:t>Evaluated through the complete predicted or observed transition</w:t>
            </w:r>
          </w:p>
        </w:tc>
      </w:tr>
      <w:tr>
        <w:trPr/>
        <w:tc>
          <w:tcPr>
            <w:tcW w:w="1763" w:type="dxa"/>
            <w:tcBorders/>
            <w:vAlign w:val="center"/>
          </w:tcPr>
          <w:p>
            <w:pPr>
              <w:pStyle w:val="TableContents"/>
              <w:widowControl w:val="false"/>
              <w:suppressLineNumbers/>
              <w:spacing w:before="0" w:after="200"/>
              <w:rPr/>
            </w:pPr>
            <w:r>
              <w:rPr/>
              <w:t>Practical judgment</w:t>
            </w:r>
          </w:p>
        </w:tc>
        <w:tc>
          <w:tcPr>
            <w:tcW w:w="3211" w:type="dxa"/>
            <w:tcBorders/>
            <w:vAlign w:val="center"/>
          </w:tcPr>
          <w:p>
            <w:pPr>
              <w:pStyle w:val="TableContents"/>
              <w:widowControl w:val="false"/>
              <w:suppressLineNumbers/>
              <w:spacing w:before="0" w:after="200"/>
              <w:rPr/>
            </w:pPr>
            <w:r>
              <w:rPr/>
              <w:t xml:space="preserve">Exercised through experience, moral perception, and </w:t>
            </w:r>
            <w:r>
              <w:rPr>
                <w:rStyle w:val="Emphasis"/>
              </w:rPr>
              <w:t>phronesis</w:t>
            </w:r>
          </w:p>
        </w:tc>
        <w:tc>
          <w:tcPr>
            <w:tcW w:w="3666" w:type="dxa"/>
            <w:tcBorders/>
            <w:vAlign w:val="center"/>
          </w:tcPr>
          <w:p>
            <w:pPr>
              <w:pStyle w:val="TableContents"/>
              <w:widowControl w:val="false"/>
              <w:suppressLineNumbers/>
              <w:spacing w:before="0" w:after="200"/>
              <w:rPr/>
            </w:pPr>
            <w:r>
              <w:rPr/>
              <w:t>Supported through explicit models, evidence, context representation, probabilistic reasoning, and human or machine judgment</w:t>
            </w:r>
          </w:p>
        </w:tc>
      </w:tr>
      <w:tr>
        <w:trPr/>
        <w:tc>
          <w:tcPr>
            <w:tcW w:w="1763" w:type="dxa"/>
            <w:tcBorders/>
            <w:vAlign w:val="center"/>
          </w:tcPr>
          <w:p>
            <w:pPr>
              <w:pStyle w:val="TableContents"/>
              <w:widowControl w:val="false"/>
              <w:suppressLineNumbers/>
              <w:spacing w:before="0" w:after="200"/>
              <w:rPr/>
            </w:pPr>
            <w:r>
              <w:rPr/>
              <w:t>Role of consequences</w:t>
            </w:r>
          </w:p>
        </w:tc>
        <w:tc>
          <w:tcPr>
            <w:tcW w:w="3211" w:type="dxa"/>
            <w:tcBorders/>
            <w:vAlign w:val="center"/>
          </w:tcPr>
          <w:p>
            <w:pPr>
              <w:pStyle w:val="TableContents"/>
              <w:widowControl w:val="false"/>
              <w:suppressLineNumbers/>
              <w:spacing w:before="0" w:after="200"/>
              <w:rPr/>
            </w:pPr>
            <w:r>
              <w:rPr/>
              <w:t>Relevant to practical wisdom but not normally the sole basis of virtue</w:t>
            </w:r>
          </w:p>
        </w:tc>
        <w:tc>
          <w:tcPr>
            <w:tcW w:w="3666" w:type="dxa"/>
            <w:tcBorders/>
            <w:vAlign w:val="center"/>
          </w:tcPr>
          <w:p>
            <w:pPr>
              <w:pStyle w:val="TableContents"/>
              <w:widowControl w:val="false"/>
              <w:suppressLineNumbers/>
              <w:spacing w:before="0" w:after="200"/>
              <w:rPr/>
            </w:pPr>
            <w:r>
              <w:rPr/>
              <w:t>Central components of the World Context Transition</w:t>
            </w:r>
          </w:p>
        </w:tc>
      </w:tr>
      <w:tr>
        <w:trPr/>
        <w:tc>
          <w:tcPr>
            <w:tcW w:w="1763" w:type="dxa"/>
            <w:tcBorders/>
            <w:vAlign w:val="center"/>
          </w:tcPr>
          <w:p>
            <w:pPr>
              <w:pStyle w:val="TableContents"/>
              <w:widowControl w:val="false"/>
              <w:suppressLineNumbers/>
              <w:spacing w:before="0" w:after="200"/>
              <w:rPr/>
            </w:pPr>
            <w:r>
              <w:rPr/>
              <w:t>Role of rules</w:t>
            </w:r>
          </w:p>
        </w:tc>
        <w:tc>
          <w:tcPr>
            <w:tcW w:w="3211" w:type="dxa"/>
            <w:tcBorders/>
            <w:vAlign w:val="center"/>
          </w:tcPr>
          <w:p>
            <w:pPr>
              <w:pStyle w:val="TableContents"/>
              <w:widowControl w:val="false"/>
              <w:suppressLineNumbers/>
              <w:spacing w:before="0" w:after="200"/>
              <w:rPr/>
            </w:pPr>
            <w:r>
              <w:rPr/>
              <w:t>Useful but insufficient to replace practical wisdom</w:t>
            </w:r>
          </w:p>
        </w:tc>
        <w:tc>
          <w:tcPr>
            <w:tcW w:w="3666" w:type="dxa"/>
            <w:tcBorders/>
            <w:vAlign w:val="center"/>
          </w:tcPr>
          <w:p>
            <w:pPr>
              <w:pStyle w:val="TableContents"/>
              <w:widowControl w:val="false"/>
              <w:suppressLineNumbers/>
              <w:spacing w:before="0" w:after="200"/>
              <w:rPr/>
            </w:pPr>
            <w:r>
              <w:rPr/>
              <w:t>Representable as constraints, policies, objectives, or implementation mechanisms</w:t>
            </w:r>
          </w:p>
        </w:tc>
      </w:tr>
      <w:tr>
        <w:trPr/>
        <w:tc>
          <w:tcPr>
            <w:tcW w:w="1763" w:type="dxa"/>
            <w:tcBorders/>
            <w:vAlign w:val="center"/>
          </w:tcPr>
          <w:p>
            <w:pPr>
              <w:pStyle w:val="TableContents"/>
              <w:widowControl w:val="false"/>
              <w:suppressLineNumbers/>
              <w:spacing w:before="0" w:after="200"/>
              <w:rPr/>
            </w:pPr>
            <w:r>
              <w:rPr/>
              <w:t>Motivation</w:t>
            </w:r>
          </w:p>
        </w:tc>
        <w:tc>
          <w:tcPr>
            <w:tcW w:w="3211" w:type="dxa"/>
            <w:tcBorders/>
            <w:vAlign w:val="center"/>
          </w:tcPr>
          <w:p>
            <w:pPr>
              <w:pStyle w:val="TableContents"/>
              <w:widowControl w:val="false"/>
              <w:suppressLineNumbers/>
              <w:spacing w:before="0" w:after="200"/>
              <w:rPr/>
            </w:pPr>
            <w:r>
              <w:rPr/>
              <w:t>Essential to possessing and acting from virtue</w:t>
            </w:r>
          </w:p>
        </w:tc>
        <w:tc>
          <w:tcPr>
            <w:tcW w:w="3666" w:type="dxa"/>
            <w:tcBorders/>
            <w:vAlign w:val="center"/>
          </w:tcPr>
          <w:p>
            <w:pPr>
              <w:pStyle w:val="TableContents"/>
              <w:widowControl w:val="false"/>
              <w:suppressLineNumbers/>
              <w:spacing w:before="0" w:after="200"/>
              <w:rPr/>
            </w:pPr>
            <w:r>
              <w:rPr/>
              <w:t>Relevant to Actor Policy State and responsibility but not sufficient to determine the complete assessment</w:t>
            </w:r>
          </w:p>
        </w:tc>
      </w:tr>
      <w:tr>
        <w:trPr/>
        <w:tc>
          <w:tcPr>
            <w:tcW w:w="1763" w:type="dxa"/>
            <w:tcBorders/>
            <w:vAlign w:val="center"/>
          </w:tcPr>
          <w:p>
            <w:pPr>
              <w:pStyle w:val="TableContents"/>
              <w:widowControl w:val="false"/>
              <w:suppressLineNumbers/>
              <w:spacing w:before="0" w:after="200"/>
              <w:rPr/>
            </w:pPr>
            <w:r>
              <w:rPr/>
              <w:t>Emotions</w:t>
            </w:r>
          </w:p>
        </w:tc>
        <w:tc>
          <w:tcPr>
            <w:tcW w:w="3211" w:type="dxa"/>
            <w:tcBorders/>
            <w:vAlign w:val="center"/>
          </w:tcPr>
          <w:p>
            <w:pPr>
              <w:pStyle w:val="TableContents"/>
              <w:widowControl w:val="false"/>
              <w:suppressLineNumbers/>
              <w:spacing w:before="0" w:after="200"/>
              <w:rPr/>
            </w:pPr>
            <w:r>
              <w:rPr/>
              <w:t>Educated emotional responses are integral to full virtue</w:t>
            </w:r>
          </w:p>
        </w:tc>
        <w:tc>
          <w:tcPr>
            <w:tcW w:w="3666" w:type="dxa"/>
            <w:tcBorders/>
            <w:vAlign w:val="center"/>
          </w:tcPr>
          <w:p>
            <w:pPr>
              <w:pStyle w:val="TableContents"/>
              <w:widowControl w:val="false"/>
              <w:suppressLineNumbers/>
              <w:spacing w:before="0" w:after="200"/>
              <w:rPr/>
            </w:pPr>
            <w:r>
              <w:rPr/>
              <w:t>Not yet a primary architectural element, although affective states can be represented</w:t>
            </w:r>
          </w:p>
        </w:tc>
      </w:tr>
      <w:tr>
        <w:trPr/>
        <w:tc>
          <w:tcPr>
            <w:tcW w:w="1763" w:type="dxa"/>
            <w:tcBorders/>
            <w:vAlign w:val="center"/>
          </w:tcPr>
          <w:p>
            <w:pPr>
              <w:pStyle w:val="TableContents"/>
              <w:widowControl w:val="false"/>
              <w:suppressLineNumbers/>
              <w:spacing w:before="0" w:after="200"/>
              <w:rPr/>
            </w:pPr>
            <w:r>
              <w:rPr/>
              <w:t>Habituation</w:t>
            </w:r>
          </w:p>
        </w:tc>
        <w:tc>
          <w:tcPr>
            <w:tcW w:w="3211" w:type="dxa"/>
            <w:tcBorders/>
            <w:vAlign w:val="center"/>
          </w:tcPr>
          <w:p>
            <w:pPr>
              <w:pStyle w:val="TableContents"/>
              <w:widowControl w:val="false"/>
              <w:suppressLineNumbers/>
              <w:spacing w:before="0" w:after="200"/>
              <w:rPr/>
            </w:pPr>
            <w:r>
              <w:rPr/>
              <w:t>Constitutive of character development</w:t>
            </w:r>
          </w:p>
        </w:tc>
        <w:tc>
          <w:tcPr>
            <w:tcW w:w="3666" w:type="dxa"/>
            <w:tcBorders/>
            <w:vAlign w:val="center"/>
          </w:tcPr>
          <w:p>
            <w:pPr>
              <w:pStyle w:val="TableContents"/>
              <w:widowControl w:val="false"/>
              <w:suppressLineNumbers/>
              <w:spacing w:before="0" w:after="200"/>
              <w:rPr/>
            </w:pPr>
            <w:r>
              <w:rPr/>
              <w:t>Represented as recursive policy updating caused by actions and social reinforcement</w:t>
            </w:r>
          </w:p>
        </w:tc>
      </w:tr>
      <w:tr>
        <w:trPr/>
        <w:tc>
          <w:tcPr>
            <w:tcW w:w="1763" w:type="dxa"/>
            <w:tcBorders/>
            <w:vAlign w:val="center"/>
          </w:tcPr>
          <w:p>
            <w:pPr>
              <w:pStyle w:val="TableContents"/>
              <w:widowControl w:val="false"/>
              <w:suppressLineNumbers/>
              <w:spacing w:before="0" w:after="200"/>
              <w:rPr/>
            </w:pPr>
            <w:r>
              <w:rPr/>
              <w:t>Community</w:t>
            </w:r>
          </w:p>
        </w:tc>
        <w:tc>
          <w:tcPr>
            <w:tcW w:w="3211" w:type="dxa"/>
            <w:tcBorders/>
            <w:vAlign w:val="center"/>
          </w:tcPr>
          <w:p>
            <w:pPr>
              <w:pStyle w:val="TableContents"/>
              <w:widowControl w:val="false"/>
              <w:suppressLineNumbers/>
              <w:spacing w:before="0" w:after="200"/>
              <w:rPr/>
            </w:pPr>
            <w:r>
              <w:rPr/>
              <w:t>Often constitutive of identity, practice, tradition, and the good life</w:t>
            </w:r>
          </w:p>
        </w:tc>
        <w:tc>
          <w:tcPr>
            <w:tcW w:w="3666" w:type="dxa"/>
            <w:tcBorders/>
            <w:vAlign w:val="center"/>
          </w:tcPr>
          <w:p>
            <w:pPr>
              <w:pStyle w:val="TableContents"/>
              <w:widowControl w:val="false"/>
              <w:suppressLineNumbers/>
              <w:spacing w:before="0" w:after="200"/>
              <w:rPr/>
            </w:pPr>
            <w:r>
              <w:rPr/>
              <w:t>Represented within the broader World Context as Associations and institutions</w:t>
            </w:r>
          </w:p>
        </w:tc>
      </w:tr>
      <w:tr>
        <w:trPr/>
        <w:tc>
          <w:tcPr>
            <w:tcW w:w="1763" w:type="dxa"/>
            <w:tcBorders/>
            <w:vAlign w:val="center"/>
          </w:tcPr>
          <w:p>
            <w:pPr>
              <w:pStyle w:val="TableContents"/>
              <w:widowControl w:val="false"/>
              <w:suppressLineNumbers/>
              <w:spacing w:before="0" w:after="200"/>
              <w:rPr/>
            </w:pPr>
            <w:r>
              <w:rPr/>
              <w:t>Moral scope</w:t>
            </w:r>
          </w:p>
        </w:tc>
        <w:tc>
          <w:tcPr>
            <w:tcW w:w="3211" w:type="dxa"/>
            <w:tcBorders/>
            <w:vAlign w:val="center"/>
          </w:tcPr>
          <w:p>
            <w:pPr>
              <w:pStyle w:val="TableContents"/>
              <w:widowControl w:val="false"/>
              <w:suppressLineNumbers/>
              <w:spacing w:before="0" w:after="200"/>
              <w:rPr/>
            </w:pPr>
            <w:r>
              <w:rPr/>
              <w:t>Traditionally focused on human character and flourishing</w:t>
            </w:r>
          </w:p>
        </w:tc>
        <w:tc>
          <w:tcPr>
            <w:tcW w:w="3666" w:type="dxa"/>
            <w:tcBorders/>
            <w:vAlign w:val="center"/>
          </w:tcPr>
          <w:p>
            <w:pPr>
              <w:pStyle w:val="TableContents"/>
              <w:widowControl w:val="false"/>
              <w:suppressLineNumbers/>
              <w:spacing w:before="0" w:after="200"/>
              <w:rPr/>
            </w:pPr>
            <w:r>
              <w:rPr/>
              <w:t>Extends to multiple potential classes of Flourishing Entity</w:t>
            </w:r>
          </w:p>
        </w:tc>
      </w:tr>
      <w:tr>
        <w:trPr/>
        <w:tc>
          <w:tcPr>
            <w:tcW w:w="1763" w:type="dxa"/>
            <w:tcBorders/>
            <w:vAlign w:val="center"/>
          </w:tcPr>
          <w:p>
            <w:pPr>
              <w:pStyle w:val="TableContents"/>
              <w:widowControl w:val="false"/>
              <w:suppressLineNumbers/>
              <w:spacing w:before="0" w:after="200"/>
              <w:rPr/>
            </w:pPr>
            <w:r>
              <w:rPr/>
              <w:t>Computation</w:t>
            </w:r>
          </w:p>
        </w:tc>
        <w:tc>
          <w:tcPr>
            <w:tcW w:w="3211" w:type="dxa"/>
            <w:tcBorders/>
            <w:vAlign w:val="center"/>
          </w:tcPr>
          <w:p>
            <w:pPr>
              <w:pStyle w:val="TableContents"/>
              <w:widowControl w:val="false"/>
              <w:suppressLineNumbers/>
              <w:spacing w:before="0" w:after="200"/>
              <w:rPr/>
            </w:pPr>
            <w:r>
              <w:rPr/>
              <w:t>Relies heavily on thick concepts, experience, and contextual judgment</w:t>
            </w:r>
          </w:p>
        </w:tc>
        <w:tc>
          <w:tcPr>
            <w:tcW w:w="3666" w:type="dxa"/>
            <w:tcBorders/>
            <w:vAlign w:val="center"/>
          </w:tcPr>
          <w:p>
            <w:pPr>
              <w:pStyle w:val="TableContents"/>
              <w:widowControl w:val="false"/>
              <w:suppressLineNumbers/>
              <w:spacing w:before="0" w:after="200"/>
              <w:rPr/>
            </w:pPr>
            <w:r>
              <w:rPr/>
              <w:t>Requires major concepts to be computationally representable and assessments to be inspectable</w:t>
            </w:r>
          </w:p>
        </w:tc>
      </w:tr>
      <w:tr>
        <w:trPr/>
        <w:tc>
          <w:tcPr>
            <w:tcW w:w="1763" w:type="dxa"/>
            <w:tcBorders/>
            <w:vAlign w:val="center"/>
          </w:tcPr>
          <w:p>
            <w:pPr>
              <w:pStyle w:val="TableContents"/>
              <w:widowControl w:val="false"/>
              <w:suppressLineNumbers/>
              <w:spacing w:before="0" w:after="200"/>
              <w:rPr/>
            </w:pPr>
            <w:r>
              <w:rPr/>
              <w:t>Output</w:t>
            </w:r>
          </w:p>
        </w:tc>
        <w:tc>
          <w:tcPr>
            <w:tcW w:w="3211" w:type="dxa"/>
            <w:tcBorders/>
            <w:vAlign w:val="center"/>
          </w:tcPr>
          <w:p>
            <w:pPr>
              <w:pStyle w:val="TableContents"/>
              <w:widowControl w:val="false"/>
              <w:suppressLineNumbers/>
              <w:spacing w:before="0" w:after="200"/>
              <w:rPr/>
            </w:pPr>
            <w:r>
              <w:rPr/>
              <w:t>Character judgment, virtue-guided action, and understanding of how to live</w:t>
            </w:r>
          </w:p>
        </w:tc>
        <w:tc>
          <w:tcPr>
            <w:tcW w:w="3666" w:type="dxa"/>
            <w:tcBorders/>
            <w:vAlign w:val="center"/>
          </w:tcPr>
          <w:p>
            <w:pPr>
              <w:pStyle w:val="TableContents"/>
              <w:widowControl w:val="false"/>
              <w:suppressLineNumbers/>
              <w:spacing w:before="0" w:after="200"/>
              <w:rPr/>
            </w:pPr>
            <w:r>
              <w:rPr/>
              <w:t>Transition report, permissibility judgment, comparative ranking, confidence estimate, or recommendation</w:t>
            </w:r>
          </w:p>
        </w:tc>
      </w:tr>
      <w:tr>
        <w:trPr/>
        <w:tc>
          <w:tcPr>
            <w:tcW w:w="1763" w:type="dxa"/>
            <w:tcBorders/>
            <w:vAlign w:val="center"/>
          </w:tcPr>
          <w:p>
            <w:pPr>
              <w:pStyle w:val="TableContents"/>
              <w:widowControl w:val="false"/>
              <w:suppressLineNumbers/>
              <w:spacing w:before="0" w:after="200"/>
              <w:rPr/>
            </w:pPr>
            <w:r>
              <w:rPr/>
              <w:t>Moral education</w:t>
            </w:r>
          </w:p>
        </w:tc>
        <w:tc>
          <w:tcPr>
            <w:tcW w:w="3211" w:type="dxa"/>
            <w:tcBorders/>
            <w:vAlign w:val="center"/>
          </w:tcPr>
          <w:p>
            <w:pPr>
              <w:pStyle w:val="TableContents"/>
              <w:widowControl w:val="false"/>
              <w:suppressLineNumbers/>
              <w:spacing w:before="0" w:after="200"/>
              <w:rPr/>
            </w:pPr>
            <w:r>
              <w:rPr/>
              <w:t>A central purpose of ethics and political community</w:t>
            </w:r>
          </w:p>
        </w:tc>
        <w:tc>
          <w:tcPr>
            <w:tcW w:w="3666" w:type="dxa"/>
            <w:tcBorders/>
            <w:vAlign w:val="center"/>
          </w:tcPr>
          <w:p>
            <w:pPr>
              <w:pStyle w:val="TableContents"/>
              <w:widowControl w:val="false"/>
              <w:suppressLineNumbers/>
              <w:spacing w:before="0" w:after="200"/>
              <w:rPr/>
            </w:pPr>
            <w:r>
              <w:rPr/>
              <w:t>A possible application and a consequence of Distributed Policy Effects</w:t>
            </w:r>
          </w:p>
        </w:tc>
      </w:tr>
      <w:tr>
        <w:trPr/>
        <w:tc>
          <w:tcPr>
            <w:tcW w:w="1763" w:type="dxa"/>
            <w:tcBorders/>
            <w:vAlign w:val="center"/>
          </w:tcPr>
          <w:p>
            <w:pPr>
              <w:pStyle w:val="TableContents"/>
              <w:widowControl w:val="false"/>
              <w:suppressLineNumbers/>
              <w:spacing w:before="0" w:after="200"/>
              <w:rPr/>
            </w:pPr>
            <w:r>
              <w:rPr/>
              <w:t>Cross-context consistency</w:t>
            </w:r>
          </w:p>
        </w:tc>
        <w:tc>
          <w:tcPr>
            <w:tcW w:w="3211" w:type="dxa"/>
            <w:tcBorders/>
            <w:vAlign w:val="center"/>
          </w:tcPr>
          <w:p>
            <w:pPr>
              <w:pStyle w:val="TableContents"/>
              <w:widowControl w:val="false"/>
              <w:suppressLineNumbers/>
              <w:spacing w:before="0" w:after="200"/>
              <w:rPr/>
            </w:pPr>
            <w:r>
              <w:rPr/>
              <w:t>Allows substantial contextual variation under practical wisdom</w:t>
            </w:r>
          </w:p>
        </w:tc>
        <w:tc>
          <w:tcPr>
            <w:tcW w:w="3666" w:type="dxa"/>
            <w:tcBorders/>
            <w:vAlign w:val="center"/>
          </w:tcPr>
          <w:p>
            <w:pPr>
              <w:pStyle w:val="TableContents"/>
              <w:widowControl w:val="false"/>
              <w:suppressLineNumbers/>
              <w:spacing w:before="0" w:after="200"/>
              <w:rPr/>
            </w:pPr>
            <w:r>
              <w:rPr/>
              <w:t>Requires explicit assumptions, traceability, and repeatable assessment structures</w:t>
            </w:r>
          </w:p>
        </w:tc>
      </w:tr>
    </w:tbl>
    <w:p>
      <w:pPr>
        <w:pStyle w:val="Heading4"/>
        <w:ind w:hanging="0" w:left="0"/>
        <w:rPr>
          <w:rFonts w:ascii="Aptos" w:hAnsi="Aptos"/>
          <w:color w:val="auto"/>
        </w:rPr>
      </w:pPr>
      <w:r>
        <w:rPr/>
        <w:t>Potential Integration Opportunities</w:t>
      </w:r>
    </w:p>
    <w:p>
      <w:pPr>
        <w:pStyle w:val="BodyText"/>
        <w:numPr>
          <w:ilvl w:val="0"/>
          <w:numId w:val="40"/>
        </w:numPr>
        <w:tabs>
          <w:tab w:val="clear" w:pos="720"/>
          <w:tab w:val="left" w:pos="0" w:leader="none"/>
        </w:tabs>
        <w:spacing w:before="0" w:after="200"/>
        <w:ind w:hanging="283" w:left="709"/>
        <w:rPr/>
      </w:pPr>
      <w:r>
        <w:rPr>
          <w:rStyle w:val="Strong"/>
        </w:rPr>
        <w:t>Virtue and vice ontology</w:t>
      </w:r>
    </w:p>
    <w:p>
      <w:pPr>
        <w:pStyle w:val="BodyText"/>
        <w:numPr>
          <w:ilvl w:val="0"/>
          <w:numId w:val="0"/>
        </w:numPr>
        <w:spacing w:before="0" w:after="200"/>
        <w:ind w:hanging="0" w:left="0"/>
        <w:rPr/>
      </w:pPr>
      <w:r>
        <w:rPr/>
        <w:t>The architecture could represent virtues and vices as structured evaluative concepts rather than unstructured labels. Each virtue could include:</w:t>
      </w:r>
    </w:p>
    <w:p>
      <w:pPr>
        <w:pStyle w:val="BodyText"/>
        <w:numPr>
          <w:ilvl w:val="1"/>
          <w:numId w:val="40"/>
        </w:numPr>
        <w:tabs>
          <w:tab w:val="clear" w:pos="720"/>
          <w:tab w:val="left" w:pos="0" w:leader="none"/>
        </w:tabs>
        <w:spacing w:before="0" w:after="200"/>
        <w:ind w:hanging="283" w:left="1418"/>
        <w:rPr/>
      </w:pPr>
      <w:r>
        <w:rPr/>
        <w:t>Relevant situations</w:t>
      </w:r>
    </w:p>
    <w:p>
      <w:pPr>
        <w:pStyle w:val="BodyText"/>
        <w:numPr>
          <w:ilvl w:val="1"/>
          <w:numId w:val="40"/>
        </w:numPr>
        <w:tabs>
          <w:tab w:val="clear" w:pos="720"/>
          <w:tab w:val="left" w:pos="0" w:leader="none"/>
        </w:tabs>
        <w:spacing w:before="0" w:after="200"/>
        <w:ind w:hanging="283" w:left="1418"/>
        <w:rPr/>
      </w:pPr>
      <w:r>
        <w:rPr/>
        <w:t>Appropriate objects of concern</w:t>
      </w:r>
    </w:p>
    <w:p>
      <w:pPr>
        <w:pStyle w:val="BodyText"/>
        <w:numPr>
          <w:ilvl w:val="1"/>
          <w:numId w:val="40"/>
        </w:numPr>
        <w:tabs>
          <w:tab w:val="clear" w:pos="720"/>
          <w:tab w:val="left" w:pos="0" w:leader="none"/>
        </w:tabs>
        <w:spacing w:before="0" w:after="200"/>
        <w:ind w:hanging="283" w:left="1418"/>
        <w:rPr/>
      </w:pPr>
      <w:r>
        <w:rPr/>
        <w:t>Characteristic perceptions</w:t>
      </w:r>
    </w:p>
    <w:p>
      <w:pPr>
        <w:pStyle w:val="BodyText"/>
        <w:numPr>
          <w:ilvl w:val="1"/>
          <w:numId w:val="40"/>
        </w:numPr>
        <w:tabs>
          <w:tab w:val="clear" w:pos="720"/>
          <w:tab w:val="left" w:pos="0" w:leader="none"/>
        </w:tabs>
        <w:spacing w:before="0" w:after="200"/>
        <w:ind w:hanging="283" w:left="1418"/>
        <w:rPr/>
      </w:pPr>
      <w:r>
        <w:rPr/>
        <w:t>Appropriate emotions</w:t>
      </w:r>
    </w:p>
    <w:p>
      <w:pPr>
        <w:pStyle w:val="BodyText"/>
        <w:numPr>
          <w:ilvl w:val="1"/>
          <w:numId w:val="40"/>
        </w:numPr>
        <w:tabs>
          <w:tab w:val="clear" w:pos="720"/>
          <w:tab w:val="left" w:pos="0" w:leader="none"/>
        </w:tabs>
        <w:spacing w:before="0" w:after="200"/>
        <w:ind w:hanging="283" w:left="1418"/>
        <w:rPr/>
      </w:pPr>
      <w:r>
        <w:rPr/>
        <w:t>Typical motivations</w:t>
      </w:r>
    </w:p>
    <w:p>
      <w:pPr>
        <w:pStyle w:val="BodyText"/>
        <w:numPr>
          <w:ilvl w:val="1"/>
          <w:numId w:val="40"/>
        </w:numPr>
        <w:tabs>
          <w:tab w:val="clear" w:pos="720"/>
          <w:tab w:val="left" w:pos="0" w:leader="none"/>
        </w:tabs>
        <w:spacing w:before="0" w:after="200"/>
        <w:ind w:hanging="283" w:left="1418"/>
        <w:rPr/>
      </w:pPr>
      <w:r>
        <w:rPr/>
        <w:t>Appropriate ranges of action</w:t>
      </w:r>
    </w:p>
    <w:p>
      <w:pPr>
        <w:pStyle w:val="BodyText"/>
        <w:numPr>
          <w:ilvl w:val="1"/>
          <w:numId w:val="40"/>
        </w:numPr>
        <w:tabs>
          <w:tab w:val="clear" w:pos="720"/>
          <w:tab w:val="left" w:pos="0" w:leader="none"/>
        </w:tabs>
        <w:spacing w:before="0" w:after="200"/>
        <w:ind w:hanging="283" w:left="1418"/>
        <w:rPr/>
      </w:pPr>
      <w:r>
        <w:rPr/>
        <w:t>Excess and deficiency states</w:t>
      </w:r>
    </w:p>
    <w:p>
      <w:pPr>
        <w:pStyle w:val="BodyText"/>
        <w:numPr>
          <w:ilvl w:val="1"/>
          <w:numId w:val="40"/>
        </w:numPr>
        <w:tabs>
          <w:tab w:val="clear" w:pos="720"/>
          <w:tab w:val="left" w:pos="0" w:leader="none"/>
        </w:tabs>
        <w:spacing w:before="0" w:after="200"/>
        <w:ind w:hanging="283" w:left="1418"/>
        <w:rPr/>
      </w:pPr>
      <w:r>
        <w:rPr/>
        <w:t>Associated vices</w:t>
      </w:r>
    </w:p>
    <w:p>
      <w:pPr>
        <w:pStyle w:val="BodyText"/>
        <w:numPr>
          <w:ilvl w:val="1"/>
          <w:numId w:val="40"/>
        </w:numPr>
        <w:tabs>
          <w:tab w:val="clear" w:pos="720"/>
          <w:tab w:val="left" w:pos="0" w:leader="none"/>
        </w:tabs>
        <w:spacing w:before="0" w:after="200"/>
        <w:ind w:hanging="283" w:left="1418"/>
        <w:rPr/>
      </w:pPr>
      <w:r>
        <w:rPr/>
        <w:t>Supporting knowledge and experience</w:t>
      </w:r>
    </w:p>
    <w:p>
      <w:pPr>
        <w:pStyle w:val="BodyText"/>
        <w:numPr>
          <w:ilvl w:val="1"/>
          <w:numId w:val="40"/>
        </w:numPr>
        <w:tabs>
          <w:tab w:val="clear" w:pos="720"/>
          <w:tab w:val="left" w:pos="0" w:leader="none"/>
        </w:tabs>
        <w:spacing w:before="0" w:after="200"/>
        <w:ind w:hanging="283" w:left="1418"/>
        <w:rPr/>
      </w:pPr>
      <w:r>
        <w:rPr/>
        <w:t>Effects on Long-Term Flourishing</w:t>
      </w:r>
    </w:p>
    <w:p>
      <w:pPr>
        <w:pStyle w:val="BodyText"/>
        <w:numPr>
          <w:ilvl w:val="1"/>
          <w:numId w:val="40"/>
        </w:numPr>
        <w:tabs>
          <w:tab w:val="clear" w:pos="720"/>
          <w:tab w:val="left" w:pos="0" w:leader="none"/>
        </w:tabs>
        <w:spacing w:before="0" w:after="200"/>
        <w:ind w:hanging="283" w:left="1418"/>
        <w:rPr/>
      </w:pPr>
      <w:r>
        <w:rPr/>
        <w:t>Evidence and confidence</w:t>
      </w:r>
    </w:p>
    <w:p>
      <w:pPr>
        <w:pStyle w:val="BodyText"/>
        <w:numPr>
          <w:ilvl w:val="0"/>
          <w:numId w:val="40"/>
        </w:numPr>
        <w:tabs>
          <w:tab w:val="clear" w:pos="720"/>
          <w:tab w:val="left" w:pos="0" w:leader="none"/>
        </w:tabs>
        <w:spacing w:before="0" w:after="200"/>
        <w:ind w:hanging="283" w:left="709"/>
        <w:rPr/>
      </w:pPr>
      <w:r>
        <w:rPr>
          <w:rStyle w:val="Strong"/>
        </w:rPr>
        <w:t>Actor character profile</w:t>
      </w:r>
    </w:p>
    <w:p>
      <w:pPr>
        <w:pStyle w:val="BodyText"/>
        <w:numPr>
          <w:ilvl w:val="0"/>
          <w:numId w:val="0"/>
        </w:numPr>
        <w:spacing w:before="0" w:after="200"/>
        <w:ind w:hanging="0" w:left="0"/>
        <w:rPr/>
      </w:pPr>
      <w:r>
        <w:rPr/>
        <w:t>The Actor Policy State could be expanded into a longitudinal character profile. It could represent the Actor’s demonstrated honesty, courage, justice, compassion, temperance, humility, reliability, practical wisdom, and corresponding vices.</w:t>
      </w:r>
    </w:p>
    <w:p>
      <w:pPr>
        <w:pStyle w:val="BodyText"/>
        <w:numPr>
          <w:ilvl w:val="0"/>
          <w:numId w:val="0"/>
        </w:numPr>
        <w:spacing w:before="0" w:after="200"/>
        <w:ind w:hanging="0" w:left="0"/>
        <w:rPr/>
      </w:pPr>
      <w:r>
        <w:rPr/>
        <w:t>The profile should distinguish:</w:t>
      </w:r>
    </w:p>
    <w:p>
      <w:pPr>
        <w:pStyle w:val="BodyText"/>
        <w:numPr>
          <w:ilvl w:val="1"/>
          <w:numId w:val="40"/>
        </w:numPr>
        <w:tabs>
          <w:tab w:val="clear" w:pos="720"/>
          <w:tab w:val="left" w:pos="0" w:leader="none"/>
        </w:tabs>
        <w:spacing w:before="0" w:after="200"/>
        <w:ind w:hanging="283" w:left="1418"/>
        <w:rPr/>
      </w:pPr>
      <w:r>
        <w:rPr/>
        <w:t>Stable character from isolated behavior</w:t>
      </w:r>
    </w:p>
    <w:p>
      <w:pPr>
        <w:pStyle w:val="BodyText"/>
        <w:numPr>
          <w:ilvl w:val="1"/>
          <w:numId w:val="40"/>
        </w:numPr>
        <w:tabs>
          <w:tab w:val="clear" w:pos="720"/>
          <w:tab w:val="left" w:pos="0" w:leader="none"/>
        </w:tabs>
        <w:spacing w:before="0" w:after="200"/>
        <w:ind w:hanging="283" w:left="1418"/>
        <w:rPr/>
      </w:pPr>
      <w:r>
        <w:rPr/>
        <w:t>Motivation from external compliance</w:t>
      </w:r>
    </w:p>
    <w:p>
      <w:pPr>
        <w:pStyle w:val="BodyText"/>
        <w:numPr>
          <w:ilvl w:val="1"/>
          <w:numId w:val="40"/>
        </w:numPr>
        <w:tabs>
          <w:tab w:val="clear" w:pos="720"/>
          <w:tab w:val="left" w:pos="0" w:leader="none"/>
        </w:tabs>
        <w:spacing w:before="0" w:after="200"/>
        <w:ind w:hanging="283" w:left="1418"/>
        <w:rPr/>
      </w:pPr>
      <w:r>
        <w:rPr/>
        <w:t>Capability from actual exercise</w:t>
      </w:r>
    </w:p>
    <w:p>
      <w:pPr>
        <w:pStyle w:val="BodyText"/>
        <w:numPr>
          <w:ilvl w:val="1"/>
          <w:numId w:val="40"/>
        </w:numPr>
        <w:tabs>
          <w:tab w:val="clear" w:pos="720"/>
          <w:tab w:val="left" w:pos="0" w:leader="none"/>
        </w:tabs>
        <w:spacing w:before="0" w:after="200"/>
        <w:ind w:hanging="283" w:left="1418"/>
        <w:rPr/>
      </w:pPr>
      <w:r>
        <w:rPr/>
        <w:t>Role-specific competence from general moral virtue</w:t>
      </w:r>
    </w:p>
    <w:p>
      <w:pPr>
        <w:pStyle w:val="BodyText"/>
        <w:numPr>
          <w:ilvl w:val="1"/>
          <w:numId w:val="40"/>
        </w:numPr>
        <w:tabs>
          <w:tab w:val="clear" w:pos="720"/>
          <w:tab w:val="left" w:pos="0" w:leader="none"/>
        </w:tabs>
        <w:spacing w:before="0" w:after="200"/>
        <w:ind w:hanging="283" w:left="1418"/>
        <w:rPr/>
      </w:pPr>
      <w:r>
        <w:rPr/>
        <w:t>Evidence from inference</w:t>
      </w:r>
    </w:p>
    <w:p>
      <w:pPr>
        <w:pStyle w:val="BodyText"/>
        <w:numPr>
          <w:ilvl w:val="0"/>
          <w:numId w:val="40"/>
        </w:numPr>
        <w:tabs>
          <w:tab w:val="clear" w:pos="720"/>
          <w:tab w:val="left" w:pos="0" w:leader="none"/>
        </w:tabs>
        <w:spacing w:before="0" w:after="200"/>
        <w:ind w:hanging="283" w:left="709"/>
        <w:rPr/>
      </w:pPr>
      <w:r>
        <w:rPr>
          <w:rStyle w:val="Strong"/>
        </w:rPr>
        <w:t>Habituation and policy-update modeling</w:t>
      </w:r>
    </w:p>
    <w:p>
      <w:pPr>
        <w:pStyle w:val="BodyText"/>
        <w:numPr>
          <w:ilvl w:val="0"/>
          <w:numId w:val="0"/>
        </w:numPr>
        <w:spacing w:before="0" w:after="200"/>
        <w:ind w:hanging="0" w:left="0"/>
        <w:rPr/>
      </w:pPr>
      <w:r>
        <w:rPr/>
        <w:t>Repeated actions could be modeled as reinforcement processes that strengthen or weaken dispositions. The assessment could estimate whether an action makes future honesty, coercion, courage, negligence, generosity, or deception more likely for the Actor and relevant observers.</w:t>
      </w:r>
    </w:p>
    <w:p>
      <w:pPr>
        <w:pStyle w:val="BodyText"/>
        <w:numPr>
          <w:ilvl w:val="0"/>
          <w:numId w:val="40"/>
        </w:numPr>
        <w:tabs>
          <w:tab w:val="clear" w:pos="720"/>
          <w:tab w:val="left" w:pos="0" w:leader="none"/>
        </w:tabs>
        <w:spacing w:before="0" w:after="200"/>
        <w:ind w:hanging="283" w:left="709"/>
        <w:rPr/>
      </w:pPr>
      <w:r>
        <w:rPr>
          <w:rStyle w:val="Strong"/>
        </w:rPr>
        <w:t>Practical-wisdom module</w:t>
      </w:r>
    </w:p>
    <w:p>
      <w:pPr>
        <w:pStyle w:val="BodyText"/>
        <w:numPr>
          <w:ilvl w:val="0"/>
          <w:numId w:val="0"/>
        </w:numPr>
        <w:spacing w:before="0" w:after="200"/>
        <w:ind w:hanging="0" w:left="0"/>
        <w:rPr/>
      </w:pPr>
      <w:r>
        <w:rPr/>
        <w:t>A practical-wisdom component could evaluate whether the Actor:</w:t>
      </w:r>
    </w:p>
    <w:p>
      <w:pPr>
        <w:pStyle w:val="BodyText"/>
        <w:numPr>
          <w:ilvl w:val="1"/>
          <w:numId w:val="40"/>
        </w:numPr>
        <w:tabs>
          <w:tab w:val="clear" w:pos="720"/>
          <w:tab w:val="left" w:pos="0" w:leader="none"/>
        </w:tabs>
        <w:spacing w:before="0" w:after="200"/>
        <w:ind w:hanging="283" w:left="1418"/>
        <w:rPr/>
      </w:pPr>
      <w:r>
        <w:rPr/>
        <w:t>Identified the morally relevant features of the situation</w:t>
      </w:r>
    </w:p>
    <w:p>
      <w:pPr>
        <w:pStyle w:val="BodyText"/>
        <w:numPr>
          <w:ilvl w:val="1"/>
          <w:numId w:val="40"/>
        </w:numPr>
        <w:tabs>
          <w:tab w:val="clear" w:pos="720"/>
          <w:tab w:val="left" w:pos="0" w:leader="none"/>
        </w:tabs>
        <w:spacing w:before="0" w:after="200"/>
        <w:ind w:hanging="283" w:left="1418"/>
        <w:rPr/>
      </w:pPr>
      <w:r>
        <w:rPr/>
        <w:t>Selected an appropriate Assessment Boundary</w:t>
      </w:r>
    </w:p>
    <w:p>
      <w:pPr>
        <w:pStyle w:val="BodyText"/>
        <w:numPr>
          <w:ilvl w:val="1"/>
          <w:numId w:val="40"/>
        </w:numPr>
        <w:tabs>
          <w:tab w:val="clear" w:pos="720"/>
          <w:tab w:val="left" w:pos="0" w:leader="none"/>
        </w:tabs>
        <w:spacing w:before="0" w:after="200"/>
        <w:ind w:hanging="283" w:left="1418"/>
        <w:rPr/>
      </w:pPr>
      <w:r>
        <w:rPr/>
        <w:t>Recognized vulnerable entities and important Associations</w:t>
      </w:r>
    </w:p>
    <w:p>
      <w:pPr>
        <w:pStyle w:val="BodyText"/>
        <w:numPr>
          <w:ilvl w:val="1"/>
          <w:numId w:val="40"/>
        </w:numPr>
        <w:tabs>
          <w:tab w:val="clear" w:pos="720"/>
          <w:tab w:val="left" w:pos="0" w:leader="none"/>
        </w:tabs>
        <w:spacing w:before="0" w:after="200"/>
        <w:ind w:hanging="283" w:left="1418"/>
        <w:rPr/>
      </w:pPr>
      <w:r>
        <w:rPr/>
        <w:t>Distinguished genuine from merely apparent objectives</w:t>
      </w:r>
    </w:p>
    <w:p>
      <w:pPr>
        <w:pStyle w:val="BodyText"/>
        <w:numPr>
          <w:ilvl w:val="1"/>
          <w:numId w:val="40"/>
        </w:numPr>
        <w:tabs>
          <w:tab w:val="clear" w:pos="720"/>
          <w:tab w:val="left" w:pos="0" w:leader="none"/>
        </w:tabs>
        <w:spacing w:before="0" w:after="200"/>
        <w:ind w:hanging="283" w:left="1418"/>
        <w:rPr/>
      </w:pPr>
      <w:r>
        <w:rPr/>
        <w:t>Selected proportionate means</w:t>
      </w:r>
    </w:p>
    <w:p>
      <w:pPr>
        <w:pStyle w:val="BodyText"/>
        <w:numPr>
          <w:ilvl w:val="1"/>
          <w:numId w:val="40"/>
        </w:numPr>
        <w:tabs>
          <w:tab w:val="clear" w:pos="720"/>
          <w:tab w:val="left" w:pos="0" w:leader="none"/>
        </w:tabs>
        <w:spacing w:before="0" w:after="200"/>
        <w:ind w:hanging="283" w:left="1418"/>
        <w:rPr/>
      </w:pPr>
      <w:r>
        <w:rPr/>
        <w:t>Responded appropriately to uncertainty</w:t>
      </w:r>
    </w:p>
    <w:p>
      <w:pPr>
        <w:pStyle w:val="BodyText"/>
        <w:numPr>
          <w:ilvl w:val="1"/>
          <w:numId w:val="40"/>
        </w:numPr>
        <w:tabs>
          <w:tab w:val="clear" w:pos="720"/>
          <w:tab w:val="left" w:pos="0" w:leader="none"/>
        </w:tabs>
        <w:spacing w:before="0" w:after="200"/>
        <w:ind w:hanging="283" w:left="1418"/>
        <w:rPr/>
      </w:pPr>
      <w:r>
        <w:rPr/>
        <w:t>Avoided both excess and deficiency</w:t>
      </w:r>
    </w:p>
    <w:p>
      <w:pPr>
        <w:pStyle w:val="BodyText"/>
        <w:numPr>
          <w:ilvl w:val="1"/>
          <w:numId w:val="40"/>
        </w:numPr>
        <w:tabs>
          <w:tab w:val="clear" w:pos="720"/>
          <w:tab w:val="left" w:pos="0" w:leader="none"/>
        </w:tabs>
        <w:spacing w:before="0" w:after="200"/>
        <w:ind w:hanging="283" w:left="1418"/>
        <w:rPr/>
      </w:pPr>
      <w:r>
        <w:rPr/>
        <w:t>Revised the decision when new evidence became available</w:t>
      </w:r>
    </w:p>
    <w:p>
      <w:pPr>
        <w:pStyle w:val="BodyText"/>
        <w:numPr>
          <w:ilvl w:val="0"/>
          <w:numId w:val="40"/>
        </w:numPr>
        <w:tabs>
          <w:tab w:val="clear" w:pos="720"/>
          <w:tab w:val="left" w:pos="0" w:leader="none"/>
        </w:tabs>
        <w:spacing w:before="0" w:after="200"/>
        <w:ind w:hanging="283" w:left="709"/>
        <w:rPr/>
      </w:pPr>
      <w:r>
        <w:rPr>
          <w:rStyle w:val="Strong"/>
        </w:rPr>
        <w:t>Motivation and emotional-state representation</w:t>
      </w:r>
    </w:p>
    <w:p>
      <w:pPr>
        <w:pStyle w:val="BodyText"/>
        <w:numPr>
          <w:ilvl w:val="0"/>
          <w:numId w:val="0"/>
        </w:numPr>
        <w:spacing w:before="0" w:after="200"/>
        <w:ind w:hanging="0" w:left="0"/>
        <w:rPr/>
      </w:pPr>
      <w:r>
        <w:rPr/>
        <w:t>The framework could distinguish conduct motivated by concern, justice, honesty, fear, greed, resentment, loyalty, compassion, or desire for status. Emotional states should not determine moral judgment by themselves, but they may help explain perception, intention, policy development, and responsibility.</w:t>
      </w:r>
    </w:p>
    <w:p>
      <w:pPr>
        <w:pStyle w:val="BodyText"/>
        <w:numPr>
          <w:ilvl w:val="0"/>
          <w:numId w:val="40"/>
        </w:numPr>
        <w:tabs>
          <w:tab w:val="clear" w:pos="720"/>
          <w:tab w:val="left" w:pos="0" w:leader="none"/>
        </w:tabs>
        <w:spacing w:before="0" w:after="200"/>
        <w:ind w:hanging="283" w:left="709"/>
        <w:rPr/>
      </w:pPr>
      <w:r>
        <w:rPr>
          <w:rStyle w:val="Strong"/>
        </w:rPr>
        <w:t>Doctrine-of-the-mean analysis</w:t>
      </w:r>
    </w:p>
    <w:p>
      <w:pPr>
        <w:pStyle w:val="BodyText"/>
        <w:numPr>
          <w:ilvl w:val="0"/>
          <w:numId w:val="0"/>
        </w:numPr>
        <w:spacing w:before="0" w:after="200"/>
        <w:ind w:hanging="0" w:left="0"/>
        <w:rPr/>
      </w:pPr>
      <w:r>
        <w:rPr/>
        <w:t>Relevant virtues could be evaluated against context-specific excess and deficiency. For example:</w:t>
      </w:r>
    </w:p>
    <w:tbl>
      <w:tblPr>
        <w:tblW w:w="7931" w:type="dxa"/>
        <w:jc w:val="left"/>
        <w:tblInd w:w="737" w:type="dxa"/>
        <w:tblLayout w:type="fixed"/>
        <w:tblCellMar>
          <w:top w:w="28" w:type="dxa"/>
          <w:left w:w="28" w:type="dxa"/>
          <w:bottom w:w="28" w:type="dxa"/>
          <w:right w:w="28" w:type="dxa"/>
        </w:tblCellMar>
      </w:tblPr>
      <w:tblGrid>
        <w:gridCol w:w="1238"/>
        <w:gridCol w:w="1214"/>
        <w:gridCol w:w="2665"/>
        <w:gridCol w:w="2814"/>
      </w:tblGrid>
      <w:tr>
        <w:trPr>
          <w:tblHeader w:val="true"/>
        </w:trPr>
        <w:tc>
          <w:tcPr>
            <w:tcW w:w="1238" w:type="dxa"/>
            <w:tcBorders/>
            <w:vAlign w:val="center"/>
          </w:tcPr>
          <w:p>
            <w:pPr>
              <w:pStyle w:val="TableHeading"/>
              <w:suppressLineNumbers/>
              <w:spacing w:before="0" w:after="200"/>
              <w:jc w:val="center"/>
              <w:rPr/>
            </w:pPr>
            <w:r>
              <w:rPr/>
              <w:t>Virtue</w:t>
            </w:r>
          </w:p>
        </w:tc>
        <w:tc>
          <w:tcPr>
            <w:tcW w:w="1214" w:type="dxa"/>
            <w:tcBorders/>
            <w:vAlign w:val="center"/>
          </w:tcPr>
          <w:p>
            <w:pPr>
              <w:pStyle w:val="TableHeading"/>
              <w:suppressLineNumbers/>
              <w:spacing w:before="0" w:after="200"/>
              <w:jc w:val="center"/>
              <w:rPr/>
            </w:pPr>
            <w:r>
              <w:rPr/>
              <w:t>Deficiency</w:t>
            </w:r>
          </w:p>
        </w:tc>
        <w:tc>
          <w:tcPr>
            <w:tcW w:w="2665" w:type="dxa"/>
            <w:tcBorders/>
            <w:vAlign w:val="center"/>
          </w:tcPr>
          <w:p>
            <w:pPr>
              <w:pStyle w:val="TableHeading"/>
              <w:suppressLineNumbers/>
              <w:spacing w:before="0" w:after="200"/>
              <w:jc w:val="center"/>
              <w:rPr/>
            </w:pPr>
            <w:r>
              <w:rPr/>
              <w:t>Contextual excellence</w:t>
            </w:r>
          </w:p>
        </w:tc>
        <w:tc>
          <w:tcPr>
            <w:tcW w:w="2814" w:type="dxa"/>
            <w:tcBorders/>
            <w:vAlign w:val="center"/>
          </w:tcPr>
          <w:p>
            <w:pPr>
              <w:pStyle w:val="TableHeading"/>
              <w:suppressLineNumbers/>
              <w:spacing w:before="0" w:after="200"/>
              <w:jc w:val="center"/>
              <w:rPr/>
            </w:pPr>
            <w:r>
              <w:rPr/>
              <w:t>Excess or distortion</w:t>
            </w:r>
          </w:p>
        </w:tc>
      </w:tr>
      <w:tr>
        <w:trPr/>
        <w:tc>
          <w:tcPr>
            <w:tcW w:w="1238" w:type="dxa"/>
            <w:tcBorders/>
            <w:vAlign w:val="center"/>
          </w:tcPr>
          <w:p>
            <w:pPr>
              <w:pStyle w:val="TableContents"/>
              <w:widowControl w:val="false"/>
              <w:suppressLineNumbers/>
              <w:spacing w:before="0" w:after="200"/>
              <w:rPr/>
            </w:pPr>
            <w:r>
              <w:rPr/>
              <w:t>Courage</w:t>
            </w:r>
          </w:p>
        </w:tc>
        <w:tc>
          <w:tcPr>
            <w:tcW w:w="1214" w:type="dxa"/>
            <w:tcBorders/>
            <w:vAlign w:val="center"/>
          </w:tcPr>
          <w:p>
            <w:pPr>
              <w:pStyle w:val="TableContents"/>
              <w:widowControl w:val="false"/>
              <w:suppressLineNumbers/>
              <w:spacing w:before="0" w:after="200"/>
              <w:rPr/>
            </w:pPr>
            <w:r>
              <w:rPr/>
              <w:t>Cowardice</w:t>
            </w:r>
          </w:p>
        </w:tc>
        <w:tc>
          <w:tcPr>
            <w:tcW w:w="2665" w:type="dxa"/>
            <w:tcBorders/>
            <w:vAlign w:val="center"/>
          </w:tcPr>
          <w:p>
            <w:pPr>
              <w:pStyle w:val="TableContents"/>
              <w:widowControl w:val="false"/>
              <w:suppressLineNumbers/>
              <w:spacing w:before="0" w:after="200"/>
              <w:rPr/>
            </w:pPr>
            <w:r>
              <w:rPr/>
              <w:t>Proportionate acceptance of justified risk</w:t>
            </w:r>
          </w:p>
        </w:tc>
        <w:tc>
          <w:tcPr>
            <w:tcW w:w="2814" w:type="dxa"/>
            <w:tcBorders/>
            <w:vAlign w:val="center"/>
          </w:tcPr>
          <w:p>
            <w:pPr>
              <w:pStyle w:val="TableContents"/>
              <w:widowControl w:val="false"/>
              <w:suppressLineNumbers/>
              <w:spacing w:before="0" w:after="200"/>
              <w:rPr/>
            </w:pPr>
            <w:r>
              <w:rPr/>
              <w:t>Recklessness</w:t>
            </w:r>
          </w:p>
        </w:tc>
      </w:tr>
      <w:tr>
        <w:trPr/>
        <w:tc>
          <w:tcPr>
            <w:tcW w:w="1238" w:type="dxa"/>
            <w:tcBorders/>
            <w:vAlign w:val="center"/>
          </w:tcPr>
          <w:p>
            <w:pPr>
              <w:pStyle w:val="TableContents"/>
              <w:widowControl w:val="false"/>
              <w:suppressLineNumbers/>
              <w:spacing w:before="0" w:after="200"/>
              <w:rPr/>
            </w:pPr>
            <w:r>
              <w:rPr/>
              <w:t>Confidence</w:t>
            </w:r>
          </w:p>
        </w:tc>
        <w:tc>
          <w:tcPr>
            <w:tcW w:w="1214" w:type="dxa"/>
            <w:tcBorders/>
            <w:vAlign w:val="center"/>
          </w:tcPr>
          <w:p>
            <w:pPr>
              <w:pStyle w:val="TableContents"/>
              <w:widowControl w:val="false"/>
              <w:suppressLineNumbers/>
              <w:spacing w:before="0" w:after="200"/>
              <w:rPr/>
            </w:pPr>
            <w:r>
              <w:rPr/>
              <w:t>Timidity</w:t>
            </w:r>
          </w:p>
        </w:tc>
        <w:tc>
          <w:tcPr>
            <w:tcW w:w="2665" w:type="dxa"/>
            <w:tcBorders/>
            <w:vAlign w:val="center"/>
          </w:tcPr>
          <w:p>
            <w:pPr>
              <w:pStyle w:val="TableContents"/>
              <w:widowControl w:val="false"/>
              <w:suppressLineNumbers/>
              <w:spacing w:before="0" w:after="200"/>
              <w:rPr/>
            </w:pPr>
            <w:r>
              <w:rPr/>
              <w:t>Evidence-calibrated confidence</w:t>
            </w:r>
          </w:p>
        </w:tc>
        <w:tc>
          <w:tcPr>
            <w:tcW w:w="2814" w:type="dxa"/>
            <w:tcBorders/>
            <w:vAlign w:val="center"/>
          </w:tcPr>
          <w:p>
            <w:pPr>
              <w:pStyle w:val="TableContents"/>
              <w:widowControl w:val="false"/>
              <w:suppressLineNumbers/>
              <w:spacing w:before="0" w:after="200"/>
              <w:rPr/>
            </w:pPr>
            <w:r>
              <w:rPr/>
              <w:t>Arrogance or overconfidence</w:t>
            </w:r>
          </w:p>
        </w:tc>
      </w:tr>
      <w:tr>
        <w:trPr/>
        <w:tc>
          <w:tcPr>
            <w:tcW w:w="1238" w:type="dxa"/>
            <w:tcBorders/>
            <w:vAlign w:val="center"/>
          </w:tcPr>
          <w:p>
            <w:pPr>
              <w:pStyle w:val="TableContents"/>
              <w:widowControl w:val="false"/>
              <w:suppressLineNumbers/>
              <w:spacing w:before="0" w:after="200"/>
              <w:rPr/>
            </w:pPr>
            <w:r>
              <w:rPr/>
              <w:t>Loyalty</w:t>
            </w:r>
          </w:p>
        </w:tc>
        <w:tc>
          <w:tcPr>
            <w:tcW w:w="1214" w:type="dxa"/>
            <w:tcBorders/>
            <w:vAlign w:val="center"/>
          </w:tcPr>
          <w:p>
            <w:pPr>
              <w:pStyle w:val="TableContents"/>
              <w:widowControl w:val="false"/>
              <w:suppressLineNumbers/>
              <w:spacing w:before="0" w:after="200"/>
              <w:rPr/>
            </w:pPr>
            <w:r>
              <w:rPr/>
              <w:t>Disloyalty</w:t>
            </w:r>
          </w:p>
        </w:tc>
        <w:tc>
          <w:tcPr>
            <w:tcW w:w="2665" w:type="dxa"/>
            <w:tcBorders/>
            <w:vAlign w:val="center"/>
          </w:tcPr>
          <w:p>
            <w:pPr>
              <w:pStyle w:val="TableContents"/>
              <w:widowControl w:val="false"/>
              <w:suppressLineNumbers/>
              <w:spacing w:before="0" w:after="200"/>
              <w:rPr/>
            </w:pPr>
            <w:r>
              <w:rPr/>
              <w:t>Faithful support consistent with justice</w:t>
            </w:r>
          </w:p>
        </w:tc>
        <w:tc>
          <w:tcPr>
            <w:tcW w:w="2814" w:type="dxa"/>
            <w:tcBorders/>
            <w:vAlign w:val="center"/>
          </w:tcPr>
          <w:p>
            <w:pPr>
              <w:pStyle w:val="TableContents"/>
              <w:widowControl w:val="false"/>
              <w:suppressLineNumbers/>
              <w:spacing w:before="0" w:after="200"/>
              <w:rPr/>
            </w:pPr>
            <w:r>
              <w:rPr/>
              <w:t>Complicity or tribalism</w:t>
            </w:r>
          </w:p>
        </w:tc>
      </w:tr>
      <w:tr>
        <w:trPr/>
        <w:tc>
          <w:tcPr>
            <w:tcW w:w="1238" w:type="dxa"/>
            <w:tcBorders/>
            <w:vAlign w:val="center"/>
          </w:tcPr>
          <w:p>
            <w:pPr>
              <w:pStyle w:val="TableContents"/>
              <w:widowControl w:val="false"/>
              <w:suppressLineNumbers/>
              <w:spacing w:before="0" w:after="200"/>
              <w:rPr/>
            </w:pPr>
            <w:r>
              <w:rPr/>
              <w:t>Generosity</w:t>
            </w:r>
          </w:p>
        </w:tc>
        <w:tc>
          <w:tcPr>
            <w:tcW w:w="1214" w:type="dxa"/>
            <w:tcBorders/>
            <w:vAlign w:val="center"/>
          </w:tcPr>
          <w:p>
            <w:pPr>
              <w:pStyle w:val="TableContents"/>
              <w:widowControl w:val="false"/>
              <w:suppressLineNumbers/>
              <w:spacing w:before="0" w:after="200"/>
              <w:rPr/>
            </w:pPr>
            <w:r>
              <w:rPr/>
              <w:t>Stinginess</w:t>
            </w:r>
          </w:p>
        </w:tc>
        <w:tc>
          <w:tcPr>
            <w:tcW w:w="2665" w:type="dxa"/>
            <w:tcBorders/>
            <w:vAlign w:val="center"/>
          </w:tcPr>
          <w:p>
            <w:pPr>
              <w:pStyle w:val="TableContents"/>
              <w:widowControl w:val="false"/>
              <w:suppressLineNumbers/>
              <w:spacing w:before="0" w:after="200"/>
              <w:rPr/>
            </w:pPr>
            <w:r>
              <w:rPr/>
              <w:t>Appropriate sharing of resources</w:t>
            </w:r>
          </w:p>
        </w:tc>
        <w:tc>
          <w:tcPr>
            <w:tcW w:w="2814" w:type="dxa"/>
            <w:tcBorders/>
            <w:vAlign w:val="center"/>
          </w:tcPr>
          <w:p>
            <w:pPr>
              <w:pStyle w:val="TableContents"/>
              <w:widowControl w:val="false"/>
              <w:suppressLineNumbers/>
              <w:spacing w:before="0" w:after="200"/>
              <w:rPr/>
            </w:pPr>
            <w:r>
              <w:rPr/>
              <w:t>Wastefulness or enabling harm</w:t>
            </w:r>
          </w:p>
        </w:tc>
      </w:tr>
      <w:tr>
        <w:trPr/>
        <w:tc>
          <w:tcPr>
            <w:tcW w:w="1238" w:type="dxa"/>
            <w:tcBorders/>
            <w:vAlign w:val="center"/>
          </w:tcPr>
          <w:p>
            <w:pPr>
              <w:pStyle w:val="TableContents"/>
              <w:widowControl w:val="false"/>
              <w:suppressLineNumbers/>
              <w:spacing w:before="0" w:after="200"/>
              <w:rPr/>
            </w:pPr>
            <w:r>
              <w:rPr/>
              <w:t>Caution</w:t>
            </w:r>
          </w:p>
        </w:tc>
        <w:tc>
          <w:tcPr>
            <w:tcW w:w="1214" w:type="dxa"/>
            <w:tcBorders/>
            <w:vAlign w:val="center"/>
          </w:tcPr>
          <w:p>
            <w:pPr>
              <w:pStyle w:val="TableContents"/>
              <w:widowControl w:val="false"/>
              <w:suppressLineNumbers/>
              <w:spacing w:before="0" w:after="200"/>
              <w:rPr/>
            </w:pPr>
            <w:r>
              <w:rPr/>
              <w:t>Negligence</w:t>
            </w:r>
          </w:p>
        </w:tc>
        <w:tc>
          <w:tcPr>
            <w:tcW w:w="2665" w:type="dxa"/>
            <w:tcBorders/>
            <w:vAlign w:val="center"/>
          </w:tcPr>
          <w:p>
            <w:pPr>
              <w:pStyle w:val="TableContents"/>
              <w:widowControl w:val="false"/>
              <w:suppressLineNumbers/>
              <w:spacing w:before="0" w:after="200"/>
              <w:rPr/>
            </w:pPr>
            <w:r>
              <w:rPr/>
              <w:t>Proportionate risk control</w:t>
            </w:r>
          </w:p>
        </w:tc>
        <w:tc>
          <w:tcPr>
            <w:tcW w:w="2814" w:type="dxa"/>
            <w:tcBorders/>
            <w:vAlign w:val="center"/>
          </w:tcPr>
          <w:p>
            <w:pPr>
              <w:pStyle w:val="TableContents"/>
              <w:widowControl w:val="false"/>
              <w:suppressLineNumbers/>
              <w:spacing w:before="0" w:after="200"/>
              <w:rPr/>
            </w:pPr>
            <w:r>
              <w:rPr/>
              <w:t>Paralysis or excessive risk aversion</w:t>
            </w:r>
          </w:p>
        </w:tc>
      </w:tr>
      <w:tr>
        <w:trPr/>
        <w:tc>
          <w:tcPr>
            <w:tcW w:w="1238" w:type="dxa"/>
            <w:tcBorders/>
            <w:vAlign w:val="center"/>
          </w:tcPr>
          <w:p>
            <w:pPr>
              <w:pStyle w:val="TableContents"/>
              <w:widowControl w:val="false"/>
              <w:suppressLineNumbers/>
              <w:spacing w:before="0" w:after="200"/>
              <w:rPr/>
            </w:pPr>
            <w:r>
              <w:rPr/>
              <w:t>Honesty</w:t>
            </w:r>
          </w:p>
        </w:tc>
        <w:tc>
          <w:tcPr>
            <w:tcW w:w="1214" w:type="dxa"/>
            <w:tcBorders/>
            <w:vAlign w:val="center"/>
          </w:tcPr>
          <w:p>
            <w:pPr>
              <w:pStyle w:val="TableContents"/>
              <w:widowControl w:val="false"/>
              <w:suppressLineNumbers/>
              <w:spacing w:before="0" w:after="200"/>
              <w:rPr/>
            </w:pPr>
            <w:r>
              <w:rPr/>
              <w:t>Deception</w:t>
            </w:r>
          </w:p>
        </w:tc>
        <w:tc>
          <w:tcPr>
            <w:tcW w:w="2665" w:type="dxa"/>
            <w:tcBorders/>
            <w:vAlign w:val="center"/>
          </w:tcPr>
          <w:p>
            <w:pPr>
              <w:pStyle w:val="TableContents"/>
              <w:widowControl w:val="false"/>
              <w:suppressLineNumbers/>
              <w:spacing w:before="0" w:after="200"/>
              <w:rPr/>
            </w:pPr>
            <w:r>
              <w:rPr/>
              <w:t>Truthfulness exercised with judgment</w:t>
            </w:r>
          </w:p>
        </w:tc>
        <w:tc>
          <w:tcPr>
            <w:tcW w:w="2814" w:type="dxa"/>
            <w:tcBorders/>
            <w:vAlign w:val="center"/>
          </w:tcPr>
          <w:p>
            <w:pPr>
              <w:pStyle w:val="TableContents"/>
              <w:widowControl w:val="false"/>
              <w:suppressLineNumbers/>
              <w:spacing w:before="0" w:after="200"/>
              <w:rPr/>
            </w:pPr>
            <w:r>
              <w:rPr/>
              <w:t>Cruel, reckless, or context-insensitive disclosure</w:t>
            </w:r>
          </w:p>
        </w:tc>
      </w:tr>
    </w:tbl>
    <w:p>
      <w:pPr>
        <w:pStyle w:val="BodyText"/>
        <w:numPr>
          <w:ilvl w:val="0"/>
          <w:numId w:val="40"/>
        </w:numPr>
        <w:tabs>
          <w:tab w:val="clear" w:pos="720"/>
          <w:tab w:val="left" w:pos="0" w:leader="none"/>
        </w:tabs>
        <w:spacing w:before="0" w:after="200"/>
        <w:ind w:hanging="283" w:left="709"/>
        <w:rPr/>
      </w:pPr>
      <w:r>
        <w:rPr>
          <w:rStyle w:val="Strong"/>
        </w:rPr>
        <w:t>Practice and internal-goods representation</w:t>
      </w:r>
    </w:p>
    <w:p>
      <w:pPr>
        <w:pStyle w:val="BodyText"/>
        <w:numPr>
          <w:ilvl w:val="0"/>
          <w:numId w:val="0"/>
        </w:numPr>
        <w:spacing w:before="0" w:after="200"/>
        <w:ind w:hanging="0" w:left="0"/>
        <w:rPr/>
      </w:pPr>
      <w:r>
        <w:rPr/>
        <w:t>Institutions could be assessed according to whether they preserve the internal goods and standards of excellence of their practices. Examples include:</w:t>
      </w:r>
    </w:p>
    <w:p>
      <w:pPr>
        <w:pStyle w:val="BodyText"/>
        <w:numPr>
          <w:ilvl w:val="1"/>
          <w:numId w:val="40"/>
        </w:numPr>
        <w:tabs>
          <w:tab w:val="clear" w:pos="720"/>
          <w:tab w:val="left" w:pos="0" w:leader="none"/>
        </w:tabs>
        <w:spacing w:before="0" w:after="200"/>
        <w:ind w:hanging="283" w:left="1418"/>
        <w:rPr/>
      </w:pPr>
      <w:r>
        <w:rPr/>
        <w:t>Patient welfare and clinical judgment in medicine</w:t>
      </w:r>
    </w:p>
    <w:p>
      <w:pPr>
        <w:pStyle w:val="BodyText"/>
        <w:numPr>
          <w:ilvl w:val="1"/>
          <w:numId w:val="40"/>
        </w:numPr>
        <w:tabs>
          <w:tab w:val="clear" w:pos="720"/>
          <w:tab w:val="left" w:pos="0" w:leader="none"/>
        </w:tabs>
        <w:spacing w:before="0" w:after="200"/>
        <w:ind w:hanging="283" w:left="1418"/>
        <w:rPr/>
      </w:pPr>
      <w:r>
        <w:rPr/>
        <w:t>Truth-seeking in science</w:t>
      </w:r>
    </w:p>
    <w:p>
      <w:pPr>
        <w:pStyle w:val="BodyText"/>
        <w:numPr>
          <w:ilvl w:val="1"/>
          <w:numId w:val="40"/>
        </w:numPr>
        <w:tabs>
          <w:tab w:val="clear" w:pos="720"/>
          <w:tab w:val="left" w:pos="0" w:leader="none"/>
        </w:tabs>
        <w:spacing w:before="0" w:after="200"/>
        <w:ind w:hanging="283" w:left="1418"/>
        <w:rPr/>
      </w:pPr>
      <w:r>
        <w:rPr/>
        <w:t>Justice and due process in law</w:t>
      </w:r>
    </w:p>
    <w:p>
      <w:pPr>
        <w:pStyle w:val="BodyText"/>
        <w:numPr>
          <w:ilvl w:val="1"/>
          <w:numId w:val="40"/>
        </w:numPr>
        <w:tabs>
          <w:tab w:val="clear" w:pos="720"/>
          <w:tab w:val="left" w:pos="0" w:leader="none"/>
        </w:tabs>
        <w:spacing w:before="0" w:after="200"/>
        <w:ind w:hanging="283" w:left="1418"/>
        <w:rPr/>
      </w:pPr>
      <w:r>
        <w:rPr/>
        <w:t>Public service in government</w:t>
      </w:r>
    </w:p>
    <w:p>
      <w:pPr>
        <w:pStyle w:val="BodyText"/>
        <w:numPr>
          <w:ilvl w:val="1"/>
          <w:numId w:val="40"/>
        </w:numPr>
        <w:tabs>
          <w:tab w:val="clear" w:pos="720"/>
          <w:tab w:val="left" w:pos="0" w:leader="none"/>
        </w:tabs>
        <w:spacing w:before="0" w:after="200"/>
        <w:ind w:hanging="283" w:left="1418"/>
        <w:rPr/>
      </w:pPr>
      <w:r>
        <w:rPr/>
        <w:t>Safety and reliability in engineering</w:t>
      </w:r>
    </w:p>
    <w:p>
      <w:pPr>
        <w:pStyle w:val="BodyText"/>
        <w:numPr>
          <w:ilvl w:val="1"/>
          <w:numId w:val="40"/>
        </w:numPr>
        <w:tabs>
          <w:tab w:val="clear" w:pos="720"/>
          <w:tab w:val="left" w:pos="0" w:leader="none"/>
        </w:tabs>
        <w:spacing w:before="0" w:after="200"/>
        <w:ind w:hanging="283" w:left="1418"/>
        <w:rPr/>
      </w:pPr>
      <w:r>
        <w:rPr/>
        <w:t>Knowledge and independent reasoning in education</w:t>
      </w:r>
    </w:p>
    <w:p>
      <w:pPr>
        <w:pStyle w:val="BodyText"/>
        <w:numPr>
          <w:ilvl w:val="0"/>
          <w:numId w:val="0"/>
        </w:numPr>
        <w:spacing w:before="0" w:after="200"/>
        <w:ind w:hanging="0" w:left="0"/>
        <w:rPr/>
      </w:pPr>
      <w:r>
        <w:rPr/>
        <w:t>External goods such as revenue, growth, power, prestige, and efficiency could then be evaluated for whether they support or corrupt the practice.</w:t>
      </w:r>
    </w:p>
    <w:p>
      <w:pPr>
        <w:pStyle w:val="BodyText"/>
        <w:numPr>
          <w:ilvl w:val="0"/>
          <w:numId w:val="40"/>
        </w:numPr>
        <w:tabs>
          <w:tab w:val="clear" w:pos="720"/>
          <w:tab w:val="left" w:pos="0" w:leader="none"/>
        </w:tabs>
        <w:spacing w:before="0" w:after="200"/>
        <w:ind w:hanging="283" w:left="709"/>
        <w:rPr/>
      </w:pPr>
      <w:r>
        <w:rPr>
          <w:rStyle w:val="Strong"/>
        </w:rPr>
        <w:t>Moral-exemplar and case-based reasoning</w:t>
      </w:r>
    </w:p>
    <w:p>
      <w:pPr>
        <w:pStyle w:val="BodyText"/>
        <w:numPr>
          <w:ilvl w:val="0"/>
          <w:numId w:val="0"/>
        </w:numPr>
        <w:spacing w:before="0" w:after="200"/>
        <w:ind w:hanging="0" w:left="0"/>
        <w:rPr/>
      </w:pPr>
      <w:r>
        <w:rPr/>
        <w:t>The system could use carefully validated exemplars and historical cases to identify patterns of excellent practical judgment. Exemplars should inform reasoning without becoming unquestionable authorities or encouraging imitation without contextual understanding.</w:t>
      </w:r>
    </w:p>
    <w:p>
      <w:pPr>
        <w:pStyle w:val="BodyText"/>
        <w:numPr>
          <w:ilvl w:val="0"/>
          <w:numId w:val="40"/>
        </w:numPr>
        <w:tabs>
          <w:tab w:val="clear" w:pos="720"/>
          <w:tab w:val="left" w:pos="0" w:leader="none"/>
        </w:tabs>
        <w:spacing w:before="0" w:after="200"/>
        <w:ind w:hanging="283" w:left="709"/>
        <w:rPr/>
      </w:pPr>
      <w:r>
        <w:rPr>
          <w:rStyle w:val="Strong"/>
        </w:rPr>
        <w:t>Institutional character assessment</w:t>
      </w:r>
    </w:p>
    <w:p>
      <w:pPr>
        <w:pStyle w:val="BodyText"/>
        <w:numPr>
          <w:ilvl w:val="0"/>
          <w:numId w:val="0"/>
        </w:numPr>
        <w:spacing w:before="0" w:after="200"/>
        <w:ind w:hanging="0" w:left="0"/>
        <w:rPr/>
      </w:pPr>
      <w:r>
        <w:rPr/>
        <w:t>Institutions can display persistent policy patterns analogous to virtues and vices. An institution may be trustworthy, transparent, just, courageous, accountable, deceptive, exploitative, negligent, or corrupt. These characteristics could be assessed across repeated decisions rather than inferred from one event.</w:t>
      </w:r>
    </w:p>
    <w:p>
      <w:pPr>
        <w:pStyle w:val="BodyText"/>
        <w:numPr>
          <w:ilvl w:val="0"/>
          <w:numId w:val="40"/>
        </w:numPr>
        <w:tabs>
          <w:tab w:val="clear" w:pos="720"/>
          <w:tab w:val="left" w:pos="0" w:leader="none"/>
        </w:tabs>
        <w:spacing w:before="0" w:after="200"/>
        <w:ind w:hanging="283" w:left="709"/>
        <w:rPr/>
      </w:pPr>
      <w:r>
        <w:rPr>
          <w:rStyle w:val="Strong"/>
        </w:rPr>
        <w:t>Narrative and longitudinal assessment</w:t>
      </w:r>
    </w:p>
    <w:p>
      <w:pPr>
        <w:pStyle w:val="BodyText"/>
        <w:numPr>
          <w:ilvl w:val="0"/>
          <w:numId w:val="0"/>
        </w:numPr>
        <w:spacing w:before="0" w:after="200"/>
        <w:ind w:hanging="0" w:left="0"/>
        <w:rPr/>
      </w:pPr>
      <w:r>
        <w:rPr/>
        <w:t>Moral evaluation could examine a sequence of actions as a developmental trajectory. The assessment would ask whether the Actor or institution is becoming more capable of wise and constructive participation or is developing increasingly harmful policies.</w:t>
      </w:r>
    </w:p>
    <w:p>
      <w:pPr>
        <w:pStyle w:val="BodyText"/>
        <w:numPr>
          <w:ilvl w:val="0"/>
          <w:numId w:val="40"/>
        </w:numPr>
        <w:tabs>
          <w:tab w:val="clear" w:pos="720"/>
          <w:tab w:val="left" w:pos="0" w:leader="none"/>
        </w:tabs>
        <w:spacing w:before="0" w:after="200"/>
        <w:ind w:hanging="283" w:left="709"/>
        <w:rPr/>
      </w:pPr>
      <w:r>
        <w:rPr>
          <w:rStyle w:val="Strong"/>
        </w:rPr>
        <w:t>Role-specific virtues</w:t>
      </w:r>
    </w:p>
    <w:p>
      <w:pPr>
        <w:pStyle w:val="BodyText"/>
        <w:numPr>
          <w:ilvl w:val="0"/>
          <w:numId w:val="0"/>
        </w:numPr>
        <w:spacing w:before="0" w:after="200"/>
        <w:ind w:hanging="0" w:left="0"/>
        <w:rPr/>
      </w:pPr>
      <w:r>
        <w:rPr/>
        <w:t>Domain implementations could define virtues relevant to particular responsibilities:</w:t>
      </w:r>
    </w:p>
    <w:p>
      <w:pPr>
        <w:pStyle w:val="BodyText"/>
        <w:numPr>
          <w:ilvl w:val="1"/>
          <w:numId w:val="40"/>
        </w:numPr>
        <w:tabs>
          <w:tab w:val="clear" w:pos="720"/>
          <w:tab w:val="left" w:pos="0" w:leader="none"/>
        </w:tabs>
        <w:spacing w:before="0" w:after="200"/>
        <w:ind w:hanging="283" w:left="1418"/>
        <w:rPr/>
      </w:pPr>
      <w:r>
        <w:rPr/>
        <w:t>Clinical judgment and compassion in healthcare</w:t>
      </w:r>
    </w:p>
    <w:p>
      <w:pPr>
        <w:pStyle w:val="BodyText"/>
        <w:numPr>
          <w:ilvl w:val="1"/>
          <w:numId w:val="40"/>
        </w:numPr>
        <w:tabs>
          <w:tab w:val="clear" w:pos="720"/>
          <w:tab w:val="left" w:pos="0" w:leader="none"/>
        </w:tabs>
        <w:spacing w:before="0" w:after="200"/>
        <w:ind w:hanging="283" w:left="1418"/>
        <w:rPr/>
      </w:pPr>
      <w:r>
        <w:rPr/>
        <w:t>Judicial independence and fairness in law</w:t>
      </w:r>
    </w:p>
    <w:p>
      <w:pPr>
        <w:pStyle w:val="BodyText"/>
        <w:numPr>
          <w:ilvl w:val="1"/>
          <w:numId w:val="40"/>
        </w:numPr>
        <w:tabs>
          <w:tab w:val="clear" w:pos="720"/>
          <w:tab w:val="left" w:pos="0" w:leader="none"/>
        </w:tabs>
        <w:spacing w:before="0" w:after="200"/>
        <w:ind w:hanging="283" w:left="1418"/>
        <w:rPr/>
      </w:pPr>
      <w:r>
        <w:rPr/>
        <w:t>Intellectual honesty in science</w:t>
      </w:r>
    </w:p>
    <w:p>
      <w:pPr>
        <w:pStyle w:val="BodyText"/>
        <w:numPr>
          <w:ilvl w:val="1"/>
          <w:numId w:val="40"/>
        </w:numPr>
        <w:tabs>
          <w:tab w:val="clear" w:pos="720"/>
          <w:tab w:val="left" w:pos="0" w:leader="none"/>
        </w:tabs>
        <w:spacing w:before="0" w:after="200"/>
        <w:ind w:hanging="283" w:left="1418"/>
        <w:rPr/>
      </w:pPr>
      <w:r>
        <w:rPr/>
        <w:t>Prudence and accountability in governance</w:t>
      </w:r>
    </w:p>
    <w:p>
      <w:pPr>
        <w:pStyle w:val="BodyText"/>
        <w:numPr>
          <w:ilvl w:val="1"/>
          <w:numId w:val="40"/>
        </w:numPr>
        <w:tabs>
          <w:tab w:val="clear" w:pos="720"/>
          <w:tab w:val="left" w:pos="0" w:leader="none"/>
        </w:tabs>
        <w:spacing w:before="0" w:after="200"/>
        <w:ind w:hanging="283" w:left="1418"/>
        <w:rPr/>
      </w:pPr>
      <w:r>
        <w:rPr/>
        <w:t>Safety discipline in engineering</w:t>
      </w:r>
    </w:p>
    <w:p>
      <w:pPr>
        <w:pStyle w:val="BodyText"/>
        <w:numPr>
          <w:ilvl w:val="1"/>
          <w:numId w:val="40"/>
        </w:numPr>
        <w:tabs>
          <w:tab w:val="clear" w:pos="720"/>
          <w:tab w:val="left" w:pos="0" w:leader="none"/>
        </w:tabs>
        <w:spacing w:before="0" w:after="200"/>
        <w:ind w:hanging="283" w:left="1418"/>
        <w:rPr/>
      </w:pPr>
      <w:r>
        <w:rPr/>
        <w:t>Restraint and proportionality in policing or military operations</w:t>
      </w:r>
    </w:p>
    <w:p>
      <w:pPr>
        <w:pStyle w:val="BodyText"/>
        <w:numPr>
          <w:ilvl w:val="1"/>
          <w:numId w:val="40"/>
        </w:numPr>
        <w:tabs>
          <w:tab w:val="clear" w:pos="720"/>
          <w:tab w:val="left" w:pos="0" w:leader="none"/>
        </w:tabs>
        <w:spacing w:before="0" w:after="200"/>
        <w:ind w:hanging="283" w:left="1418"/>
        <w:rPr/>
      </w:pPr>
      <w:r>
        <w:rPr/>
        <w:t>Transparency and corrigibility in artificial systems</w:t>
      </w:r>
    </w:p>
    <w:p>
      <w:pPr>
        <w:pStyle w:val="BodyText"/>
        <w:numPr>
          <w:ilvl w:val="0"/>
          <w:numId w:val="40"/>
        </w:numPr>
        <w:tabs>
          <w:tab w:val="clear" w:pos="720"/>
          <w:tab w:val="left" w:pos="0" w:leader="none"/>
        </w:tabs>
        <w:spacing w:before="0" w:after="200"/>
        <w:ind w:hanging="283" w:left="709"/>
        <w:rPr/>
      </w:pPr>
      <w:r>
        <w:rPr>
          <w:rStyle w:val="Strong"/>
        </w:rPr>
        <w:t>Moral-development feedback</w:t>
      </w:r>
    </w:p>
    <w:p>
      <w:pPr>
        <w:pStyle w:val="BodyText"/>
        <w:numPr>
          <w:ilvl w:val="0"/>
          <w:numId w:val="0"/>
        </w:numPr>
        <w:spacing w:before="0" w:after="200"/>
        <w:ind w:hanging="0" w:left="0"/>
        <w:rPr/>
      </w:pPr>
      <w:r>
        <w:rPr/>
        <w:t>A Moral Reasoning Runtime could provide feedback not only on whether an action is permissible but also on what the decision suggests about the Actor’s dispositions and what practices could improve future judgment.</w:t>
      </w:r>
    </w:p>
    <w:p>
      <w:pPr>
        <w:pStyle w:val="BodyText"/>
        <w:numPr>
          <w:ilvl w:val="0"/>
          <w:numId w:val="40"/>
        </w:numPr>
        <w:tabs>
          <w:tab w:val="clear" w:pos="720"/>
          <w:tab w:val="left" w:pos="0" w:leader="none"/>
        </w:tabs>
        <w:spacing w:before="0" w:after="200"/>
        <w:ind w:hanging="283" w:left="709"/>
        <w:rPr/>
      </w:pPr>
      <w:r>
        <w:rPr>
          <w:rStyle w:val="Strong"/>
        </w:rPr>
        <w:t>Dual assessment outputs</w:t>
      </w:r>
    </w:p>
    <w:p>
      <w:pPr>
        <w:pStyle w:val="BodyText"/>
        <w:numPr>
          <w:ilvl w:val="0"/>
          <w:numId w:val="0"/>
        </w:numPr>
        <w:spacing w:before="0" w:after="200"/>
        <w:ind w:hanging="0" w:left="0"/>
        <w:rPr/>
      </w:pPr>
      <w:r>
        <w:rPr/>
        <w:t>The framework could report:</w:t>
      </w:r>
    </w:p>
    <w:p>
      <w:pPr>
        <w:pStyle w:val="BodyText"/>
        <w:numPr>
          <w:ilvl w:val="1"/>
          <w:numId w:val="40"/>
        </w:numPr>
        <w:tabs>
          <w:tab w:val="clear" w:pos="720"/>
          <w:tab w:val="left" w:pos="0" w:leader="none"/>
        </w:tabs>
        <w:spacing w:before="0" w:after="200"/>
        <w:ind w:hanging="283" w:left="1418"/>
        <w:rPr/>
      </w:pPr>
      <w:r>
        <w:rPr>
          <w:rStyle w:val="Strong"/>
        </w:rPr>
        <w:t>Action assessment:</w:t>
      </w:r>
      <w:r>
        <w:rPr/>
        <w:t xml:space="preserve"> What the Actor did and what World Context resulted</w:t>
      </w:r>
    </w:p>
    <w:p>
      <w:pPr>
        <w:pStyle w:val="BodyText"/>
        <w:numPr>
          <w:ilvl w:val="1"/>
          <w:numId w:val="40"/>
        </w:numPr>
        <w:tabs>
          <w:tab w:val="clear" w:pos="720"/>
          <w:tab w:val="left" w:pos="0" w:leader="none"/>
        </w:tabs>
        <w:spacing w:before="0" w:after="200"/>
        <w:ind w:hanging="283" w:left="1418"/>
        <w:rPr/>
      </w:pPr>
      <w:r>
        <w:rPr>
          <w:rStyle w:val="Strong"/>
        </w:rPr>
        <w:t>Character assessment:</w:t>
      </w:r>
      <w:r>
        <w:rPr/>
        <w:t xml:space="preserve"> What dispositions the action expressed or reinforced</w:t>
      </w:r>
    </w:p>
    <w:p>
      <w:pPr>
        <w:pStyle w:val="BodyText"/>
        <w:numPr>
          <w:ilvl w:val="1"/>
          <w:numId w:val="40"/>
        </w:numPr>
        <w:tabs>
          <w:tab w:val="clear" w:pos="720"/>
          <w:tab w:val="left" w:pos="0" w:leader="none"/>
        </w:tabs>
        <w:spacing w:before="0" w:after="200"/>
        <w:ind w:hanging="283" w:left="1418"/>
        <w:rPr/>
      </w:pPr>
      <w:r>
        <w:rPr>
          <w:rStyle w:val="Strong"/>
        </w:rPr>
        <w:t>Practical-wisdom assessment:</w:t>
      </w:r>
      <w:r>
        <w:rPr/>
        <w:t xml:space="preserve"> Whether the Actor perceived and balanced the relevant considerations appropriately</w:t>
      </w:r>
    </w:p>
    <w:p>
      <w:pPr>
        <w:pStyle w:val="BodyText"/>
        <w:numPr>
          <w:ilvl w:val="1"/>
          <w:numId w:val="40"/>
        </w:numPr>
        <w:tabs>
          <w:tab w:val="clear" w:pos="720"/>
          <w:tab w:val="left" w:pos="0" w:leader="none"/>
        </w:tabs>
        <w:spacing w:before="0" w:after="200"/>
        <w:ind w:hanging="283" w:left="1418"/>
        <w:rPr/>
      </w:pPr>
      <w:r>
        <w:rPr>
          <w:rStyle w:val="Strong"/>
        </w:rPr>
        <w:t>Institutional-culture assessment:</w:t>
      </w:r>
      <w:r>
        <w:rPr/>
        <w:t xml:space="preserve"> What behavior the action teaches, rewards, or normalizes</w:t>
      </w:r>
    </w:p>
    <w:p>
      <w:pPr>
        <w:pStyle w:val="BodyText"/>
        <w:numPr>
          <w:ilvl w:val="0"/>
          <w:numId w:val="40"/>
        </w:numPr>
        <w:tabs>
          <w:tab w:val="clear" w:pos="720"/>
          <w:tab w:val="left" w:pos="0" w:leader="none"/>
        </w:tabs>
        <w:spacing w:before="0" w:after="200"/>
        <w:ind w:hanging="283" w:left="709"/>
        <w:rPr/>
      </w:pPr>
      <w:r>
        <w:rPr>
          <w:rStyle w:val="Strong"/>
        </w:rPr>
        <w:t>Empirical moral-psychology integration</w:t>
      </w:r>
    </w:p>
    <w:p>
      <w:pPr>
        <w:pStyle w:val="BodyText"/>
        <w:numPr>
          <w:ilvl w:val="0"/>
          <w:numId w:val="0"/>
        </w:numPr>
        <w:spacing w:before="0" w:after="200"/>
        <w:ind w:hanging="0" w:left="0"/>
        <w:rPr/>
      </w:pPr>
      <w:r>
        <w:rPr/>
        <w:t xml:space="preserve">Character assessment should incorporate evidence that behavior can vary substantially across situations. Empirical research on character, situationism, personality, and moral development can help prevent unjustified inference from one action to a permanent trait. </w:t>
      </w:r>
      <w:hyperlink r:id="rId138">
        <w:r>
          <w:rPr>
            <w:rStyle w:val="Hyperlink"/>
          </w:rPr>
          <w:t>Stanford Encyclopedia of Philosophy</w:t>
        </w:r>
      </w:hyperlink>
    </w:p>
    <w:p>
      <w:pPr>
        <w:pStyle w:val="BodyText"/>
        <w:numPr>
          <w:ilvl w:val="0"/>
          <w:numId w:val="40"/>
        </w:numPr>
        <w:tabs>
          <w:tab w:val="clear" w:pos="720"/>
          <w:tab w:val="left" w:pos="0" w:leader="none"/>
        </w:tabs>
        <w:spacing w:before="0" w:after="200"/>
        <w:ind w:hanging="283" w:left="709"/>
        <w:rPr/>
      </w:pPr>
      <w:r>
        <w:rPr>
          <w:rStyle w:val="Strong"/>
        </w:rPr>
        <w:t>Artificial-system virtue profiles</w:t>
      </w:r>
    </w:p>
    <w:p>
      <w:pPr>
        <w:pStyle w:val="BodyText"/>
        <w:numPr>
          <w:ilvl w:val="0"/>
          <w:numId w:val="0"/>
        </w:numPr>
        <w:spacing w:before="0" w:after="200"/>
        <w:ind w:hanging="0" w:left="0"/>
        <w:rPr/>
      </w:pPr>
      <w:r>
        <w:rPr/>
        <w:t>Artificial systems could be evaluated for functionally virtue-like dispositions such as honesty, reliability, restraint, fairness, transparency, and corrigibility. The framework should distinguish reliable behavioral policies from genuine moral character, which may require forms of understanding, motivation, emotion, and practical agency that present artificial systems do not possess.</w:t>
      </w:r>
    </w:p>
    <w:p>
      <w:pPr>
        <w:pStyle w:val="BodyText"/>
        <w:spacing w:before="0" w:after="200"/>
        <w:rPr/>
      </w:pPr>
      <w:r>
        <w:rPr/>
        <w:t>The strongest integration would treat virtues as persistent policy dispositions that shape moral perception, motivation, deliberation, action, and learning across repeated World Context Transitions. Virtue ethics would thereby strengthen the framework’s representation of moral development and practical judgment, while the framework would provide virtue ethics with an explicit systems model for tracing how individual actions, institutions, incentives, and social observation cultivate or corrupt character over time.</w:t>
      </w:r>
    </w:p>
    <w:p>
      <w:pPr>
        <w:pStyle w:val="Heading3"/>
        <w:ind w:hanging="0" w:left="0"/>
        <w:rPr/>
      </w:pPr>
      <w:r>
        <w:rPr/>
        <w:t>Rights-Based Ethics</w:t>
      </w:r>
    </w:p>
    <w:p>
      <w:pPr>
        <w:pStyle w:val="BodyText"/>
        <w:spacing w:before="0" w:after="200"/>
        <w:rPr/>
      </w:pPr>
      <w:r>
        <w:rPr/>
        <w:t>Rights-based ethics evaluates conduct by determining whether it respects the justified claims, liberties, powers, and immunities of affected entities. Unlike approaches that judge an action primarily by its aggregate consequences, a rights-based approach gives special normative importance to what may or must be done to particular right-holders. Rights may be understood as moral rights that exist independently of legal recognition, or as legal and institutional rights created and enforced within a particular jurisdiction. Rights-based theories differ over the source, scope, and strength of rights, but generally hold that the interests of an individual or minority cannot be disregarded solely because doing so would produce a larger aggregate benefit.</w:t>
      </w:r>
    </w:p>
    <w:p>
      <w:pPr>
        <w:pStyle w:val="Heading4"/>
        <w:ind w:hanging="0" w:left="0"/>
        <w:rPr>
          <w:rFonts w:ascii="Aptos" w:hAnsi="Aptos"/>
          <w:color w:val="auto"/>
        </w:rPr>
      </w:pPr>
      <w:r>
        <w:rPr/>
        <w:t>Primary Expert(s)</w:t>
      </w:r>
    </w:p>
    <w:p>
      <w:pPr>
        <w:pStyle w:val="BodyText"/>
        <w:spacing w:before="0" w:after="200"/>
        <w:rPr/>
      </w:pPr>
      <w:r>
        <w:rPr/>
        <w:t>The following figures represent several major strands of rights-based thought. The list is illustrative rather than exhaustive.</w:t>
      </w:r>
    </w:p>
    <w:tbl>
      <w:tblPr>
        <w:tblW w:w="8640" w:type="dxa"/>
        <w:jc w:val="left"/>
        <w:tblInd w:w="28" w:type="dxa"/>
        <w:tblLayout w:type="fixed"/>
        <w:tblCellMar>
          <w:top w:w="28" w:type="dxa"/>
          <w:left w:w="28" w:type="dxa"/>
          <w:bottom w:w="28" w:type="dxa"/>
          <w:right w:w="28" w:type="dxa"/>
        </w:tblCellMar>
      </w:tblPr>
      <w:tblGrid>
        <w:gridCol w:w="1340"/>
        <w:gridCol w:w="751"/>
        <w:gridCol w:w="1877"/>
        <w:gridCol w:w="4672"/>
      </w:tblGrid>
      <w:tr>
        <w:trPr>
          <w:tblHeader w:val="true"/>
        </w:trPr>
        <w:tc>
          <w:tcPr>
            <w:tcW w:w="1340" w:type="dxa"/>
            <w:tcBorders/>
            <w:vAlign w:val="center"/>
          </w:tcPr>
          <w:p>
            <w:pPr>
              <w:pStyle w:val="TableHeading"/>
              <w:suppressLineNumbers/>
              <w:spacing w:before="0" w:after="200"/>
              <w:jc w:val="center"/>
              <w:rPr/>
            </w:pPr>
            <w:r>
              <w:rPr/>
              <w:t>Expert</w:t>
            </w:r>
          </w:p>
        </w:tc>
        <w:tc>
          <w:tcPr>
            <w:tcW w:w="751" w:type="dxa"/>
            <w:tcBorders/>
            <w:vAlign w:val="center"/>
          </w:tcPr>
          <w:p>
            <w:pPr>
              <w:pStyle w:val="TableHeading"/>
              <w:spacing w:before="0" w:after="200"/>
              <w:jc w:val="right"/>
              <w:rPr/>
            </w:pPr>
            <w:r>
              <w:rPr/>
              <w:t>Years</w:t>
            </w:r>
          </w:p>
        </w:tc>
        <w:tc>
          <w:tcPr>
            <w:tcW w:w="1877" w:type="dxa"/>
            <w:tcBorders/>
            <w:vAlign w:val="center"/>
          </w:tcPr>
          <w:p>
            <w:pPr>
              <w:pStyle w:val="TableHeading"/>
              <w:suppressLineNumbers/>
              <w:spacing w:before="0" w:after="200"/>
              <w:jc w:val="center"/>
              <w:rPr/>
            </w:pPr>
            <w:r>
              <w:rPr/>
              <w:t>Associated institution(s)</w:t>
            </w:r>
          </w:p>
        </w:tc>
        <w:tc>
          <w:tcPr>
            <w:tcW w:w="4672" w:type="dxa"/>
            <w:tcBorders/>
            <w:vAlign w:val="center"/>
          </w:tcPr>
          <w:p>
            <w:pPr>
              <w:pStyle w:val="TableHeading"/>
              <w:suppressLineNumbers/>
              <w:spacing w:before="0" w:after="200"/>
              <w:jc w:val="center"/>
              <w:rPr/>
            </w:pPr>
            <w:r>
              <w:rPr/>
              <w:t>Principal contribution</w:t>
            </w:r>
          </w:p>
        </w:tc>
      </w:tr>
      <w:tr>
        <w:trPr/>
        <w:tc>
          <w:tcPr>
            <w:tcW w:w="1340" w:type="dxa"/>
            <w:tcBorders/>
            <w:vAlign w:val="center"/>
          </w:tcPr>
          <w:p>
            <w:pPr>
              <w:pStyle w:val="TableContents"/>
              <w:widowControl w:val="false"/>
              <w:suppressLineNumbers/>
              <w:spacing w:before="0" w:after="200"/>
              <w:rPr/>
            </w:pPr>
            <w:r>
              <w:rPr>
                <w:rStyle w:val="Strong"/>
              </w:rPr>
              <w:t>John Locke</w:t>
            </w:r>
          </w:p>
        </w:tc>
        <w:tc>
          <w:tcPr>
            <w:tcW w:w="751" w:type="dxa"/>
            <w:tcBorders/>
            <w:vAlign w:val="center"/>
          </w:tcPr>
          <w:p>
            <w:pPr>
              <w:pStyle w:val="TableContents"/>
              <w:spacing w:before="0" w:after="200"/>
              <w:jc w:val="right"/>
              <w:rPr/>
            </w:pPr>
            <w:r>
              <w:rPr/>
              <w:t>1632–1704</w:t>
            </w:r>
          </w:p>
        </w:tc>
        <w:tc>
          <w:tcPr>
            <w:tcW w:w="1877" w:type="dxa"/>
            <w:tcBorders/>
            <w:vAlign w:val="center"/>
          </w:tcPr>
          <w:p>
            <w:pPr>
              <w:pStyle w:val="TableContents"/>
              <w:widowControl w:val="false"/>
              <w:suppressLineNumbers/>
              <w:spacing w:before="0" w:after="200"/>
              <w:rPr/>
            </w:pPr>
            <w:r>
              <w:rPr/>
              <w:t>Christ Church, University of Oxford</w:t>
            </w:r>
          </w:p>
        </w:tc>
        <w:tc>
          <w:tcPr>
            <w:tcW w:w="4672" w:type="dxa"/>
            <w:tcBorders/>
            <w:vAlign w:val="center"/>
          </w:tcPr>
          <w:p>
            <w:pPr>
              <w:pStyle w:val="TableContents"/>
              <w:widowControl w:val="false"/>
              <w:suppressLineNumbers/>
              <w:spacing w:before="0" w:after="200"/>
              <w:rPr/>
            </w:pPr>
            <w:r>
              <w:rPr/>
              <w:t xml:space="preserve">Developed an influential natural-rights account in which persons possess rights to life, liberty, and property independently of government. Political authority is legitimate only through consent and is principally established to protect those rights. </w:t>
            </w:r>
            <w:hyperlink r:id="rId139">
              <w:r>
                <w:rPr>
                  <w:rStyle w:val="Hyperlink"/>
                </w:rPr>
                <w:t>Stanford Encyclopedia of Philosophy</w:t>
              </w:r>
            </w:hyperlink>
            <w:r>
              <w:rPr/>
              <w:t xml:space="preserve">, </w:t>
            </w:r>
            <w:hyperlink r:id="rId140">
              <w:r>
                <w:rPr>
                  <w:rStyle w:val="Hyperlink"/>
                </w:rPr>
                <w:t>Christ Church, Oxford</w:t>
              </w:r>
            </w:hyperlink>
          </w:p>
        </w:tc>
      </w:tr>
      <w:tr>
        <w:trPr/>
        <w:tc>
          <w:tcPr>
            <w:tcW w:w="1340" w:type="dxa"/>
            <w:tcBorders/>
            <w:vAlign w:val="center"/>
          </w:tcPr>
          <w:p>
            <w:pPr>
              <w:pStyle w:val="TableContents"/>
              <w:widowControl w:val="false"/>
              <w:suppressLineNumbers/>
              <w:spacing w:before="0" w:after="200"/>
              <w:rPr/>
            </w:pPr>
            <w:r>
              <w:rPr>
                <w:rStyle w:val="Strong"/>
              </w:rPr>
              <w:t>Wesley Newcomb Hohfeld</w:t>
            </w:r>
          </w:p>
        </w:tc>
        <w:tc>
          <w:tcPr>
            <w:tcW w:w="751" w:type="dxa"/>
            <w:tcBorders/>
            <w:vAlign w:val="center"/>
          </w:tcPr>
          <w:p>
            <w:pPr>
              <w:pStyle w:val="TableContents"/>
              <w:spacing w:before="0" w:after="200"/>
              <w:jc w:val="right"/>
              <w:rPr/>
            </w:pPr>
            <w:r>
              <w:rPr/>
              <w:t>1879–1918</w:t>
            </w:r>
          </w:p>
        </w:tc>
        <w:tc>
          <w:tcPr>
            <w:tcW w:w="1877" w:type="dxa"/>
            <w:tcBorders/>
            <w:vAlign w:val="center"/>
          </w:tcPr>
          <w:p>
            <w:pPr>
              <w:pStyle w:val="TableContents"/>
              <w:widowControl w:val="false"/>
              <w:suppressLineNumbers/>
              <w:spacing w:before="0" w:after="200"/>
              <w:rPr/>
            </w:pPr>
            <w:r>
              <w:rPr/>
              <w:t>Stanford Law School; Yale Law School, Southmayd Professor of Law</w:t>
            </w:r>
          </w:p>
        </w:tc>
        <w:tc>
          <w:tcPr>
            <w:tcW w:w="4672" w:type="dxa"/>
            <w:tcBorders/>
            <w:vAlign w:val="center"/>
          </w:tcPr>
          <w:p>
            <w:pPr>
              <w:pStyle w:val="TableContents"/>
              <w:widowControl w:val="false"/>
              <w:suppressLineNumbers/>
              <w:spacing w:before="0" w:after="200"/>
              <w:rPr/>
            </w:pPr>
            <w:r>
              <w:rPr/>
              <w:t xml:space="preserve">Developed the analytical classification of rights into claim-rights, privileges or liberties, powers, and immunities. His framework clarifies the corresponding duties, liabilities, and limitations held by other parties. </w:t>
            </w:r>
            <w:hyperlink r:id="rId141">
              <w:r>
                <w:rPr>
                  <w:rStyle w:val="Hyperlink"/>
                </w:rPr>
                <w:t>Yale Law School</w:t>
              </w:r>
            </w:hyperlink>
          </w:p>
        </w:tc>
      </w:tr>
      <w:tr>
        <w:trPr/>
        <w:tc>
          <w:tcPr>
            <w:tcW w:w="1340" w:type="dxa"/>
            <w:tcBorders/>
            <w:vAlign w:val="center"/>
          </w:tcPr>
          <w:p>
            <w:pPr>
              <w:pStyle w:val="TableContents"/>
              <w:widowControl w:val="false"/>
              <w:suppressLineNumbers/>
              <w:spacing w:before="0" w:after="200"/>
              <w:rPr/>
            </w:pPr>
            <w:r>
              <w:rPr>
                <w:rStyle w:val="Strong"/>
              </w:rPr>
              <w:t>Ronald Dworkin</w:t>
            </w:r>
          </w:p>
        </w:tc>
        <w:tc>
          <w:tcPr>
            <w:tcW w:w="751" w:type="dxa"/>
            <w:tcBorders/>
            <w:vAlign w:val="center"/>
          </w:tcPr>
          <w:p>
            <w:pPr>
              <w:pStyle w:val="TableContents"/>
              <w:spacing w:before="0" w:after="200"/>
              <w:jc w:val="right"/>
              <w:rPr/>
            </w:pPr>
            <w:r>
              <w:rPr/>
              <w:t>1931–2013</w:t>
            </w:r>
          </w:p>
        </w:tc>
        <w:tc>
          <w:tcPr>
            <w:tcW w:w="1877" w:type="dxa"/>
            <w:tcBorders/>
            <w:vAlign w:val="center"/>
          </w:tcPr>
          <w:p>
            <w:pPr>
              <w:pStyle w:val="TableContents"/>
              <w:widowControl w:val="false"/>
              <w:suppressLineNumbers/>
              <w:spacing w:before="0" w:after="200"/>
              <w:rPr/>
            </w:pPr>
            <w:r>
              <w:rPr/>
              <w:t>New York University School of Law; University of Oxford</w:t>
            </w:r>
          </w:p>
        </w:tc>
        <w:tc>
          <w:tcPr>
            <w:tcW w:w="4672" w:type="dxa"/>
            <w:tcBorders/>
            <w:vAlign w:val="center"/>
          </w:tcPr>
          <w:p>
            <w:pPr>
              <w:pStyle w:val="TableContents"/>
              <w:widowControl w:val="false"/>
              <w:suppressLineNumbers/>
              <w:spacing w:before="0" w:after="200"/>
              <w:rPr/>
            </w:pPr>
            <w:r>
              <w:rPr/>
              <w:t xml:space="preserve">Argued that individual rights have a special status in moral and legal reasoning and can function as “trumps” against policies justified only by collective welfare. He connected rights with equal concern, respect, and the integrity of legal institutions. </w:t>
            </w:r>
            <w:hyperlink r:id="rId142">
              <w:r>
                <w:rPr>
                  <w:rStyle w:val="Hyperlink"/>
                </w:rPr>
                <w:t>New York University School of Law</w:t>
              </w:r>
            </w:hyperlink>
            <w:r>
              <w:rPr/>
              <w:t xml:space="preserve">, </w:t>
            </w:r>
            <w:hyperlink r:id="rId143">
              <w:r>
                <w:rPr>
                  <w:rStyle w:val="Hyperlink"/>
                </w:rPr>
                <w:t>Stanford Encyclopedia of Philosophy</w:t>
              </w:r>
            </w:hyperlink>
          </w:p>
        </w:tc>
      </w:tr>
      <w:tr>
        <w:trPr/>
        <w:tc>
          <w:tcPr>
            <w:tcW w:w="1340" w:type="dxa"/>
            <w:tcBorders/>
            <w:vAlign w:val="center"/>
          </w:tcPr>
          <w:p>
            <w:pPr>
              <w:pStyle w:val="TableContents"/>
              <w:widowControl w:val="false"/>
              <w:suppressLineNumbers/>
              <w:spacing w:before="0" w:after="200"/>
              <w:rPr/>
            </w:pPr>
            <w:r>
              <w:rPr>
                <w:rStyle w:val="Strong"/>
              </w:rPr>
              <w:t>Robert Nozick</w:t>
            </w:r>
          </w:p>
        </w:tc>
        <w:tc>
          <w:tcPr>
            <w:tcW w:w="751" w:type="dxa"/>
            <w:tcBorders/>
            <w:vAlign w:val="center"/>
          </w:tcPr>
          <w:p>
            <w:pPr>
              <w:pStyle w:val="TableContents"/>
              <w:spacing w:before="0" w:after="200"/>
              <w:jc w:val="right"/>
              <w:rPr/>
            </w:pPr>
            <w:r>
              <w:rPr/>
              <w:t>1938–2002</w:t>
            </w:r>
          </w:p>
        </w:tc>
        <w:tc>
          <w:tcPr>
            <w:tcW w:w="1877" w:type="dxa"/>
            <w:tcBorders/>
            <w:vAlign w:val="center"/>
          </w:tcPr>
          <w:p>
            <w:pPr>
              <w:pStyle w:val="TableContents"/>
              <w:widowControl w:val="false"/>
              <w:suppressLineNumbers/>
              <w:spacing w:before="0" w:after="200"/>
              <w:rPr/>
            </w:pPr>
            <w:r>
              <w:rPr/>
              <w:t>Harvard University</w:t>
            </w:r>
          </w:p>
        </w:tc>
        <w:tc>
          <w:tcPr>
            <w:tcW w:w="4672" w:type="dxa"/>
            <w:tcBorders/>
            <w:vAlign w:val="center"/>
          </w:tcPr>
          <w:p>
            <w:pPr>
              <w:pStyle w:val="TableContents"/>
              <w:widowControl w:val="false"/>
              <w:suppressLineNumbers/>
              <w:spacing w:before="0" w:after="200"/>
              <w:rPr/>
            </w:pPr>
            <w:r>
              <w:rPr/>
              <w:t xml:space="preserve">Presented individual rights as moral side constraints that restrict how persons may be treated, even when violating those constraints might appear to produce better overall consequences. </w:t>
            </w:r>
            <w:hyperlink r:id="rId144">
              <w:r>
                <w:rPr>
                  <w:rStyle w:val="Hyperlink"/>
                </w:rPr>
                <w:t>Stanford Encyclopedia of Philosophy</w:t>
              </w:r>
            </w:hyperlink>
          </w:p>
        </w:tc>
      </w:tr>
    </w:tbl>
    <w:p>
      <w:pPr>
        <w:pStyle w:val="Heading4"/>
        <w:ind w:hanging="0" w:left="0"/>
        <w:rPr>
          <w:rFonts w:ascii="Aptos" w:hAnsi="Aptos"/>
          <w:color w:val="auto"/>
        </w:rPr>
      </w:pPr>
      <w:r>
        <w:rPr/>
        <w:t>Core Assumptions</w:t>
      </w:r>
    </w:p>
    <w:p>
      <w:pPr>
        <w:pStyle w:val="BodyText"/>
        <w:spacing w:before="0" w:after="200"/>
        <w:rPr/>
      </w:pPr>
      <w:r>
        <w:rPr/>
        <w:t>Rights-based ethics encompasses multiple theories rather than a single unified doctrine. Its principal assumptions generally include the following:</w:t>
      </w:r>
    </w:p>
    <w:p>
      <w:pPr>
        <w:pStyle w:val="BodyText"/>
        <w:numPr>
          <w:ilvl w:val="0"/>
          <w:numId w:val="45"/>
        </w:numPr>
        <w:tabs>
          <w:tab w:val="clear" w:pos="720"/>
          <w:tab w:val="left" w:pos="0" w:leader="none"/>
        </w:tabs>
        <w:spacing w:before="0" w:after="200"/>
        <w:ind w:hanging="283" w:left="709"/>
        <w:rPr/>
      </w:pPr>
      <w:r>
        <w:rPr>
          <w:rStyle w:val="Strong"/>
        </w:rPr>
        <w:t>Right-holders possess distinctive moral standing.</w:t>
      </w:r>
      <w:r>
        <w:rPr/>
        <w:t xml:space="preserve"> A right identifies an interest, liberty, status, or sphere of agency that others are required to recognize.</w:t>
      </w:r>
    </w:p>
    <w:p>
      <w:pPr>
        <w:pStyle w:val="BodyText"/>
        <w:numPr>
          <w:ilvl w:val="0"/>
          <w:numId w:val="45"/>
        </w:numPr>
        <w:tabs>
          <w:tab w:val="clear" w:pos="720"/>
          <w:tab w:val="left" w:pos="0" w:leader="none"/>
        </w:tabs>
        <w:spacing w:before="0" w:after="200"/>
        <w:ind w:hanging="283" w:left="709"/>
        <w:rPr/>
      </w:pPr>
      <w:r>
        <w:rPr>
          <w:rStyle w:val="Strong"/>
        </w:rPr>
        <w:t>Rights establish normative relationships.</w:t>
      </w:r>
      <w:r>
        <w:rPr/>
        <w:t xml:space="preserve"> A right is ordinarily held by one entity against one or more identifiable duty-bearers. It is therefore not merely a desirable outcome or an impersonal social objective.</w:t>
      </w:r>
    </w:p>
    <w:p>
      <w:pPr>
        <w:pStyle w:val="BodyText"/>
        <w:numPr>
          <w:ilvl w:val="0"/>
          <w:numId w:val="45"/>
        </w:numPr>
        <w:tabs>
          <w:tab w:val="clear" w:pos="720"/>
          <w:tab w:val="left" w:pos="0" w:leader="none"/>
        </w:tabs>
        <w:spacing w:before="0" w:after="200"/>
        <w:ind w:hanging="283" w:left="709"/>
        <w:rPr/>
      </w:pPr>
      <w:r>
        <w:rPr>
          <w:rStyle w:val="Strong"/>
        </w:rPr>
        <w:t>Claim-rights correlate with duties.</w:t>
      </w:r>
      <w:r>
        <w:rPr/>
        <w:t xml:space="preserve"> If one entity has a valid claim-right, another entity or institution has a corresponding duty to act or refrain from acting.</w:t>
      </w:r>
    </w:p>
    <w:p>
      <w:pPr>
        <w:pStyle w:val="BodyText"/>
        <w:numPr>
          <w:ilvl w:val="0"/>
          <w:numId w:val="45"/>
        </w:numPr>
        <w:tabs>
          <w:tab w:val="clear" w:pos="720"/>
          <w:tab w:val="left" w:pos="0" w:leader="none"/>
        </w:tabs>
        <w:spacing w:before="0" w:after="200"/>
        <w:ind w:hanging="283" w:left="709"/>
        <w:rPr/>
      </w:pPr>
      <w:r>
        <w:rPr>
          <w:rStyle w:val="Strong"/>
        </w:rPr>
        <w:t>Rights may include several different incidents.</w:t>
      </w:r>
      <w:r>
        <w:rPr/>
        <w:t xml:space="preserve"> Hohfeld’s analysis distinguishes:</w:t>
      </w:r>
    </w:p>
    <w:p>
      <w:pPr>
        <w:pStyle w:val="BodyText"/>
        <w:numPr>
          <w:ilvl w:val="1"/>
          <w:numId w:val="45"/>
        </w:numPr>
        <w:tabs>
          <w:tab w:val="clear" w:pos="720"/>
          <w:tab w:val="left" w:pos="0" w:leader="none"/>
        </w:tabs>
        <w:spacing w:before="0" w:after="200"/>
        <w:ind w:hanging="283" w:left="1418"/>
        <w:rPr/>
      </w:pPr>
      <w:r>
        <w:rPr/>
        <w:t xml:space="preserve">A </w:t>
      </w:r>
      <w:r>
        <w:rPr>
          <w:rStyle w:val="Strong"/>
        </w:rPr>
        <w:t>claim-right</w:t>
      </w:r>
      <w:r>
        <w:rPr/>
        <w:t>, correlated with another party’s duty;</w:t>
      </w:r>
    </w:p>
    <w:p>
      <w:pPr>
        <w:pStyle w:val="BodyText"/>
        <w:numPr>
          <w:ilvl w:val="1"/>
          <w:numId w:val="45"/>
        </w:numPr>
        <w:tabs>
          <w:tab w:val="clear" w:pos="720"/>
          <w:tab w:val="left" w:pos="0" w:leader="none"/>
        </w:tabs>
        <w:spacing w:before="0" w:after="200"/>
        <w:ind w:hanging="283" w:left="1418"/>
        <w:rPr/>
      </w:pPr>
      <w:r>
        <w:rPr/>
        <w:t xml:space="preserve">A </w:t>
      </w:r>
      <w:r>
        <w:rPr>
          <w:rStyle w:val="Strong"/>
        </w:rPr>
        <w:t>liberty or privilege</w:t>
      </w:r>
      <w:r>
        <w:rPr/>
        <w:t>, correlated with another party’s absence of a claim that the holder refrain from acting;</w:t>
      </w:r>
    </w:p>
    <w:p>
      <w:pPr>
        <w:pStyle w:val="BodyText"/>
        <w:numPr>
          <w:ilvl w:val="1"/>
          <w:numId w:val="45"/>
        </w:numPr>
        <w:tabs>
          <w:tab w:val="clear" w:pos="720"/>
          <w:tab w:val="left" w:pos="0" w:leader="none"/>
        </w:tabs>
        <w:spacing w:before="0" w:after="200"/>
        <w:ind w:hanging="283" w:left="1418"/>
        <w:rPr/>
      </w:pPr>
      <w:r>
        <w:rPr/>
        <w:t xml:space="preserve">A </w:t>
      </w:r>
      <w:r>
        <w:rPr>
          <w:rStyle w:val="Strong"/>
        </w:rPr>
        <w:t>power</w:t>
      </w:r>
      <w:r>
        <w:rPr/>
        <w:t>, through which the holder can alter normative relationships; and</w:t>
      </w:r>
    </w:p>
    <w:p>
      <w:pPr>
        <w:pStyle w:val="BodyText"/>
        <w:numPr>
          <w:ilvl w:val="1"/>
          <w:numId w:val="45"/>
        </w:numPr>
        <w:tabs>
          <w:tab w:val="clear" w:pos="720"/>
          <w:tab w:val="left" w:pos="0" w:leader="none"/>
        </w:tabs>
        <w:spacing w:before="0" w:after="200"/>
        <w:ind w:hanging="283" w:left="1418"/>
        <w:rPr/>
      </w:pPr>
      <w:r>
        <w:rPr/>
        <w:t xml:space="preserve">An </w:t>
      </w:r>
      <w:r>
        <w:rPr>
          <w:rStyle w:val="Strong"/>
        </w:rPr>
        <w:t>immunity</w:t>
      </w:r>
      <w:r>
        <w:rPr/>
        <w:t>, which prevents another party from altering the holder’s normative position.</w:t>
      </w:r>
    </w:p>
    <w:p>
      <w:pPr>
        <w:pStyle w:val="BodyText"/>
        <w:numPr>
          <w:ilvl w:val="0"/>
          <w:numId w:val="0"/>
        </w:numPr>
        <w:spacing w:before="0" w:after="200"/>
        <w:ind w:hanging="0" w:left="0"/>
        <w:rPr/>
      </w:pPr>
      <w:r>
        <w:rPr/>
        <w:t xml:space="preserve">These incidents can be combined into more complex rights. </w:t>
      </w:r>
      <w:hyperlink r:id="rId145">
        <w:r>
          <w:rPr>
            <w:rStyle w:val="Hyperlink"/>
          </w:rPr>
          <w:t>Stanford Encyclopedia of Philosophy</w:t>
        </w:r>
      </w:hyperlink>
    </w:p>
    <w:p>
      <w:pPr>
        <w:pStyle w:val="BodyText"/>
        <w:numPr>
          <w:ilvl w:val="0"/>
          <w:numId w:val="45"/>
        </w:numPr>
        <w:tabs>
          <w:tab w:val="clear" w:pos="720"/>
          <w:tab w:val="left" w:pos="0" w:leader="none"/>
        </w:tabs>
        <w:spacing w:before="0" w:after="200"/>
        <w:ind w:hanging="283" w:left="709"/>
        <w:rPr/>
      </w:pPr>
      <w:r>
        <w:rPr>
          <w:rStyle w:val="Strong"/>
        </w:rPr>
        <w:t>Some rights impose negative duties.</w:t>
      </w:r>
      <w:r>
        <w:rPr/>
        <w:t xml:space="preserve"> These require noninterference, such as duties not to coerce, injure, deceive, or unlawfully deprive another entity of its possessions.</w:t>
      </w:r>
    </w:p>
    <w:p>
      <w:pPr>
        <w:pStyle w:val="BodyText"/>
        <w:numPr>
          <w:ilvl w:val="0"/>
          <w:numId w:val="45"/>
        </w:numPr>
        <w:tabs>
          <w:tab w:val="clear" w:pos="720"/>
          <w:tab w:val="left" w:pos="0" w:leader="none"/>
        </w:tabs>
        <w:spacing w:before="0" w:after="200"/>
        <w:ind w:hanging="283" w:left="709"/>
        <w:rPr/>
      </w:pPr>
      <w:r>
        <w:rPr>
          <w:rStyle w:val="Strong"/>
        </w:rPr>
        <w:t>Some rights impose positive duties.</w:t>
      </w:r>
      <w:r>
        <w:rPr/>
        <w:t xml:space="preserve"> These may require protection, assistance, access to essential resources, institutional safeguards, or remedies following a violation.</w:t>
      </w:r>
    </w:p>
    <w:p>
      <w:pPr>
        <w:pStyle w:val="BodyText"/>
        <w:numPr>
          <w:ilvl w:val="0"/>
          <w:numId w:val="45"/>
        </w:numPr>
        <w:tabs>
          <w:tab w:val="clear" w:pos="720"/>
          <w:tab w:val="left" w:pos="0" w:leader="none"/>
        </w:tabs>
        <w:spacing w:before="0" w:after="200"/>
        <w:ind w:hanging="283" w:left="709"/>
        <w:rPr/>
      </w:pPr>
      <w:r>
        <w:rPr>
          <w:rStyle w:val="Strong"/>
        </w:rPr>
        <w:t>Rights may constrain aggregation.</w:t>
      </w:r>
      <w:r>
        <w:rPr/>
        <w:t xml:space="preserve"> An action does not automatically become permissible merely because its benefits to a majority outweigh its burdens on a minority.</w:t>
      </w:r>
    </w:p>
    <w:p>
      <w:pPr>
        <w:pStyle w:val="BodyText"/>
        <w:numPr>
          <w:ilvl w:val="0"/>
          <w:numId w:val="45"/>
        </w:numPr>
        <w:tabs>
          <w:tab w:val="clear" w:pos="720"/>
          <w:tab w:val="left" w:pos="0" w:leader="none"/>
        </w:tabs>
        <w:spacing w:before="0" w:after="200"/>
        <w:ind w:hanging="283" w:left="709"/>
        <w:rPr/>
      </w:pPr>
      <w:r>
        <w:rPr>
          <w:rStyle w:val="Strong"/>
        </w:rPr>
        <w:t>Rights protect agency and status as well as welfare.</w:t>
      </w:r>
      <w:r>
        <w:rPr/>
        <w:t xml:space="preserve"> Bodily integrity, consent, privacy, expression, due process, and political participation can retain importance even when a violation produces no easily measurable reduction in aggregate welfare.</w:t>
      </w:r>
    </w:p>
    <w:p>
      <w:pPr>
        <w:pStyle w:val="BodyText"/>
        <w:numPr>
          <w:ilvl w:val="0"/>
          <w:numId w:val="45"/>
        </w:numPr>
        <w:tabs>
          <w:tab w:val="clear" w:pos="720"/>
          <w:tab w:val="left" w:pos="0" w:leader="none"/>
        </w:tabs>
        <w:spacing w:before="0" w:after="200"/>
        <w:ind w:hanging="283" w:left="709"/>
        <w:rPr/>
      </w:pPr>
      <w:r>
        <w:rPr>
          <w:rStyle w:val="Strong"/>
        </w:rPr>
        <w:t>Rights are not necessarily absolute.</w:t>
      </w:r>
      <w:r>
        <w:rPr/>
        <w:t xml:space="preserve"> Rights may conflict, contain internal limitations, or be subject to carefully defined exceptions. Any limitation ordinarily requires stronger justification than a general claim that the action would be socially beneficial.</w:t>
      </w:r>
    </w:p>
    <w:p>
      <w:pPr>
        <w:pStyle w:val="BodyText"/>
        <w:numPr>
          <w:ilvl w:val="0"/>
          <w:numId w:val="45"/>
        </w:numPr>
        <w:tabs>
          <w:tab w:val="clear" w:pos="720"/>
          <w:tab w:val="left" w:pos="0" w:leader="none"/>
        </w:tabs>
        <w:spacing w:before="0" w:after="200"/>
        <w:ind w:hanging="283" w:left="709"/>
        <w:rPr/>
      </w:pPr>
      <w:r>
        <w:rPr>
          <w:rStyle w:val="Strong"/>
        </w:rPr>
        <w:t>Consent, waiver, and transfer have limited but important roles.</w:t>
      </w:r>
      <w:r>
        <w:rPr/>
        <w:t xml:space="preserve"> Some rights may be waived or transferred by a competent right-holder, while others may be considered inalienable or non-waivable.</w:t>
      </w:r>
    </w:p>
    <w:p>
      <w:pPr>
        <w:pStyle w:val="BodyText"/>
        <w:numPr>
          <w:ilvl w:val="0"/>
          <w:numId w:val="45"/>
        </w:numPr>
        <w:tabs>
          <w:tab w:val="clear" w:pos="720"/>
          <w:tab w:val="left" w:pos="0" w:leader="none"/>
        </w:tabs>
        <w:spacing w:before="0" w:after="200"/>
        <w:ind w:hanging="283" w:left="709"/>
        <w:rPr/>
      </w:pPr>
      <w:r>
        <w:rPr>
          <w:rStyle w:val="Strong"/>
        </w:rPr>
        <w:t>Institutions have rights-related obligations.</w:t>
      </w:r>
      <w:r>
        <w:rPr/>
        <w:t xml:space="preserve"> Governments and other powerful institutions may be required to respect rights directly, protect right-holders against third-party interference, and provide procedures for enforcement and remedy.</w:t>
      </w:r>
    </w:p>
    <w:p>
      <w:pPr>
        <w:pStyle w:val="BodyText"/>
        <w:numPr>
          <w:ilvl w:val="0"/>
          <w:numId w:val="45"/>
        </w:numPr>
        <w:tabs>
          <w:tab w:val="clear" w:pos="720"/>
          <w:tab w:val="left" w:pos="0" w:leader="none"/>
        </w:tabs>
        <w:spacing w:before="0" w:after="200"/>
        <w:ind w:hanging="283" w:left="709"/>
        <w:rPr/>
      </w:pPr>
      <w:r>
        <w:rPr>
          <w:rStyle w:val="Strong"/>
        </w:rPr>
        <w:t>Moral and legal rights are distinct.</w:t>
      </w:r>
      <w:r>
        <w:rPr/>
        <w:t xml:space="preserve"> A legal system may recognize a right that lacks adequate moral justification, or fail to recognize a moral right that should be protected.</w:t>
      </w:r>
    </w:p>
    <w:p>
      <w:pPr>
        <w:pStyle w:val="Heading4"/>
        <w:ind w:hanging="0" w:left="0"/>
        <w:rPr>
          <w:rFonts w:ascii="Aptos" w:hAnsi="Aptos"/>
          <w:color w:val="auto"/>
        </w:rPr>
      </w:pPr>
      <w:r>
        <w:rPr/>
        <w:t>Relationship to This Framework</w:t>
      </w:r>
    </w:p>
    <w:p>
      <w:pPr>
        <w:pStyle w:val="BodyText"/>
        <w:spacing w:before="0" w:after="200"/>
        <w:rPr/>
      </w:pPr>
      <w:r>
        <w:rPr/>
        <w:t>Rights-based ethics is compatible with significant portions of this framework but is not identical to it. This framework evaluates an Assessed Action through the complete World Context Transition it produces, including its effects on Flourishing Entities, relationships, institutions, information, constraints, and future possibilities. Rights-based ethics instead begins with the normative status of the right-holder and asks whether the action respects the claims or protected sphere associated with that status.</w:t>
      </w:r>
    </w:p>
    <w:p>
      <w:pPr>
        <w:pStyle w:val="BodyText"/>
        <w:spacing w:before="0" w:after="200"/>
        <w:rPr/>
      </w:pPr>
      <w:r>
        <w:rPr/>
        <w:t>Rights can nevertheless be represented within the framework as morally significant Associations between right-holders, duty-bearers, institutions, protected interests, and authorized actions. A right to bodily integrity, for example, could be modeled as an Association that restricts specified actions by other entities. A right to assistance could be represented as an affirmative obligation activated when defined conditions occur.</w:t>
      </w:r>
    </w:p>
    <w:p>
      <w:pPr>
        <w:pStyle w:val="BodyText"/>
        <w:spacing w:before="0" w:after="200"/>
        <w:rPr/>
      </w:pPr>
      <w:r>
        <w:rPr/>
        <w:t>The Foundational Axiom’s requirement to avoid materially diminishing the long-term flourishing of other relevant persistent adaptive entities provides a partial basis for protecting rights. Rights may preserve bodily integrity, agency, identity, access to resources, institutional standing, and beneficial future state space. However, the protection of flourishing does not by itself establish:</w:t>
      </w:r>
    </w:p>
    <w:p>
      <w:pPr>
        <w:pStyle w:val="BodyText"/>
        <w:numPr>
          <w:ilvl w:val="0"/>
          <w:numId w:val="46"/>
        </w:numPr>
        <w:tabs>
          <w:tab w:val="clear" w:pos="720"/>
          <w:tab w:val="left" w:pos="0" w:leader="none"/>
        </w:tabs>
        <w:spacing w:before="0" w:after="200"/>
        <w:ind w:hanging="283" w:left="709"/>
        <w:rPr/>
      </w:pPr>
      <w:r>
        <w:rPr/>
        <w:t>Who holds a particular right;</w:t>
      </w:r>
    </w:p>
    <w:p>
      <w:pPr>
        <w:pStyle w:val="BodyText"/>
        <w:numPr>
          <w:ilvl w:val="0"/>
          <w:numId w:val="46"/>
        </w:numPr>
        <w:tabs>
          <w:tab w:val="clear" w:pos="720"/>
          <w:tab w:val="left" w:pos="0" w:leader="none"/>
        </w:tabs>
        <w:spacing w:before="0" w:after="200"/>
        <w:ind w:hanging="283" w:left="709"/>
        <w:rPr/>
      </w:pPr>
      <w:r>
        <w:rPr/>
        <w:t>Which party bears the corresponding duty;</w:t>
      </w:r>
    </w:p>
    <w:p>
      <w:pPr>
        <w:pStyle w:val="BodyText"/>
        <w:numPr>
          <w:ilvl w:val="0"/>
          <w:numId w:val="46"/>
        </w:numPr>
        <w:tabs>
          <w:tab w:val="clear" w:pos="720"/>
          <w:tab w:val="left" w:pos="0" w:leader="none"/>
        </w:tabs>
        <w:spacing w:before="0" w:after="200"/>
        <w:ind w:hanging="283" w:left="709"/>
        <w:rPr/>
      </w:pPr>
      <w:r>
        <w:rPr/>
        <w:t>Whether the right applies regardless of the predicted net consequences;</w:t>
      </w:r>
    </w:p>
    <w:p>
      <w:pPr>
        <w:pStyle w:val="BodyText"/>
        <w:numPr>
          <w:ilvl w:val="0"/>
          <w:numId w:val="46"/>
        </w:numPr>
        <w:tabs>
          <w:tab w:val="clear" w:pos="720"/>
          <w:tab w:val="left" w:pos="0" w:leader="none"/>
        </w:tabs>
        <w:spacing w:before="0" w:after="200"/>
        <w:ind w:hanging="283" w:left="709"/>
        <w:rPr/>
      </w:pPr>
      <w:r>
        <w:rPr/>
        <w:t>Whether the right can be waived;</w:t>
      </w:r>
    </w:p>
    <w:p>
      <w:pPr>
        <w:pStyle w:val="BodyText"/>
        <w:numPr>
          <w:ilvl w:val="0"/>
          <w:numId w:val="46"/>
        </w:numPr>
        <w:tabs>
          <w:tab w:val="clear" w:pos="720"/>
          <w:tab w:val="left" w:pos="0" w:leader="none"/>
        </w:tabs>
        <w:spacing w:before="0" w:after="200"/>
        <w:ind w:hanging="283" w:left="709"/>
        <w:rPr/>
      </w:pPr>
      <w:r>
        <w:rPr/>
        <w:t>What exceptions are permissible; or</w:t>
      </w:r>
    </w:p>
    <w:p>
      <w:pPr>
        <w:pStyle w:val="BodyText"/>
        <w:numPr>
          <w:ilvl w:val="0"/>
          <w:numId w:val="46"/>
        </w:numPr>
        <w:tabs>
          <w:tab w:val="clear" w:pos="720"/>
          <w:tab w:val="left" w:pos="0" w:leader="none"/>
        </w:tabs>
        <w:spacing w:before="0" w:after="200"/>
        <w:ind w:hanging="283" w:left="709"/>
        <w:rPr/>
      </w:pPr>
      <w:r>
        <w:rPr/>
        <w:t>What remedy is required following a violation.</w:t>
      </w:r>
    </w:p>
    <w:p>
      <w:pPr>
        <w:pStyle w:val="BodyText"/>
        <w:spacing w:before="0" w:after="200"/>
        <w:rPr/>
      </w:pPr>
      <w:r>
        <w:rPr/>
        <w:t>Consequently, rights-based reasoning should be treated as a distinct normative layer within the framework rather than reduced entirely to long-term flourishing. Without that layer, a sufficiently favorable predicted systemic outcome could potentially be used to justify an action that violates an individual right.</w:t>
      </w:r>
    </w:p>
    <w:p>
      <w:pPr>
        <w:pStyle w:val="BodyText"/>
        <w:spacing w:before="0" w:after="200"/>
        <w:rPr/>
      </w:pPr>
      <w:r>
        <w:rPr/>
        <w:t>The framework’s Distributed Policy Effects are particularly relevant to rights. A single violation may affect more than its immediate victim. It may normalize coercion, weaken institutional protections, alter expectations of acceptable conduct, reduce trust, or increase the probability of similar violations. Conversely, consistent recognition of rights can stabilize expectations, distribute authority, and preserve the conditions under which entities can plan and act.</w:t>
      </w:r>
    </w:p>
    <w:p>
      <w:pPr>
        <w:pStyle w:val="Heading4"/>
        <w:ind w:hanging="0" w:left="0"/>
        <w:rPr>
          <w:rFonts w:ascii="Aptos" w:hAnsi="Aptos"/>
          <w:color w:val="auto"/>
        </w:rPr>
      </w:pPr>
      <w:r>
        <w:rPr/>
        <w:t>Concepts Adopted or Adapted by This Framework</w:t>
      </w:r>
    </w:p>
    <w:p>
      <w:pPr>
        <w:pStyle w:val="BodyText"/>
        <w:spacing w:before="0" w:after="200"/>
        <w:rPr/>
      </w:pPr>
      <w:r>
        <w:rPr/>
        <w:t>The framework implicitly incorporates or can functionally represent several rights-based concepts, although it does not yet appear to formalize a complete rights ontology.</w:t>
      </w:r>
    </w:p>
    <w:tbl>
      <w:tblPr>
        <w:tblW w:w="8640" w:type="dxa"/>
        <w:jc w:val="left"/>
        <w:tblInd w:w="28" w:type="dxa"/>
        <w:tblLayout w:type="fixed"/>
        <w:tblCellMar>
          <w:top w:w="28" w:type="dxa"/>
          <w:left w:w="28" w:type="dxa"/>
          <w:bottom w:w="28" w:type="dxa"/>
          <w:right w:w="28" w:type="dxa"/>
        </w:tblCellMar>
      </w:tblPr>
      <w:tblGrid>
        <w:gridCol w:w="2585"/>
        <w:gridCol w:w="6055"/>
      </w:tblGrid>
      <w:tr>
        <w:trPr>
          <w:tblHeader w:val="true"/>
        </w:trPr>
        <w:tc>
          <w:tcPr>
            <w:tcW w:w="2585" w:type="dxa"/>
            <w:tcBorders/>
            <w:vAlign w:val="center"/>
          </w:tcPr>
          <w:p>
            <w:pPr>
              <w:pStyle w:val="TableHeading"/>
              <w:suppressLineNumbers/>
              <w:spacing w:before="0" w:after="200"/>
              <w:jc w:val="center"/>
              <w:rPr/>
            </w:pPr>
            <w:r>
              <w:rPr/>
              <w:t>Rights-based concept</w:t>
            </w:r>
          </w:p>
        </w:tc>
        <w:tc>
          <w:tcPr>
            <w:tcW w:w="6055" w:type="dxa"/>
            <w:tcBorders/>
            <w:vAlign w:val="center"/>
          </w:tcPr>
          <w:p>
            <w:pPr>
              <w:pStyle w:val="TableHeading"/>
              <w:suppressLineNumbers/>
              <w:spacing w:before="0" w:after="200"/>
              <w:jc w:val="center"/>
              <w:rPr/>
            </w:pPr>
            <w:r>
              <w:rPr/>
              <w:t>Adoption or adaptation within this framework</w:t>
            </w:r>
          </w:p>
        </w:tc>
      </w:tr>
      <w:tr>
        <w:trPr/>
        <w:tc>
          <w:tcPr>
            <w:tcW w:w="2585" w:type="dxa"/>
            <w:tcBorders/>
            <w:vAlign w:val="center"/>
          </w:tcPr>
          <w:p>
            <w:pPr>
              <w:pStyle w:val="TableContents"/>
              <w:widowControl w:val="false"/>
              <w:suppressLineNumbers/>
              <w:spacing w:before="0" w:after="200"/>
              <w:rPr/>
            </w:pPr>
            <w:r>
              <w:rPr>
                <w:rStyle w:val="Strong"/>
              </w:rPr>
              <w:t>Moral standing</w:t>
            </w:r>
          </w:p>
        </w:tc>
        <w:tc>
          <w:tcPr>
            <w:tcW w:w="6055" w:type="dxa"/>
            <w:tcBorders/>
            <w:vAlign w:val="center"/>
          </w:tcPr>
          <w:p>
            <w:pPr>
              <w:pStyle w:val="TableContents"/>
              <w:widowControl w:val="false"/>
              <w:suppressLineNumbers/>
              <w:spacing w:before="0" w:after="200"/>
              <w:rPr/>
            </w:pPr>
            <w:r>
              <w:rPr/>
              <w:t>Reflected in the recognition of relevant Flourishing Entities whose interests and future possibilities must be included in the assessment.</w:t>
            </w:r>
          </w:p>
        </w:tc>
      </w:tr>
      <w:tr>
        <w:trPr/>
        <w:tc>
          <w:tcPr>
            <w:tcW w:w="2585" w:type="dxa"/>
            <w:tcBorders/>
            <w:vAlign w:val="center"/>
          </w:tcPr>
          <w:p>
            <w:pPr>
              <w:pStyle w:val="TableContents"/>
              <w:widowControl w:val="false"/>
              <w:suppressLineNumbers/>
              <w:spacing w:before="0" w:after="200"/>
              <w:rPr/>
            </w:pPr>
            <w:r>
              <w:rPr>
                <w:rStyle w:val="Strong"/>
              </w:rPr>
              <w:t>Claim-right and duty</w:t>
            </w:r>
          </w:p>
        </w:tc>
        <w:tc>
          <w:tcPr>
            <w:tcW w:w="6055" w:type="dxa"/>
            <w:tcBorders/>
            <w:vAlign w:val="center"/>
          </w:tcPr>
          <w:p>
            <w:pPr>
              <w:pStyle w:val="TableContents"/>
              <w:widowControl w:val="false"/>
              <w:suppressLineNumbers/>
              <w:spacing w:before="0" w:after="200"/>
              <w:rPr/>
            </w:pPr>
            <w:r>
              <w:rPr/>
              <w:t>Representable as an Association connecting a right-holder, duty-bearer, protected object or interest, and required or prohibited conduct.</w:t>
            </w:r>
          </w:p>
        </w:tc>
      </w:tr>
      <w:tr>
        <w:trPr/>
        <w:tc>
          <w:tcPr>
            <w:tcW w:w="2585" w:type="dxa"/>
            <w:tcBorders/>
            <w:vAlign w:val="center"/>
          </w:tcPr>
          <w:p>
            <w:pPr>
              <w:pStyle w:val="TableContents"/>
              <w:widowControl w:val="false"/>
              <w:suppressLineNumbers/>
              <w:spacing w:before="0" w:after="200"/>
              <w:rPr/>
            </w:pPr>
            <w:r>
              <w:rPr>
                <w:rStyle w:val="Strong"/>
              </w:rPr>
              <w:t>Liberty</w:t>
            </w:r>
          </w:p>
        </w:tc>
        <w:tc>
          <w:tcPr>
            <w:tcW w:w="6055" w:type="dxa"/>
            <w:tcBorders/>
            <w:vAlign w:val="center"/>
          </w:tcPr>
          <w:p>
            <w:pPr>
              <w:pStyle w:val="TableContents"/>
              <w:widowControl w:val="false"/>
              <w:suppressLineNumbers/>
              <w:spacing w:before="0" w:after="200"/>
              <w:rPr/>
            </w:pPr>
            <w:r>
              <w:rPr/>
              <w:t>Representable as a protected range of actions or future states that other entities may not improperly restrict.</w:t>
            </w:r>
          </w:p>
        </w:tc>
      </w:tr>
      <w:tr>
        <w:trPr/>
        <w:tc>
          <w:tcPr>
            <w:tcW w:w="2585" w:type="dxa"/>
            <w:tcBorders/>
            <w:vAlign w:val="center"/>
          </w:tcPr>
          <w:p>
            <w:pPr>
              <w:pStyle w:val="TableContents"/>
              <w:widowControl w:val="false"/>
              <w:suppressLineNumbers/>
              <w:spacing w:before="0" w:after="200"/>
              <w:rPr/>
            </w:pPr>
            <w:r>
              <w:rPr>
                <w:rStyle w:val="Strong"/>
              </w:rPr>
              <w:t>Power</w:t>
            </w:r>
          </w:p>
        </w:tc>
        <w:tc>
          <w:tcPr>
            <w:tcW w:w="6055" w:type="dxa"/>
            <w:tcBorders/>
            <w:vAlign w:val="center"/>
          </w:tcPr>
          <w:p>
            <w:pPr>
              <w:pStyle w:val="TableContents"/>
              <w:widowControl w:val="false"/>
              <w:suppressLineNumbers/>
              <w:spacing w:before="0" w:after="200"/>
              <w:rPr/>
            </w:pPr>
            <w:r>
              <w:rPr/>
              <w:t>Reflected in the framework’s treatment of authority, role, institutional competence, and the ability to alter relationships or states.</w:t>
            </w:r>
          </w:p>
        </w:tc>
      </w:tr>
      <w:tr>
        <w:trPr/>
        <w:tc>
          <w:tcPr>
            <w:tcW w:w="2585" w:type="dxa"/>
            <w:tcBorders/>
            <w:vAlign w:val="center"/>
          </w:tcPr>
          <w:p>
            <w:pPr>
              <w:pStyle w:val="TableContents"/>
              <w:widowControl w:val="false"/>
              <w:suppressLineNumbers/>
              <w:spacing w:before="0" w:after="200"/>
              <w:rPr/>
            </w:pPr>
            <w:r>
              <w:rPr>
                <w:rStyle w:val="Strong"/>
              </w:rPr>
              <w:t>Immunity</w:t>
            </w:r>
          </w:p>
        </w:tc>
        <w:tc>
          <w:tcPr>
            <w:tcW w:w="6055" w:type="dxa"/>
            <w:tcBorders/>
            <w:vAlign w:val="center"/>
          </w:tcPr>
          <w:p>
            <w:pPr>
              <w:pStyle w:val="TableContents"/>
              <w:widowControl w:val="false"/>
              <w:suppressLineNumbers/>
              <w:spacing w:before="0" w:after="200"/>
              <w:rPr/>
            </w:pPr>
            <w:r>
              <w:rPr/>
              <w:t>Representable as a constraint on another entity’s authority to alter the right-holder’s status, possessions, relationships, or permissions.</w:t>
            </w:r>
          </w:p>
        </w:tc>
      </w:tr>
      <w:tr>
        <w:trPr/>
        <w:tc>
          <w:tcPr>
            <w:tcW w:w="2585" w:type="dxa"/>
            <w:tcBorders/>
            <w:vAlign w:val="center"/>
          </w:tcPr>
          <w:p>
            <w:pPr>
              <w:pStyle w:val="TableContents"/>
              <w:widowControl w:val="false"/>
              <w:suppressLineNumbers/>
              <w:spacing w:before="0" w:after="200"/>
              <w:rPr/>
            </w:pPr>
            <w:r>
              <w:rPr>
                <w:rStyle w:val="Strong"/>
              </w:rPr>
              <w:t>Consent</w:t>
            </w:r>
          </w:p>
        </w:tc>
        <w:tc>
          <w:tcPr>
            <w:tcW w:w="6055" w:type="dxa"/>
            <w:tcBorders/>
            <w:vAlign w:val="center"/>
          </w:tcPr>
          <w:p>
            <w:pPr>
              <w:pStyle w:val="TableContents"/>
              <w:widowControl w:val="false"/>
              <w:suppressLineNumbers/>
              <w:spacing w:before="0" w:after="200"/>
              <w:rPr/>
            </w:pPr>
            <w:r>
              <w:rPr/>
              <w:t>Relevant to the legitimacy of actions and to permissible changes in Associations between entities.</w:t>
            </w:r>
          </w:p>
        </w:tc>
      </w:tr>
      <w:tr>
        <w:trPr/>
        <w:tc>
          <w:tcPr>
            <w:tcW w:w="2585" w:type="dxa"/>
            <w:tcBorders/>
            <w:vAlign w:val="center"/>
          </w:tcPr>
          <w:p>
            <w:pPr>
              <w:pStyle w:val="TableContents"/>
              <w:widowControl w:val="false"/>
              <w:suppressLineNumbers/>
              <w:spacing w:before="0" w:after="200"/>
              <w:rPr/>
            </w:pPr>
            <w:r>
              <w:rPr>
                <w:rStyle w:val="Strong"/>
              </w:rPr>
              <w:t>Noninterference</w:t>
            </w:r>
          </w:p>
        </w:tc>
        <w:tc>
          <w:tcPr>
            <w:tcW w:w="6055" w:type="dxa"/>
            <w:tcBorders/>
            <w:vAlign w:val="center"/>
          </w:tcPr>
          <w:p>
            <w:pPr>
              <w:pStyle w:val="TableContents"/>
              <w:widowControl w:val="false"/>
              <w:suppressLineNumbers/>
              <w:spacing w:before="0" w:after="200"/>
              <w:rPr/>
            </w:pPr>
            <w:r>
              <w:rPr/>
              <w:t>Incorporated through the requirement to consider actions that diminish another entity’s agency, integrity, or future state space.</w:t>
            </w:r>
          </w:p>
        </w:tc>
      </w:tr>
      <w:tr>
        <w:trPr/>
        <w:tc>
          <w:tcPr>
            <w:tcW w:w="2585" w:type="dxa"/>
            <w:tcBorders/>
            <w:vAlign w:val="center"/>
          </w:tcPr>
          <w:p>
            <w:pPr>
              <w:pStyle w:val="TableContents"/>
              <w:widowControl w:val="false"/>
              <w:suppressLineNumbers/>
              <w:spacing w:before="0" w:after="200"/>
              <w:rPr/>
            </w:pPr>
            <w:r>
              <w:rPr>
                <w:rStyle w:val="Strong"/>
              </w:rPr>
              <w:t>Positive obligation</w:t>
            </w:r>
          </w:p>
        </w:tc>
        <w:tc>
          <w:tcPr>
            <w:tcW w:w="6055" w:type="dxa"/>
            <w:tcBorders/>
            <w:vAlign w:val="center"/>
          </w:tcPr>
          <w:p>
            <w:pPr>
              <w:pStyle w:val="TableContents"/>
              <w:widowControl w:val="false"/>
              <w:suppressLineNumbers/>
              <w:spacing w:before="0" w:after="200"/>
              <w:rPr/>
            </w:pPr>
            <w:r>
              <w:rPr/>
              <w:t>Representable as a required action when a role, relationship, prior commitment, or institutional responsibility creates a duty to assist or protect.</w:t>
            </w:r>
          </w:p>
        </w:tc>
      </w:tr>
      <w:tr>
        <w:trPr/>
        <w:tc>
          <w:tcPr>
            <w:tcW w:w="2585" w:type="dxa"/>
            <w:tcBorders/>
            <w:vAlign w:val="center"/>
          </w:tcPr>
          <w:p>
            <w:pPr>
              <w:pStyle w:val="TableContents"/>
              <w:widowControl w:val="false"/>
              <w:suppressLineNumbers/>
              <w:spacing w:before="0" w:after="200"/>
              <w:rPr/>
            </w:pPr>
            <w:r>
              <w:rPr>
                <w:rStyle w:val="Strong"/>
              </w:rPr>
              <w:t>Equality and nondiscrimination</w:t>
            </w:r>
          </w:p>
        </w:tc>
        <w:tc>
          <w:tcPr>
            <w:tcW w:w="6055" w:type="dxa"/>
            <w:tcBorders/>
            <w:vAlign w:val="center"/>
          </w:tcPr>
          <w:p>
            <w:pPr>
              <w:pStyle w:val="TableContents"/>
              <w:widowControl w:val="false"/>
              <w:suppressLineNumbers/>
              <w:spacing w:before="0" w:after="200"/>
              <w:rPr/>
            </w:pPr>
            <w:r>
              <w:rPr/>
              <w:t>Adaptable as constraints on how comparable entities are classified, weighted, or treated within an assessment.</w:t>
            </w:r>
          </w:p>
        </w:tc>
      </w:tr>
      <w:tr>
        <w:trPr/>
        <w:tc>
          <w:tcPr>
            <w:tcW w:w="2585" w:type="dxa"/>
            <w:tcBorders/>
            <w:vAlign w:val="center"/>
          </w:tcPr>
          <w:p>
            <w:pPr>
              <w:pStyle w:val="TableContents"/>
              <w:widowControl w:val="false"/>
              <w:suppressLineNumbers/>
              <w:spacing w:before="0" w:after="200"/>
              <w:rPr/>
            </w:pPr>
            <w:r>
              <w:rPr>
                <w:rStyle w:val="Strong"/>
              </w:rPr>
              <w:t>Due process</w:t>
            </w:r>
          </w:p>
        </w:tc>
        <w:tc>
          <w:tcPr>
            <w:tcW w:w="6055" w:type="dxa"/>
            <w:tcBorders/>
            <w:vAlign w:val="center"/>
          </w:tcPr>
          <w:p>
            <w:pPr>
              <w:pStyle w:val="TableContents"/>
              <w:widowControl w:val="false"/>
              <w:suppressLineNumbers/>
              <w:spacing w:before="0" w:after="200"/>
              <w:rPr/>
            </w:pPr>
            <w:r>
              <w:rPr/>
              <w:t>Representable through procedural requirements concerning information, notice, participation, evidence, decision authority, and review.</w:t>
            </w:r>
          </w:p>
        </w:tc>
      </w:tr>
      <w:tr>
        <w:trPr/>
        <w:tc>
          <w:tcPr>
            <w:tcW w:w="2585" w:type="dxa"/>
            <w:tcBorders/>
            <w:vAlign w:val="center"/>
          </w:tcPr>
          <w:p>
            <w:pPr>
              <w:pStyle w:val="TableContents"/>
              <w:widowControl w:val="false"/>
              <w:suppressLineNumbers/>
              <w:spacing w:before="0" w:after="200"/>
              <w:rPr/>
            </w:pPr>
            <w:r>
              <w:rPr>
                <w:rStyle w:val="Strong"/>
              </w:rPr>
              <w:t>Remedy and reparation</w:t>
            </w:r>
          </w:p>
        </w:tc>
        <w:tc>
          <w:tcPr>
            <w:tcW w:w="6055" w:type="dxa"/>
            <w:tcBorders/>
            <w:vAlign w:val="center"/>
          </w:tcPr>
          <w:p>
            <w:pPr>
              <w:pStyle w:val="TableContents"/>
              <w:widowControl w:val="false"/>
              <w:suppressLineNumbers/>
              <w:spacing w:before="0" w:after="200"/>
              <w:rPr/>
            </w:pPr>
            <w:r>
              <w:rPr/>
              <w:t>Representable as subsequent Assessed Actions required to repair harm, restore status, compensate losses, or prevent recurrence.</w:t>
            </w:r>
          </w:p>
        </w:tc>
      </w:tr>
      <w:tr>
        <w:trPr/>
        <w:tc>
          <w:tcPr>
            <w:tcW w:w="2585" w:type="dxa"/>
            <w:tcBorders/>
            <w:vAlign w:val="center"/>
          </w:tcPr>
          <w:p>
            <w:pPr>
              <w:pStyle w:val="TableContents"/>
              <w:widowControl w:val="false"/>
              <w:suppressLineNumbers/>
              <w:spacing w:before="0" w:after="200"/>
              <w:rPr/>
            </w:pPr>
            <w:r>
              <w:rPr>
                <w:rStyle w:val="Strong"/>
              </w:rPr>
              <w:t>Rights as constraints</w:t>
            </w:r>
          </w:p>
        </w:tc>
        <w:tc>
          <w:tcPr>
            <w:tcW w:w="6055" w:type="dxa"/>
            <w:tcBorders/>
            <w:vAlign w:val="center"/>
          </w:tcPr>
          <w:p>
            <w:pPr>
              <w:pStyle w:val="TableContents"/>
              <w:widowControl w:val="false"/>
              <w:suppressLineNumbers/>
              <w:spacing w:before="0" w:after="200"/>
              <w:rPr/>
            </w:pPr>
            <w:r>
              <w:rPr/>
              <w:t>Implementable as hard constraints, presumptive constraints, or threshold conditions applied before aggregate metrics are compared.</w:t>
            </w:r>
          </w:p>
        </w:tc>
      </w:tr>
    </w:tbl>
    <w:p>
      <w:pPr>
        <w:pStyle w:val="Heading4"/>
        <w:ind w:hanging="0" w:left="0"/>
        <w:rPr>
          <w:rFonts w:ascii="Aptos" w:hAnsi="Aptos"/>
          <w:color w:val="auto"/>
        </w:rPr>
      </w:pPr>
      <w:r>
        <w:rPr/>
        <w:t>Similarities</w:t>
      </w:r>
    </w:p>
    <w:p>
      <w:pPr>
        <w:pStyle w:val="BodyText"/>
        <w:spacing w:before="0" w:after="200"/>
        <w:rPr/>
      </w:pPr>
      <w:r>
        <w:rPr/>
        <w:t>Rights-based ethics and this framework share several important commitments:</w:t>
      </w:r>
    </w:p>
    <w:p>
      <w:pPr>
        <w:pStyle w:val="BodyText"/>
        <w:numPr>
          <w:ilvl w:val="0"/>
          <w:numId w:val="47"/>
        </w:numPr>
        <w:tabs>
          <w:tab w:val="clear" w:pos="720"/>
          <w:tab w:val="left" w:pos="0" w:leader="none"/>
        </w:tabs>
        <w:spacing w:before="0" w:after="200"/>
        <w:ind w:hanging="283" w:left="709"/>
        <w:rPr/>
      </w:pPr>
      <w:r>
        <w:rPr/>
        <w:t>Both reject the assumption that an actor’s preferred objective is sufficient to justify an action.</w:t>
      </w:r>
    </w:p>
    <w:p>
      <w:pPr>
        <w:pStyle w:val="BodyText"/>
        <w:numPr>
          <w:ilvl w:val="0"/>
          <w:numId w:val="47"/>
        </w:numPr>
        <w:tabs>
          <w:tab w:val="clear" w:pos="720"/>
          <w:tab w:val="left" w:pos="0" w:leader="none"/>
        </w:tabs>
        <w:spacing w:before="0" w:after="200"/>
        <w:ind w:hanging="283" w:left="709"/>
        <w:rPr/>
      </w:pPr>
      <w:r>
        <w:rPr/>
        <w:t>Both recognize that the effects imposed on particular entities matter independently of aggregate system performance.</w:t>
      </w:r>
    </w:p>
    <w:p>
      <w:pPr>
        <w:pStyle w:val="BodyText"/>
        <w:numPr>
          <w:ilvl w:val="0"/>
          <w:numId w:val="47"/>
        </w:numPr>
        <w:tabs>
          <w:tab w:val="clear" w:pos="720"/>
          <w:tab w:val="left" w:pos="0" w:leader="none"/>
        </w:tabs>
        <w:spacing w:before="0" w:after="200"/>
        <w:ind w:hanging="283" w:left="709"/>
        <w:rPr/>
      </w:pPr>
      <w:r>
        <w:rPr/>
        <w:t>Both can treat autonomy, consent, bodily integrity, identity, and access to future possibilities as ethically significant.</w:t>
      </w:r>
    </w:p>
    <w:p>
      <w:pPr>
        <w:pStyle w:val="BodyText"/>
        <w:numPr>
          <w:ilvl w:val="0"/>
          <w:numId w:val="47"/>
        </w:numPr>
        <w:tabs>
          <w:tab w:val="clear" w:pos="720"/>
          <w:tab w:val="left" w:pos="0" w:leader="none"/>
        </w:tabs>
        <w:spacing w:before="0" w:after="200"/>
        <w:ind w:hanging="283" w:left="709"/>
        <w:rPr/>
      </w:pPr>
      <w:r>
        <w:rPr/>
        <w:t>Both recognize the importance of relationships, institutional roles, authority, and legitimacy.</w:t>
      </w:r>
    </w:p>
    <w:p>
      <w:pPr>
        <w:pStyle w:val="BodyText"/>
        <w:numPr>
          <w:ilvl w:val="0"/>
          <w:numId w:val="47"/>
        </w:numPr>
        <w:tabs>
          <w:tab w:val="clear" w:pos="720"/>
          <w:tab w:val="left" w:pos="0" w:leader="none"/>
        </w:tabs>
        <w:spacing w:before="0" w:after="200"/>
        <w:ind w:hanging="283" w:left="709"/>
        <w:rPr/>
      </w:pPr>
      <w:r>
        <w:rPr/>
        <w:t>Both can evaluate omissions as well as direct interventions, particularly where an entity or institution has an affirmative obligation.</w:t>
      </w:r>
    </w:p>
    <w:p>
      <w:pPr>
        <w:pStyle w:val="BodyText"/>
        <w:numPr>
          <w:ilvl w:val="0"/>
          <w:numId w:val="47"/>
        </w:numPr>
        <w:tabs>
          <w:tab w:val="clear" w:pos="720"/>
          <w:tab w:val="left" w:pos="0" w:leader="none"/>
        </w:tabs>
        <w:spacing w:before="0" w:after="200"/>
        <w:ind w:hanging="283" w:left="709"/>
        <w:rPr/>
      </w:pPr>
      <w:r>
        <w:rPr/>
        <w:t>Both permit scrutiny of the means used to achieve an objective rather than evaluating only whether the intended objective was achieved.</w:t>
      </w:r>
    </w:p>
    <w:p>
      <w:pPr>
        <w:pStyle w:val="BodyText"/>
        <w:numPr>
          <w:ilvl w:val="0"/>
          <w:numId w:val="47"/>
        </w:numPr>
        <w:tabs>
          <w:tab w:val="clear" w:pos="720"/>
          <w:tab w:val="left" w:pos="0" w:leader="none"/>
        </w:tabs>
        <w:spacing w:before="0" w:after="200"/>
        <w:ind w:hanging="283" w:left="709"/>
        <w:rPr/>
      </w:pPr>
      <w:r>
        <w:rPr/>
        <w:t>Both support protections against the instrumental use of individuals or minorities for the benefit of others.</w:t>
      </w:r>
    </w:p>
    <w:p>
      <w:pPr>
        <w:pStyle w:val="BodyText"/>
        <w:numPr>
          <w:ilvl w:val="0"/>
          <w:numId w:val="47"/>
        </w:numPr>
        <w:tabs>
          <w:tab w:val="clear" w:pos="720"/>
          <w:tab w:val="left" w:pos="0" w:leader="none"/>
        </w:tabs>
        <w:spacing w:before="0" w:after="200"/>
        <w:ind w:hanging="283" w:left="709"/>
        <w:rPr/>
      </w:pPr>
      <w:r>
        <w:rPr/>
        <w:t>Both recognize that institutional practices can influence trust, expectations, and the future conduct of other agents.</w:t>
      </w:r>
    </w:p>
    <w:p>
      <w:pPr>
        <w:pStyle w:val="BodyText"/>
        <w:numPr>
          <w:ilvl w:val="0"/>
          <w:numId w:val="47"/>
        </w:numPr>
        <w:tabs>
          <w:tab w:val="clear" w:pos="720"/>
          <w:tab w:val="left" w:pos="0" w:leader="none"/>
        </w:tabs>
        <w:spacing w:before="0" w:after="200"/>
        <w:ind w:hanging="283" w:left="709"/>
        <w:rPr/>
      </w:pPr>
      <w:r>
        <w:rPr/>
        <w:t>Both can distinguish the ethical character of an action from the responsibility attributable to a particular actor.</w:t>
      </w:r>
    </w:p>
    <w:p>
      <w:pPr>
        <w:pStyle w:val="BodyText"/>
        <w:numPr>
          <w:ilvl w:val="0"/>
          <w:numId w:val="47"/>
        </w:numPr>
        <w:tabs>
          <w:tab w:val="clear" w:pos="720"/>
          <w:tab w:val="left" w:pos="0" w:leader="none"/>
        </w:tabs>
        <w:spacing w:before="0" w:after="200"/>
        <w:ind w:hanging="283" w:left="709"/>
        <w:rPr/>
      </w:pPr>
      <w:r>
        <w:rPr/>
        <w:t>Both favor explicit, explainable assessments capable of identifying affected entities, relevant constraints, and the justification for a conclusion.</w:t>
      </w:r>
    </w:p>
    <w:p>
      <w:pPr>
        <w:pStyle w:val="Heading4"/>
        <w:ind w:hanging="0" w:left="0"/>
        <w:rPr>
          <w:rFonts w:ascii="Aptos" w:hAnsi="Aptos"/>
          <w:color w:val="auto"/>
        </w:rPr>
      </w:pPr>
      <w:r>
        <w:rPr/>
        <w:t>Differences</w:t>
      </w:r>
    </w:p>
    <w:tbl>
      <w:tblPr>
        <w:tblW w:w="8640" w:type="dxa"/>
        <w:jc w:val="left"/>
        <w:tblInd w:w="28" w:type="dxa"/>
        <w:tblLayout w:type="fixed"/>
        <w:tblCellMar>
          <w:top w:w="28" w:type="dxa"/>
          <w:left w:w="28" w:type="dxa"/>
          <w:bottom w:w="28" w:type="dxa"/>
          <w:right w:w="28" w:type="dxa"/>
        </w:tblCellMar>
      </w:tblPr>
      <w:tblGrid>
        <w:gridCol w:w="1789"/>
        <w:gridCol w:w="3254"/>
        <w:gridCol w:w="3597"/>
      </w:tblGrid>
      <w:tr>
        <w:trPr>
          <w:tblHeader w:val="true"/>
        </w:trPr>
        <w:tc>
          <w:tcPr>
            <w:tcW w:w="1789" w:type="dxa"/>
            <w:tcBorders/>
            <w:vAlign w:val="center"/>
          </w:tcPr>
          <w:p>
            <w:pPr>
              <w:pStyle w:val="TableHeading"/>
              <w:suppressLineNumbers/>
              <w:spacing w:before="0" w:after="200"/>
              <w:jc w:val="center"/>
              <w:rPr/>
            </w:pPr>
            <w:r>
              <w:rPr/>
              <w:t>Dimension</w:t>
            </w:r>
          </w:p>
        </w:tc>
        <w:tc>
          <w:tcPr>
            <w:tcW w:w="3254" w:type="dxa"/>
            <w:tcBorders/>
            <w:vAlign w:val="center"/>
          </w:tcPr>
          <w:p>
            <w:pPr>
              <w:pStyle w:val="TableHeading"/>
              <w:suppressLineNumbers/>
              <w:spacing w:before="0" w:after="200"/>
              <w:jc w:val="center"/>
              <w:rPr/>
            </w:pPr>
            <w:r>
              <w:rPr/>
              <w:t>Rights-based ethics</w:t>
            </w:r>
          </w:p>
        </w:tc>
        <w:tc>
          <w:tcPr>
            <w:tcW w:w="3597" w:type="dxa"/>
            <w:tcBorders/>
            <w:vAlign w:val="center"/>
          </w:tcPr>
          <w:p>
            <w:pPr>
              <w:pStyle w:val="TableHeading"/>
              <w:suppressLineNumbers/>
              <w:spacing w:before="0" w:after="200"/>
              <w:jc w:val="center"/>
              <w:rPr/>
            </w:pPr>
            <w:r>
              <w:rPr/>
              <w:t>This framework</w:t>
            </w:r>
          </w:p>
        </w:tc>
      </w:tr>
      <w:tr>
        <w:trPr/>
        <w:tc>
          <w:tcPr>
            <w:tcW w:w="1789" w:type="dxa"/>
            <w:tcBorders/>
            <w:vAlign w:val="center"/>
          </w:tcPr>
          <w:p>
            <w:pPr>
              <w:pStyle w:val="TableContents"/>
              <w:widowControl w:val="false"/>
              <w:suppressLineNumbers/>
              <w:spacing w:before="0" w:after="200"/>
              <w:rPr/>
            </w:pPr>
            <w:r>
              <w:rPr>
                <w:rStyle w:val="Strong"/>
              </w:rPr>
              <w:t>Primary normative unit</w:t>
            </w:r>
          </w:p>
        </w:tc>
        <w:tc>
          <w:tcPr>
            <w:tcW w:w="3254" w:type="dxa"/>
            <w:tcBorders/>
            <w:vAlign w:val="center"/>
          </w:tcPr>
          <w:p>
            <w:pPr>
              <w:pStyle w:val="TableContents"/>
              <w:widowControl w:val="false"/>
              <w:suppressLineNumbers/>
              <w:spacing w:before="0" w:after="200"/>
              <w:rPr/>
            </w:pPr>
            <w:r>
              <w:rPr/>
              <w:t>A right-holder and the duties or limitations imposed on others</w:t>
            </w:r>
          </w:p>
        </w:tc>
        <w:tc>
          <w:tcPr>
            <w:tcW w:w="3597" w:type="dxa"/>
            <w:tcBorders/>
            <w:vAlign w:val="center"/>
          </w:tcPr>
          <w:p>
            <w:pPr>
              <w:pStyle w:val="TableContents"/>
              <w:widowControl w:val="false"/>
              <w:suppressLineNumbers/>
              <w:spacing w:before="0" w:after="200"/>
              <w:rPr/>
            </w:pPr>
            <w:r>
              <w:rPr/>
              <w:t>The complete World Context Transition resulting from an Assessed Action</w:t>
            </w:r>
          </w:p>
        </w:tc>
      </w:tr>
      <w:tr>
        <w:trPr/>
        <w:tc>
          <w:tcPr>
            <w:tcW w:w="1789" w:type="dxa"/>
            <w:tcBorders/>
            <w:vAlign w:val="center"/>
          </w:tcPr>
          <w:p>
            <w:pPr>
              <w:pStyle w:val="TableContents"/>
              <w:widowControl w:val="false"/>
              <w:suppressLineNumbers/>
              <w:spacing w:before="0" w:after="200"/>
              <w:rPr/>
            </w:pPr>
            <w:r>
              <w:rPr>
                <w:rStyle w:val="Strong"/>
              </w:rPr>
              <w:t>Foundational basis</w:t>
            </w:r>
          </w:p>
        </w:tc>
        <w:tc>
          <w:tcPr>
            <w:tcW w:w="3254" w:type="dxa"/>
            <w:tcBorders/>
            <w:vAlign w:val="center"/>
          </w:tcPr>
          <w:p>
            <w:pPr>
              <w:pStyle w:val="TableContents"/>
              <w:widowControl w:val="false"/>
              <w:suppressLineNumbers/>
              <w:spacing w:before="0" w:after="200"/>
              <w:rPr/>
            </w:pPr>
            <w:r>
              <w:rPr/>
              <w:t>Natural status, dignity, autonomy, protected interests, equality, social recognition, or legitimate law</w:t>
            </w:r>
          </w:p>
        </w:tc>
        <w:tc>
          <w:tcPr>
            <w:tcW w:w="3597" w:type="dxa"/>
            <w:tcBorders/>
            <w:vAlign w:val="center"/>
          </w:tcPr>
          <w:p>
            <w:pPr>
              <w:pStyle w:val="TableContents"/>
              <w:widowControl w:val="false"/>
              <w:suppressLineNumbers/>
              <w:spacing w:before="0" w:after="200"/>
              <w:rPr/>
            </w:pPr>
            <w:r>
              <w:rPr/>
              <w:t>Long-term flourishing of relevant persistent adaptive entities within the World Context</w:t>
            </w:r>
          </w:p>
        </w:tc>
      </w:tr>
      <w:tr>
        <w:trPr/>
        <w:tc>
          <w:tcPr>
            <w:tcW w:w="1789" w:type="dxa"/>
            <w:tcBorders/>
            <w:vAlign w:val="center"/>
          </w:tcPr>
          <w:p>
            <w:pPr>
              <w:pStyle w:val="TableContents"/>
              <w:widowControl w:val="false"/>
              <w:suppressLineNumbers/>
              <w:spacing w:before="0" w:after="200"/>
              <w:rPr/>
            </w:pPr>
            <w:r>
              <w:rPr>
                <w:rStyle w:val="Strong"/>
              </w:rPr>
              <w:t>Principal question</w:t>
            </w:r>
          </w:p>
        </w:tc>
        <w:tc>
          <w:tcPr>
            <w:tcW w:w="3254" w:type="dxa"/>
            <w:tcBorders/>
            <w:vAlign w:val="center"/>
          </w:tcPr>
          <w:p>
            <w:pPr>
              <w:pStyle w:val="TableContents"/>
              <w:widowControl w:val="false"/>
              <w:suppressLineNumbers/>
              <w:spacing w:before="0" w:after="200"/>
              <w:rPr/>
            </w:pPr>
            <w:r>
              <w:rPr/>
              <w:t>“</w:t>
            </w:r>
            <w:r>
              <w:rPr/>
              <w:t>Does the action respect the applicable rights and duties?”</w:t>
            </w:r>
          </w:p>
        </w:tc>
        <w:tc>
          <w:tcPr>
            <w:tcW w:w="3597" w:type="dxa"/>
            <w:tcBorders/>
            <w:vAlign w:val="center"/>
          </w:tcPr>
          <w:p>
            <w:pPr>
              <w:pStyle w:val="TableContents"/>
              <w:widowControl w:val="false"/>
              <w:suppressLineNumbers/>
              <w:spacing w:before="0" w:after="200"/>
              <w:rPr/>
            </w:pPr>
            <w:r>
              <w:rPr/>
              <w:t>“</w:t>
            </w:r>
            <w:r>
              <w:rPr/>
              <w:t>How does the action alter the long-term flourishing and future state space of the relevant World Context?”</w:t>
            </w:r>
          </w:p>
        </w:tc>
      </w:tr>
      <w:tr>
        <w:trPr/>
        <w:tc>
          <w:tcPr>
            <w:tcW w:w="1789" w:type="dxa"/>
            <w:tcBorders/>
            <w:vAlign w:val="center"/>
          </w:tcPr>
          <w:p>
            <w:pPr>
              <w:pStyle w:val="TableContents"/>
              <w:widowControl w:val="false"/>
              <w:suppressLineNumbers/>
              <w:spacing w:before="0" w:after="200"/>
              <w:rPr/>
            </w:pPr>
            <w:r>
              <w:rPr>
                <w:rStyle w:val="Strong"/>
              </w:rPr>
              <w:t>Treatment of tradeoffs</w:t>
            </w:r>
          </w:p>
        </w:tc>
        <w:tc>
          <w:tcPr>
            <w:tcW w:w="3254" w:type="dxa"/>
            <w:tcBorders/>
            <w:vAlign w:val="center"/>
          </w:tcPr>
          <w:p>
            <w:pPr>
              <w:pStyle w:val="TableContents"/>
              <w:widowControl w:val="false"/>
              <w:suppressLineNumbers/>
              <w:spacing w:before="0" w:after="200"/>
              <w:rPr/>
            </w:pPr>
            <w:r>
              <w:rPr/>
              <w:t>Rights may block or strongly constrain welfare-based tradeoffs</w:t>
            </w:r>
          </w:p>
        </w:tc>
        <w:tc>
          <w:tcPr>
            <w:tcW w:w="3597" w:type="dxa"/>
            <w:tcBorders/>
            <w:vAlign w:val="center"/>
          </w:tcPr>
          <w:p>
            <w:pPr>
              <w:pStyle w:val="TableContents"/>
              <w:widowControl w:val="false"/>
              <w:suppressLineNumbers/>
              <w:spacing w:before="0" w:after="200"/>
              <w:rPr/>
            </w:pPr>
            <w:r>
              <w:rPr/>
              <w:t>Competing consequences, constraints, probabilities, and time horizons are evaluated together</w:t>
            </w:r>
          </w:p>
        </w:tc>
      </w:tr>
      <w:tr>
        <w:trPr/>
        <w:tc>
          <w:tcPr>
            <w:tcW w:w="1789" w:type="dxa"/>
            <w:tcBorders/>
            <w:vAlign w:val="center"/>
          </w:tcPr>
          <w:p>
            <w:pPr>
              <w:pStyle w:val="TableContents"/>
              <w:widowControl w:val="false"/>
              <w:suppressLineNumbers/>
              <w:spacing w:before="0" w:after="200"/>
              <w:rPr/>
            </w:pPr>
            <w:r>
              <w:rPr>
                <w:rStyle w:val="Strong"/>
              </w:rPr>
              <w:t>Aggregation</w:t>
            </w:r>
          </w:p>
        </w:tc>
        <w:tc>
          <w:tcPr>
            <w:tcW w:w="3254" w:type="dxa"/>
            <w:tcBorders/>
            <w:vAlign w:val="center"/>
          </w:tcPr>
          <w:p>
            <w:pPr>
              <w:pStyle w:val="TableContents"/>
              <w:widowControl w:val="false"/>
              <w:suppressLineNumbers/>
              <w:spacing w:before="0" w:after="200"/>
              <w:rPr/>
            </w:pPr>
            <w:r>
              <w:rPr/>
              <w:t>Aggregate benefit may be insufficient to override an individual right</w:t>
            </w:r>
          </w:p>
        </w:tc>
        <w:tc>
          <w:tcPr>
            <w:tcW w:w="3597" w:type="dxa"/>
            <w:tcBorders/>
            <w:vAlign w:val="center"/>
          </w:tcPr>
          <w:p>
            <w:pPr>
              <w:pStyle w:val="TableContents"/>
              <w:widowControl w:val="false"/>
              <w:suppressLineNumbers/>
              <w:spacing w:before="0" w:after="200"/>
              <w:rPr/>
            </w:pPr>
            <w:r>
              <w:rPr/>
              <w:t>Aggregate metrics may inform the assessment but do not replace evaluation of the complete transition</w:t>
            </w:r>
          </w:p>
        </w:tc>
      </w:tr>
      <w:tr>
        <w:trPr/>
        <w:tc>
          <w:tcPr>
            <w:tcW w:w="1789" w:type="dxa"/>
            <w:tcBorders/>
            <w:vAlign w:val="center"/>
          </w:tcPr>
          <w:p>
            <w:pPr>
              <w:pStyle w:val="TableContents"/>
              <w:widowControl w:val="false"/>
              <w:suppressLineNumbers/>
              <w:spacing w:before="0" w:after="200"/>
              <w:rPr/>
            </w:pPr>
            <w:r>
              <w:rPr>
                <w:rStyle w:val="Strong"/>
              </w:rPr>
              <w:t>Scope of moral standing</w:t>
            </w:r>
          </w:p>
        </w:tc>
        <w:tc>
          <w:tcPr>
            <w:tcW w:w="3254" w:type="dxa"/>
            <w:tcBorders/>
            <w:vAlign w:val="center"/>
          </w:tcPr>
          <w:p>
            <w:pPr>
              <w:pStyle w:val="TableContents"/>
              <w:widowControl w:val="false"/>
              <w:suppressLineNumbers/>
              <w:spacing w:before="0" w:after="200"/>
              <w:rPr/>
            </w:pPr>
            <w:r>
              <w:rPr/>
              <w:t>Often centered on persons, citizens, or entities capable of holding interests or claims</w:t>
            </w:r>
          </w:p>
        </w:tc>
        <w:tc>
          <w:tcPr>
            <w:tcW w:w="3597" w:type="dxa"/>
            <w:tcBorders/>
            <w:vAlign w:val="center"/>
          </w:tcPr>
          <w:p>
            <w:pPr>
              <w:pStyle w:val="TableContents"/>
              <w:widowControl w:val="false"/>
              <w:suppressLineNumbers/>
              <w:spacing w:before="0" w:after="200"/>
              <w:rPr/>
            </w:pPr>
            <w:r>
              <w:rPr/>
              <w:t>Potentially includes a broader class of persistent adaptive and autopoietic entities</w:t>
            </w:r>
          </w:p>
        </w:tc>
      </w:tr>
      <w:tr>
        <w:trPr/>
        <w:tc>
          <w:tcPr>
            <w:tcW w:w="1789" w:type="dxa"/>
            <w:tcBorders/>
            <w:vAlign w:val="center"/>
          </w:tcPr>
          <w:p>
            <w:pPr>
              <w:pStyle w:val="TableContents"/>
              <w:widowControl w:val="false"/>
              <w:suppressLineNumbers/>
              <w:spacing w:before="0" w:after="200"/>
              <w:rPr/>
            </w:pPr>
            <w:r>
              <w:rPr>
                <w:rStyle w:val="Strong"/>
              </w:rPr>
              <w:t>Institutional recognition</w:t>
            </w:r>
          </w:p>
        </w:tc>
        <w:tc>
          <w:tcPr>
            <w:tcW w:w="3254" w:type="dxa"/>
            <w:tcBorders/>
            <w:vAlign w:val="center"/>
          </w:tcPr>
          <w:p>
            <w:pPr>
              <w:pStyle w:val="TableContents"/>
              <w:widowControl w:val="false"/>
              <w:suppressLineNumbers/>
              <w:spacing w:before="0" w:after="200"/>
              <w:rPr/>
            </w:pPr>
            <w:r>
              <w:rPr/>
              <w:t>Explicitly distinguishes moral rights from legal and institutional rights</w:t>
            </w:r>
          </w:p>
        </w:tc>
        <w:tc>
          <w:tcPr>
            <w:tcW w:w="3597" w:type="dxa"/>
            <w:tcBorders/>
            <w:vAlign w:val="center"/>
          </w:tcPr>
          <w:p>
            <w:pPr>
              <w:pStyle w:val="TableContents"/>
              <w:widowControl w:val="false"/>
              <w:suppressLineNumbers/>
              <w:spacing w:before="0" w:after="200"/>
              <w:rPr/>
            </w:pPr>
            <w:r>
              <w:rPr/>
              <w:t>Can model institutions but does not inherently determine whether an institutional rule creates a valid moral right</w:t>
            </w:r>
          </w:p>
        </w:tc>
      </w:tr>
      <w:tr>
        <w:trPr/>
        <w:tc>
          <w:tcPr>
            <w:tcW w:w="1789" w:type="dxa"/>
            <w:tcBorders/>
            <w:vAlign w:val="center"/>
          </w:tcPr>
          <w:p>
            <w:pPr>
              <w:pStyle w:val="TableContents"/>
              <w:widowControl w:val="false"/>
              <w:suppressLineNumbers/>
              <w:spacing w:before="0" w:after="200"/>
              <w:rPr/>
            </w:pPr>
            <w:r>
              <w:rPr>
                <w:rStyle w:val="Strong"/>
              </w:rPr>
              <w:t>Remedies</w:t>
            </w:r>
          </w:p>
        </w:tc>
        <w:tc>
          <w:tcPr>
            <w:tcW w:w="3254" w:type="dxa"/>
            <w:tcBorders/>
            <w:vAlign w:val="center"/>
          </w:tcPr>
          <w:p>
            <w:pPr>
              <w:pStyle w:val="TableContents"/>
              <w:widowControl w:val="false"/>
              <w:suppressLineNumbers/>
              <w:spacing w:before="0" w:after="200"/>
              <w:rPr/>
            </w:pPr>
            <w:r>
              <w:rPr/>
              <w:t>Enforcement, restitution, compensation, and institutional correction are central</w:t>
            </w:r>
          </w:p>
        </w:tc>
        <w:tc>
          <w:tcPr>
            <w:tcW w:w="3597" w:type="dxa"/>
            <w:tcBorders/>
            <w:vAlign w:val="center"/>
          </w:tcPr>
          <w:p>
            <w:pPr>
              <w:pStyle w:val="TableContents"/>
              <w:widowControl w:val="false"/>
              <w:suppressLineNumbers/>
              <w:spacing w:before="0" w:after="200"/>
              <w:rPr/>
            </w:pPr>
            <w:r>
              <w:rPr/>
              <w:t>Corrective transitions can be assessed, but remedies are not yet a distinct foundational category</w:t>
            </w:r>
          </w:p>
        </w:tc>
      </w:tr>
      <w:tr>
        <w:trPr/>
        <w:tc>
          <w:tcPr>
            <w:tcW w:w="1789" w:type="dxa"/>
            <w:tcBorders/>
            <w:vAlign w:val="center"/>
          </w:tcPr>
          <w:p>
            <w:pPr>
              <w:pStyle w:val="TableContents"/>
              <w:widowControl w:val="false"/>
              <w:suppressLineNumbers/>
              <w:spacing w:before="0" w:after="200"/>
              <w:rPr/>
            </w:pPr>
            <w:r>
              <w:rPr>
                <w:rStyle w:val="Strong"/>
              </w:rPr>
              <w:t>Uncertainty</w:t>
            </w:r>
          </w:p>
        </w:tc>
        <w:tc>
          <w:tcPr>
            <w:tcW w:w="3254" w:type="dxa"/>
            <w:tcBorders/>
            <w:vAlign w:val="center"/>
          </w:tcPr>
          <w:p>
            <w:pPr>
              <w:pStyle w:val="TableContents"/>
              <w:widowControl w:val="false"/>
              <w:suppressLineNumbers/>
              <w:spacing w:before="0" w:after="200"/>
              <w:rPr/>
            </w:pPr>
            <w:r>
              <w:rPr/>
              <w:t>Often asks whether a decision creates an impermissible risk of violating a right</w:t>
            </w:r>
          </w:p>
        </w:tc>
        <w:tc>
          <w:tcPr>
            <w:tcW w:w="3597" w:type="dxa"/>
            <w:tcBorders/>
            <w:vAlign w:val="center"/>
          </w:tcPr>
          <w:p>
            <w:pPr>
              <w:pStyle w:val="TableContents"/>
              <w:widowControl w:val="false"/>
              <w:suppressLineNumbers/>
              <w:spacing w:before="0" w:after="200"/>
              <w:rPr/>
            </w:pPr>
            <w:r>
              <w:rPr/>
              <w:t>Explicitly incorporates evidentiary confidence, probability, and multiple future horizons</w:t>
            </w:r>
          </w:p>
        </w:tc>
      </w:tr>
      <w:tr>
        <w:trPr/>
        <w:tc>
          <w:tcPr>
            <w:tcW w:w="1789" w:type="dxa"/>
            <w:tcBorders/>
            <w:vAlign w:val="center"/>
          </w:tcPr>
          <w:p>
            <w:pPr>
              <w:pStyle w:val="TableContents"/>
              <w:widowControl w:val="false"/>
              <w:suppressLineNumbers/>
              <w:spacing w:before="0" w:after="200"/>
              <w:rPr/>
            </w:pPr>
            <w:r>
              <w:rPr>
                <w:rStyle w:val="Strong"/>
              </w:rPr>
              <w:t>Decision output</w:t>
            </w:r>
          </w:p>
        </w:tc>
        <w:tc>
          <w:tcPr>
            <w:tcW w:w="3254" w:type="dxa"/>
            <w:tcBorders/>
            <w:vAlign w:val="center"/>
          </w:tcPr>
          <w:p>
            <w:pPr>
              <w:pStyle w:val="TableContents"/>
              <w:widowControl w:val="false"/>
              <w:suppressLineNumbers/>
              <w:spacing w:before="0" w:after="200"/>
              <w:rPr/>
            </w:pPr>
            <w:r>
              <w:rPr/>
              <w:t>Typically identifies compliance, infringement, violation, justification, and remedy</w:t>
            </w:r>
          </w:p>
        </w:tc>
        <w:tc>
          <w:tcPr>
            <w:tcW w:w="3597" w:type="dxa"/>
            <w:tcBorders/>
            <w:vAlign w:val="center"/>
          </w:tcPr>
          <w:p>
            <w:pPr>
              <w:pStyle w:val="TableContents"/>
              <w:widowControl w:val="false"/>
              <w:suppressLineNumbers/>
              <w:spacing w:before="0" w:after="200"/>
              <w:rPr/>
            </w:pPr>
            <w:r>
              <w:rPr/>
              <w:t>Produces a broader assessment of consequences, flourishing, responsibility, and systemic effects</w:t>
            </w:r>
          </w:p>
        </w:tc>
      </w:tr>
    </w:tbl>
    <w:p>
      <w:pPr>
        <w:pStyle w:val="Heading4"/>
        <w:ind w:hanging="0" w:left="0"/>
        <w:rPr>
          <w:rFonts w:ascii="Aptos" w:hAnsi="Aptos"/>
          <w:color w:val="auto"/>
        </w:rPr>
      </w:pPr>
      <w:r>
        <w:rPr/>
        <w:t>Potential Integration Opportunities</w:t>
      </w:r>
    </w:p>
    <w:p>
      <w:pPr>
        <w:pStyle w:val="BodyText"/>
        <w:spacing w:before="0" w:after="200"/>
        <w:rPr/>
      </w:pPr>
      <w:r>
        <w:rPr/>
        <w:t>The framework could integrate rights-based ethics more explicitly through the following extensions:</w:t>
      </w:r>
    </w:p>
    <w:p>
      <w:pPr>
        <w:pStyle w:val="BodyText"/>
        <w:numPr>
          <w:ilvl w:val="0"/>
          <w:numId w:val="48"/>
        </w:numPr>
        <w:tabs>
          <w:tab w:val="clear" w:pos="720"/>
          <w:tab w:val="left" w:pos="0" w:leader="none"/>
        </w:tabs>
        <w:spacing w:before="0" w:after="200"/>
        <w:ind w:hanging="283" w:left="709"/>
        <w:rPr/>
      </w:pPr>
      <w:r>
        <w:rPr>
          <w:rStyle w:val="Strong"/>
        </w:rPr>
        <w:t>Add a formal rights ontology.</w:t>
      </w:r>
      <w:r>
        <w:rPr/>
        <w:t xml:space="preserve"> Each right could identify the right-holder, duty-bearer, Hohfeldian incident, protected interest, source, scope, duration, jurisdiction, exceptions, and applicable remedy.</w:t>
      </w:r>
    </w:p>
    <w:p>
      <w:pPr>
        <w:pStyle w:val="BodyText"/>
        <w:numPr>
          <w:ilvl w:val="0"/>
          <w:numId w:val="48"/>
        </w:numPr>
        <w:tabs>
          <w:tab w:val="clear" w:pos="720"/>
          <w:tab w:val="left" w:pos="0" w:leader="none"/>
        </w:tabs>
        <w:spacing w:before="0" w:after="200"/>
        <w:ind w:hanging="283" w:left="709"/>
        <w:rPr/>
      </w:pPr>
      <w:r>
        <w:rPr>
          <w:rStyle w:val="Strong"/>
        </w:rPr>
        <w:t>Distinguish moral, legal, contractual, and institutional rights.</w:t>
      </w:r>
      <w:r>
        <w:rPr/>
        <w:t xml:space="preserve"> Rights should carry source metadata so that legal recognition is not treated as conclusive evidence of moral validity.</w:t>
      </w:r>
    </w:p>
    <w:p>
      <w:pPr>
        <w:pStyle w:val="BodyText"/>
        <w:numPr>
          <w:ilvl w:val="0"/>
          <w:numId w:val="48"/>
        </w:numPr>
        <w:tabs>
          <w:tab w:val="clear" w:pos="720"/>
          <w:tab w:val="left" w:pos="0" w:leader="none"/>
        </w:tabs>
        <w:spacing w:before="0" w:after="200"/>
        <w:ind w:hanging="283" w:left="709"/>
        <w:rPr/>
      </w:pPr>
      <w:r>
        <w:rPr>
          <w:rStyle w:val="Strong"/>
        </w:rPr>
        <w:t>Introduce rights-based decision gates.</w:t>
      </w:r>
      <w:r>
        <w:rPr/>
        <w:t xml:space="preserve"> Certain actions could be excluded before aggregate comparison when they violate an absolute or non-waivable right. Other rights could operate as strong presumptions that may be overridden only under defined conditions.</w:t>
      </w:r>
    </w:p>
    <w:p>
      <w:pPr>
        <w:pStyle w:val="BodyText"/>
        <w:numPr>
          <w:ilvl w:val="0"/>
          <w:numId w:val="48"/>
        </w:numPr>
        <w:tabs>
          <w:tab w:val="clear" w:pos="720"/>
          <w:tab w:val="left" w:pos="0" w:leader="none"/>
        </w:tabs>
        <w:spacing w:before="0" w:after="200"/>
        <w:ind w:hanging="283" w:left="709"/>
        <w:rPr/>
      </w:pPr>
      <w:r>
        <w:rPr>
          <w:rStyle w:val="Strong"/>
        </w:rPr>
        <w:t>Classify the strength of rights.</w:t>
      </w:r>
      <w:r>
        <w:rPr/>
        <w:t xml:space="preserve"> The system could distinguish absolute rights, threshold rights, presumptive rights, defeasible rights, and institution-dependent entitlements.</w:t>
      </w:r>
    </w:p>
    <w:p>
      <w:pPr>
        <w:pStyle w:val="BodyText"/>
        <w:numPr>
          <w:ilvl w:val="0"/>
          <w:numId w:val="48"/>
        </w:numPr>
        <w:tabs>
          <w:tab w:val="clear" w:pos="720"/>
          <w:tab w:val="left" w:pos="0" w:leader="none"/>
        </w:tabs>
        <w:spacing w:before="0" w:after="200"/>
        <w:ind w:hanging="283" w:left="709"/>
        <w:rPr/>
      </w:pPr>
      <w:r>
        <w:rPr>
          <w:rStyle w:val="Strong"/>
        </w:rPr>
        <w:t>Represent duties to respect, protect, and fulfill.</w:t>
      </w:r>
      <w:r>
        <w:rPr/>
        <w:t xml:space="preserve"> This would distinguish direct noninterference, protection against third parties, and affirmative provision of necessary support.</w:t>
      </w:r>
    </w:p>
    <w:p>
      <w:pPr>
        <w:pStyle w:val="BodyText"/>
        <w:numPr>
          <w:ilvl w:val="0"/>
          <w:numId w:val="48"/>
        </w:numPr>
        <w:tabs>
          <w:tab w:val="clear" w:pos="720"/>
          <w:tab w:val="left" w:pos="0" w:leader="none"/>
        </w:tabs>
        <w:spacing w:before="0" w:after="200"/>
        <w:ind w:hanging="283" w:left="709"/>
        <w:rPr/>
      </w:pPr>
      <w:r>
        <w:rPr>
          <w:rStyle w:val="Strong"/>
        </w:rPr>
        <w:t>Add a rights-impact assessment.</w:t>
      </w:r>
      <w:r>
        <w:rPr/>
        <w:t xml:space="preserve"> Every Assessed Action could identify affected right-holders, possible infringements, duty-bearers, severity, duration, reversibility, evidentiary confidence, and available alternatives.</w:t>
      </w:r>
    </w:p>
    <w:p>
      <w:pPr>
        <w:pStyle w:val="BodyText"/>
        <w:numPr>
          <w:ilvl w:val="0"/>
          <w:numId w:val="48"/>
        </w:numPr>
        <w:tabs>
          <w:tab w:val="clear" w:pos="720"/>
          <w:tab w:val="left" w:pos="0" w:leader="none"/>
        </w:tabs>
        <w:spacing w:before="0" w:after="200"/>
        <w:ind w:hanging="283" w:left="709"/>
        <w:rPr/>
      </w:pPr>
      <w:r>
        <w:rPr>
          <w:rStyle w:val="Strong"/>
        </w:rPr>
        <w:t>Formalize consent and waiver.</w:t>
      </w:r>
      <w:r>
        <w:rPr/>
        <w:t xml:space="preserve"> The framework could test whether consent is informed, voluntary, competent, specific, current, and revocable, and whether the relevant right is legally or morally waivable.</w:t>
      </w:r>
    </w:p>
    <w:p>
      <w:pPr>
        <w:pStyle w:val="BodyText"/>
        <w:numPr>
          <w:ilvl w:val="0"/>
          <w:numId w:val="48"/>
        </w:numPr>
        <w:tabs>
          <w:tab w:val="clear" w:pos="720"/>
          <w:tab w:val="left" w:pos="0" w:leader="none"/>
        </w:tabs>
        <w:spacing w:before="0" w:after="200"/>
        <w:ind w:hanging="283" w:left="709"/>
        <w:rPr/>
      </w:pPr>
      <w:r>
        <w:rPr>
          <w:rStyle w:val="Strong"/>
        </w:rPr>
        <w:t>Model powers and immunities alongside claims.</w:t>
      </w:r>
      <w:r>
        <w:rPr/>
        <w:t xml:space="preserve"> This would improve the analysis of institutional authority, jurisdiction, delegation, status changes, contractual relationships, and unauthorized interference.</w:t>
      </w:r>
    </w:p>
    <w:p>
      <w:pPr>
        <w:pStyle w:val="BodyText"/>
        <w:numPr>
          <w:ilvl w:val="0"/>
          <w:numId w:val="48"/>
        </w:numPr>
        <w:tabs>
          <w:tab w:val="clear" w:pos="720"/>
          <w:tab w:val="left" w:pos="0" w:leader="none"/>
        </w:tabs>
        <w:spacing w:before="0" w:after="200"/>
        <w:ind w:hanging="283" w:left="709"/>
        <w:rPr/>
      </w:pPr>
      <w:r>
        <w:rPr>
          <w:rStyle w:val="Strong"/>
        </w:rPr>
        <w:t>Establish conflict-resolution criteria.</w:t>
      </w:r>
      <w:r>
        <w:rPr/>
        <w:t xml:space="preserve"> Conflicting rights could be evaluated through necessity, proportionality, least-restrictive means, nondiscrimination, minimum protected levels, and independent review.</w:t>
      </w:r>
    </w:p>
    <w:p>
      <w:pPr>
        <w:pStyle w:val="BodyText"/>
        <w:numPr>
          <w:ilvl w:val="0"/>
          <w:numId w:val="48"/>
        </w:numPr>
        <w:tabs>
          <w:tab w:val="clear" w:pos="720"/>
          <w:tab w:val="left" w:pos="0" w:leader="none"/>
        </w:tabs>
        <w:spacing w:before="0" w:after="200"/>
        <w:ind w:hanging="283" w:left="709"/>
        <w:rPr/>
      </w:pPr>
      <w:r>
        <w:rPr>
          <w:rStyle w:val="Strong"/>
        </w:rPr>
        <w:t>Incorporate procedural rights.</w:t>
      </w:r>
      <w:r>
        <w:rPr/>
        <w:t xml:space="preserve"> Notice, access to information, participation, representation, appeal, and impartial adjudication could be treated as ethically significant even when the predicted substantive outcome appears beneficial.</w:t>
      </w:r>
    </w:p>
    <w:p>
      <w:pPr>
        <w:pStyle w:val="BodyText"/>
        <w:numPr>
          <w:ilvl w:val="0"/>
          <w:numId w:val="48"/>
        </w:numPr>
        <w:tabs>
          <w:tab w:val="clear" w:pos="720"/>
          <w:tab w:val="left" w:pos="0" w:leader="none"/>
        </w:tabs>
        <w:spacing w:before="0" w:after="200"/>
        <w:ind w:hanging="283" w:left="709"/>
        <w:rPr/>
      </w:pPr>
      <w:r>
        <w:rPr>
          <w:rStyle w:val="Strong"/>
        </w:rPr>
        <w:t>Add remedy requirements.</w:t>
      </w:r>
      <w:r>
        <w:rPr/>
        <w:t xml:space="preserve"> A confirmed violation could activate duties of cessation, restoration, compensation, acknowledgment, institutional correction, and prevention of recurrence.</w:t>
      </w:r>
    </w:p>
    <w:p>
      <w:pPr>
        <w:pStyle w:val="BodyText"/>
        <w:numPr>
          <w:ilvl w:val="0"/>
          <w:numId w:val="48"/>
        </w:numPr>
        <w:tabs>
          <w:tab w:val="clear" w:pos="720"/>
          <w:tab w:val="left" w:pos="0" w:leader="none"/>
        </w:tabs>
        <w:spacing w:before="0" w:after="200"/>
        <w:ind w:hanging="283" w:left="709"/>
        <w:rPr/>
      </w:pPr>
      <w:r>
        <w:rPr>
          <w:rStyle w:val="Strong"/>
        </w:rPr>
        <w:t>Protect vulnerable and underrepresented entities.</w:t>
      </w:r>
      <w:r>
        <w:rPr/>
        <w:t xml:space="preserve"> Rights-based constraints could prevent low-power entities from being assigned negligible weight merely because their interests are difficult to quantify or politically underrepresented.</w:t>
      </w:r>
    </w:p>
    <w:p>
      <w:pPr>
        <w:pStyle w:val="BodyText"/>
        <w:numPr>
          <w:ilvl w:val="0"/>
          <w:numId w:val="48"/>
        </w:numPr>
        <w:tabs>
          <w:tab w:val="clear" w:pos="720"/>
          <w:tab w:val="left" w:pos="0" w:leader="none"/>
        </w:tabs>
        <w:spacing w:before="0" w:after="200"/>
        <w:ind w:hanging="283" w:left="709"/>
        <w:rPr/>
      </w:pPr>
      <w:r>
        <w:rPr>
          <w:rStyle w:val="Strong"/>
        </w:rPr>
        <w:t>Extend rights analysis across time.</w:t>
      </w:r>
      <w:r>
        <w:rPr/>
        <w:t xml:space="preserve"> The framework could evaluate possible rights held by future persons or other future Flourishing Entities and specify how those interests are represented in present decisions.</w:t>
      </w:r>
    </w:p>
    <w:p>
      <w:pPr>
        <w:pStyle w:val="BodyText"/>
        <w:numPr>
          <w:ilvl w:val="0"/>
          <w:numId w:val="48"/>
        </w:numPr>
        <w:tabs>
          <w:tab w:val="clear" w:pos="720"/>
          <w:tab w:val="left" w:pos="0" w:leader="none"/>
        </w:tabs>
        <w:spacing w:before="0" w:after="200"/>
        <w:ind w:hanging="283" w:left="709"/>
        <w:rPr/>
      </w:pPr>
      <w:r>
        <w:rPr>
          <w:rStyle w:val="Strong"/>
        </w:rPr>
        <w:t>Address nonhuman and artificial entities explicitly.</w:t>
      </w:r>
      <w:r>
        <w:rPr/>
        <w:t xml:space="preserve"> The framework could establish criteria for determining when an adaptive, autopoietic, artificial, or collective entity is capable of holding a right, and what kinds of rights its characteristics could support.</w:t>
      </w:r>
    </w:p>
    <w:p>
      <w:pPr>
        <w:pStyle w:val="BodyText"/>
        <w:numPr>
          <w:ilvl w:val="0"/>
          <w:numId w:val="48"/>
        </w:numPr>
        <w:tabs>
          <w:tab w:val="clear" w:pos="720"/>
          <w:tab w:val="left" w:pos="0" w:leader="none"/>
        </w:tabs>
        <w:spacing w:before="0" w:after="200"/>
        <w:ind w:hanging="283" w:left="709"/>
        <w:rPr/>
      </w:pPr>
      <w:r>
        <w:rPr>
          <w:rStyle w:val="Strong"/>
        </w:rPr>
        <w:t>Produce a dual-layer conclusion.</w:t>
      </w:r>
      <w:r>
        <w:rPr/>
        <w:t xml:space="preserve"> Each assessment could report both:</w:t>
      </w:r>
    </w:p>
    <w:p>
      <w:pPr>
        <w:pStyle w:val="BodyText"/>
        <w:numPr>
          <w:ilvl w:val="1"/>
          <w:numId w:val="48"/>
        </w:numPr>
        <w:tabs>
          <w:tab w:val="clear" w:pos="720"/>
          <w:tab w:val="left" w:pos="0" w:leader="none"/>
        </w:tabs>
        <w:spacing w:before="0" w:after="200"/>
        <w:ind w:hanging="283" w:left="1418"/>
        <w:rPr/>
      </w:pPr>
      <w:r>
        <w:rPr/>
        <w:t>The overall effect of the Assessed Action on the World Context and long-term flourishing; and</w:t>
      </w:r>
    </w:p>
    <w:p>
      <w:pPr>
        <w:pStyle w:val="BodyText"/>
        <w:numPr>
          <w:ilvl w:val="1"/>
          <w:numId w:val="48"/>
        </w:numPr>
        <w:tabs>
          <w:tab w:val="clear" w:pos="720"/>
          <w:tab w:val="left" w:pos="0" w:leader="none"/>
        </w:tabs>
        <w:spacing w:before="0" w:after="200"/>
        <w:ind w:hanging="283" w:left="1418"/>
        <w:rPr/>
      </w:pPr>
      <w:r>
        <w:rPr/>
        <w:t>Whether the action respects, limits, overrides, or violates any applicable right.</w:t>
      </w:r>
    </w:p>
    <w:p>
      <w:pPr>
        <w:pStyle w:val="BodyText"/>
        <w:spacing w:before="0" w:after="200"/>
        <w:rPr/>
      </w:pPr>
      <w:r>
        <w:rPr/>
        <w:t>This integration would preserve the framework’s systems-level and consequence-sensitive analysis while ensuring that individual entities are not treated merely as interchangeable components of aggregate flourishing.</w:t>
      </w:r>
    </w:p>
    <w:p>
      <w:pPr>
        <w:pStyle w:val="Heading3"/>
        <w:ind w:hanging="0" w:left="0"/>
        <w:rPr/>
      </w:pPr>
      <w:r>
        <w:rPr/>
        <w:t>Ethics of Care</w:t>
      </w:r>
    </w:p>
    <w:p>
      <w:pPr>
        <w:pStyle w:val="BodyText"/>
        <w:spacing w:before="0" w:after="200"/>
        <w:rPr/>
      </w:pPr>
      <w:r>
        <w:rPr/>
        <w:t xml:space="preserve">Ethics of care evaluates moral conduct through relationships of dependency, interdependence, responsiveness, and responsibility. It asks whether relevant needs have been attentively recognized, whether responsibility for meeting them has been appropriately assigned, whether care is competently provided, and whether the response of the care recipient is taken seriously. Care ethics emerged partly as a critique of ethical theories that rely heavily on abstract rules, impartial calculation, and conceptions of persons as independent individuals. It does not reject justice, rights, or consequences, but argues that moral reasoning is incomplete when it neglects relationships, vulnerability, emotion, power, and the practical work required to sustain individuals and communities. </w:t>
      </w:r>
      <w:hyperlink r:id="rId146">
        <w:r>
          <w:rPr>
            <w:rStyle w:val="Hyperlink"/>
          </w:rPr>
          <w:t>Internet Encyclopedia of Philosophy</w:t>
        </w:r>
      </w:hyperlink>
    </w:p>
    <w:p>
      <w:pPr>
        <w:pStyle w:val="Heading4"/>
        <w:ind w:hanging="0" w:left="0"/>
        <w:rPr>
          <w:rFonts w:ascii="Aptos" w:hAnsi="Aptos"/>
          <w:color w:val="auto"/>
        </w:rPr>
      </w:pPr>
      <w:r>
        <w:rPr/>
        <w:t>Primary Expert(s)</w:t>
      </w:r>
    </w:p>
    <w:p>
      <w:pPr>
        <w:pStyle w:val="BodyText"/>
        <w:spacing w:before="0" w:after="200"/>
        <w:rPr/>
      </w:pPr>
      <w:r>
        <w:rPr/>
        <w:t>The following figures represent major developmental stages of care ethics, from its psychological origins to its interpersonal, political, and institutional applications.</w:t>
      </w:r>
    </w:p>
    <w:tbl>
      <w:tblPr>
        <w:tblW w:w="8640" w:type="dxa"/>
        <w:jc w:val="left"/>
        <w:tblInd w:w="28" w:type="dxa"/>
        <w:tblLayout w:type="fixed"/>
        <w:tblCellMar>
          <w:top w:w="28" w:type="dxa"/>
          <w:left w:w="28" w:type="dxa"/>
          <w:bottom w:w="28" w:type="dxa"/>
          <w:right w:w="28" w:type="dxa"/>
        </w:tblCellMar>
      </w:tblPr>
      <w:tblGrid>
        <w:gridCol w:w="1160"/>
        <w:gridCol w:w="743"/>
        <w:gridCol w:w="1849"/>
        <w:gridCol w:w="4888"/>
      </w:tblGrid>
      <w:tr>
        <w:trPr>
          <w:tblHeader w:val="true"/>
        </w:trPr>
        <w:tc>
          <w:tcPr>
            <w:tcW w:w="1160" w:type="dxa"/>
            <w:tcBorders/>
            <w:vAlign w:val="center"/>
          </w:tcPr>
          <w:p>
            <w:pPr>
              <w:pStyle w:val="TableHeading"/>
              <w:suppressLineNumbers/>
              <w:spacing w:before="0" w:after="200"/>
              <w:jc w:val="center"/>
              <w:rPr/>
            </w:pPr>
            <w:r>
              <w:rPr/>
              <w:t>Expert</w:t>
            </w:r>
          </w:p>
        </w:tc>
        <w:tc>
          <w:tcPr>
            <w:tcW w:w="743" w:type="dxa"/>
            <w:tcBorders/>
            <w:vAlign w:val="center"/>
          </w:tcPr>
          <w:p>
            <w:pPr>
              <w:pStyle w:val="TableHeading"/>
              <w:spacing w:before="0" w:after="200"/>
              <w:jc w:val="right"/>
              <w:rPr/>
            </w:pPr>
            <w:r>
              <w:rPr/>
              <w:t>Years</w:t>
            </w:r>
          </w:p>
        </w:tc>
        <w:tc>
          <w:tcPr>
            <w:tcW w:w="1849" w:type="dxa"/>
            <w:tcBorders/>
            <w:vAlign w:val="center"/>
          </w:tcPr>
          <w:p>
            <w:pPr>
              <w:pStyle w:val="TableHeading"/>
              <w:suppressLineNumbers/>
              <w:spacing w:before="0" w:after="200"/>
              <w:jc w:val="center"/>
              <w:rPr/>
            </w:pPr>
            <w:r>
              <w:rPr/>
              <w:t>Associated institution(s)</w:t>
            </w:r>
          </w:p>
        </w:tc>
        <w:tc>
          <w:tcPr>
            <w:tcW w:w="4888" w:type="dxa"/>
            <w:tcBorders/>
            <w:vAlign w:val="center"/>
          </w:tcPr>
          <w:p>
            <w:pPr>
              <w:pStyle w:val="TableHeading"/>
              <w:suppressLineNumbers/>
              <w:spacing w:before="0" w:after="200"/>
              <w:jc w:val="center"/>
              <w:rPr/>
            </w:pPr>
            <w:r>
              <w:rPr/>
              <w:t>Principal contribution</w:t>
            </w:r>
          </w:p>
        </w:tc>
      </w:tr>
      <w:tr>
        <w:trPr/>
        <w:tc>
          <w:tcPr>
            <w:tcW w:w="1160" w:type="dxa"/>
            <w:tcBorders/>
            <w:vAlign w:val="center"/>
          </w:tcPr>
          <w:p>
            <w:pPr>
              <w:pStyle w:val="TableContents"/>
              <w:widowControl w:val="false"/>
              <w:suppressLineNumbers/>
              <w:spacing w:before="0" w:after="200"/>
              <w:rPr/>
            </w:pPr>
            <w:r>
              <w:rPr>
                <w:rStyle w:val="Strong"/>
              </w:rPr>
              <w:t>Carol Gilligan</w:t>
            </w:r>
          </w:p>
        </w:tc>
        <w:tc>
          <w:tcPr>
            <w:tcW w:w="743" w:type="dxa"/>
            <w:tcBorders/>
            <w:vAlign w:val="center"/>
          </w:tcPr>
          <w:p>
            <w:pPr>
              <w:pStyle w:val="TableContents"/>
              <w:spacing w:before="0" w:after="200"/>
              <w:jc w:val="right"/>
              <w:rPr/>
            </w:pPr>
            <w:r>
              <w:rPr/>
              <w:t>1936–</w:t>
            </w:r>
          </w:p>
        </w:tc>
        <w:tc>
          <w:tcPr>
            <w:tcW w:w="1849" w:type="dxa"/>
            <w:tcBorders/>
            <w:vAlign w:val="center"/>
          </w:tcPr>
          <w:p>
            <w:pPr>
              <w:pStyle w:val="TableContents"/>
              <w:widowControl w:val="false"/>
              <w:suppressLineNumbers/>
              <w:spacing w:before="0" w:after="200"/>
              <w:rPr/>
            </w:pPr>
            <w:r>
              <w:rPr/>
              <w:t>New York University; formerly Harvard University</w:t>
            </w:r>
          </w:p>
        </w:tc>
        <w:tc>
          <w:tcPr>
            <w:tcW w:w="4888" w:type="dxa"/>
            <w:tcBorders/>
            <w:vAlign w:val="center"/>
          </w:tcPr>
          <w:p>
            <w:pPr>
              <w:pStyle w:val="TableContents"/>
              <w:widowControl w:val="false"/>
              <w:suppressLineNumbers/>
              <w:spacing w:before="0" w:after="200"/>
              <w:rPr/>
            </w:pPr>
            <w:r>
              <w:rPr/>
              <w:t xml:space="preserve">Challenged models of moral development that treated an abstract, justice-oriented voice as the primary measure of moral maturity. Her work identified a different moral orientation emphasizing relationships, responsibilities, responsiveness, and avoidance of abandonment. Gilligan is a University Professor at NYU and was awarded the 2025 Kyoto Prize for her contributions to feminist thought and the study of care. </w:t>
            </w:r>
            <w:hyperlink r:id="rId147">
              <w:r>
                <w:rPr>
                  <w:rStyle w:val="Hyperlink"/>
                </w:rPr>
                <w:t>New York University</w:t>
              </w:r>
            </w:hyperlink>
          </w:p>
        </w:tc>
      </w:tr>
      <w:tr>
        <w:trPr/>
        <w:tc>
          <w:tcPr>
            <w:tcW w:w="1160" w:type="dxa"/>
            <w:tcBorders/>
            <w:vAlign w:val="center"/>
          </w:tcPr>
          <w:p>
            <w:pPr>
              <w:pStyle w:val="TableContents"/>
              <w:widowControl w:val="false"/>
              <w:suppressLineNumbers/>
              <w:spacing w:before="0" w:after="200"/>
              <w:rPr/>
            </w:pPr>
            <w:r>
              <w:rPr>
                <w:rStyle w:val="Strong"/>
              </w:rPr>
              <w:t>Nel Noddings</w:t>
            </w:r>
          </w:p>
        </w:tc>
        <w:tc>
          <w:tcPr>
            <w:tcW w:w="743" w:type="dxa"/>
            <w:tcBorders/>
            <w:vAlign w:val="center"/>
          </w:tcPr>
          <w:p>
            <w:pPr>
              <w:pStyle w:val="TableContents"/>
              <w:spacing w:before="0" w:after="200"/>
              <w:jc w:val="right"/>
              <w:rPr/>
            </w:pPr>
            <w:r>
              <w:rPr/>
              <w:t>1929–2022</w:t>
            </w:r>
          </w:p>
        </w:tc>
        <w:tc>
          <w:tcPr>
            <w:tcW w:w="1849" w:type="dxa"/>
            <w:tcBorders/>
            <w:vAlign w:val="center"/>
          </w:tcPr>
          <w:p>
            <w:pPr>
              <w:pStyle w:val="TableContents"/>
              <w:widowControl w:val="false"/>
              <w:suppressLineNumbers/>
              <w:spacing w:before="0" w:after="200"/>
              <w:rPr/>
            </w:pPr>
            <w:r>
              <w:rPr/>
              <w:t>Stanford Graduate School of Education, Lee L. Jacks Professor Emerita</w:t>
            </w:r>
          </w:p>
        </w:tc>
        <w:tc>
          <w:tcPr>
            <w:tcW w:w="4888" w:type="dxa"/>
            <w:tcBorders/>
            <w:vAlign w:val="center"/>
          </w:tcPr>
          <w:p>
            <w:pPr>
              <w:pStyle w:val="TableContents"/>
              <w:widowControl w:val="false"/>
              <w:suppressLineNumbers/>
              <w:spacing w:before="0" w:after="200"/>
              <w:rPr/>
            </w:pPr>
            <w:r>
              <w:rPr/>
              <w:t xml:space="preserve">Developed care ethics into a normative relational theory centered on the interaction between the “one-caring” and the “cared-for.” She distinguished natural caring from ethical caring and applied care ethics extensively to education. </w:t>
            </w:r>
            <w:hyperlink r:id="rId148">
              <w:r>
                <w:rPr>
                  <w:rStyle w:val="Hyperlink"/>
                </w:rPr>
                <w:t>Stanford University</w:t>
              </w:r>
            </w:hyperlink>
          </w:p>
        </w:tc>
      </w:tr>
      <w:tr>
        <w:trPr/>
        <w:tc>
          <w:tcPr>
            <w:tcW w:w="1160" w:type="dxa"/>
            <w:tcBorders/>
            <w:vAlign w:val="center"/>
          </w:tcPr>
          <w:p>
            <w:pPr>
              <w:pStyle w:val="TableContents"/>
              <w:widowControl w:val="false"/>
              <w:suppressLineNumbers/>
              <w:spacing w:before="0" w:after="200"/>
              <w:rPr/>
            </w:pPr>
            <w:r>
              <w:rPr>
                <w:rStyle w:val="Strong"/>
              </w:rPr>
              <w:t>Virginia Held</w:t>
            </w:r>
          </w:p>
        </w:tc>
        <w:tc>
          <w:tcPr>
            <w:tcW w:w="743" w:type="dxa"/>
            <w:tcBorders/>
            <w:vAlign w:val="center"/>
          </w:tcPr>
          <w:p>
            <w:pPr>
              <w:pStyle w:val="TableContents"/>
              <w:spacing w:before="0" w:after="200"/>
              <w:jc w:val="right"/>
              <w:rPr/>
            </w:pPr>
            <w:r>
              <w:rPr/>
              <w:t>1929–2026</w:t>
            </w:r>
          </w:p>
        </w:tc>
        <w:tc>
          <w:tcPr>
            <w:tcW w:w="1849" w:type="dxa"/>
            <w:tcBorders/>
            <w:vAlign w:val="center"/>
          </w:tcPr>
          <w:p>
            <w:pPr>
              <w:pStyle w:val="TableContents"/>
              <w:widowControl w:val="false"/>
              <w:suppressLineNumbers/>
              <w:spacing w:before="0" w:after="200"/>
              <w:rPr/>
            </w:pPr>
            <w:r>
              <w:rPr/>
              <w:t>Hunter College and the Graduate Center, City University of New York</w:t>
            </w:r>
          </w:p>
        </w:tc>
        <w:tc>
          <w:tcPr>
            <w:tcW w:w="4888" w:type="dxa"/>
            <w:tcBorders/>
            <w:vAlign w:val="center"/>
          </w:tcPr>
          <w:p>
            <w:pPr>
              <w:pStyle w:val="TableContents"/>
              <w:widowControl w:val="false"/>
              <w:suppressLineNumbers/>
              <w:spacing w:before="0" w:after="200"/>
              <w:rPr/>
            </w:pPr>
            <w:r>
              <w:rPr/>
              <w:t xml:space="preserve">Developed care as both a moral value and a social practice. She argued that care ethics should apply to personal, political, institutional, and global relationships and should interact with, rather than simply replace, justice-based theories. </w:t>
            </w:r>
            <w:hyperlink r:id="rId149">
              <w:r>
                <w:rPr>
                  <w:rStyle w:val="Hyperlink"/>
                </w:rPr>
                <w:t>Hunter College</w:t>
              </w:r>
            </w:hyperlink>
          </w:p>
        </w:tc>
      </w:tr>
      <w:tr>
        <w:trPr/>
        <w:tc>
          <w:tcPr>
            <w:tcW w:w="1160" w:type="dxa"/>
            <w:tcBorders/>
            <w:vAlign w:val="center"/>
          </w:tcPr>
          <w:p>
            <w:pPr>
              <w:pStyle w:val="TableContents"/>
              <w:widowControl w:val="false"/>
              <w:suppressLineNumbers/>
              <w:spacing w:before="0" w:after="200"/>
              <w:rPr/>
            </w:pPr>
            <w:r>
              <w:rPr>
                <w:rStyle w:val="Strong"/>
              </w:rPr>
              <w:t>Joan C. Tronto</w:t>
            </w:r>
          </w:p>
        </w:tc>
        <w:tc>
          <w:tcPr>
            <w:tcW w:w="743" w:type="dxa"/>
            <w:tcBorders/>
            <w:vAlign w:val="center"/>
          </w:tcPr>
          <w:p>
            <w:pPr>
              <w:pStyle w:val="TableContents"/>
              <w:spacing w:before="0" w:after="200"/>
              <w:jc w:val="right"/>
              <w:rPr/>
            </w:pPr>
            <w:r>
              <w:rPr/>
              <w:t>1952–</w:t>
            </w:r>
          </w:p>
        </w:tc>
        <w:tc>
          <w:tcPr>
            <w:tcW w:w="1849" w:type="dxa"/>
            <w:tcBorders/>
            <w:vAlign w:val="center"/>
          </w:tcPr>
          <w:p>
            <w:pPr>
              <w:pStyle w:val="TableContents"/>
              <w:widowControl w:val="false"/>
              <w:suppressLineNumbers/>
              <w:spacing w:before="0" w:after="200"/>
              <w:rPr/>
            </w:pPr>
            <w:r>
              <w:rPr/>
              <w:t>University of Minnesota; formerly Hunter College and the CUNY Graduate Center</w:t>
            </w:r>
          </w:p>
        </w:tc>
        <w:tc>
          <w:tcPr>
            <w:tcW w:w="4888" w:type="dxa"/>
            <w:tcBorders/>
            <w:vAlign w:val="center"/>
          </w:tcPr>
          <w:p>
            <w:pPr>
              <w:pStyle w:val="TableContents"/>
              <w:widowControl w:val="false"/>
              <w:suppressLineNumbers/>
              <w:spacing w:before="0" w:after="200"/>
              <w:rPr/>
            </w:pPr>
            <w:r>
              <w:rPr/>
              <w:t xml:space="preserve">Extended care ethics into political theory and democratic governance. She analyzed care as a process involving attentiveness, responsibility, competence, responsiveness, and solidarity, while emphasizing the distribution of care work and the power to determine whose needs receive attention. </w:t>
            </w:r>
            <w:hyperlink r:id="rId150">
              <w:r>
                <w:rPr>
                  <w:rStyle w:val="Hyperlink"/>
                </w:rPr>
                <w:t>University of Minnesota</w:t>
              </w:r>
            </w:hyperlink>
          </w:p>
        </w:tc>
      </w:tr>
    </w:tbl>
    <w:p>
      <w:pPr>
        <w:pStyle w:val="Heading4"/>
        <w:ind w:hanging="0" w:left="0"/>
        <w:rPr>
          <w:rFonts w:ascii="Aptos" w:hAnsi="Aptos"/>
          <w:color w:val="auto"/>
        </w:rPr>
      </w:pPr>
      <w:r>
        <w:rPr/>
        <w:t>Core Assumptions</w:t>
      </w:r>
    </w:p>
    <w:p>
      <w:pPr>
        <w:pStyle w:val="BodyText"/>
        <w:spacing w:before="0" w:after="200"/>
        <w:rPr/>
      </w:pPr>
      <w:r>
        <w:rPr/>
        <w:t>Ethics of care is a family of related approaches rather than a single uniform doctrine. Its principal assumptions generally include the following:</w:t>
      </w:r>
    </w:p>
    <w:p>
      <w:pPr>
        <w:pStyle w:val="BodyText"/>
        <w:numPr>
          <w:ilvl w:val="0"/>
          <w:numId w:val="54"/>
        </w:numPr>
        <w:tabs>
          <w:tab w:val="clear" w:pos="720"/>
          <w:tab w:val="left" w:pos="0" w:leader="none"/>
        </w:tabs>
        <w:spacing w:before="0" w:after="200"/>
        <w:ind w:hanging="283" w:left="709"/>
        <w:rPr/>
      </w:pPr>
      <w:r>
        <w:rPr>
          <w:rStyle w:val="Strong"/>
        </w:rPr>
        <w:t>Entities are relational and interdependent.</w:t>
      </w:r>
      <w:r>
        <w:rPr/>
        <w:t xml:space="preserve"> Moral agents and recipients of moral concern are shaped by relationships, institutions, histories, dependencies, and social conditions. They should not be modeled solely as isolated and fully autonomous individuals.</w:t>
      </w:r>
    </w:p>
    <w:p>
      <w:pPr>
        <w:pStyle w:val="BodyText"/>
        <w:numPr>
          <w:ilvl w:val="0"/>
          <w:numId w:val="54"/>
        </w:numPr>
        <w:tabs>
          <w:tab w:val="clear" w:pos="720"/>
          <w:tab w:val="left" w:pos="0" w:leader="none"/>
        </w:tabs>
        <w:spacing w:before="0" w:after="200"/>
        <w:ind w:hanging="283" w:left="709"/>
        <w:rPr/>
      </w:pPr>
      <w:r>
        <w:rPr>
          <w:rStyle w:val="Strong"/>
        </w:rPr>
        <w:t>Dependency is a normal feature of existence.</w:t>
      </w:r>
      <w:r>
        <w:rPr/>
        <w:t xml:space="preserve"> Childhood, illness, disability, aging, crisis, education, and participation in complex institutions all create varying forms of dependency. Dependence is not necessarily a moral failure or exceptional condition.</w:t>
      </w:r>
    </w:p>
    <w:p>
      <w:pPr>
        <w:pStyle w:val="BodyText"/>
        <w:numPr>
          <w:ilvl w:val="0"/>
          <w:numId w:val="54"/>
        </w:numPr>
        <w:tabs>
          <w:tab w:val="clear" w:pos="720"/>
          <w:tab w:val="left" w:pos="0" w:leader="none"/>
        </w:tabs>
        <w:spacing w:before="0" w:after="200"/>
        <w:ind w:hanging="283" w:left="709"/>
        <w:rPr/>
      </w:pPr>
      <w:r>
        <w:rPr>
          <w:rStyle w:val="Strong"/>
        </w:rPr>
        <w:t>Care is morally significant.</w:t>
      </w:r>
      <w:r>
        <w:rPr/>
        <w:t xml:space="preserve"> Care is not merely an emotion or private preference. It is a value, disposition, relationship, and practice directed toward maintaining, repairing, or improving the world in which entities live.</w:t>
      </w:r>
    </w:p>
    <w:p>
      <w:pPr>
        <w:pStyle w:val="BodyText"/>
        <w:numPr>
          <w:ilvl w:val="0"/>
          <w:numId w:val="54"/>
        </w:numPr>
        <w:tabs>
          <w:tab w:val="clear" w:pos="720"/>
          <w:tab w:val="left" w:pos="0" w:leader="none"/>
        </w:tabs>
        <w:spacing w:before="0" w:after="200"/>
        <w:ind w:hanging="283" w:left="709"/>
        <w:rPr/>
      </w:pPr>
      <w:r>
        <w:rPr>
          <w:rStyle w:val="Strong"/>
        </w:rPr>
        <w:t>Moral attention precedes effective action.</w:t>
      </w:r>
      <w:r>
        <w:rPr/>
        <w:t xml:space="preserve"> An agent must first recognize that a need exists. Failure to notice another entity’s condition can itself represent a moral failure, particularly when the need was reasonably discoverable.</w:t>
      </w:r>
    </w:p>
    <w:p>
      <w:pPr>
        <w:pStyle w:val="BodyText"/>
        <w:numPr>
          <w:ilvl w:val="0"/>
          <w:numId w:val="54"/>
        </w:numPr>
        <w:tabs>
          <w:tab w:val="clear" w:pos="720"/>
          <w:tab w:val="left" w:pos="0" w:leader="none"/>
        </w:tabs>
        <w:spacing w:before="0" w:after="200"/>
        <w:ind w:hanging="283" w:left="709"/>
        <w:rPr/>
      </w:pPr>
      <w:r>
        <w:rPr>
          <w:rStyle w:val="Strong"/>
        </w:rPr>
        <w:t>Context matters.</w:t>
      </w:r>
      <w:r>
        <w:rPr/>
        <w:t xml:space="preserve"> Similar actions may have different ethical meanings depending on the relationship, history, vulnerability, expectations, available alternatives, and expressed needs of the parties.</w:t>
      </w:r>
    </w:p>
    <w:p>
      <w:pPr>
        <w:pStyle w:val="BodyText"/>
        <w:numPr>
          <w:ilvl w:val="0"/>
          <w:numId w:val="54"/>
        </w:numPr>
        <w:tabs>
          <w:tab w:val="clear" w:pos="720"/>
          <w:tab w:val="left" w:pos="0" w:leader="none"/>
        </w:tabs>
        <w:spacing w:before="0" w:after="200"/>
        <w:ind w:hanging="283" w:left="709"/>
        <w:rPr/>
      </w:pPr>
      <w:r>
        <w:rPr>
          <w:rStyle w:val="Strong"/>
        </w:rPr>
        <w:t>Relationships can generate special responsibilities.</w:t>
      </w:r>
      <w:r>
        <w:rPr/>
        <w:t xml:space="preserve"> Parents, caregivers, educators, clinicians, public officials, institutions, and other actors may possess responsibilities arising from roles or relationships that are not owed identically to every entity.</w:t>
      </w:r>
    </w:p>
    <w:p>
      <w:pPr>
        <w:pStyle w:val="BodyText"/>
        <w:numPr>
          <w:ilvl w:val="0"/>
          <w:numId w:val="54"/>
        </w:numPr>
        <w:tabs>
          <w:tab w:val="clear" w:pos="720"/>
          <w:tab w:val="left" w:pos="0" w:leader="none"/>
        </w:tabs>
        <w:spacing w:before="0" w:after="200"/>
        <w:ind w:hanging="283" w:left="709"/>
        <w:rPr/>
      </w:pPr>
      <w:r>
        <w:rPr>
          <w:rStyle w:val="Strong"/>
        </w:rPr>
        <w:t>Emotion and reason are complementary.</w:t>
      </w:r>
      <w:r>
        <w:rPr/>
        <w:t xml:space="preserve"> Empathy, concern, compassion, receptivity, and emotional understanding can disclose morally relevant information. They should inform reflective judgment rather than be treated as inherently opposed to rational analysis.</w:t>
      </w:r>
    </w:p>
    <w:p>
      <w:pPr>
        <w:pStyle w:val="BodyText"/>
        <w:numPr>
          <w:ilvl w:val="0"/>
          <w:numId w:val="54"/>
        </w:numPr>
        <w:tabs>
          <w:tab w:val="clear" w:pos="720"/>
          <w:tab w:val="left" w:pos="0" w:leader="none"/>
        </w:tabs>
        <w:spacing w:before="0" w:after="200"/>
        <w:ind w:hanging="283" w:left="709"/>
        <w:rPr/>
      </w:pPr>
      <w:r>
        <w:rPr>
          <w:rStyle w:val="Strong"/>
        </w:rPr>
        <w:t>The recipient’s perspective matters.</w:t>
      </w:r>
      <w:r>
        <w:rPr/>
        <w:t xml:space="preserve"> Care cannot be assessed solely from the provider’s intention. The recipient’s needs, experiences, responses, and ability to participate in the relationship must also be considered.</w:t>
      </w:r>
    </w:p>
    <w:p>
      <w:pPr>
        <w:pStyle w:val="BodyText"/>
        <w:numPr>
          <w:ilvl w:val="0"/>
          <w:numId w:val="54"/>
        </w:numPr>
        <w:tabs>
          <w:tab w:val="clear" w:pos="720"/>
          <w:tab w:val="left" w:pos="0" w:leader="none"/>
        </w:tabs>
        <w:spacing w:before="0" w:after="200"/>
        <w:ind w:hanging="283" w:left="709"/>
        <w:rPr/>
      </w:pPr>
      <w:r>
        <w:rPr>
          <w:rStyle w:val="Strong"/>
        </w:rPr>
        <w:t>Competence is part of ethical care.</w:t>
      </w:r>
      <w:r>
        <w:rPr/>
        <w:t xml:space="preserve"> Good intentions are insufficient when care is negligently, ineffectively, or irresponsibly delivered.</w:t>
      </w:r>
    </w:p>
    <w:p>
      <w:pPr>
        <w:pStyle w:val="BodyText"/>
        <w:numPr>
          <w:ilvl w:val="0"/>
          <w:numId w:val="54"/>
        </w:numPr>
        <w:tabs>
          <w:tab w:val="clear" w:pos="720"/>
          <w:tab w:val="left" w:pos="0" w:leader="none"/>
        </w:tabs>
        <w:spacing w:before="0" w:after="200"/>
        <w:ind w:hanging="283" w:left="709"/>
        <w:rPr/>
      </w:pPr>
      <w:r>
        <w:rPr>
          <w:rStyle w:val="Strong"/>
        </w:rPr>
        <w:t>Care must respond to power differences.</w:t>
      </w:r>
      <w:r>
        <w:rPr/>
        <w:t xml:space="preserve"> Care relationships frequently involve unequal knowledge, authority, capacity, resources, or freedom of exit. These differences create risks of paternalism, coercion, dependency, exploitation, and silencing.</w:t>
      </w:r>
    </w:p>
    <w:p>
      <w:pPr>
        <w:pStyle w:val="BodyText"/>
        <w:numPr>
          <w:ilvl w:val="0"/>
          <w:numId w:val="54"/>
        </w:numPr>
        <w:tabs>
          <w:tab w:val="clear" w:pos="720"/>
          <w:tab w:val="left" w:pos="0" w:leader="none"/>
        </w:tabs>
        <w:spacing w:before="0" w:after="200"/>
        <w:ind w:hanging="283" w:left="709"/>
        <w:rPr/>
      </w:pPr>
      <w:r>
        <w:rPr>
          <w:rStyle w:val="Strong"/>
        </w:rPr>
        <w:t>Caregivers also require care.</w:t>
      </w:r>
      <w:r>
        <w:rPr/>
        <w:t xml:space="preserve"> An ethical system should not assume unlimited self-sacrifice or place the entire burden of care on particular individuals or social groups.</w:t>
      </w:r>
    </w:p>
    <w:p>
      <w:pPr>
        <w:pStyle w:val="BodyText"/>
        <w:numPr>
          <w:ilvl w:val="0"/>
          <w:numId w:val="54"/>
        </w:numPr>
        <w:tabs>
          <w:tab w:val="clear" w:pos="720"/>
          <w:tab w:val="left" w:pos="0" w:leader="none"/>
        </w:tabs>
        <w:spacing w:before="0" w:after="200"/>
        <w:ind w:hanging="283" w:left="709"/>
        <w:rPr/>
      </w:pPr>
      <w:r>
        <w:rPr>
          <w:rStyle w:val="Strong"/>
        </w:rPr>
        <w:t>Care has political and institutional dimensions.</w:t>
      </w:r>
      <w:r>
        <w:rPr/>
        <w:t xml:space="preserve"> The organization and distribution of care work reflect public priorities and power. Institutions determine which needs are recognized, whose care is funded, who performs care work, and who receives its benefits.</w:t>
      </w:r>
    </w:p>
    <w:p>
      <w:pPr>
        <w:pStyle w:val="BodyText"/>
        <w:numPr>
          <w:ilvl w:val="0"/>
          <w:numId w:val="54"/>
        </w:numPr>
        <w:tabs>
          <w:tab w:val="clear" w:pos="720"/>
          <w:tab w:val="left" w:pos="0" w:leader="none"/>
        </w:tabs>
        <w:spacing w:before="0" w:after="200"/>
        <w:ind w:hanging="283" w:left="709"/>
        <w:rPr/>
      </w:pPr>
      <w:r>
        <w:rPr>
          <w:rStyle w:val="Strong"/>
        </w:rPr>
        <w:t>Partiality may be morally appropriate.</w:t>
      </w:r>
      <w:r>
        <w:rPr/>
        <w:t xml:space="preserve"> Special attention to dependents, close relationships, or role-based responsibilities can be justified. However, partiality does not license arbitrary exclusion, discrimination, or neglect of distant and less-visible entities.</w:t>
      </w:r>
    </w:p>
    <w:p>
      <w:pPr>
        <w:pStyle w:val="BodyText"/>
        <w:numPr>
          <w:ilvl w:val="0"/>
          <w:numId w:val="54"/>
        </w:numPr>
        <w:tabs>
          <w:tab w:val="clear" w:pos="720"/>
          <w:tab w:val="left" w:pos="0" w:leader="none"/>
        </w:tabs>
        <w:spacing w:before="0" w:after="200"/>
        <w:ind w:hanging="283" w:left="709"/>
        <w:rPr/>
      </w:pPr>
      <w:r>
        <w:rPr>
          <w:rStyle w:val="Strong"/>
        </w:rPr>
        <w:t>Justice and care should inform one another.</w:t>
      </w:r>
      <w:r>
        <w:rPr/>
        <w:t xml:space="preserve"> General rules and rights can protect against favoritism and exploitation, while care can reveal needs and relational circumstances that abstract rules overlook. Contemporary care ethics often treats the two orientations as complementary.</w:t>
      </w:r>
    </w:p>
    <w:p>
      <w:pPr>
        <w:pStyle w:val="BodyText"/>
        <w:numPr>
          <w:ilvl w:val="0"/>
          <w:numId w:val="54"/>
        </w:numPr>
        <w:tabs>
          <w:tab w:val="clear" w:pos="720"/>
          <w:tab w:val="left" w:pos="0" w:leader="none"/>
        </w:tabs>
        <w:spacing w:before="0" w:after="200"/>
        <w:ind w:hanging="283" w:left="709"/>
        <w:rPr/>
      </w:pPr>
      <w:r>
        <w:rPr>
          <w:rStyle w:val="Strong"/>
        </w:rPr>
        <w:t>Care is longitudinal.</w:t>
      </w:r>
      <w:r>
        <w:rPr/>
        <w:t xml:space="preserve"> Maintaining a relationship or supporting a vulnerable entity commonly requires continuity, adaptation, follow-up, and repeated attention rather than a single isolated intervention.</w:t>
      </w:r>
    </w:p>
    <w:p>
      <w:pPr>
        <w:pStyle w:val="BodyText"/>
        <w:spacing w:before="0" w:after="200"/>
        <w:rPr/>
      </w:pPr>
      <w:r>
        <w:rPr/>
        <w:t>Tronto’s influential formulation describes care as a continuing process that includes noticing a need, assuming responsibility, providing competent care, and evaluating how the care is received. Her later political account adds “caring with,” emphasizing plurality, communication, trust, respect, and solidarity.</w:t>
      </w:r>
    </w:p>
    <w:p>
      <w:pPr>
        <w:pStyle w:val="Heading4"/>
        <w:ind w:hanging="0" w:left="0"/>
        <w:rPr>
          <w:rFonts w:ascii="Aptos" w:hAnsi="Aptos"/>
          <w:color w:val="auto"/>
        </w:rPr>
      </w:pPr>
      <w:r>
        <w:rPr/>
        <w:t>Relationship to This Framework</w:t>
      </w:r>
    </w:p>
    <w:p>
      <w:pPr>
        <w:pStyle w:val="BodyText"/>
        <w:spacing w:before="0" w:after="200"/>
        <w:rPr/>
      </w:pPr>
      <w:r>
        <w:rPr/>
        <w:t>Ethics of care has a strong structural relationship to this framework because both understand ethical conduct as occurring within a complex World Context rather than as an isolated choice by an independent actor. The framework’s Objects, Associations, institutional roles, constraints, information states, and future possibilities provide a basis for representing the relationships and dependencies emphasized by care ethics.</w:t>
      </w:r>
    </w:p>
    <w:p>
      <w:pPr>
        <w:pStyle w:val="BodyText"/>
        <w:spacing w:before="0" w:after="200"/>
        <w:rPr/>
      </w:pPr>
      <w:r>
        <w:rPr/>
        <w:t>The Foundational Axiom’s emphasis on preserving and promoting the long-term flourishing of relevant persistent adaptive entities also aligns with the general purpose of care. Appropriate care can preserve an entity’s life, agency, identity, capabilities, relationships, and beneficial future state space. Neglect, abandonment, incompetent care, or exploitative dependency can materially diminish those same conditions.</w:t>
      </w:r>
    </w:p>
    <w:p>
      <w:pPr>
        <w:pStyle w:val="BodyText"/>
        <w:spacing w:before="0" w:after="200"/>
        <w:rPr/>
      </w:pPr>
      <w:r>
        <w:rPr/>
        <w:t>The framework’s complete World Context Transition can assess more than whether an immediate need was technically satisfied. It can also examine:</w:t>
      </w:r>
    </w:p>
    <w:p>
      <w:pPr>
        <w:pStyle w:val="BodyText"/>
        <w:numPr>
          <w:ilvl w:val="0"/>
          <w:numId w:val="55"/>
        </w:numPr>
        <w:tabs>
          <w:tab w:val="clear" w:pos="720"/>
          <w:tab w:val="left" w:pos="0" w:leader="none"/>
        </w:tabs>
        <w:spacing w:before="0" w:after="200"/>
        <w:ind w:hanging="283" w:left="709"/>
        <w:rPr/>
      </w:pPr>
      <w:r>
        <w:rPr/>
        <w:t>Changes in trust between the parties;</w:t>
      </w:r>
    </w:p>
    <w:p>
      <w:pPr>
        <w:pStyle w:val="BodyText"/>
        <w:numPr>
          <w:ilvl w:val="0"/>
          <w:numId w:val="55"/>
        </w:numPr>
        <w:tabs>
          <w:tab w:val="clear" w:pos="720"/>
          <w:tab w:val="left" w:pos="0" w:leader="none"/>
        </w:tabs>
        <w:spacing w:before="0" w:after="200"/>
        <w:ind w:hanging="283" w:left="709"/>
        <w:rPr/>
      </w:pPr>
      <w:r>
        <w:rPr/>
        <w:t>Increased or reduced dependency;</w:t>
      </w:r>
    </w:p>
    <w:p>
      <w:pPr>
        <w:pStyle w:val="BodyText"/>
        <w:numPr>
          <w:ilvl w:val="0"/>
          <w:numId w:val="55"/>
        </w:numPr>
        <w:tabs>
          <w:tab w:val="clear" w:pos="720"/>
          <w:tab w:val="left" w:pos="0" w:leader="none"/>
        </w:tabs>
        <w:spacing w:before="0" w:after="200"/>
        <w:ind w:hanging="283" w:left="709"/>
        <w:rPr/>
      </w:pPr>
      <w:r>
        <w:rPr/>
        <w:t>The preservation of the recipient’s agency;</w:t>
      </w:r>
    </w:p>
    <w:p>
      <w:pPr>
        <w:pStyle w:val="BodyText"/>
        <w:numPr>
          <w:ilvl w:val="0"/>
          <w:numId w:val="55"/>
        </w:numPr>
        <w:tabs>
          <w:tab w:val="clear" w:pos="720"/>
          <w:tab w:val="left" w:pos="0" w:leader="none"/>
        </w:tabs>
        <w:spacing w:before="0" w:after="200"/>
        <w:ind w:hanging="283" w:left="709"/>
        <w:rPr/>
      </w:pPr>
      <w:r>
        <w:rPr/>
        <w:t>Effects on the caregiver’s well-being;</w:t>
      </w:r>
    </w:p>
    <w:p>
      <w:pPr>
        <w:pStyle w:val="BodyText"/>
        <w:numPr>
          <w:ilvl w:val="0"/>
          <w:numId w:val="55"/>
        </w:numPr>
        <w:tabs>
          <w:tab w:val="clear" w:pos="720"/>
          <w:tab w:val="left" w:pos="0" w:leader="none"/>
        </w:tabs>
        <w:spacing w:before="0" w:after="200"/>
        <w:ind w:hanging="283" w:left="709"/>
        <w:rPr/>
      </w:pPr>
      <w:r>
        <w:rPr/>
        <w:t>The distribution of care burdens;</w:t>
      </w:r>
    </w:p>
    <w:p>
      <w:pPr>
        <w:pStyle w:val="BodyText"/>
        <w:numPr>
          <w:ilvl w:val="0"/>
          <w:numId w:val="55"/>
        </w:numPr>
        <w:tabs>
          <w:tab w:val="clear" w:pos="720"/>
          <w:tab w:val="left" w:pos="0" w:leader="none"/>
        </w:tabs>
        <w:spacing w:before="0" w:after="200"/>
        <w:ind w:hanging="283" w:left="709"/>
        <w:rPr/>
      </w:pPr>
      <w:r>
        <w:rPr/>
        <w:t>Institutional incentives and precedents;</w:t>
      </w:r>
    </w:p>
    <w:p>
      <w:pPr>
        <w:pStyle w:val="BodyText"/>
        <w:numPr>
          <w:ilvl w:val="0"/>
          <w:numId w:val="55"/>
        </w:numPr>
        <w:tabs>
          <w:tab w:val="clear" w:pos="720"/>
          <w:tab w:val="left" w:pos="0" w:leader="none"/>
        </w:tabs>
        <w:spacing w:before="0" w:after="200"/>
        <w:ind w:hanging="283" w:left="709"/>
        <w:rPr/>
      </w:pPr>
      <w:r>
        <w:rPr/>
        <w:t>Future availability of care;</w:t>
      </w:r>
    </w:p>
    <w:p>
      <w:pPr>
        <w:pStyle w:val="BodyText"/>
        <w:numPr>
          <w:ilvl w:val="0"/>
          <w:numId w:val="55"/>
        </w:numPr>
        <w:tabs>
          <w:tab w:val="clear" w:pos="720"/>
          <w:tab w:val="left" w:pos="0" w:leader="none"/>
        </w:tabs>
        <w:spacing w:before="0" w:after="200"/>
        <w:ind w:hanging="283" w:left="709"/>
        <w:rPr/>
      </w:pPr>
      <w:r>
        <w:rPr/>
        <w:t>Whether the action strengthened or weakened the relationship; and</w:t>
      </w:r>
    </w:p>
    <w:p>
      <w:pPr>
        <w:pStyle w:val="BodyText"/>
        <w:numPr>
          <w:ilvl w:val="0"/>
          <w:numId w:val="55"/>
        </w:numPr>
        <w:tabs>
          <w:tab w:val="clear" w:pos="720"/>
          <w:tab w:val="left" w:pos="0" w:leader="none"/>
        </w:tabs>
        <w:spacing w:before="0" w:after="200"/>
        <w:ind w:hanging="283" w:left="709"/>
        <w:rPr/>
      </w:pPr>
      <w:r>
        <w:rPr/>
        <w:t>How observers and institutions are likely to respond to the practice.</w:t>
      </w:r>
    </w:p>
    <w:p>
      <w:pPr>
        <w:pStyle w:val="BodyText"/>
        <w:spacing w:before="0" w:after="200"/>
        <w:rPr/>
      </w:pPr>
      <w:r>
        <w:rPr/>
        <w:t>Distributed Policy Effects are particularly relevant. A single act of attentive and competent care may strengthen trust and establish better practices. Conversely, neglect or dehumanizing treatment may normalize indifference, reduce future help-seeking, encourage institutional abandonment, or teach artificial and human agents to treat vulnerable entities as burdens.</w:t>
      </w:r>
    </w:p>
    <w:p>
      <w:pPr>
        <w:pStyle w:val="BodyText"/>
        <w:spacing w:before="0" w:after="200"/>
        <w:rPr/>
      </w:pPr>
      <w:r>
        <w:rPr/>
        <w:t>Important differences remain. This framework is designed to provide implementation-neutral, explainable, and potentially computational assessments. Care ethics cautions that moral knowledge is not always reducible to predefined categories or measurable variables. Needs can be expressed indirectly, discovered through sustained attention, or understood only through embodied and relational experience. A technically complete model may therefore remain ethically inadequate if it does not listen to the recipient or understand the meaning of the relationship.</w:t>
      </w:r>
    </w:p>
    <w:p>
      <w:pPr>
        <w:pStyle w:val="BodyText"/>
        <w:spacing w:before="0" w:after="200"/>
        <w:rPr/>
      </w:pPr>
      <w:r>
        <w:rPr/>
        <w:t>The framework also evaluates a broad set of entities and systemic effects, whereas some care-ethics approaches begin with concrete interpersonal relationships and permit justified partiality toward those for whom an agent has direct responsibility. Integrating care ethics therefore requires the framework to preserve contextual and relational particularity while still evaluating wider effects and preventing unjust favoritism.</w:t>
      </w:r>
    </w:p>
    <w:p>
      <w:pPr>
        <w:pStyle w:val="Heading4"/>
        <w:ind w:hanging="0" w:left="0"/>
        <w:rPr>
          <w:rFonts w:ascii="Aptos" w:hAnsi="Aptos"/>
          <w:color w:val="auto"/>
        </w:rPr>
      </w:pPr>
      <w:r>
        <w:rPr/>
        <w:t>Concepts Adopted or Adapted by This Framework</w:t>
      </w:r>
    </w:p>
    <w:p>
      <w:pPr>
        <w:pStyle w:val="BodyText"/>
        <w:spacing w:before="0" w:after="200"/>
        <w:rPr/>
      </w:pPr>
      <w:r>
        <w:rPr/>
        <w:t>The framework functionally incorporates or can represent several care-ethics concepts, although it does not yet formalize care as a separate ethical layer.</w:t>
      </w:r>
    </w:p>
    <w:tbl>
      <w:tblPr>
        <w:tblW w:w="8640" w:type="dxa"/>
        <w:jc w:val="left"/>
        <w:tblInd w:w="28" w:type="dxa"/>
        <w:tblLayout w:type="fixed"/>
        <w:tblCellMar>
          <w:top w:w="28" w:type="dxa"/>
          <w:left w:w="28" w:type="dxa"/>
          <w:bottom w:w="28" w:type="dxa"/>
          <w:right w:w="28" w:type="dxa"/>
        </w:tblCellMar>
      </w:tblPr>
      <w:tblGrid>
        <w:gridCol w:w="2526"/>
        <w:gridCol w:w="6114"/>
      </w:tblGrid>
      <w:tr>
        <w:trPr>
          <w:tblHeader w:val="true"/>
        </w:trPr>
        <w:tc>
          <w:tcPr>
            <w:tcW w:w="2526" w:type="dxa"/>
            <w:tcBorders/>
            <w:vAlign w:val="center"/>
          </w:tcPr>
          <w:p>
            <w:pPr>
              <w:pStyle w:val="TableHeading"/>
              <w:suppressLineNumbers/>
              <w:spacing w:before="0" w:after="200"/>
              <w:jc w:val="center"/>
              <w:rPr/>
            </w:pPr>
            <w:r>
              <w:rPr/>
              <w:t>Care-ethics concept</w:t>
            </w:r>
          </w:p>
        </w:tc>
        <w:tc>
          <w:tcPr>
            <w:tcW w:w="6114" w:type="dxa"/>
            <w:tcBorders/>
            <w:vAlign w:val="center"/>
          </w:tcPr>
          <w:p>
            <w:pPr>
              <w:pStyle w:val="TableHeading"/>
              <w:suppressLineNumbers/>
              <w:spacing w:before="0" w:after="200"/>
              <w:jc w:val="center"/>
              <w:rPr/>
            </w:pPr>
            <w:r>
              <w:rPr/>
              <w:t>Adoption or adaptation within this framework</w:t>
            </w:r>
          </w:p>
        </w:tc>
      </w:tr>
      <w:tr>
        <w:trPr/>
        <w:tc>
          <w:tcPr>
            <w:tcW w:w="2526" w:type="dxa"/>
            <w:tcBorders/>
            <w:vAlign w:val="center"/>
          </w:tcPr>
          <w:p>
            <w:pPr>
              <w:pStyle w:val="TableContents"/>
              <w:widowControl w:val="false"/>
              <w:suppressLineNumbers/>
              <w:spacing w:before="0" w:after="200"/>
              <w:rPr/>
            </w:pPr>
            <w:r>
              <w:rPr>
                <w:rStyle w:val="Strong"/>
              </w:rPr>
              <w:t>Relational self</w:t>
            </w:r>
          </w:p>
        </w:tc>
        <w:tc>
          <w:tcPr>
            <w:tcW w:w="6114" w:type="dxa"/>
            <w:tcBorders/>
            <w:vAlign w:val="center"/>
          </w:tcPr>
          <w:p>
            <w:pPr>
              <w:pStyle w:val="TableContents"/>
              <w:widowControl w:val="false"/>
              <w:suppressLineNumbers/>
              <w:spacing w:before="0" w:after="200"/>
              <w:rPr/>
            </w:pPr>
            <w:r>
              <w:rPr/>
              <w:t>Entities are represented within a World Context containing Associations, histories, roles, dependencies, and institutional relationships.</w:t>
            </w:r>
          </w:p>
        </w:tc>
      </w:tr>
      <w:tr>
        <w:trPr/>
        <w:tc>
          <w:tcPr>
            <w:tcW w:w="2526" w:type="dxa"/>
            <w:tcBorders/>
            <w:vAlign w:val="center"/>
          </w:tcPr>
          <w:p>
            <w:pPr>
              <w:pStyle w:val="TableContents"/>
              <w:widowControl w:val="false"/>
              <w:suppressLineNumbers/>
              <w:spacing w:before="0" w:after="200"/>
              <w:rPr/>
            </w:pPr>
            <w:r>
              <w:rPr>
                <w:rStyle w:val="Strong"/>
              </w:rPr>
              <w:t>Interdependence</w:t>
            </w:r>
          </w:p>
        </w:tc>
        <w:tc>
          <w:tcPr>
            <w:tcW w:w="6114" w:type="dxa"/>
            <w:tcBorders/>
            <w:vAlign w:val="center"/>
          </w:tcPr>
          <w:p>
            <w:pPr>
              <w:pStyle w:val="TableContents"/>
              <w:widowControl w:val="false"/>
              <w:suppressLineNumbers/>
              <w:spacing w:before="0" w:after="200"/>
              <w:rPr/>
            </w:pPr>
            <w:r>
              <w:rPr/>
              <w:t>Actions are evaluated through their effects on connected entities and systems rather than only on an isolated actor or recipient.</w:t>
            </w:r>
          </w:p>
        </w:tc>
      </w:tr>
      <w:tr>
        <w:trPr/>
        <w:tc>
          <w:tcPr>
            <w:tcW w:w="2526" w:type="dxa"/>
            <w:tcBorders/>
            <w:vAlign w:val="center"/>
          </w:tcPr>
          <w:p>
            <w:pPr>
              <w:pStyle w:val="TableContents"/>
              <w:widowControl w:val="false"/>
              <w:suppressLineNumbers/>
              <w:spacing w:before="0" w:after="200"/>
              <w:rPr/>
            </w:pPr>
            <w:r>
              <w:rPr>
                <w:rStyle w:val="Strong"/>
              </w:rPr>
              <w:t>Attentiveness</w:t>
            </w:r>
          </w:p>
        </w:tc>
        <w:tc>
          <w:tcPr>
            <w:tcW w:w="6114" w:type="dxa"/>
            <w:tcBorders/>
            <w:vAlign w:val="center"/>
          </w:tcPr>
          <w:p>
            <w:pPr>
              <w:pStyle w:val="TableContents"/>
              <w:widowControl w:val="false"/>
              <w:suppressLineNumbers/>
              <w:spacing w:before="0" w:after="200"/>
              <w:rPr/>
            </w:pPr>
            <w:r>
              <w:rPr/>
              <w:t>The requirement to use the best available evidence within the Situational Context supports identifying needs, vulnerabilities, and less-visible effects.</w:t>
            </w:r>
          </w:p>
        </w:tc>
      </w:tr>
      <w:tr>
        <w:trPr/>
        <w:tc>
          <w:tcPr>
            <w:tcW w:w="2526" w:type="dxa"/>
            <w:tcBorders/>
            <w:vAlign w:val="center"/>
          </w:tcPr>
          <w:p>
            <w:pPr>
              <w:pStyle w:val="TableContents"/>
              <w:widowControl w:val="false"/>
              <w:suppressLineNumbers/>
              <w:spacing w:before="0" w:after="200"/>
              <w:rPr/>
            </w:pPr>
            <w:r>
              <w:rPr>
                <w:rStyle w:val="Strong"/>
              </w:rPr>
              <w:t>Responsibility</w:t>
            </w:r>
          </w:p>
        </w:tc>
        <w:tc>
          <w:tcPr>
            <w:tcW w:w="6114" w:type="dxa"/>
            <w:tcBorders/>
            <w:vAlign w:val="center"/>
          </w:tcPr>
          <w:p>
            <w:pPr>
              <w:pStyle w:val="TableContents"/>
              <w:widowControl w:val="false"/>
              <w:suppressLineNumbers/>
              <w:spacing w:before="0" w:after="200"/>
              <w:rPr/>
            </w:pPr>
            <w:r>
              <w:rPr/>
              <w:t>Responsibility attribution considers role, authority, knowledge, intent, foreseeability, alternatives, and capacity to act.</w:t>
            </w:r>
          </w:p>
        </w:tc>
      </w:tr>
      <w:tr>
        <w:trPr/>
        <w:tc>
          <w:tcPr>
            <w:tcW w:w="2526" w:type="dxa"/>
            <w:tcBorders/>
            <w:vAlign w:val="center"/>
          </w:tcPr>
          <w:p>
            <w:pPr>
              <w:pStyle w:val="TableContents"/>
              <w:widowControl w:val="false"/>
              <w:suppressLineNumbers/>
              <w:spacing w:before="0" w:after="200"/>
              <w:rPr/>
            </w:pPr>
            <w:r>
              <w:rPr>
                <w:rStyle w:val="Strong"/>
              </w:rPr>
              <w:t>Competence</w:t>
            </w:r>
          </w:p>
        </w:tc>
        <w:tc>
          <w:tcPr>
            <w:tcW w:w="6114" w:type="dxa"/>
            <w:tcBorders/>
            <w:vAlign w:val="center"/>
          </w:tcPr>
          <w:p>
            <w:pPr>
              <w:pStyle w:val="TableContents"/>
              <w:widowControl w:val="false"/>
              <w:suppressLineNumbers/>
              <w:spacing w:before="0" w:after="200"/>
              <w:rPr/>
            </w:pPr>
            <w:r>
              <w:rPr/>
              <w:t>The World Context Transition can distinguish an intention to help from whether the action actually provides effective and sustainable care.</w:t>
            </w:r>
          </w:p>
        </w:tc>
      </w:tr>
      <w:tr>
        <w:trPr/>
        <w:tc>
          <w:tcPr>
            <w:tcW w:w="2526" w:type="dxa"/>
            <w:tcBorders/>
            <w:vAlign w:val="center"/>
          </w:tcPr>
          <w:p>
            <w:pPr>
              <w:pStyle w:val="TableContents"/>
              <w:widowControl w:val="false"/>
              <w:suppressLineNumbers/>
              <w:spacing w:before="0" w:after="200"/>
              <w:rPr/>
            </w:pPr>
            <w:r>
              <w:rPr>
                <w:rStyle w:val="Strong"/>
              </w:rPr>
              <w:t>Responsiveness</w:t>
            </w:r>
          </w:p>
        </w:tc>
        <w:tc>
          <w:tcPr>
            <w:tcW w:w="6114" w:type="dxa"/>
            <w:tcBorders/>
            <w:vAlign w:val="center"/>
          </w:tcPr>
          <w:p>
            <w:pPr>
              <w:pStyle w:val="TableContents"/>
              <w:widowControl w:val="false"/>
              <w:suppressLineNumbers/>
              <w:spacing w:before="0" w:after="200"/>
              <w:rPr/>
            </w:pPr>
            <w:r>
              <w:rPr/>
              <w:t>Outcomes can be evaluated using changes in the recipient’s state and feedback rather than relying solely on the provider’s declared objective.</w:t>
            </w:r>
          </w:p>
        </w:tc>
      </w:tr>
      <w:tr>
        <w:trPr/>
        <w:tc>
          <w:tcPr>
            <w:tcW w:w="2526" w:type="dxa"/>
            <w:tcBorders/>
            <w:vAlign w:val="center"/>
          </w:tcPr>
          <w:p>
            <w:pPr>
              <w:pStyle w:val="TableContents"/>
              <w:widowControl w:val="false"/>
              <w:suppressLineNumbers/>
              <w:spacing w:before="0" w:after="200"/>
              <w:rPr/>
            </w:pPr>
            <w:r>
              <w:rPr>
                <w:rStyle w:val="Strong"/>
              </w:rPr>
              <w:t>Dependency and vulnerability</w:t>
            </w:r>
          </w:p>
        </w:tc>
        <w:tc>
          <w:tcPr>
            <w:tcW w:w="6114" w:type="dxa"/>
            <w:tcBorders/>
            <w:vAlign w:val="center"/>
          </w:tcPr>
          <w:p>
            <w:pPr>
              <w:pStyle w:val="TableContents"/>
              <w:widowControl w:val="false"/>
              <w:suppressLineNumbers/>
              <w:spacing w:before="0" w:after="200"/>
              <w:rPr/>
            </w:pPr>
            <w:r>
              <w:rPr/>
              <w:t>These can be represented through Associations, resource requirements, power differences, limited alternatives, and sensitivity to disruption.</w:t>
            </w:r>
          </w:p>
        </w:tc>
      </w:tr>
      <w:tr>
        <w:trPr/>
        <w:tc>
          <w:tcPr>
            <w:tcW w:w="2526" w:type="dxa"/>
            <w:tcBorders/>
            <w:vAlign w:val="center"/>
          </w:tcPr>
          <w:p>
            <w:pPr>
              <w:pStyle w:val="TableContents"/>
              <w:widowControl w:val="false"/>
              <w:suppressLineNumbers/>
              <w:spacing w:before="0" w:after="200"/>
              <w:rPr/>
            </w:pPr>
            <w:r>
              <w:rPr>
                <w:rStyle w:val="Strong"/>
              </w:rPr>
              <w:t>Contextual judgment</w:t>
            </w:r>
          </w:p>
        </w:tc>
        <w:tc>
          <w:tcPr>
            <w:tcW w:w="6114" w:type="dxa"/>
            <w:tcBorders/>
            <w:vAlign w:val="center"/>
          </w:tcPr>
          <w:p>
            <w:pPr>
              <w:pStyle w:val="TableContents"/>
              <w:widowControl w:val="false"/>
              <w:suppressLineNumbers/>
              <w:spacing w:before="0" w:after="200"/>
              <w:rPr/>
            </w:pPr>
            <w:r>
              <w:rPr/>
              <w:t>The Situational Context preserves facts that may make a generally acceptable action harmful or a normally optional action obligatory.</w:t>
            </w:r>
          </w:p>
        </w:tc>
      </w:tr>
      <w:tr>
        <w:trPr/>
        <w:tc>
          <w:tcPr>
            <w:tcW w:w="2526" w:type="dxa"/>
            <w:tcBorders/>
            <w:vAlign w:val="center"/>
          </w:tcPr>
          <w:p>
            <w:pPr>
              <w:pStyle w:val="TableContents"/>
              <w:widowControl w:val="false"/>
              <w:suppressLineNumbers/>
              <w:spacing w:before="0" w:after="200"/>
              <w:rPr/>
            </w:pPr>
            <w:r>
              <w:rPr>
                <w:rStyle w:val="Strong"/>
              </w:rPr>
              <w:t>Special responsibilities</w:t>
            </w:r>
          </w:p>
        </w:tc>
        <w:tc>
          <w:tcPr>
            <w:tcW w:w="6114" w:type="dxa"/>
            <w:tcBorders/>
            <w:vAlign w:val="center"/>
          </w:tcPr>
          <w:p>
            <w:pPr>
              <w:pStyle w:val="TableContents"/>
              <w:widowControl w:val="false"/>
              <w:suppressLineNumbers/>
              <w:spacing w:before="0" w:after="200"/>
              <w:rPr/>
            </w:pPr>
            <w:r>
              <w:rPr/>
              <w:t>Roles, relationships, commitments, and institutional functions can create differentiated obligations among moral agents.</w:t>
            </w:r>
          </w:p>
        </w:tc>
      </w:tr>
      <w:tr>
        <w:trPr/>
        <w:tc>
          <w:tcPr>
            <w:tcW w:w="2526" w:type="dxa"/>
            <w:tcBorders/>
            <w:vAlign w:val="center"/>
          </w:tcPr>
          <w:p>
            <w:pPr>
              <w:pStyle w:val="TableContents"/>
              <w:widowControl w:val="false"/>
              <w:suppressLineNumbers/>
              <w:spacing w:before="0" w:after="200"/>
              <w:rPr/>
            </w:pPr>
            <w:r>
              <w:rPr>
                <w:rStyle w:val="Strong"/>
              </w:rPr>
              <w:t>Agency-preserving care</w:t>
            </w:r>
          </w:p>
        </w:tc>
        <w:tc>
          <w:tcPr>
            <w:tcW w:w="6114" w:type="dxa"/>
            <w:tcBorders/>
            <w:vAlign w:val="center"/>
          </w:tcPr>
          <w:p>
            <w:pPr>
              <w:pStyle w:val="TableContents"/>
              <w:widowControl w:val="false"/>
              <w:suppressLineNumbers/>
              <w:spacing w:before="0" w:after="200"/>
              <w:rPr/>
            </w:pPr>
            <w:r>
              <w:rPr/>
              <w:t>Long-Term Flourishing includes maintaining and expanding beneficial future state space rather than merely satisfying immediate needs.</w:t>
            </w:r>
          </w:p>
        </w:tc>
      </w:tr>
      <w:tr>
        <w:trPr/>
        <w:tc>
          <w:tcPr>
            <w:tcW w:w="2526" w:type="dxa"/>
            <w:tcBorders/>
            <w:vAlign w:val="center"/>
          </w:tcPr>
          <w:p>
            <w:pPr>
              <w:pStyle w:val="TableContents"/>
              <w:widowControl w:val="false"/>
              <w:suppressLineNumbers/>
              <w:spacing w:before="0" w:after="200"/>
              <w:rPr/>
            </w:pPr>
            <w:r>
              <w:rPr>
                <w:rStyle w:val="Strong"/>
              </w:rPr>
              <w:t>Continuity and maintenance</w:t>
            </w:r>
          </w:p>
        </w:tc>
        <w:tc>
          <w:tcPr>
            <w:tcW w:w="6114" w:type="dxa"/>
            <w:tcBorders/>
            <w:vAlign w:val="center"/>
          </w:tcPr>
          <w:p>
            <w:pPr>
              <w:pStyle w:val="TableContents"/>
              <w:widowControl w:val="false"/>
              <w:suppressLineNumbers/>
              <w:spacing w:before="0" w:after="200"/>
              <w:rPr/>
            </w:pPr>
            <w:r>
              <w:rPr/>
              <w:t>Multi-horizon evaluation supports examination of whether care remains available and effective over time.</w:t>
            </w:r>
          </w:p>
        </w:tc>
      </w:tr>
      <w:tr>
        <w:trPr/>
        <w:tc>
          <w:tcPr>
            <w:tcW w:w="2526" w:type="dxa"/>
            <w:tcBorders/>
            <w:vAlign w:val="center"/>
          </w:tcPr>
          <w:p>
            <w:pPr>
              <w:pStyle w:val="TableContents"/>
              <w:widowControl w:val="false"/>
              <w:suppressLineNumbers/>
              <w:spacing w:before="0" w:after="200"/>
              <w:rPr/>
            </w:pPr>
            <w:r>
              <w:rPr>
                <w:rStyle w:val="Strong"/>
              </w:rPr>
              <w:t>Institutional care</w:t>
            </w:r>
          </w:p>
        </w:tc>
        <w:tc>
          <w:tcPr>
            <w:tcW w:w="6114" w:type="dxa"/>
            <w:tcBorders/>
            <w:vAlign w:val="center"/>
          </w:tcPr>
          <w:p>
            <w:pPr>
              <w:pStyle w:val="TableContents"/>
              <w:widowControl w:val="false"/>
              <w:suppressLineNumbers/>
              <w:spacing w:before="0" w:after="200"/>
              <w:rPr/>
            </w:pPr>
            <w:r>
              <w:rPr/>
              <w:t>Institutions and their policies are included within the World Context and can be evaluated as providers, organizers, or obstructers of care.</w:t>
            </w:r>
          </w:p>
        </w:tc>
      </w:tr>
      <w:tr>
        <w:trPr/>
        <w:tc>
          <w:tcPr>
            <w:tcW w:w="2526" w:type="dxa"/>
            <w:tcBorders/>
            <w:vAlign w:val="center"/>
          </w:tcPr>
          <w:p>
            <w:pPr>
              <w:pStyle w:val="TableContents"/>
              <w:widowControl w:val="false"/>
              <w:suppressLineNumbers/>
              <w:spacing w:before="0" w:after="200"/>
              <w:rPr/>
            </w:pPr>
            <w:r>
              <w:rPr>
                <w:rStyle w:val="Strong"/>
              </w:rPr>
              <w:t>Caregiver well-being</w:t>
            </w:r>
          </w:p>
        </w:tc>
        <w:tc>
          <w:tcPr>
            <w:tcW w:w="6114" w:type="dxa"/>
            <w:tcBorders/>
            <w:vAlign w:val="center"/>
          </w:tcPr>
          <w:p>
            <w:pPr>
              <w:pStyle w:val="TableContents"/>
              <w:widowControl w:val="false"/>
              <w:suppressLineNumbers/>
              <w:spacing w:before="0" w:after="200"/>
              <w:rPr/>
            </w:pPr>
            <w:r>
              <w:rPr/>
              <w:t>The caregiver remains a relevant entity whose flourishing, capacity, and future obligations must also be considered.</w:t>
            </w:r>
          </w:p>
        </w:tc>
      </w:tr>
      <w:tr>
        <w:trPr/>
        <w:tc>
          <w:tcPr>
            <w:tcW w:w="2526" w:type="dxa"/>
            <w:tcBorders/>
            <w:vAlign w:val="center"/>
          </w:tcPr>
          <w:p>
            <w:pPr>
              <w:pStyle w:val="TableContents"/>
              <w:widowControl w:val="false"/>
              <w:suppressLineNumbers/>
              <w:spacing w:before="0" w:after="200"/>
              <w:rPr/>
            </w:pPr>
            <w:r>
              <w:rPr>
                <w:rStyle w:val="Strong"/>
              </w:rPr>
              <w:t>Distribution of care burdens</w:t>
            </w:r>
          </w:p>
        </w:tc>
        <w:tc>
          <w:tcPr>
            <w:tcW w:w="6114" w:type="dxa"/>
            <w:tcBorders/>
            <w:vAlign w:val="center"/>
          </w:tcPr>
          <w:p>
            <w:pPr>
              <w:pStyle w:val="TableContents"/>
              <w:widowControl w:val="false"/>
              <w:suppressLineNumbers/>
              <w:spacing w:before="0" w:after="200"/>
              <w:rPr/>
            </w:pPr>
            <w:r>
              <w:rPr/>
              <w:t>The framework can identify which entities perform care work, bear its costs, receive its benefits, and possess the authority to allocate it.</w:t>
            </w:r>
          </w:p>
        </w:tc>
      </w:tr>
      <w:tr>
        <w:trPr/>
        <w:tc>
          <w:tcPr>
            <w:tcW w:w="2526" w:type="dxa"/>
            <w:tcBorders/>
            <w:vAlign w:val="center"/>
          </w:tcPr>
          <w:p>
            <w:pPr>
              <w:pStyle w:val="TableContents"/>
              <w:widowControl w:val="false"/>
              <w:suppressLineNumbers/>
              <w:spacing w:before="0" w:after="200"/>
              <w:rPr/>
            </w:pPr>
            <w:r>
              <w:rPr>
                <w:rStyle w:val="Strong"/>
              </w:rPr>
              <w:t>Relational repair</w:t>
            </w:r>
          </w:p>
        </w:tc>
        <w:tc>
          <w:tcPr>
            <w:tcW w:w="6114" w:type="dxa"/>
            <w:tcBorders/>
            <w:vAlign w:val="center"/>
          </w:tcPr>
          <w:p>
            <w:pPr>
              <w:pStyle w:val="TableContents"/>
              <w:widowControl w:val="false"/>
              <w:suppressLineNumbers/>
              <w:spacing w:before="0" w:after="200"/>
              <w:rPr/>
            </w:pPr>
            <w:r>
              <w:rPr/>
              <w:t>Corrective actions can seek to restore trust, capability, communication, and damaged Associations.</w:t>
            </w:r>
          </w:p>
        </w:tc>
      </w:tr>
    </w:tbl>
    <w:p>
      <w:pPr>
        <w:pStyle w:val="Heading4"/>
        <w:ind w:hanging="0" w:left="0"/>
        <w:rPr>
          <w:rFonts w:ascii="Aptos" w:hAnsi="Aptos"/>
          <w:color w:val="auto"/>
        </w:rPr>
      </w:pPr>
      <w:r>
        <w:rPr/>
        <w:t>Similarities</w:t>
      </w:r>
    </w:p>
    <w:p>
      <w:pPr>
        <w:pStyle w:val="BodyText"/>
        <w:spacing w:before="0" w:after="200"/>
        <w:rPr/>
      </w:pPr>
      <w:r>
        <w:rPr/>
        <w:t>Ethics of care and this framework share several significant commitments:</w:t>
      </w:r>
    </w:p>
    <w:p>
      <w:pPr>
        <w:pStyle w:val="BodyText"/>
        <w:numPr>
          <w:ilvl w:val="0"/>
          <w:numId w:val="56"/>
        </w:numPr>
        <w:tabs>
          <w:tab w:val="clear" w:pos="720"/>
          <w:tab w:val="left" w:pos="0" w:leader="none"/>
        </w:tabs>
        <w:spacing w:before="0" w:after="200"/>
        <w:ind w:hanging="283" w:left="709"/>
        <w:rPr/>
      </w:pPr>
      <w:r>
        <w:rPr/>
        <w:t>Both treat moral situations as embedded in relationships, institutions, histories, and changing environments.</w:t>
      </w:r>
    </w:p>
    <w:p>
      <w:pPr>
        <w:pStyle w:val="BodyText"/>
        <w:numPr>
          <w:ilvl w:val="0"/>
          <w:numId w:val="56"/>
        </w:numPr>
        <w:tabs>
          <w:tab w:val="clear" w:pos="720"/>
          <w:tab w:val="left" w:pos="0" w:leader="none"/>
        </w:tabs>
        <w:spacing w:before="0" w:after="200"/>
        <w:ind w:hanging="283" w:left="709"/>
        <w:rPr/>
      </w:pPr>
      <w:r>
        <w:rPr/>
        <w:t>Both reject the assumption that the actor’s stated objective is sufficient to establish ethical acceptability.</w:t>
      </w:r>
    </w:p>
    <w:p>
      <w:pPr>
        <w:pStyle w:val="BodyText"/>
        <w:numPr>
          <w:ilvl w:val="0"/>
          <w:numId w:val="56"/>
        </w:numPr>
        <w:tabs>
          <w:tab w:val="clear" w:pos="720"/>
          <w:tab w:val="left" w:pos="0" w:leader="none"/>
        </w:tabs>
        <w:spacing w:before="0" w:after="200"/>
        <w:ind w:hanging="283" w:left="709"/>
        <w:rPr/>
      </w:pPr>
      <w:r>
        <w:rPr/>
        <w:t>Both recognize that ethical effects include changes in relationships, trust, dependency, capability, and future possibilities.</w:t>
      </w:r>
    </w:p>
    <w:p>
      <w:pPr>
        <w:pStyle w:val="BodyText"/>
        <w:numPr>
          <w:ilvl w:val="0"/>
          <w:numId w:val="56"/>
        </w:numPr>
        <w:tabs>
          <w:tab w:val="clear" w:pos="720"/>
          <w:tab w:val="left" w:pos="0" w:leader="none"/>
        </w:tabs>
        <w:spacing w:before="0" w:after="200"/>
        <w:ind w:hanging="283" w:left="709"/>
        <w:rPr/>
      </w:pPr>
      <w:r>
        <w:rPr/>
        <w:t>Both support contextual assessment rather than relying exclusively on abstract rules or aggregate metrics.</w:t>
      </w:r>
    </w:p>
    <w:p>
      <w:pPr>
        <w:pStyle w:val="BodyText"/>
        <w:numPr>
          <w:ilvl w:val="0"/>
          <w:numId w:val="56"/>
        </w:numPr>
        <w:tabs>
          <w:tab w:val="clear" w:pos="720"/>
          <w:tab w:val="left" w:pos="0" w:leader="none"/>
        </w:tabs>
        <w:spacing w:before="0" w:after="200"/>
        <w:ind w:hanging="283" w:left="709"/>
        <w:rPr/>
      </w:pPr>
      <w:r>
        <w:rPr/>
        <w:t>Both consider long-term effects and the continuing capacity of entities to function and develop.</w:t>
      </w:r>
    </w:p>
    <w:p>
      <w:pPr>
        <w:pStyle w:val="BodyText"/>
        <w:numPr>
          <w:ilvl w:val="0"/>
          <w:numId w:val="56"/>
        </w:numPr>
        <w:tabs>
          <w:tab w:val="clear" w:pos="720"/>
          <w:tab w:val="left" w:pos="0" w:leader="none"/>
        </w:tabs>
        <w:spacing w:before="0" w:after="200"/>
        <w:ind w:hanging="283" w:left="709"/>
        <w:rPr/>
      </w:pPr>
      <w:r>
        <w:rPr/>
        <w:t>Both can recognize affirmative responsibilities to assist, maintain, protect, or repair.</w:t>
      </w:r>
    </w:p>
    <w:p>
      <w:pPr>
        <w:pStyle w:val="BodyText"/>
        <w:numPr>
          <w:ilvl w:val="0"/>
          <w:numId w:val="56"/>
        </w:numPr>
        <w:tabs>
          <w:tab w:val="clear" w:pos="720"/>
          <w:tab w:val="left" w:pos="0" w:leader="none"/>
        </w:tabs>
        <w:spacing w:before="0" w:after="200"/>
        <w:ind w:hanging="283" w:left="709"/>
        <w:rPr/>
      </w:pPr>
      <w:r>
        <w:rPr/>
        <w:t>Both distinguish good intentions from competent and effective action.</w:t>
      </w:r>
    </w:p>
    <w:p>
      <w:pPr>
        <w:pStyle w:val="BodyText"/>
        <w:numPr>
          <w:ilvl w:val="0"/>
          <w:numId w:val="56"/>
        </w:numPr>
        <w:tabs>
          <w:tab w:val="clear" w:pos="720"/>
          <w:tab w:val="left" w:pos="0" w:leader="none"/>
        </w:tabs>
        <w:spacing w:before="0" w:after="200"/>
        <w:ind w:hanging="283" w:left="709"/>
        <w:rPr/>
      </w:pPr>
      <w:r>
        <w:rPr/>
        <w:t>Both treat power, authority, information, and available alternatives as relevant to responsibility.</w:t>
      </w:r>
    </w:p>
    <w:p>
      <w:pPr>
        <w:pStyle w:val="BodyText"/>
        <w:numPr>
          <w:ilvl w:val="0"/>
          <w:numId w:val="56"/>
        </w:numPr>
        <w:tabs>
          <w:tab w:val="clear" w:pos="720"/>
          <w:tab w:val="left" w:pos="0" w:leader="none"/>
        </w:tabs>
        <w:spacing w:before="0" w:after="200"/>
        <w:ind w:hanging="283" w:left="709"/>
        <w:rPr/>
      </w:pPr>
      <w:r>
        <w:rPr/>
        <w:t>Both can evaluate institutions and collective practices rather than limiting ethical analysis to isolated interpersonal decisions.</w:t>
      </w:r>
    </w:p>
    <w:p>
      <w:pPr>
        <w:pStyle w:val="BodyText"/>
        <w:numPr>
          <w:ilvl w:val="0"/>
          <w:numId w:val="56"/>
        </w:numPr>
        <w:tabs>
          <w:tab w:val="clear" w:pos="720"/>
          <w:tab w:val="left" w:pos="0" w:leader="none"/>
        </w:tabs>
        <w:spacing w:before="0" w:after="200"/>
        <w:ind w:hanging="283" w:left="709"/>
        <w:rPr/>
      </w:pPr>
      <w:r>
        <w:rPr/>
        <w:t>Both recognize that omission and neglect can be ethically significant even when no direct harmful act occurs.</w:t>
      </w:r>
    </w:p>
    <w:p>
      <w:pPr>
        <w:pStyle w:val="BodyText"/>
        <w:numPr>
          <w:ilvl w:val="0"/>
          <w:numId w:val="56"/>
        </w:numPr>
        <w:tabs>
          <w:tab w:val="clear" w:pos="720"/>
          <w:tab w:val="left" w:pos="0" w:leader="none"/>
        </w:tabs>
        <w:spacing w:before="0" w:after="200"/>
        <w:ind w:hanging="283" w:left="709"/>
        <w:rPr/>
      </w:pPr>
      <w:r>
        <w:rPr/>
        <w:t>Both allow feedback from affected entities to alter the assessment.</w:t>
      </w:r>
    </w:p>
    <w:p>
      <w:pPr>
        <w:pStyle w:val="BodyText"/>
        <w:numPr>
          <w:ilvl w:val="0"/>
          <w:numId w:val="56"/>
        </w:numPr>
        <w:tabs>
          <w:tab w:val="clear" w:pos="720"/>
          <w:tab w:val="left" w:pos="0" w:leader="none"/>
        </w:tabs>
        <w:spacing w:before="0" w:after="200"/>
        <w:ind w:hanging="283" w:left="709"/>
        <w:rPr/>
      </w:pPr>
      <w:r>
        <w:rPr/>
        <w:t>Both can evaluate how a current action influences later norms and patterns of behavior.</w:t>
      </w:r>
    </w:p>
    <w:p>
      <w:pPr>
        <w:pStyle w:val="BodyText"/>
        <w:numPr>
          <w:ilvl w:val="0"/>
          <w:numId w:val="56"/>
        </w:numPr>
        <w:tabs>
          <w:tab w:val="clear" w:pos="720"/>
          <w:tab w:val="left" w:pos="0" w:leader="none"/>
        </w:tabs>
        <w:spacing w:before="0" w:after="200"/>
        <w:ind w:hanging="283" w:left="709"/>
        <w:rPr/>
      </w:pPr>
      <w:r>
        <w:rPr/>
        <w:t>Both recognize that moral agents themselves require development, support, and sustainable conditions for responsible action.</w:t>
      </w:r>
    </w:p>
    <w:p>
      <w:pPr>
        <w:pStyle w:val="Heading4"/>
        <w:ind w:hanging="0" w:left="0"/>
        <w:rPr>
          <w:rFonts w:ascii="Aptos" w:hAnsi="Aptos"/>
          <w:color w:val="auto"/>
        </w:rPr>
      </w:pPr>
      <w:r>
        <w:rPr/>
        <w:t>Differences</w:t>
      </w:r>
    </w:p>
    <w:tbl>
      <w:tblPr>
        <w:tblW w:w="8640" w:type="dxa"/>
        <w:jc w:val="left"/>
        <w:tblInd w:w="28" w:type="dxa"/>
        <w:tblLayout w:type="fixed"/>
        <w:tblCellMar>
          <w:top w:w="28" w:type="dxa"/>
          <w:left w:w="28" w:type="dxa"/>
          <w:bottom w:w="28" w:type="dxa"/>
          <w:right w:w="28" w:type="dxa"/>
        </w:tblCellMar>
      </w:tblPr>
      <w:tblGrid>
        <w:gridCol w:w="2412"/>
        <w:gridCol w:w="3004"/>
        <w:gridCol w:w="3224"/>
      </w:tblGrid>
      <w:tr>
        <w:trPr>
          <w:tblHeader w:val="true"/>
        </w:trPr>
        <w:tc>
          <w:tcPr>
            <w:tcW w:w="2412" w:type="dxa"/>
            <w:tcBorders/>
            <w:vAlign w:val="center"/>
          </w:tcPr>
          <w:p>
            <w:pPr>
              <w:pStyle w:val="TableHeading"/>
              <w:suppressLineNumbers/>
              <w:spacing w:before="0" w:after="200"/>
              <w:jc w:val="center"/>
              <w:rPr/>
            </w:pPr>
            <w:r>
              <w:rPr/>
              <w:t>Dimension</w:t>
            </w:r>
          </w:p>
        </w:tc>
        <w:tc>
          <w:tcPr>
            <w:tcW w:w="3004" w:type="dxa"/>
            <w:tcBorders/>
            <w:vAlign w:val="center"/>
          </w:tcPr>
          <w:p>
            <w:pPr>
              <w:pStyle w:val="TableHeading"/>
              <w:suppressLineNumbers/>
              <w:spacing w:before="0" w:after="200"/>
              <w:jc w:val="center"/>
              <w:rPr/>
            </w:pPr>
            <w:r>
              <w:rPr/>
              <w:t>Ethics of care</w:t>
            </w:r>
          </w:p>
        </w:tc>
        <w:tc>
          <w:tcPr>
            <w:tcW w:w="3224" w:type="dxa"/>
            <w:tcBorders/>
            <w:vAlign w:val="center"/>
          </w:tcPr>
          <w:p>
            <w:pPr>
              <w:pStyle w:val="TableHeading"/>
              <w:suppressLineNumbers/>
              <w:spacing w:before="0" w:after="200"/>
              <w:jc w:val="center"/>
              <w:rPr/>
            </w:pPr>
            <w:r>
              <w:rPr/>
              <w:t>This framework</w:t>
            </w:r>
          </w:p>
        </w:tc>
      </w:tr>
      <w:tr>
        <w:trPr/>
        <w:tc>
          <w:tcPr>
            <w:tcW w:w="2412" w:type="dxa"/>
            <w:tcBorders/>
            <w:vAlign w:val="center"/>
          </w:tcPr>
          <w:p>
            <w:pPr>
              <w:pStyle w:val="TableContents"/>
              <w:widowControl w:val="false"/>
              <w:suppressLineNumbers/>
              <w:spacing w:before="0" w:after="200"/>
              <w:rPr/>
            </w:pPr>
            <w:r>
              <w:rPr>
                <w:rStyle w:val="Strong"/>
              </w:rPr>
              <w:t>Primary focus</w:t>
            </w:r>
          </w:p>
        </w:tc>
        <w:tc>
          <w:tcPr>
            <w:tcW w:w="3004" w:type="dxa"/>
            <w:tcBorders/>
            <w:vAlign w:val="center"/>
          </w:tcPr>
          <w:p>
            <w:pPr>
              <w:pStyle w:val="TableContents"/>
              <w:widowControl w:val="false"/>
              <w:suppressLineNumbers/>
              <w:spacing w:before="0" w:after="200"/>
              <w:rPr/>
            </w:pPr>
            <w:r>
              <w:rPr/>
              <w:t>Caring relationships, needs, dependencies, and practices</w:t>
            </w:r>
          </w:p>
        </w:tc>
        <w:tc>
          <w:tcPr>
            <w:tcW w:w="3224" w:type="dxa"/>
            <w:tcBorders/>
            <w:vAlign w:val="center"/>
          </w:tcPr>
          <w:p>
            <w:pPr>
              <w:pStyle w:val="TableContents"/>
              <w:widowControl w:val="false"/>
              <w:suppressLineNumbers/>
              <w:spacing w:before="0" w:after="200"/>
              <w:rPr/>
            </w:pPr>
            <w:r>
              <w:rPr/>
              <w:t>The complete World Context Transition produced by an Assessed Action</w:t>
            </w:r>
          </w:p>
        </w:tc>
      </w:tr>
      <w:tr>
        <w:trPr/>
        <w:tc>
          <w:tcPr>
            <w:tcW w:w="2412" w:type="dxa"/>
            <w:tcBorders/>
            <w:vAlign w:val="center"/>
          </w:tcPr>
          <w:p>
            <w:pPr>
              <w:pStyle w:val="TableContents"/>
              <w:widowControl w:val="false"/>
              <w:suppressLineNumbers/>
              <w:spacing w:before="0" w:after="200"/>
              <w:rPr/>
            </w:pPr>
            <w:r>
              <w:rPr>
                <w:rStyle w:val="Strong"/>
              </w:rPr>
              <w:t>View of the moral subject</w:t>
            </w:r>
          </w:p>
        </w:tc>
        <w:tc>
          <w:tcPr>
            <w:tcW w:w="3004" w:type="dxa"/>
            <w:tcBorders/>
            <w:vAlign w:val="center"/>
          </w:tcPr>
          <w:p>
            <w:pPr>
              <w:pStyle w:val="TableContents"/>
              <w:widowControl w:val="false"/>
              <w:suppressLineNumbers/>
              <w:spacing w:before="0" w:after="200"/>
              <w:rPr/>
            </w:pPr>
            <w:r>
              <w:rPr/>
              <w:t>Fundamentally relational, embodied, vulnerable, and interdependent</w:t>
            </w:r>
          </w:p>
        </w:tc>
        <w:tc>
          <w:tcPr>
            <w:tcW w:w="3224" w:type="dxa"/>
            <w:tcBorders/>
            <w:vAlign w:val="center"/>
          </w:tcPr>
          <w:p>
            <w:pPr>
              <w:pStyle w:val="TableContents"/>
              <w:widowControl w:val="false"/>
              <w:suppressLineNumbers/>
              <w:spacing w:before="0" w:after="200"/>
              <w:rPr/>
            </w:pPr>
            <w:r>
              <w:rPr/>
              <w:t>A relevant entity represented through state, objectives, relationships, capabilities, and future possibilities</w:t>
            </w:r>
          </w:p>
        </w:tc>
      </w:tr>
      <w:tr>
        <w:trPr/>
        <w:tc>
          <w:tcPr>
            <w:tcW w:w="2412" w:type="dxa"/>
            <w:tcBorders/>
            <w:vAlign w:val="center"/>
          </w:tcPr>
          <w:p>
            <w:pPr>
              <w:pStyle w:val="TableContents"/>
              <w:widowControl w:val="false"/>
              <w:suppressLineNumbers/>
              <w:spacing w:before="0" w:after="200"/>
              <w:rPr/>
            </w:pPr>
            <w:r>
              <w:rPr>
                <w:rStyle w:val="Strong"/>
              </w:rPr>
              <w:t>Principal moral question</w:t>
            </w:r>
          </w:p>
        </w:tc>
        <w:tc>
          <w:tcPr>
            <w:tcW w:w="3004" w:type="dxa"/>
            <w:tcBorders/>
            <w:vAlign w:val="center"/>
          </w:tcPr>
          <w:p>
            <w:pPr>
              <w:pStyle w:val="TableContents"/>
              <w:widowControl w:val="false"/>
              <w:suppressLineNumbers/>
              <w:spacing w:before="0" w:after="200"/>
              <w:rPr/>
            </w:pPr>
            <w:r>
              <w:rPr/>
              <w:t>“</w:t>
            </w:r>
            <w:r>
              <w:rPr/>
              <w:t>How should we respond to this entity’s needs within this relationship?”</w:t>
            </w:r>
          </w:p>
        </w:tc>
        <w:tc>
          <w:tcPr>
            <w:tcW w:w="3224" w:type="dxa"/>
            <w:tcBorders/>
            <w:vAlign w:val="center"/>
          </w:tcPr>
          <w:p>
            <w:pPr>
              <w:pStyle w:val="TableContents"/>
              <w:widowControl w:val="false"/>
              <w:suppressLineNumbers/>
              <w:spacing w:before="0" w:after="200"/>
              <w:rPr/>
            </w:pPr>
            <w:r>
              <w:rPr/>
              <w:t>“</w:t>
            </w:r>
            <w:r>
              <w:rPr/>
              <w:t>How does this action affect long-term flourishing across the relevant World Context?”</w:t>
            </w:r>
          </w:p>
        </w:tc>
      </w:tr>
      <w:tr>
        <w:trPr/>
        <w:tc>
          <w:tcPr>
            <w:tcW w:w="2412" w:type="dxa"/>
            <w:tcBorders/>
            <w:vAlign w:val="center"/>
          </w:tcPr>
          <w:p>
            <w:pPr>
              <w:pStyle w:val="TableContents"/>
              <w:widowControl w:val="false"/>
              <w:suppressLineNumbers/>
              <w:spacing w:before="0" w:after="200"/>
              <w:rPr/>
            </w:pPr>
            <w:r>
              <w:rPr>
                <w:rStyle w:val="Strong"/>
              </w:rPr>
              <w:t>Moral knowledge</w:t>
            </w:r>
          </w:p>
        </w:tc>
        <w:tc>
          <w:tcPr>
            <w:tcW w:w="3004" w:type="dxa"/>
            <w:tcBorders/>
            <w:vAlign w:val="center"/>
          </w:tcPr>
          <w:p>
            <w:pPr>
              <w:pStyle w:val="TableContents"/>
              <w:widowControl w:val="false"/>
              <w:suppressLineNumbers/>
              <w:spacing w:before="0" w:after="200"/>
              <w:rPr/>
            </w:pPr>
            <w:r>
              <w:rPr/>
              <w:t>Often arises through attention, emotion, experience, dialogue, and relational understanding</w:t>
            </w:r>
          </w:p>
        </w:tc>
        <w:tc>
          <w:tcPr>
            <w:tcW w:w="3224" w:type="dxa"/>
            <w:tcBorders/>
            <w:vAlign w:val="center"/>
          </w:tcPr>
          <w:p>
            <w:pPr>
              <w:pStyle w:val="TableContents"/>
              <w:widowControl w:val="false"/>
              <w:suppressLineNumbers/>
              <w:spacing w:before="0" w:after="200"/>
              <w:rPr/>
            </w:pPr>
            <w:r>
              <w:rPr/>
              <w:t>Relies on explicit assumptions, evidence, models, probabilities, constraints, and explainable analysis</w:t>
            </w:r>
          </w:p>
        </w:tc>
      </w:tr>
      <w:tr>
        <w:trPr/>
        <w:tc>
          <w:tcPr>
            <w:tcW w:w="2412" w:type="dxa"/>
            <w:tcBorders/>
            <w:vAlign w:val="center"/>
          </w:tcPr>
          <w:p>
            <w:pPr>
              <w:pStyle w:val="TableContents"/>
              <w:widowControl w:val="false"/>
              <w:suppressLineNumbers/>
              <w:spacing w:before="0" w:after="200"/>
              <w:rPr/>
            </w:pPr>
            <w:r>
              <w:rPr>
                <w:rStyle w:val="Strong"/>
              </w:rPr>
              <w:t>Impartiality</w:t>
            </w:r>
          </w:p>
        </w:tc>
        <w:tc>
          <w:tcPr>
            <w:tcW w:w="3004" w:type="dxa"/>
            <w:tcBorders/>
            <w:vAlign w:val="center"/>
          </w:tcPr>
          <w:p>
            <w:pPr>
              <w:pStyle w:val="TableContents"/>
              <w:widowControl w:val="false"/>
              <w:suppressLineNumbers/>
              <w:spacing w:before="0" w:after="200"/>
              <w:rPr/>
            </w:pPr>
            <w:r>
              <w:rPr/>
              <w:t>May permit or require partiality based on relationship and responsibility</w:t>
            </w:r>
          </w:p>
        </w:tc>
        <w:tc>
          <w:tcPr>
            <w:tcW w:w="3224" w:type="dxa"/>
            <w:tcBorders/>
            <w:vAlign w:val="center"/>
          </w:tcPr>
          <w:p>
            <w:pPr>
              <w:pStyle w:val="TableContents"/>
              <w:widowControl w:val="false"/>
              <w:suppressLineNumbers/>
              <w:spacing w:before="0" w:after="200"/>
              <w:rPr/>
            </w:pPr>
            <w:r>
              <w:rPr/>
              <w:t>Seeks to include all relevant entities and systemic effects within the assessment</w:t>
            </w:r>
          </w:p>
        </w:tc>
      </w:tr>
      <w:tr>
        <w:trPr/>
        <w:tc>
          <w:tcPr>
            <w:tcW w:w="2412" w:type="dxa"/>
            <w:tcBorders/>
            <w:vAlign w:val="center"/>
          </w:tcPr>
          <w:p>
            <w:pPr>
              <w:pStyle w:val="TableContents"/>
              <w:widowControl w:val="false"/>
              <w:suppressLineNumbers/>
              <w:spacing w:before="0" w:after="200"/>
              <w:rPr/>
            </w:pPr>
            <w:r>
              <w:rPr>
                <w:rStyle w:val="Strong"/>
              </w:rPr>
              <w:t>Ethical significance of process</w:t>
            </w:r>
          </w:p>
        </w:tc>
        <w:tc>
          <w:tcPr>
            <w:tcW w:w="3004" w:type="dxa"/>
            <w:tcBorders/>
            <w:vAlign w:val="center"/>
          </w:tcPr>
          <w:p>
            <w:pPr>
              <w:pStyle w:val="TableContents"/>
              <w:widowControl w:val="false"/>
              <w:suppressLineNumbers/>
              <w:spacing w:before="0" w:after="200"/>
              <w:rPr/>
            </w:pPr>
            <w:r>
              <w:rPr/>
              <w:t>The manner of caring—presence, receptivity, respect, and responsiveness—is central</w:t>
            </w:r>
          </w:p>
        </w:tc>
        <w:tc>
          <w:tcPr>
            <w:tcW w:w="3224" w:type="dxa"/>
            <w:tcBorders/>
            <w:vAlign w:val="center"/>
          </w:tcPr>
          <w:p>
            <w:pPr>
              <w:pStyle w:val="TableContents"/>
              <w:widowControl w:val="false"/>
              <w:suppressLineNumbers/>
              <w:spacing w:before="0" w:after="200"/>
              <w:rPr/>
            </w:pPr>
            <w:r>
              <w:rPr/>
              <w:t>Process matters when represented as part of the transition, its constraints, or its institutional effects</w:t>
            </w:r>
          </w:p>
        </w:tc>
      </w:tr>
      <w:tr>
        <w:trPr/>
        <w:tc>
          <w:tcPr>
            <w:tcW w:w="2412" w:type="dxa"/>
            <w:tcBorders/>
            <w:vAlign w:val="center"/>
          </w:tcPr>
          <w:p>
            <w:pPr>
              <w:pStyle w:val="TableContents"/>
              <w:widowControl w:val="false"/>
              <w:suppressLineNumbers/>
              <w:spacing w:before="0" w:after="200"/>
              <w:rPr/>
            </w:pPr>
            <w:r>
              <w:rPr>
                <w:rStyle w:val="Strong"/>
              </w:rPr>
              <w:t>Treatment of emotion</w:t>
            </w:r>
          </w:p>
        </w:tc>
        <w:tc>
          <w:tcPr>
            <w:tcW w:w="3004" w:type="dxa"/>
            <w:tcBorders/>
            <w:vAlign w:val="center"/>
          </w:tcPr>
          <w:p>
            <w:pPr>
              <w:pStyle w:val="TableContents"/>
              <w:widowControl w:val="false"/>
              <w:suppressLineNumbers/>
              <w:spacing w:before="0" w:after="200"/>
              <w:rPr/>
            </w:pPr>
            <w:r>
              <w:rPr/>
              <w:t>Emotion can be an important mode of moral perception and motivation</w:t>
            </w:r>
          </w:p>
        </w:tc>
        <w:tc>
          <w:tcPr>
            <w:tcW w:w="3224" w:type="dxa"/>
            <w:tcBorders/>
            <w:vAlign w:val="center"/>
          </w:tcPr>
          <w:p>
            <w:pPr>
              <w:pStyle w:val="TableContents"/>
              <w:widowControl w:val="false"/>
              <w:suppressLineNumbers/>
              <w:spacing w:before="0" w:after="200"/>
              <w:rPr/>
            </w:pPr>
            <w:r>
              <w:rPr/>
              <w:t>Emotion may be included as information or entity state but is not independently foundational</w:t>
            </w:r>
          </w:p>
        </w:tc>
      </w:tr>
      <w:tr>
        <w:trPr/>
        <w:tc>
          <w:tcPr>
            <w:tcW w:w="2412" w:type="dxa"/>
            <w:tcBorders/>
            <w:vAlign w:val="center"/>
          </w:tcPr>
          <w:p>
            <w:pPr>
              <w:pStyle w:val="TableContents"/>
              <w:widowControl w:val="false"/>
              <w:suppressLineNumbers/>
              <w:spacing w:before="0" w:after="200"/>
              <w:rPr/>
            </w:pPr>
            <w:r>
              <w:rPr>
                <w:rStyle w:val="Strong"/>
              </w:rPr>
              <w:t>Evaluation of success</w:t>
            </w:r>
          </w:p>
        </w:tc>
        <w:tc>
          <w:tcPr>
            <w:tcW w:w="3004" w:type="dxa"/>
            <w:tcBorders/>
            <w:vAlign w:val="center"/>
          </w:tcPr>
          <w:p>
            <w:pPr>
              <w:pStyle w:val="TableContents"/>
              <w:widowControl w:val="false"/>
              <w:suppressLineNumbers/>
              <w:spacing w:before="0" w:after="200"/>
              <w:rPr/>
            </w:pPr>
            <w:r>
              <w:rPr/>
              <w:t>Includes whether the recipient experiences the response as attentive and appropriate</w:t>
            </w:r>
          </w:p>
        </w:tc>
        <w:tc>
          <w:tcPr>
            <w:tcW w:w="3224" w:type="dxa"/>
            <w:tcBorders/>
            <w:vAlign w:val="center"/>
          </w:tcPr>
          <w:p>
            <w:pPr>
              <w:pStyle w:val="TableContents"/>
              <w:widowControl w:val="false"/>
              <w:suppressLineNumbers/>
              <w:spacing w:before="0" w:after="200"/>
              <w:rPr/>
            </w:pPr>
            <w:r>
              <w:rPr/>
              <w:t>Evaluates predicted and observed changes in flourishing, capabilities, relationships, and future state space</w:t>
            </w:r>
          </w:p>
        </w:tc>
      </w:tr>
      <w:tr>
        <w:trPr/>
        <w:tc>
          <w:tcPr>
            <w:tcW w:w="2412" w:type="dxa"/>
            <w:tcBorders/>
            <w:vAlign w:val="center"/>
          </w:tcPr>
          <w:p>
            <w:pPr>
              <w:pStyle w:val="TableContents"/>
              <w:widowControl w:val="false"/>
              <w:suppressLineNumbers/>
              <w:spacing w:before="0" w:after="200"/>
              <w:rPr/>
            </w:pPr>
            <w:r>
              <w:rPr>
                <w:rStyle w:val="Strong"/>
              </w:rPr>
              <w:t>Level of abstraction</w:t>
            </w:r>
          </w:p>
        </w:tc>
        <w:tc>
          <w:tcPr>
            <w:tcW w:w="3004" w:type="dxa"/>
            <w:tcBorders/>
            <w:vAlign w:val="center"/>
          </w:tcPr>
          <w:p>
            <w:pPr>
              <w:pStyle w:val="TableContents"/>
              <w:widowControl w:val="false"/>
              <w:suppressLineNumbers/>
              <w:spacing w:before="0" w:after="200"/>
              <w:rPr/>
            </w:pPr>
            <w:r>
              <w:rPr/>
              <w:t>Cautions against universal rules that erase situational meaning</w:t>
            </w:r>
          </w:p>
        </w:tc>
        <w:tc>
          <w:tcPr>
            <w:tcW w:w="3224" w:type="dxa"/>
            <w:tcBorders/>
            <w:vAlign w:val="center"/>
          </w:tcPr>
          <w:p>
            <w:pPr>
              <w:pStyle w:val="TableContents"/>
              <w:widowControl w:val="false"/>
              <w:suppressLineNumbers/>
              <w:spacing w:before="0" w:after="200"/>
              <w:rPr/>
            </w:pPr>
            <w:r>
              <w:rPr/>
              <w:t>Seeks reusable, implementation-neutral structures applicable across diverse contexts</w:t>
            </w:r>
          </w:p>
        </w:tc>
      </w:tr>
      <w:tr>
        <w:trPr/>
        <w:tc>
          <w:tcPr>
            <w:tcW w:w="2412" w:type="dxa"/>
            <w:tcBorders/>
            <w:vAlign w:val="center"/>
          </w:tcPr>
          <w:p>
            <w:pPr>
              <w:pStyle w:val="TableContents"/>
              <w:widowControl w:val="false"/>
              <w:suppressLineNumbers/>
              <w:spacing w:before="0" w:after="200"/>
              <w:rPr/>
            </w:pPr>
            <w:r>
              <w:rPr>
                <w:rStyle w:val="Strong"/>
              </w:rPr>
              <w:t>Responsibility</w:t>
            </w:r>
          </w:p>
        </w:tc>
        <w:tc>
          <w:tcPr>
            <w:tcW w:w="3004" w:type="dxa"/>
            <w:tcBorders/>
            <w:vAlign w:val="center"/>
          </w:tcPr>
          <w:p>
            <w:pPr>
              <w:pStyle w:val="TableContents"/>
              <w:widowControl w:val="false"/>
              <w:suppressLineNumbers/>
              <w:spacing w:before="0" w:after="200"/>
              <w:rPr/>
            </w:pPr>
            <w:r>
              <w:rPr/>
              <w:t>Frequently arises from relationship, dependency, or recognition of need</w:t>
            </w:r>
          </w:p>
        </w:tc>
        <w:tc>
          <w:tcPr>
            <w:tcW w:w="3224" w:type="dxa"/>
            <w:tcBorders/>
            <w:vAlign w:val="center"/>
          </w:tcPr>
          <w:p>
            <w:pPr>
              <w:pStyle w:val="TableContents"/>
              <w:widowControl w:val="false"/>
              <w:suppressLineNumbers/>
              <w:spacing w:before="0" w:after="200"/>
              <w:rPr/>
            </w:pPr>
            <w:r>
              <w:rPr/>
              <w:t>Separated from causal effect and evaluated through role, authority, knowledge, intent, alternatives, and foreseeability</w:t>
            </w:r>
          </w:p>
        </w:tc>
      </w:tr>
      <w:tr>
        <w:trPr/>
        <w:tc>
          <w:tcPr>
            <w:tcW w:w="2412" w:type="dxa"/>
            <w:tcBorders/>
            <w:vAlign w:val="center"/>
          </w:tcPr>
          <w:p>
            <w:pPr>
              <w:pStyle w:val="TableContents"/>
              <w:widowControl w:val="false"/>
              <w:suppressLineNumbers/>
              <w:spacing w:before="0" w:after="200"/>
              <w:rPr/>
            </w:pPr>
            <w:r>
              <w:rPr>
                <w:rStyle w:val="Strong"/>
              </w:rPr>
              <w:t>Caregiver-recipient relationship</w:t>
            </w:r>
          </w:p>
        </w:tc>
        <w:tc>
          <w:tcPr>
            <w:tcW w:w="3004" w:type="dxa"/>
            <w:tcBorders/>
            <w:vAlign w:val="center"/>
          </w:tcPr>
          <w:p>
            <w:pPr>
              <w:pStyle w:val="TableContents"/>
              <w:widowControl w:val="false"/>
              <w:suppressLineNumbers/>
              <w:spacing w:before="0" w:after="200"/>
              <w:rPr/>
            </w:pPr>
            <w:r>
              <w:rPr/>
              <w:t>Often the central ethical unit</w:t>
            </w:r>
          </w:p>
        </w:tc>
        <w:tc>
          <w:tcPr>
            <w:tcW w:w="3224" w:type="dxa"/>
            <w:tcBorders/>
            <w:vAlign w:val="center"/>
          </w:tcPr>
          <w:p>
            <w:pPr>
              <w:pStyle w:val="TableContents"/>
              <w:widowControl w:val="false"/>
              <w:suppressLineNumbers/>
              <w:spacing w:before="0" w:after="200"/>
              <w:rPr/>
            </w:pPr>
            <w:r>
              <w:rPr/>
              <w:t>One Association within a wider network of entities and effects</w:t>
            </w:r>
          </w:p>
        </w:tc>
      </w:tr>
      <w:tr>
        <w:trPr/>
        <w:tc>
          <w:tcPr>
            <w:tcW w:w="2412" w:type="dxa"/>
            <w:tcBorders/>
            <w:vAlign w:val="center"/>
          </w:tcPr>
          <w:p>
            <w:pPr>
              <w:pStyle w:val="TableContents"/>
              <w:widowControl w:val="false"/>
              <w:suppressLineNumbers/>
              <w:spacing w:before="0" w:after="200"/>
              <w:rPr/>
            </w:pPr>
            <w:r>
              <w:rPr>
                <w:rStyle w:val="Strong"/>
              </w:rPr>
              <w:t>Political concern</w:t>
            </w:r>
          </w:p>
        </w:tc>
        <w:tc>
          <w:tcPr>
            <w:tcW w:w="3004" w:type="dxa"/>
            <w:tcBorders/>
            <w:vAlign w:val="center"/>
          </w:tcPr>
          <w:p>
            <w:pPr>
              <w:pStyle w:val="TableContents"/>
              <w:widowControl w:val="false"/>
              <w:suppressLineNumbers/>
              <w:spacing w:before="0" w:after="200"/>
              <w:rPr/>
            </w:pPr>
            <w:r>
              <w:rPr/>
              <w:t>Examines whose needs count and how care labor is assigned, valued, and concealed</w:t>
            </w:r>
          </w:p>
        </w:tc>
        <w:tc>
          <w:tcPr>
            <w:tcW w:w="3224" w:type="dxa"/>
            <w:tcBorders/>
            <w:vAlign w:val="center"/>
          </w:tcPr>
          <w:p>
            <w:pPr>
              <w:pStyle w:val="TableContents"/>
              <w:widowControl w:val="false"/>
              <w:suppressLineNumbers/>
              <w:spacing w:before="0" w:after="200"/>
              <w:rPr/>
            </w:pPr>
            <w:r>
              <w:rPr/>
              <w:t>Examines institutional structures and distributions when they are included in the World Context</w:t>
            </w:r>
          </w:p>
        </w:tc>
      </w:tr>
      <w:tr>
        <w:trPr/>
        <w:tc>
          <w:tcPr>
            <w:tcW w:w="2412" w:type="dxa"/>
            <w:tcBorders/>
            <w:vAlign w:val="center"/>
          </w:tcPr>
          <w:p>
            <w:pPr>
              <w:pStyle w:val="TableContents"/>
              <w:widowControl w:val="false"/>
              <w:suppressLineNumbers/>
              <w:spacing w:before="0" w:after="200"/>
              <w:rPr/>
            </w:pPr>
            <w:r>
              <w:rPr>
                <w:rStyle w:val="Strong"/>
              </w:rPr>
              <w:t>Failure mode</w:t>
            </w:r>
          </w:p>
        </w:tc>
        <w:tc>
          <w:tcPr>
            <w:tcW w:w="3004" w:type="dxa"/>
            <w:tcBorders/>
            <w:vAlign w:val="center"/>
          </w:tcPr>
          <w:p>
            <w:pPr>
              <w:pStyle w:val="TableContents"/>
              <w:widowControl w:val="false"/>
              <w:suppressLineNumbers/>
              <w:spacing w:before="0" w:after="200"/>
              <w:rPr/>
            </w:pPr>
            <w:r>
              <w:rPr/>
              <w:t>Neglect, abandonment, inattentiveness, incompetence, paternalism, or exploitative care</w:t>
            </w:r>
          </w:p>
        </w:tc>
        <w:tc>
          <w:tcPr>
            <w:tcW w:w="3224" w:type="dxa"/>
            <w:tcBorders/>
            <w:vAlign w:val="center"/>
          </w:tcPr>
          <w:p>
            <w:pPr>
              <w:pStyle w:val="TableContents"/>
              <w:widowControl w:val="false"/>
              <w:suppressLineNumbers/>
              <w:spacing w:before="0" w:after="200"/>
              <w:rPr/>
            </w:pPr>
            <w:r>
              <w:rPr/>
              <w:t>A transition that unjustifiably diminishes long-term flourishing or beneficial future state space</w:t>
            </w:r>
          </w:p>
        </w:tc>
      </w:tr>
      <w:tr>
        <w:trPr/>
        <w:tc>
          <w:tcPr>
            <w:tcW w:w="2412" w:type="dxa"/>
            <w:tcBorders/>
            <w:vAlign w:val="center"/>
          </w:tcPr>
          <w:p>
            <w:pPr>
              <w:pStyle w:val="TableContents"/>
              <w:widowControl w:val="false"/>
              <w:suppressLineNumbers/>
              <w:spacing w:before="0" w:after="200"/>
              <w:rPr/>
            </w:pPr>
            <w:r>
              <w:rPr>
                <w:rStyle w:val="Strong"/>
              </w:rPr>
              <w:t>Computability</w:t>
            </w:r>
          </w:p>
        </w:tc>
        <w:tc>
          <w:tcPr>
            <w:tcW w:w="3004" w:type="dxa"/>
            <w:tcBorders/>
            <w:vAlign w:val="center"/>
          </w:tcPr>
          <w:p>
            <w:pPr>
              <w:pStyle w:val="TableContents"/>
              <w:widowControl w:val="false"/>
              <w:suppressLineNumbers/>
              <w:spacing w:before="0" w:after="200"/>
              <w:rPr/>
            </w:pPr>
            <w:r>
              <w:rPr/>
              <w:t>Resists reducing relational understanding to standardized measurements</w:t>
            </w:r>
          </w:p>
        </w:tc>
        <w:tc>
          <w:tcPr>
            <w:tcW w:w="3224" w:type="dxa"/>
            <w:tcBorders/>
            <w:vAlign w:val="center"/>
          </w:tcPr>
          <w:p>
            <w:pPr>
              <w:pStyle w:val="TableContents"/>
              <w:widowControl w:val="false"/>
              <w:suppressLineNumbers/>
              <w:spacing w:before="0" w:after="200"/>
              <w:rPr/>
            </w:pPr>
            <w:r>
              <w:rPr/>
              <w:t>Intends to support structured, explainable, and potentially computational assessment</w:t>
            </w:r>
          </w:p>
        </w:tc>
      </w:tr>
    </w:tbl>
    <w:p>
      <w:pPr>
        <w:pStyle w:val="Heading4"/>
        <w:ind w:hanging="0" w:left="0"/>
        <w:rPr>
          <w:rFonts w:ascii="Aptos" w:hAnsi="Aptos"/>
          <w:color w:val="auto"/>
        </w:rPr>
      </w:pPr>
      <w:r>
        <w:rPr/>
        <w:t>Potential Integration Opportunities</w:t>
      </w:r>
    </w:p>
    <w:p>
      <w:pPr>
        <w:pStyle w:val="BodyText"/>
        <w:spacing w:before="0" w:after="200"/>
        <w:rPr/>
      </w:pPr>
      <w:r>
        <w:rPr/>
        <w:t>The framework could integrate ethics of care more explicitly through the following extensions:</w:t>
      </w:r>
    </w:p>
    <w:p>
      <w:pPr>
        <w:pStyle w:val="BodyText"/>
        <w:numPr>
          <w:ilvl w:val="0"/>
          <w:numId w:val="57"/>
        </w:numPr>
        <w:tabs>
          <w:tab w:val="clear" w:pos="720"/>
          <w:tab w:val="left" w:pos="0" w:leader="none"/>
        </w:tabs>
        <w:spacing w:before="0" w:after="200"/>
        <w:ind w:hanging="283" w:left="709"/>
        <w:rPr/>
      </w:pPr>
      <w:r>
        <w:rPr>
          <w:rStyle w:val="Strong"/>
        </w:rPr>
        <w:t>Add a formal Care Relationship model.</w:t>
      </w:r>
      <w:r>
        <w:rPr/>
        <w:t xml:space="preserve"> A care-related Association could identify the care recipient, caregiver, relevant need, history of the relationship, dependency, power imbalance, expected duration, available alternatives, and institutional context.</w:t>
      </w:r>
    </w:p>
    <w:p>
      <w:pPr>
        <w:pStyle w:val="BodyText"/>
        <w:numPr>
          <w:ilvl w:val="0"/>
          <w:numId w:val="57"/>
        </w:numPr>
        <w:tabs>
          <w:tab w:val="clear" w:pos="720"/>
          <w:tab w:val="left" w:pos="0" w:leader="none"/>
        </w:tabs>
        <w:spacing w:before="0" w:after="200"/>
        <w:ind w:hanging="283" w:left="709"/>
        <w:rPr/>
      </w:pPr>
      <w:r>
        <w:rPr>
          <w:rStyle w:val="Strong"/>
        </w:rPr>
        <w:t>Implement a care-process assessment.</w:t>
      </w:r>
      <w:r>
        <w:rPr/>
        <w:t xml:space="preserve"> Care-related actions could be evaluated through successive stages:</w:t>
      </w:r>
    </w:p>
    <w:p>
      <w:pPr>
        <w:pStyle w:val="BodyText"/>
        <w:numPr>
          <w:ilvl w:val="1"/>
          <w:numId w:val="57"/>
        </w:numPr>
        <w:tabs>
          <w:tab w:val="clear" w:pos="720"/>
          <w:tab w:val="left" w:pos="0" w:leader="none"/>
        </w:tabs>
        <w:spacing w:before="0" w:after="200"/>
        <w:ind w:hanging="283" w:left="1418"/>
        <w:rPr/>
      </w:pPr>
      <w:r>
        <w:rPr>
          <w:rStyle w:val="Strong"/>
        </w:rPr>
        <w:t>Attentiveness:</w:t>
      </w:r>
      <w:r>
        <w:rPr/>
        <w:t xml:space="preserve"> Was the need recognized?</w:t>
      </w:r>
    </w:p>
    <w:p>
      <w:pPr>
        <w:pStyle w:val="BodyText"/>
        <w:numPr>
          <w:ilvl w:val="1"/>
          <w:numId w:val="57"/>
        </w:numPr>
        <w:tabs>
          <w:tab w:val="clear" w:pos="720"/>
          <w:tab w:val="left" w:pos="0" w:leader="none"/>
        </w:tabs>
        <w:spacing w:before="0" w:after="200"/>
        <w:ind w:hanging="283" w:left="1418"/>
        <w:rPr/>
      </w:pPr>
      <w:r>
        <w:rPr>
          <w:rStyle w:val="Strong"/>
        </w:rPr>
        <w:t>Responsibility:</w:t>
      </w:r>
      <w:r>
        <w:rPr/>
        <w:t xml:space="preserve"> Was responsibility appropriately accepted and assigned?</w:t>
      </w:r>
    </w:p>
    <w:p>
      <w:pPr>
        <w:pStyle w:val="BodyText"/>
        <w:numPr>
          <w:ilvl w:val="1"/>
          <w:numId w:val="57"/>
        </w:numPr>
        <w:tabs>
          <w:tab w:val="clear" w:pos="720"/>
          <w:tab w:val="left" w:pos="0" w:leader="none"/>
        </w:tabs>
        <w:spacing w:before="0" w:after="200"/>
        <w:ind w:hanging="283" w:left="1418"/>
        <w:rPr/>
      </w:pPr>
      <w:r>
        <w:rPr>
          <w:rStyle w:val="Strong"/>
        </w:rPr>
        <w:t>Competence:</w:t>
      </w:r>
      <w:r>
        <w:rPr/>
        <w:t xml:space="preserve"> Was care effectively provided?</w:t>
      </w:r>
    </w:p>
    <w:p>
      <w:pPr>
        <w:pStyle w:val="BodyText"/>
        <w:numPr>
          <w:ilvl w:val="1"/>
          <w:numId w:val="57"/>
        </w:numPr>
        <w:tabs>
          <w:tab w:val="clear" w:pos="720"/>
          <w:tab w:val="left" w:pos="0" w:leader="none"/>
        </w:tabs>
        <w:spacing w:before="0" w:after="200"/>
        <w:ind w:hanging="283" w:left="1418"/>
        <w:rPr/>
      </w:pPr>
      <w:r>
        <w:rPr>
          <w:rStyle w:val="Strong"/>
        </w:rPr>
        <w:t>Responsiveness:</w:t>
      </w:r>
      <w:r>
        <w:rPr/>
        <w:t xml:space="preserve"> How did the recipient experience and respond to the care?</w:t>
      </w:r>
    </w:p>
    <w:p>
      <w:pPr>
        <w:pStyle w:val="BodyText"/>
        <w:numPr>
          <w:ilvl w:val="1"/>
          <w:numId w:val="57"/>
        </w:numPr>
        <w:tabs>
          <w:tab w:val="clear" w:pos="720"/>
          <w:tab w:val="left" w:pos="0" w:leader="none"/>
        </w:tabs>
        <w:spacing w:before="0" w:after="200"/>
        <w:ind w:hanging="283" w:left="1418"/>
        <w:rPr/>
      </w:pPr>
      <w:r>
        <w:rPr>
          <w:rStyle w:val="Strong"/>
        </w:rPr>
        <w:t>Caring with:</w:t>
      </w:r>
      <w:r>
        <w:rPr/>
        <w:t xml:space="preserve"> Did the arrangement support trust, solidarity, pluralism, and fair participation?</w:t>
      </w:r>
    </w:p>
    <w:p>
      <w:pPr>
        <w:pStyle w:val="BodyText"/>
        <w:numPr>
          <w:ilvl w:val="0"/>
          <w:numId w:val="57"/>
        </w:numPr>
        <w:tabs>
          <w:tab w:val="clear" w:pos="720"/>
          <w:tab w:val="left" w:pos="0" w:leader="none"/>
        </w:tabs>
        <w:spacing w:before="0" w:after="200"/>
        <w:ind w:hanging="283" w:left="709"/>
        <w:rPr/>
      </w:pPr>
      <w:r>
        <w:rPr>
          <w:rStyle w:val="Strong"/>
        </w:rPr>
        <w:t>Distinguish needs from expressed preferences.</w:t>
      </w:r>
      <w:r>
        <w:rPr/>
        <w:t xml:space="preserve"> The framework should record both without assuming that either is automatically decisive. Differences may require dialogue, supported decision-making, safeguarding, and examination of competence or coercion.</w:t>
      </w:r>
    </w:p>
    <w:p>
      <w:pPr>
        <w:pStyle w:val="BodyText"/>
        <w:numPr>
          <w:ilvl w:val="0"/>
          <w:numId w:val="57"/>
        </w:numPr>
        <w:tabs>
          <w:tab w:val="clear" w:pos="720"/>
          <w:tab w:val="left" w:pos="0" w:leader="none"/>
        </w:tabs>
        <w:spacing w:before="0" w:after="200"/>
        <w:ind w:hanging="283" w:left="709"/>
        <w:rPr/>
      </w:pPr>
      <w:r>
        <w:rPr>
          <w:rStyle w:val="Strong"/>
        </w:rPr>
        <w:t>Include the recipient’s voice as evidence.</w:t>
      </w:r>
      <w:r>
        <w:rPr/>
        <w:t xml:space="preserve"> A care assessment should document whether the recipient was heard, understood, and able to influence the decision. Where direct participation is impossible, the framework should specify how the recipient’s perspective is represented.</w:t>
      </w:r>
    </w:p>
    <w:p>
      <w:pPr>
        <w:pStyle w:val="BodyText"/>
        <w:numPr>
          <w:ilvl w:val="0"/>
          <w:numId w:val="57"/>
        </w:numPr>
        <w:tabs>
          <w:tab w:val="clear" w:pos="720"/>
          <w:tab w:val="left" w:pos="0" w:leader="none"/>
        </w:tabs>
        <w:spacing w:before="0" w:after="200"/>
        <w:ind w:hanging="283" w:left="709"/>
        <w:rPr/>
      </w:pPr>
      <w:r>
        <w:rPr>
          <w:rStyle w:val="Strong"/>
        </w:rPr>
        <w:t>Represent embodied and narrative information.</w:t>
      </w:r>
      <w:r>
        <w:rPr/>
        <w:t xml:space="preserve"> Structured data could be supplemented by histories, testimony, observations, and qualitative accounts that preserve the meaning of a relationship or dependency.</w:t>
      </w:r>
    </w:p>
    <w:p>
      <w:pPr>
        <w:pStyle w:val="BodyText"/>
        <w:numPr>
          <w:ilvl w:val="0"/>
          <w:numId w:val="57"/>
        </w:numPr>
        <w:tabs>
          <w:tab w:val="clear" w:pos="720"/>
          <w:tab w:val="left" w:pos="0" w:leader="none"/>
        </w:tabs>
        <w:spacing w:before="0" w:after="200"/>
        <w:ind w:hanging="283" w:left="709"/>
        <w:rPr/>
      </w:pPr>
      <w:r>
        <w:rPr>
          <w:rStyle w:val="Strong"/>
        </w:rPr>
        <w:t>Add an attentiveness audit.</w:t>
      </w:r>
      <w:r>
        <w:rPr/>
        <w:t xml:space="preserve"> The framework could ask whose needs were noticed, whose were overlooked, what information was available, and whether institutional practices made some needs systematically invisible.</w:t>
      </w:r>
    </w:p>
    <w:p>
      <w:pPr>
        <w:pStyle w:val="BodyText"/>
        <w:numPr>
          <w:ilvl w:val="0"/>
          <w:numId w:val="57"/>
        </w:numPr>
        <w:tabs>
          <w:tab w:val="clear" w:pos="720"/>
          <w:tab w:val="left" w:pos="0" w:leader="none"/>
        </w:tabs>
        <w:spacing w:before="0" w:after="200"/>
        <w:ind w:hanging="283" w:left="709"/>
        <w:rPr/>
      </w:pPr>
      <w:r>
        <w:rPr>
          <w:rStyle w:val="Strong"/>
        </w:rPr>
        <w:t>Add a care-competence test.</w:t>
      </w:r>
      <w:r>
        <w:rPr/>
        <w:t xml:space="preserve"> A benevolent intention should not qualify as ethical care when the provider lacks the required knowledge, resources, continuity, or skill.</w:t>
      </w:r>
    </w:p>
    <w:p>
      <w:pPr>
        <w:pStyle w:val="BodyText"/>
        <w:numPr>
          <w:ilvl w:val="0"/>
          <w:numId w:val="57"/>
        </w:numPr>
        <w:tabs>
          <w:tab w:val="clear" w:pos="720"/>
          <w:tab w:val="left" w:pos="0" w:leader="none"/>
        </w:tabs>
        <w:spacing w:before="0" w:after="200"/>
        <w:ind w:hanging="283" w:left="709"/>
        <w:rPr/>
      </w:pPr>
      <w:r>
        <w:rPr>
          <w:rStyle w:val="Strong"/>
        </w:rPr>
        <w:t>Evaluate paternalism and dependency creation.</w:t>
      </w:r>
      <w:r>
        <w:rPr/>
        <w:t xml:space="preserve"> The assessment should determine whether care preserves agency, develops capability, respects refusal, and avoids making the recipient unnecessarily dependent on the provider.</w:t>
      </w:r>
    </w:p>
    <w:p>
      <w:pPr>
        <w:pStyle w:val="BodyText"/>
        <w:numPr>
          <w:ilvl w:val="0"/>
          <w:numId w:val="57"/>
        </w:numPr>
        <w:tabs>
          <w:tab w:val="clear" w:pos="720"/>
          <w:tab w:val="left" w:pos="0" w:leader="none"/>
        </w:tabs>
        <w:spacing w:before="0" w:after="200"/>
        <w:ind w:hanging="283" w:left="709"/>
        <w:rPr/>
      </w:pPr>
      <w:r>
        <w:rPr>
          <w:rStyle w:val="Strong"/>
        </w:rPr>
        <w:t>Protect caregiver flourishing.</w:t>
      </w:r>
      <w:r>
        <w:rPr/>
        <w:t xml:space="preserve"> The framework should assess exhaustion, health risks, foregone opportunities, moral distress, and the sustainability of the caregiver’s responsibilities.</w:t>
      </w:r>
    </w:p>
    <w:p>
      <w:pPr>
        <w:pStyle w:val="BodyText"/>
        <w:numPr>
          <w:ilvl w:val="0"/>
          <w:numId w:val="57"/>
        </w:numPr>
        <w:tabs>
          <w:tab w:val="clear" w:pos="720"/>
          <w:tab w:val="left" w:pos="0" w:leader="none"/>
        </w:tabs>
        <w:spacing w:before="0" w:after="200"/>
        <w:ind w:hanging="283" w:left="709"/>
        <w:rPr/>
      </w:pPr>
      <w:r>
        <w:rPr>
          <w:rStyle w:val="Strong"/>
        </w:rPr>
        <w:t>Audit the distribution of care labor.</w:t>
      </w:r>
      <w:r>
        <w:rPr/>
        <w:t xml:space="preserve"> The system could identify whether care burdens are allocated according to gender, class, race, disability, immigration status, employment position, or lack of political influence.</w:t>
      </w:r>
    </w:p>
    <w:p>
      <w:pPr>
        <w:pStyle w:val="BodyText"/>
        <w:numPr>
          <w:ilvl w:val="0"/>
          <w:numId w:val="57"/>
        </w:numPr>
        <w:tabs>
          <w:tab w:val="clear" w:pos="720"/>
          <w:tab w:val="left" w:pos="0" w:leader="none"/>
        </w:tabs>
        <w:spacing w:before="0" w:after="200"/>
        <w:ind w:hanging="283" w:left="709"/>
        <w:rPr/>
      </w:pPr>
      <w:r>
        <w:rPr>
          <w:rStyle w:val="Strong"/>
        </w:rPr>
        <w:t>Model continuity of care.</w:t>
      </w:r>
      <w:r>
        <w:rPr/>
        <w:t xml:space="preserve"> Care should be assessed across time, including transitions between caregivers, resource disruptions, follow-up requirements, and the consequences of withdrawal or abandonment.</w:t>
      </w:r>
    </w:p>
    <w:p>
      <w:pPr>
        <w:pStyle w:val="BodyText"/>
        <w:numPr>
          <w:ilvl w:val="0"/>
          <w:numId w:val="57"/>
        </w:numPr>
        <w:tabs>
          <w:tab w:val="clear" w:pos="720"/>
          <w:tab w:val="left" w:pos="0" w:leader="none"/>
        </w:tabs>
        <w:spacing w:before="0" w:after="200"/>
        <w:ind w:hanging="283" w:left="709"/>
        <w:rPr/>
      </w:pPr>
      <w:r>
        <w:rPr>
          <w:rStyle w:val="Strong"/>
        </w:rPr>
        <w:t>Define role-based and relational duties.</w:t>
      </w:r>
      <w:r>
        <w:rPr/>
        <w:t xml:space="preserve"> The framework could specify when proximity, relationship, professional role, prior commitment, or unique capability creates a stronger responsibility than that held by other agents.</w:t>
      </w:r>
    </w:p>
    <w:p>
      <w:pPr>
        <w:pStyle w:val="BodyText"/>
        <w:numPr>
          <w:ilvl w:val="0"/>
          <w:numId w:val="57"/>
        </w:numPr>
        <w:tabs>
          <w:tab w:val="clear" w:pos="720"/>
          <w:tab w:val="left" w:pos="0" w:leader="none"/>
        </w:tabs>
        <w:spacing w:before="0" w:after="200"/>
        <w:ind w:hanging="283" w:left="709"/>
        <w:rPr/>
      </w:pPr>
      <w:r>
        <w:rPr>
          <w:rStyle w:val="Strong"/>
        </w:rPr>
        <w:t>Constrain unjust partiality.</w:t>
      </w:r>
      <w:r>
        <w:rPr/>
        <w:t xml:space="preserve"> Special responsibilities could be recognized while remaining subject to minimum protections, nondiscrimination, and broader obligations to entities outside the immediate relationship.</w:t>
      </w:r>
    </w:p>
    <w:p>
      <w:pPr>
        <w:pStyle w:val="BodyText"/>
        <w:numPr>
          <w:ilvl w:val="0"/>
          <w:numId w:val="57"/>
        </w:numPr>
        <w:tabs>
          <w:tab w:val="clear" w:pos="720"/>
          <w:tab w:val="left" w:pos="0" w:leader="none"/>
        </w:tabs>
        <w:spacing w:before="0" w:after="200"/>
        <w:ind w:hanging="283" w:left="709"/>
        <w:rPr/>
      </w:pPr>
      <w:r>
        <w:rPr>
          <w:rStyle w:val="Strong"/>
        </w:rPr>
        <w:t>Add institutional care indicators.</w:t>
      </w:r>
      <w:r>
        <w:rPr/>
        <w:t xml:space="preserve"> Institutions could be evaluated for accessibility, responsiveness, continuity, staff competence, recipient participation, accountability, and the sustainability of their care systems.</w:t>
      </w:r>
    </w:p>
    <w:p>
      <w:pPr>
        <w:pStyle w:val="BodyText"/>
        <w:numPr>
          <w:ilvl w:val="0"/>
          <w:numId w:val="57"/>
        </w:numPr>
        <w:tabs>
          <w:tab w:val="clear" w:pos="720"/>
          <w:tab w:val="left" w:pos="0" w:leader="none"/>
        </w:tabs>
        <w:spacing w:before="0" w:after="200"/>
        <w:ind w:hanging="283" w:left="709"/>
        <w:rPr/>
      </w:pPr>
      <w:r>
        <w:rPr>
          <w:rStyle w:val="Strong"/>
        </w:rPr>
        <w:t>Represent relational harm and repair.</w:t>
      </w:r>
      <w:r>
        <w:rPr/>
        <w:t xml:space="preserve"> Ethical impacts should include betrayal, loss of trust, abandonment, humiliation, silencing, and the possibility of acknowledgment, reconciliation, or restoration.</w:t>
      </w:r>
    </w:p>
    <w:p>
      <w:pPr>
        <w:pStyle w:val="BodyText"/>
        <w:numPr>
          <w:ilvl w:val="0"/>
          <w:numId w:val="57"/>
        </w:numPr>
        <w:tabs>
          <w:tab w:val="clear" w:pos="720"/>
          <w:tab w:val="left" w:pos="0" w:leader="none"/>
        </w:tabs>
        <w:spacing w:before="0" w:after="200"/>
        <w:ind w:hanging="283" w:left="709"/>
        <w:rPr/>
      </w:pPr>
      <w:r>
        <w:rPr>
          <w:rStyle w:val="Strong"/>
        </w:rPr>
        <w:t>Use recipient feedback to update the assessment.</w:t>
      </w:r>
      <w:r>
        <w:rPr/>
        <w:t xml:space="preserve"> Because care is interactive, feedback should revise assumptions about need, effectiveness, burden, and appropriate future action.</w:t>
      </w:r>
    </w:p>
    <w:p>
      <w:pPr>
        <w:pStyle w:val="BodyText"/>
        <w:numPr>
          <w:ilvl w:val="0"/>
          <w:numId w:val="57"/>
        </w:numPr>
        <w:tabs>
          <w:tab w:val="clear" w:pos="720"/>
          <w:tab w:val="left" w:pos="0" w:leader="none"/>
        </w:tabs>
        <w:spacing w:before="0" w:after="200"/>
        <w:ind w:hanging="283" w:left="709"/>
        <w:rPr/>
      </w:pPr>
      <w:r>
        <w:rPr>
          <w:rStyle w:val="Strong"/>
        </w:rPr>
        <w:t>Identify “carewashing.”</w:t>
      </w:r>
      <w:r>
        <w:rPr/>
        <w:t xml:space="preserve"> The framework should detect situations in which benevolent or relational language is used to conceal coercion, cost-cutting, surveillance, exclusion, or institutional self-interest.</w:t>
      </w:r>
    </w:p>
    <w:p>
      <w:pPr>
        <w:pStyle w:val="BodyText"/>
        <w:numPr>
          <w:ilvl w:val="0"/>
          <w:numId w:val="57"/>
        </w:numPr>
        <w:tabs>
          <w:tab w:val="clear" w:pos="720"/>
          <w:tab w:val="left" w:pos="0" w:leader="none"/>
        </w:tabs>
        <w:spacing w:before="0" w:after="200"/>
        <w:ind w:hanging="283" w:left="709"/>
        <w:rPr/>
      </w:pPr>
      <w:r>
        <w:rPr>
          <w:rStyle w:val="Strong"/>
        </w:rPr>
        <w:t>Extend care analysis beyond human relationships.</w:t>
      </w:r>
      <w:r>
        <w:rPr/>
        <w:t xml:space="preserve"> The framework could assess caregiving relationships involving nonhuman animals, ecosystems, artificial agents, and other dependent or vulnerable entities while avoiding unsupported assumptions that all entities experience care identically.</w:t>
      </w:r>
    </w:p>
    <w:p>
      <w:pPr>
        <w:pStyle w:val="BodyText"/>
        <w:numPr>
          <w:ilvl w:val="0"/>
          <w:numId w:val="57"/>
        </w:numPr>
        <w:tabs>
          <w:tab w:val="clear" w:pos="720"/>
          <w:tab w:val="left" w:pos="0" w:leader="none"/>
        </w:tabs>
        <w:spacing w:before="0" w:after="200"/>
        <w:ind w:hanging="283" w:left="709"/>
        <w:rPr/>
      </w:pPr>
      <w:r>
        <w:rPr>
          <w:rStyle w:val="Strong"/>
        </w:rPr>
        <w:t>Produce a separate care finding.</w:t>
      </w:r>
      <w:r>
        <w:rPr/>
        <w:t xml:space="preserve"> Each relevant assessment could report:</w:t>
      </w:r>
    </w:p>
    <w:p>
      <w:pPr>
        <w:pStyle w:val="BodyText"/>
        <w:numPr>
          <w:ilvl w:val="0"/>
          <w:numId w:val="58"/>
        </w:numPr>
        <w:tabs>
          <w:tab w:val="clear" w:pos="720"/>
          <w:tab w:val="left" w:pos="0" w:leader="none"/>
        </w:tabs>
        <w:spacing w:before="0" w:after="200"/>
        <w:ind w:hanging="283" w:left="709"/>
        <w:rPr/>
      </w:pPr>
      <w:r>
        <w:rPr/>
        <w:t>Whether the need was adequately recognized;</w:t>
      </w:r>
    </w:p>
    <w:p>
      <w:pPr>
        <w:pStyle w:val="BodyText"/>
        <w:numPr>
          <w:ilvl w:val="0"/>
          <w:numId w:val="58"/>
        </w:numPr>
        <w:tabs>
          <w:tab w:val="clear" w:pos="720"/>
          <w:tab w:val="left" w:pos="0" w:leader="none"/>
        </w:tabs>
        <w:spacing w:before="0" w:after="200"/>
        <w:ind w:hanging="283" w:left="709"/>
        <w:rPr/>
      </w:pPr>
      <w:r>
        <w:rPr/>
        <w:t>Who assumed responsibility;</w:t>
      </w:r>
    </w:p>
    <w:p>
      <w:pPr>
        <w:pStyle w:val="BodyText"/>
        <w:numPr>
          <w:ilvl w:val="0"/>
          <w:numId w:val="58"/>
        </w:numPr>
        <w:tabs>
          <w:tab w:val="clear" w:pos="720"/>
          <w:tab w:val="left" w:pos="0" w:leader="none"/>
        </w:tabs>
        <w:spacing w:before="0" w:after="200"/>
        <w:ind w:hanging="283" w:left="709"/>
        <w:rPr/>
      </w:pPr>
      <w:r>
        <w:rPr/>
        <w:t>Whether care was competent and sustainable;</w:t>
      </w:r>
    </w:p>
    <w:p>
      <w:pPr>
        <w:pStyle w:val="BodyText"/>
        <w:numPr>
          <w:ilvl w:val="0"/>
          <w:numId w:val="58"/>
        </w:numPr>
        <w:tabs>
          <w:tab w:val="clear" w:pos="720"/>
          <w:tab w:val="left" w:pos="0" w:leader="none"/>
        </w:tabs>
        <w:spacing w:before="0" w:after="200"/>
        <w:ind w:hanging="283" w:left="709"/>
        <w:rPr/>
      </w:pPr>
      <w:r>
        <w:rPr/>
        <w:t>Whether the recipient participated and responded;</w:t>
      </w:r>
    </w:p>
    <w:p>
      <w:pPr>
        <w:pStyle w:val="BodyText"/>
        <w:numPr>
          <w:ilvl w:val="0"/>
          <w:numId w:val="58"/>
        </w:numPr>
        <w:tabs>
          <w:tab w:val="clear" w:pos="720"/>
          <w:tab w:val="left" w:pos="0" w:leader="none"/>
        </w:tabs>
        <w:spacing w:before="0" w:after="200"/>
        <w:ind w:hanging="283" w:left="709"/>
        <w:rPr/>
      </w:pPr>
      <w:r>
        <w:rPr/>
        <w:t>Whether agency and dignity were preserved;</w:t>
      </w:r>
    </w:p>
    <w:p>
      <w:pPr>
        <w:pStyle w:val="BodyText"/>
        <w:numPr>
          <w:ilvl w:val="0"/>
          <w:numId w:val="58"/>
        </w:numPr>
        <w:tabs>
          <w:tab w:val="clear" w:pos="720"/>
          <w:tab w:val="left" w:pos="0" w:leader="none"/>
        </w:tabs>
        <w:spacing w:before="0" w:after="200"/>
        <w:ind w:hanging="283" w:left="709"/>
        <w:rPr/>
      </w:pPr>
      <w:r>
        <w:rPr/>
        <w:t>How care burdens were distributed; and</w:t>
      </w:r>
    </w:p>
    <w:p>
      <w:pPr>
        <w:pStyle w:val="BodyText"/>
        <w:numPr>
          <w:ilvl w:val="0"/>
          <w:numId w:val="58"/>
        </w:numPr>
        <w:tabs>
          <w:tab w:val="clear" w:pos="720"/>
          <w:tab w:val="left" w:pos="0" w:leader="none"/>
        </w:tabs>
        <w:spacing w:before="0" w:after="200"/>
        <w:ind w:hanging="283" w:left="709"/>
        <w:rPr/>
      </w:pPr>
      <w:r>
        <w:rPr/>
        <w:t>Whether the relationship and wider system were strengthened or damaged.</w:t>
      </w:r>
    </w:p>
    <w:p>
      <w:pPr>
        <w:pStyle w:val="BodyText"/>
        <w:numPr>
          <w:ilvl w:val="0"/>
          <w:numId w:val="59"/>
        </w:numPr>
        <w:tabs>
          <w:tab w:val="clear" w:pos="720"/>
          <w:tab w:val="left" w:pos="0" w:leader="none"/>
        </w:tabs>
        <w:spacing w:before="0" w:after="200"/>
        <w:ind w:hanging="283" w:left="709"/>
        <w:rPr/>
      </w:pPr>
      <w:r>
        <w:rPr>
          <w:rStyle w:val="Strong"/>
        </w:rPr>
        <w:t>Combine relational and systems-level conclusions.</w:t>
      </w:r>
      <w:r>
        <w:rPr/>
        <w:t xml:space="preserve"> An action could improve an immediate measurable condition while failing as care because it is coercive, inattentive, humiliating, or unsustainable. Conversely, a caring interpersonal response could be inadequate if it perpetuates an unjust institutional arrangement. Reporting both dimensions would preserve the distinctive contribution of care ethics within the framework.</w:t>
      </w:r>
    </w:p>
    <w:p>
      <w:pPr>
        <w:pStyle w:val="Heading3"/>
        <w:ind w:hanging="0" w:left="0"/>
        <w:rPr/>
      </w:pPr>
      <w:bookmarkStart w:id="16" w:name="__RefHeading___Toc23521_3508477456"/>
      <w:bookmarkEnd w:id="16"/>
      <w:r>
        <w:rPr/>
        <w:t>Stoicism</w:t>
      </w:r>
    </w:p>
    <w:p>
      <w:pPr>
        <w:pStyle w:val="BodyText"/>
        <w:spacing w:before="0" w:after="200"/>
        <w:rPr/>
      </w:pPr>
      <w:r>
        <w:rPr/>
        <w:t xml:space="preserve">Stoicism is a Hellenistic school of philosophy that understands ethics as the disciplined development of rational and virtuous agency. Its central claim is that virtue—not wealth, health, reputation, pleasure, or successful control of external events—is the only unconditional good and the necessary and sufficient basis of human flourishing. Stoicism therefore emphasizes sound judgment, moral character, appropriate action, acceptance of what cannot be controlled, fulfillment of social roles, and concern for humanity as a wider moral community. It is a form of eudaimonic virtue ethics rather than emotional suppression, passive resignation, or indifference to the welfare of others. </w:t>
      </w:r>
      <w:hyperlink r:id="rId151">
        <w:r>
          <w:rPr>
            <w:rStyle w:val="Hyperlink"/>
          </w:rPr>
          <w:t>Stanford Encyclopedia of Philosophy</w:t>
        </w:r>
      </w:hyperlink>
      <w:r>
        <w:rPr/>
        <w:t xml:space="preserve">, </w:t>
      </w:r>
      <w:hyperlink r:id="rId152">
        <w:r>
          <w:rPr>
            <w:rStyle w:val="Hyperlink"/>
          </w:rPr>
          <w:t>Internet Encyclopedia of Philosophy</w:t>
        </w:r>
      </w:hyperlink>
    </w:p>
    <w:p>
      <w:pPr>
        <w:pStyle w:val="Heading4"/>
        <w:ind w:hanging="0" w:left="0"/>
        <w:rPr>
          <w:rFonts w:ascii="Aptos" w:hAnsi="Aptos"/>
          <w:color w:val="auto"/>
        </w:rPr>
      </w:pPr>
      <w:r>
        <w:rPr/>
        <w:t>Primary Expert(s)</w:t>
      </w:r>
    </w:p>
    <w:p>
      <w:pPr>
        <w:pStyle w:val="BodyText"/>
        <w:spacing w:before="0" w:after="200"/>
        <w:rPr/>
      </w:pPr>
      <w:r>
        <w:rPr/>
        <w:t>Because ancient Stoicism predates modern universities, “associated institution” refers to the philosophical school, teaching center, or public institution with which the individual was principally connected.</w:t>
      </w:r>
    </w:p>
    <w:tbl>
      <w:tblPr>
        <w:tblW w:w="8640" w:type="dxa"/>
        <w:jc w:val="left"/>
        <w:tblInd w:w="28" w:type="dxa"/>
        <w:tblLayout w:type="fixed"/>
        <w:tblCellMar>
          <w:top w:w="28" w:type="dxa"/>
          <w:left w:w="28" w:type="dxa"/>
          <w:bottom w:w="28" w:type="dxa"/>
          <w:right w:w="28" w:type="dxa"/>
        </w:tblCellMar>
      </w:tblPr>
      <w:tblGrid>
        <w:gridCol w:w="1442"/>
        <w:gridCol w:w="794"/>
        <w:gridCol w:w="2166"/>
        <w:gridCol w:w="4238"/>
      </w:tblGrid>
      <w:tr>
        <w:trPr>
          <w:tblHeader w:val="true"/>
        </w:trPr>
        <w:tc>
          <w:tcPr>
            <w:tcW w:w="1442" w:type="dxa"/>
            <w:tcBorders/>
            <w:vAlign w:val="center"/>
          </w:tcPr>
          <w:p>
            <w:pPr>
              <w:pStyle w:val="TableHeading"/>
              <w:suppressLineNumbers/>
              <w:spacing w:before="0" w:after="200"/>
              <w:jc w:val="center"/>
              <w:rPr/>
            </w:pPr>
            <w:r>
              <w:rPr/>
              <w:t>Expert</w:t>
            </w:r>
          </w:p>
        </w:tc>
        <w:tc>
          <w:tcPr>
            <w:tcW w:w="794" w:type="dxa"/>
            <w:tcBorders/>
            <w:vAlign w:val="center"/>
          </w:tcPr>
          <w:p>
            <w:pPr>
              <w:pStyle w:val="TableHeading"/>
              <w:spacing w:before="0" w:after="200"/>
              <w:jc w:val="right"/>
              <w:rPr/>
            </w:pPr>
            <w:r>
              <w:rPr/>
              <w:t>Years</w:t>
            </w:r>
          </w:p>
        </w:tc>
        <w:tc>
          <w:tcPr>
            <w:tcW w:w="2166" w:type="dxa"/>
            <w:tcBorders/>
            <w:vAlign w:val="center"/>
          </w:tcPr>
          <w:p>
            <w:pPr>
              <w:pStyle w:val="TableHeading"/>
              <w:suppressLineNumbers/>
              <w:spacing w:before="0" w:after="200"/>
              <w:jc w:val="center"/>
              <w:rPr/>
            </w:pPr>
            <w:r>
              <w:rPr/>
              <w:t>Associated institution or setting</w:t>
            </w:r>
          </w:p>
        </w:tc>
        <w:tc>
          <w:tcPr>
            <w:tcW w:w="4238" w:type="dxa"/>
            <w:tcBorders/>
            <w:vAlign w:val="center"/>
          </w:tcPr>
          <w:p>
            <w:pPr>
              <w:pStyle w:val="TableHeading"/>
              <w:suppressLineNumbers/>
              <w:spacing w:before="0" w:after="200"/>
              <w:jc w:val="center"/>
              <w:rPr/>
            </w:pPr>
            <w:r>
              <w:rPr/>
              <w:t>Principal contribution</w:t>
            </w:r>
          </w:p>
        </w:tc>
      </w:tr>
      <w:tr>
        <w:trPr/>
        <w:tc>
          <w:tcPr>
            <w:tcW w:w="1442" w:type="dxa"/>
            <w:tcBorders/>
            <w:vAlign w:val="center"/>
          </w:tcPr>
          <w:p>
            <w:pPr>
              <w:pStyle w:val="TableContents"/>
              <w:widowControl w:val="false"/>
              <w:suppressLineNumbers/>
              <w:spacing w:before="0" w:after="200"/>
              <w:rPr/>
            </w:pPr>
            <w:r>
              <w:rPr>
                <w:rStyle w:val="Strong"/>
              </w:rPr>
              <w:t>Zeno of Citium</w:t>
            </w:r>
          </w:p>
        </w:tc>
        <w:tc>
          <w:tcPr>
            <w:tcW w:w="794" w:type="dxa"/>
            <w:tcBorders/>
            <w:vAlign w:val="center"/>
          </w:tcPr>
          <w:p>
            <w:pPr>
              <w:pStyle w:val="TableContents"/>
              <w:spacing w:before="0" w:after="200"/>
              <w:jc w:val="right"/>
              <w:rPr/>
            </w:pPr>
            <w:r>
              <w:rPr/>
              <w:t>c. 334–262 BCE</w:t>
            </w:r>
          </w:p>
        </w:tc>
        <w:tc>
          <w:tcPr>
            <w:tcW w:w="2166" w:type="dxa"/>
            <w:tcBorders/>
            <w:vAlign w:val="center"/>
          </w:tcPr>
          <w:p>
            <w:pPr>
              <w:pStyle w:val="TableContents"/>
              <w:widowControl w:val="false"/>
              <w:suppressLineNumbers/>
              <w:spacing w:before="0" w:after="200"/>
              <w:rPr/>
            </w:pPr>
            <w:r>
              <w:rPr/>
              <w:t>Founder and first head of the Stoic school at the Stoa Poikile, Athens</w:t>
            </w:r>
          </w:p>
        </w:tc>
        <w:tc>
          <w:tcPr>
            <w:tcW w:w="4238" w:type="dxa"/>
            <w:tcBorders/>
            <w:vAlign w:val="center"/>
          </w:tcPr>
          <w:p>
            <w:pPr>
              <w:pStyle w:val="TableContents"/>
              <w:widowControl w:val="false"/>
              <w:suppressLineNumbers/>
              <w:spacing w:before="0" w:after="200"/>
              <w:rPr/>
            </w:pPr>
            <w:r>
              <w:rPr/>
              <w:t>Founded Stoicism and described its ethical end as living consistently or “in agreement,” subsequently understood as living in agreement with nature.</w:t>
            </w:r>
          </w:p>
        </w:tc>
      </w:tr>
      <w:tr>
        <w:trPr/>
        <w:tc>
          <w:tcPr>
            <w:tcW w:w="1442" w:type="dxa"/>
            <w:tcBorders/>
            <w:vAlign w:val="center"/>
          </w:tcPr>
          <w:p>
            <w:pPr>
              <w:pStyle w:val="TableContents"/>
              <w:widowControl w:val="false"/>
              <w:suppressLineNumbers/>
              <w:spacing w:before="0" w:after="200"/>
              <w:rPr/>
            </w:pPr>
            <w:r>
              <w:rPr>
                <w:rStyle w:val="Strong"/>
              </w:rPr>
              <w:t>Cleanthes of Assos</w:t>
            </w:r>
          </w:p>
        </w:tc>
        <w:tc>
          <w:tcPr>
            <w:tcW w:w="794" w:type="dxa"/>
            <w:tcBorders/>
            <w:vAlign w:val="center"/>
          </w:tcPr>
          <w:p>
            <w:pPr>
              <w:pStyle w:val="TableContents"/>
              <w:spacing w:before="0" w:after="200"/>
              <w:jc w:val="right"/>
              <w:rPr/>
            </w:pPr>
            <w:r>
              <w:rPr/>
              <w:t>c. 330–232 BCE</w:t>
            </w:r>
          </w:p>
        </w:tc>
        <w:tc>
          <w:tcPr>
            <w:tcW w:w="2166" w:type="dxa"/>
            <w:tcBorders/>
            <w:vAlign w:val="center"/>
          </w:tcPr>
          <w:p>
            <w:pPr>
              <w:pStyle w:val="TableContents"/>
              <w:widowControl w:val="false"/>
              <w:suppressLineNumbers/>
              <w:spacing w:before="0" w:after="200"/>
              <w:rPr/>
            </w:pPr>
            <w:r>
              <w:rPr/>
              <w:t>Second head of the Stoic school at the Stoa Poikile, Athens</w:t>
            </w:r>
          </w:p>
        </w:tc>
        <w:tc>
          <w:tcPr>
            <w:tcW w:w="4238" w:type="dxa"/>
            <w:tcBorders/>
            <w:vAlign w:val="center"/>
          </w:tcPr>
          <w:p>
            <w:pPr>
              <w:pStyle w:val="TableContents"/>
              <w:widowControl w:val="false"/>
              <w:suppressLineNumbers/>
              <w:spacing w:before="0" w:after="200"/>
              <w:rPr/>
            </w:pPr>
            <w:r>
              <w:rPr/>
              <w:t>Succeeded Zeno, emphasized living in agreement with nature, and developed the religious and cosmological dimensions of Stoic thought.</w:t>
            </w:r>
          </w:p>
        </w:tc>
      </w:tr>
      <w:tr>
        <w:trPr/>
        <w:tc>
          <w:tcPr>
            <w:tcW w:w="1442" w:type="dxa"/>
            <w:tcBorders/>
            <w:vAlign w:val="center"/>
          </w:tcPr>
          <w:p>
            <w:pPr>
              <w:pStyle w:val="TableContents"/>
              <w:widowControl w:val="false"/>
              <w:suppressLineNumbers/>
              <w:spacing w:before="0" w:after="200"/>
              <w:rPr/>
            </w:pPr>
            <w:r>
              <w:rPr>
                <w:rStyle w:val="Strong"/>
              </w:rPr>
              <w:t>Chrysippus of Soli</w:t>
            </w:r>
          </w:p>
        </w:tc>
        <w:tc>
          <w:tcPr>
            <w:tcW w:w="794" w:type="dxa"/>
            <w:tcBorders/>
            <w:vAlign w:val="center"/>
          </w:tcPr>
          <w:p>
            <w:pPr>
              <w:pStyle w:val="TableContents"/>
              <w:spacing w:before="0" w:after="200"/>
              <w:jc w:val="right"/>
              <w:rPr/>
            </w:pPr>
            <w:r>
              <w:rPr/>
              <w:t>c. 279–206 BCE</w:t>
            </w:r>
          </w:p>
        </w:tc>
        <w:tc>
          <w:tcPr>
            <w:tcW w:w="2166" w:type="dxa"/>
            <w:tcBorders/>
            <w:vAlign w:val="center"/>
          </w:tcPr>
          <w:p>
            <w:pPr>
              <w:pStyle w:val="TableContents"/>
              <w:widowControl w:val="false"/>
              <w:suppressLineNumbers/>
              <w:spacing w:before="0" w:after="200"/>
              <w:rPr/>
            </w:pPr>
            <w:r>
              <w:rPr/>
              <w:t>Third head of the Stoic school at the Stoa Poikile, Athens</w:t>
            </w:r>
          </w:p>
        </w:tc>
        <w:tc>
          <w:tcPr>
            <w:tcW w:w="4238" w:type="dxa"/>
            <w:tcBorders/>
            <w:vAlign w:val="center"/>
          </w:tcPr>
          <w:p>
            <w:pPr>
              <w:pStyle w:val="TableContents"/>
              <w:widowControl w:val="false"/>
              <w:suppressLineNumbers/>
              <w:spacing w:before="0" w:after="200"/>
              <w:rPr/>
            </w:pPr>
            <w:r>
              <w:rPr/>
              <w:t xml:space="preserve">Systematized Stoic logic, physics, psychology, and ethics. His work established much of what became orthodox Stoicism. The original works of the early scholarchs survive largely through fragments and later reports. </w:t>
            </w:r>
            <w:hyperlink r:id="rId153">
              <w:r>
                <w:rPr>
                  <w:rStyle w:val="Hyperlink"/>
                </w:rPr>
                <w:t>Stanford Encyclopedia of Philosophy</w:t>
              </w:r>
            </w:hyperlink>
          </w:p>
        </w:tc>
      </w:tr>
      <w:tr>
        <w:trPr/>
        <w:tc>
          <w:tcPr>
            <w:tcW w:w="1442" w:type="dxa"/>
            <w:tcBorders/>
            <w:vAlign w:val="center"/>
          </w:tcPr>
          <w:p>
            <w:pPr>
              <w:pStyle w:val="TableContents"/>
              <w:widowControl w:val="false"/>
              <w:suppressLineNumbers/>
              <w:spacing w:before="0" w:after="200"/>
              <w:rPr/>
            </w:pPr>
            <w:r>
              <w:rPr>
                <w:rStyle w:val="Strong"/>
              </w:rPr>
              <w:t>Lucius Annaeus Seneca</w:t>
            </w:r>
          </w:p>
        </w:tc>
        <w:tc>
          <w:tcPr>
            <w:tcW w:w="794" w:type="dxa"/>
            <w:tcBorders/>
            <w:vAlign w:val="center"/>
          </w:tcPr>
          <w:p>
            <w:pPr>
              <w:pStyle w:val="TableContents"/>
              <w:spacing w:before="0" w:after="200"/>
              <w:jc w:val="right"/>
              <w:rPr/>
            </w:pPr>
            <w:r>
              <w:rPr/>
              <w:t>c. 4 BCE–65 CE</w:t>
            </w:r>
          </w:p>
        </w:tc>
        <w:tc>
          <w:tcPr>
            <w:tcW w:w="2166" w:type="dxa"/>
            <w:tcBorders/>
            <w:vAlign w:val="center"/>
          </w:tcPr>
          <w:p>
            <w:pPr>
              <w:pStyle w:val="TableContents"/>
              <w:widowControl w:val="false"/>
              <w:suppressLineNumbers/>
              <w:spacing w:before="0" w:after="200"/>
              <w:rPr/>
            </w:pPr>
            <w:r>
              <w:rPr/>
              <w:t>Roman Senate and the imperial court of Nero</w:t>
            </w:r>
          </w:p>
        </w:tc>
        <w:tc>
          <w:tcPr>
            <w:tcW w:w="4238" w:type="dxa"/>
            <w:tcBorders/>
            <w:vAlign w:val="center"/>
          </w:tcPr>
          <w:p>
            <w:pPr>
              <w:pStyle w:val="TableContents"/>
              <w:widowControl w:val="false"/>
              <w:suppressLineNumbers/>
              <w:spacing w:before="0" w:after="200"/>
              <w:rPr/>
            </w:pPr>
            <w:r>
              <w:rPr/>
              <w:t>Applied Stoicism to political responsibility, wealth, anger, adversity, mortality, friendship, and moral self-examination. He served as tutor and later adviser to Emperor Nero.</w:t>
            </w:r>
          </w:p>
        </w:tc>
      </w:tr>
      <w:tr>
        <w:trPr/>
        <w:tc>
          <w:tcPr>
            <w:tcW w:w="1442" w:type="dxa"/>
            <w:tcBorders/>
            <w:vAlign w:val="center"/>
          </w:tcPr>
          <w:p>
            <w:pPr>
              <w:pStyle w:val="TableContents"/>
              <w:widowControl w:val="false"/>
              <w:suppressLineNumbers/>
              <w:spacing w:before="0" w:after="200"/>
              <w:rPr/>
            </w:pPr>
            <w:r>
              <w:rPr>
                <w:rStyle w:val="Strong"/>
              </w:rPr>
              <w:t>Epictetus</w:t>
            </w:r>
          </w:p>
        </w:tc>
        <w:tc>
          <w:tcPr>
            <w:tcW w:w="794" w:type="dxa"/>
            <w:tcBorders/>
            <w:vAlign w:val="center"/>
          </w:tcPr>
          <w:p>
            <w:pPr>
              <w:pStyle w:val="TableContents"/>
              <w:spacing w:before="0" w:after="200"/>
              <w:jc w:val="right"/>
              <w:rPr/>
            </w:pPr>
            <w:r>
              <w:rPr/>
              <w:t>c. 50–c. 135 CE</w:t>
            </w:r>
          </w:p>
        </w:tc>
        <w:tc>
          <w:tcPr>
            <w:tcW w:w="2166" w:type="dxa"/>
            <w:tcBorders/>
            <w:vAlign w:val="center"/>
          </w:tcPr>
          <w:p>
            <w:pPr>
              <w:pStyle w:val="TableContents"/>
              <w:widowControl w:val="false"/>
              <w:suppressLineNumbers/>
              <w:spacing w:before="0" w:after="200"/>
              <w:rPr/>
            </w:pPr>
            <w:r>
              <w:rPr/>
              <w:t>Stoic school at Nicopolis; formerly taught in Rome</w:t>
            </w:r>
          </w:p>
        </w:tc>
        <w:tc>
          <w:tcPr>
            <w:tcW w:w="4238" w:type="dxa"/>
            <w:tcBorders/>
            <w:vAlign w:val="center"/>
          </w:tcPr>
          <w:p>
            <w:pPr>
              <w:pStyle w:val="TableContents"/>
              <w:widowControl w:val="false"/>
              <w:suppressLineNumbers/>
              <w:spacing w:before="0" w:after="200"/>
              <w:rPr/>
            </w:pPr>
            <w:r>
              <w:rPr/>
              <w:t xml:space="preserve">Emphasized volition, moral freedom, the disciplined use of impressions, and the distinction between what is and is not “up to us.” His teachings were recorded by his student Arrian. </w:t>
            </w:r>
            <w:hyperlink r:id="rId154">
              <w:r>
                <w:rPr>
                  <w:rStyle w:val="Hyperlink"/>
                </w:rPr>
                <w:t>Stanford Encyclopedia of Philosophy</w:t>
              </w:r>
            </w:hyperlink>
          </w:p>
        </w:tc>
      </w:tr>
      <w:tr>
        <w:trPr/>
        <w:tc>
          <w:tcPr>
            <w:tcW w:w="1442" w:type="dxa"/>
            <w:tcBorders/>
            <w:vAlign w:val="center"/>
          </w:tcPr>
          <w:p>
            <w:pPr>
              <w:pStyle w:val="TableContents"/>
              <w:widowControl w:val="false"/>
              <w:suppressLineNumbers/>
              <w:spacing w:before="0" w:after="200"/>
              <w:rPr/>
            </w:pPr>
            <w:r>
              <w:rPr>
                <w:rStyle w:val="Strong"/>
              </w:rPr>
              <w:t>Marcus Aurelius</w:t>
            </w:r>
          </w:p>
        </w:tc>
        <w:tc>
          <w:tcPr>
            <w:tcW w:w="794" w:type="dxa"/>
            <w:tcBorders/>
            <w:vAlign w:val="center"/>
          </w:tcPr>
          <w:p>
            <w:pPr>
              <w:pStyle w:val="TableContents"/>
              <w:spacing w:before="0" w:after="200"/>
              <w:jc w:val="right"/>
              <w:rPr/>
            </w:pPr>
            <w:r>
              <w:rPr/>
              <w:t>121–180 CE</w:t>
            </w:r>
          </w:p>
        </w:tc>
        <w:tc>
          <w:tcPr>
            <w:tcW w:w="2166" w:type="dxa"/>
            <w:tcBorders/>
            <w:vAlign w:val="center"/>
          </w:tcPr>
          <w:p>
            <w:pPr>
              <w:pStyle w:val="TableContents"/>
              <w:widowControl w:val="false"/>
              <w:suppressLineNumbers/>
              <w:spacing w:before="0" w:after="200"/>
              <w:rPr/>
            </w:pPr>
            <w:r>
              <w:rPr/>
              <w:t>Roman imperial administration; Roman Emperor, 161–180 CE</w:t>
            </w:r>
          </w:p>
        </w:tc>
        <w:tc>
          <w:tcPr>
            <w:tcW w:w="4238" w:type="dxa"/>
            <w:tcBorders/>
            <w:vAlign w:val="center"/>
          </w:tcPr>
          <w:p>
            <w:pPr>
              <w:pStyle w:val="TableContents"/>
              <w:widowControl w:val="false"/>
              <w:suppressLineNumbers/>
              <w:spacing w:before="0" w:after="200"/>
              <w:rPr/>
            </w:pPr>
            <w:r>
              <w:rPr/>
              <w:t xml:space="preserve">Applied Stoic practices to public duty, self-governance, mortality, social cooperation, and leadership under uncertainty. His </w:t>
            </w:r>
            <w:r>
              <w:rPr>
                <w:rStyle w:val="Emphasis"/>
              </w:rPr>
              <w:t>Meditations</w:t>
            </w:r>
            <w:r>
              <w:rPr/>
              <w:t xml:space="preserve"> record an ongoing practice of ethical self-correction influenced particularly by Epictetus. </w:t>
            </w:r>
            <w:hyperlink r:id="rId155">
              <w:r>
                <w:rPr>
                  <w:rStyle w:val="Hyperlink"/>
                </w:rPr>
                <w:t>Stanford Encyclopedia of Philosophy</w:t>
              </w:r>
            </w:hyperlink>
          </w:p>
        </w:tc>
      </w:tr>
    </w:tbl>
    <w:p>
      <w:pPr>
        <w:pStyle w:val="Heading4"/>
        <w:ind w:hanging="0" w:left="0"/>
        <w:rPr>
          <w:rFonts w:ascii="Aptos" w:hAnsi="Aptos"/>
          <w:color w:val="auto"/>
        </w:rPr>
      </w:pPr>
      <w:r>
        <w:rPr/>
        <w:t>Core Assumptions</w:t>
      </w:r>
    </w:p>
    <w:p>
      <w:pPr>
        <w:pStyle w:val="BodyText"/>
        <w:spacing w:before="0" w:after="200"/>
        <w:rPr/>
      </w:pPr>
      <w:r>
        <w:rPr/>
        <w:t>Stoicism developed across several centuries, and individual Stoics did not agree on every question. Its principal ethical assumptions generally include the following:</w:t>
      </w:r>
    </w:p>
    <w:p>
      <w:pPr>
        <w:pStyle w:val="BodyText"/>
        <w:numPr>
          <w:ilvl w:val="0"/>
          <w:numId w:val="65"/>
        </w:numPr>
        <w:tabs>
          <w:tab w:val="clear" w:pos="720"/>
          <w:tab w:val="left" w:pos="0" w:leader="none"/>
        </w:tabs>
        <w:spacing w:before="0" w:after="200"/>
        <w:ind w:hanging="283" w:left="709"/>
        <w:rPr/>
      </w:pPr>
      <w:r>
        <w:rPr>
          <w:rStyle w:val="Strong"/>
        </w:rPr>
        <w:t>The goal of life is eudaimonia.</w:t>
      </w:r>
      <w:r>
        <w:rPr/>
        <w:t xml:space="preserve"> This is better understood as flourishing or living well than as a temporary feeling of happiness.</w:t>
      </w:r>
    </w:p>
    <w:p>
      <w:pPr>
        <w:pStyle w:val="BodyText"/>
        <w:numPr>
          <w:ilvl w:val="0"/>
          <w:numId w:val="65"/>
        </w:numPr>
        <w:tabs>
          <w:tab w:val="clear" w:pos="720"/>
          <w:tab w:val="left" w:pos="0" w:leader="none"/>
        </w:tabs>
        <w:spacing w:before="0" w:after="200"/>
        <w:ind w:hanging="283" w:left="709"/>
        <w:rPr/>
      </w:pPr>
      <w:r>
        <w:rPr>
          <w:rStyle w:val="Strong"/>
        </w:rPr>
        <w:t>Virtue is the only unconditional good.</w:t>
      </w:r>
      <w:r>
        <w:rPr/>
        <w:t xml:space="preserve"> Wisdom, justice, courage, and moderation are traditionally treated as the cardinal virtues. Vice is the only genuine moral evil.</w:t>
      </w:r>
    </w:p>
    <w:p>
      <w:pPr>
        <w:pStyle w:val="BodyText"/>
        <w:numPr>
          <w:ilvl w:val="0"/>
          <w:numId w:val="65"/>
        </w:numPr>
        <w:tabs>
          <w:tab w:val="clear" w:pos="720"/>
          <w:tab w:val="left" w:pos="0" w:leader="none"/>
        </w:tabs>
        <w:spacing w:before="0" w:after="200"/>
        <w:ind w:hanging="283" w:left="709"/>
        <w:rPr/>
      </w:pPr>
      <w:r>
        <w:rPr>
          <w:rStyle w:val="Strong"/>
        </w:rPr>
        <w:t>Virtue is necessary and sufficient for flourishing.</w:t>
      </w:r>
      <w:r>
        <w:rPr/>
        <w:t xml:space="preserve"> External success cannot make a vicious agent flourish in the fullest moral sense, while external misfortune cannot deprive a genuinely virtuous agent of moral flourishing.</w:t>
      </w:r>
    </w:p>
    <w:p>
      <w:pPr>
        <w:pStyle w:val="BodyText"/>
        <w:numPr>
          <w:ilvl w:val="0"/>
          <w:numId w:val="65"/>
        </w:numPr>
        <w:tabs>
          <w:tab w:val="clear" w:pos="720"/>
          <w:tab w:val="left" w:pos="0" w:leader="none"/>
        </w:tabs>
        <w:spacing w:before="0" w:after="200"/>
        <w:ind w:hanging="283" w:left="709"/>
        <w:rPr/>
      </w:pPr>
      <w:r>
        <w:rPr>
          <w:rStyle w:val="Strong"/>
        </w:rPr>
        <w:t>Virtue is rational excellence.</w:t>
      </w:r>
      <w:r>
        <w:rPr/>
        <w:t xml:space="preserve"> Moral failure results from errors in judgment about what is genuinely good, bad, necessary, or worth fearing.</w:t>
      </w:r>
    </w:p>
    <w:p>
      <w:pPr>
        <w:pStyle w:val="BodyText"/>
        <w:numPr>
          <w:ilvl w:val="0"/>
          <w:numId w:val="65"/>
        </w:numPr>
        <w:tabs>
          <w:tab w:val="clear" w:pos="720"/>
          <w:tab w:val="left" w:pos="0" w:leader="none"/>
        </w:tabs>
        <w:spacing w:before="0" w:after="200"/>
        <w:ind w:hanging="283" w:left="709"/>
        <w:rPr/>
      </w:pPr>
      <w:r>
        <w:rPr>
          <w:rStyle w:val="Strong"/>
        </w:rPr>
        <w:t>Humans should live in agreement with nature.</w:t>
      </w:r>
      <w:r>
        <w:rPr/>
        <w:t xml:space="preserve"> For classical Stoics, this means aligning one’s rational agency with human nature, social nature, and the rational order of the wider cosmos.</w:t>
      </w:r>
    </w:p>
    <w:p>
      <w:pPr>
        <w:pStyle w:val="BodyText"/>
        <w:numPr>
          <w:ilvl w:val="0"/>
          <w:numId w:val="65"/>
        </w:numPr>
        <w:tabs>
          <w:tab w:val="clear" w:pos="720"/>
          <w:tab w:val="left" w:pos="0" w:leader="none"/>
        </w:tabs>
        <w:spacing w:before="0" w:after="200"/>
        <w:ind w:hanging="283" w:left="709"/>
        <w:rPr/>
      </w:pPr>
      <w:r>
        <w:rPr>
          <w:rStyle w:val="Strong"/>
        </w:rPr>
        <w:t>External conditions are “indifferents” with respect to virtue.</w:t>
      </w:r>
      <w:r>
        <w:rPr/>
        <w:t xml:space="preserve"> Health, wealth, reputation, pleasure, pain, social status, and even life and death are not morally good or evil in themselves.</w:t>
      </w:r>
    </w:p>
    <w:p>
      <w:pPr>
        <w:pStyle w:val="BodyText"/>
        <w:numPr>
          <w:ilvl w:val="0"/>
          <w:numId w:val="65"/>
        </w:numPr>
        <w:tabs>
          <w:tab w:val="clear" w:pos="720"/>
          <w:tab w:val="left" w:pos="0" w:leader="none"/>
        </w:tabs>
        <w:spacing w:before="0" w:after="200"/>
        <w:ind w:hanging="283" w:left="709"/>
        <w:rPr/>
      </w:pPr>
      <w:r>
        <w:rPr>
          <w:rStyle w:val="Strong"/>
        </w:rPr>
        <w:t>Indifferents can still be preferred or dispreferred.</w:t>
      </w:r>
      <w:r>
        <w:rPr/>
        <w:t xml:space="preserve"> Health, education, security, and adequate resources normally have legitimate planning value and should usually be selected over illness, ignorance, danger, or deprivation. Calling them “indifferent” does not mean that a Stoic should make no effort to secure them. </w:t>
      </w:r>
      <w:hyperlink r:id="rId156">
        <w:r>
          <w:rPr>
            <w:rStyle w:val="Hyperlink"/>
          </w:rPr>
          <w:t>Stanford Encyclopedia of Philosophy</w:t>
        </w:r>
      </w:hyperlink>
    </w:p>
    <w:p>
      <w:pPr>
        <w:pStyle w:val="BodyText"/>
        <w:numPr>
          <w:ilvl w:val="0"/>
          <w:numId w:val="65"/>
        </w:numPr>
        <w:tabs>
          <w:tab w:val="clear" w:pos="720"/>
          <w:tab w:val="left" w:pos="0" w:leader="none"/>
        </w:tabs>
        <w:spacing w:before="0" w:after="200"/>
        <w:ind w:hanging="283" w:left="709"/>
        <w:rPr/>
      </w:pPr>
      <w:r>
        <w:rPr>
          <w:rStyle w:val="Strong"/>
        </w:rPr>
        <w:t>Moral agency concerns the use made of circumstances.</w:t>
      </w:r>
      <w:r>
        <w:rPr/>
        <w:t xml:space="preserve"> Especially in Epictetus, an agent’s judgments, assent, intentions, and choices are “up to” the agent in a way that external events and final results are not.</w:t>
      </w:r>
    </w:p>
    <w:p>
      <w:pPr>
        <w:pStyle w:val="BodyText"/>
        <w:numPr>
          <w:ilvl w:val="0"/>
          <w:numId w:val="65"/>
        </w:numPr>
        <w:tabs>
          <w:tab w:val="clear" w:pos="720"/>
          <w:tab w:val="left" w:pos="0" w:leader="none"/>
        </w:tabs>
        <w:spacing w:before="0" w:after="200"/>
        <w:ind w:hanging="283" w:left="709"/>
        <w:rPr/>
      </w:pPr>
      <w:r>
        <w:rPr>
          <w:rStyle w:val="Strong"/>
        </w:rPr>
        <w:t>Impressions should be examined before assent.</w:t>
      </w:r>
      <w:r>
        <w:rPr/>
        <w:t xml:space="preserve"> An initial appearance, impulse, or emotional reaction should not automatically be accepted as an accurate judgment about reality.</w:t>
      </w:r>
    </w:p>
    <w:p>
      <w:pPr>
        <w:pStyle w:val="BodyText"/>
        <w:numPr>
          <w:ilvl w:val="0"/>
          <w:numId w:val="65"/>
        </w:numPr>
        <w:tabs>
          <w:tab w:val="clear" w:pos="720"/>
          <w:tab w:val="left" w:pos="0" w:leader="none"/>
        </w:tabs>
        <w:spacing w:before="0" w:after="200"/>
        <w:ind w:hanging="283" w:left="709"/>
        <w:rPr/>
      </w:pPr>
      <w:r>
        <w:rPr>
          <w:rStyle w:val="Strong"/>
        </w:rPr>
        <w:t>Emotions have cognitive content.</w:t>
      </w:r>
      <w:r>
        <w:rPr/>
        <w:t xml:space="preserve"> Destructive passions commonly involve false or exaggerated judgments about external goods and evils.</w:t>
      </w:r>
    </w:p>
    <w:p>
      <w:pPr>
        <w:pStyle w:val="BodyText"/>
        <w:numPr>
          <w:ilvl w:val="0"/>
          <w:numId w:val="65"/>
        </w:numPr>
        <w:tabs>
          <w:tab w:val="clear" w:pos="720"/>
          <w:tab w:val="left" w:pos="0" w:leader="none"/>
        </w:tabs>
        <w:spacing w:before="0" w:after="200"/>
        <w:ind w:hanging="283" w:left="709"/>
        <w:rPr/>
      </w:pPr>
      <w:r>
        <w:rPr>
          <w:rStyle w:val="Strong"/>
        </w:rPr>
        <w:t>Stoic emotional discipline is not the elimination of all feeling.</w:t>
      </w:r>
      <w:r>
        <w:rPr/>
        <w:t xml:space="preserve"> Stoic </w:t>
      </w:r>
      <w:r>
        <w:rPr>
          <w:rStyle w:val="Emphasis"/>
        </w:rPr>
        <w:t>apatheia</w:t>
      </w:r>
      <w:r>
        <w:rPr/>
        <w:t xml:space="preserve"> refers to freedom from disordered passions rather than numbness. Classical Stoicism recognizes appropriate forms of joy, caution, concern, and rational desire.</w:t>
      </w:r>
    </w:p>
    <w:p>
      <w:pPr>
        <w:pStyle w:val="BodyText"/>
        <w:numPr>
          <w:ilvl w:val="0"/>
          <w:numId w:val="65"/>
        </w:numPr>
        <w:tabs>
          <w:tab w:val="clear" w:pos="720"/>
          <w:tab w:val="left" w:pos="0" w:leader="none"/>
        </w:tabs>
        <w:spacing w:before="0" w:after="200"/>
        <w:ind w:hanging="283" w:left="709"/>
        <w:rPr/>
      </w:pPr>
      <w:r>
        <w:rPr>
          <w:rStyle w:val="Strong"/>
        </w:rPr>
        <w:t>Appropriate action depends on roles and relationships.</w:t>
      </w:r>
      <w:r>
        <w:rPr/>
        <w:t xml:space="preserve"> Family membership, citizenship, profession, public authority, friendship, and other roles can create context-specific duties or appropriate functions.</w:t>
      </w:r>
    </w:p>
    <w:p>
      <w:pPr>
        <w:pStyle w:val="BodyText"/>
        <w:numPr>
          <w:ilvl w:val="0"/>
          <w:numId w:val="65"/>
        </w:numPr>
        <w:tabs>
          <w:tab w:val="clear" w:pos="720"/>
          <w:tab w:val="left" w:pos="0" w:leader="none"/>
        </w:tabs>
        <w:spacing w:before="0" w:after="200"/>
        <w:ind w:hanging="283" w:left="709"/>
        <w:rPr/>
      </w:pPr>
      <w:r>
        <w:rPr>
          <w:rStyle w:val="Strong"/>
        </w:rPr>
        <w:t>Human beings are naturally social.</w:t>
      </w:r>
      <w:r>
        <w:rPr/>
        <w:t xml:space="preserve"> Justice and cooperation are not optional additions to private resilience. A good life includes acting appropriately toward other members of the human community.</w:t>
      </w:r>
    </w:p>
    <w:p>
      <w:pPr>
        <w:pStyle w:val="BodyText"/>
        <w:numPr>
          <w:ilvl w:val="0"/>
          <w:numId w:val="65"/>
        </w:numPr>
        <w:tabs>
          <w:tab w:val="clear" w:pos="720"/>
          <w:tab w:val="left" w:pos="0" w:leader="none"/>
        </w:tabs>
        <w:spacing w:before="0" w:after="200"/>
        <w:ind w:hanging="283" w:left="709"/>
        <w:rPr/>
      </w:pPr>
      <w:r>
        <w:rPr>
          <w:rStyle w:val="Strong"/>
        </w:rPr>
        <w:t>Moral concern should expand outward.</w:t>
      </w:r>
      <w:r>
        <w:rPr/>
        <w:t xml:space="preserve"> The Stoic concepts of </w:t>
      </w:r>
      <w:r>
        <w:rPr>
          <w:rStyle w:val="Emphasis"/>
        </w:rPr>
        <w:t>oikeiōsis</w:t>
      </w:r>
      <w:r>
        <w:rPr/>
        <w:t>, affiliation, and cosmopolitanism support the progressive recognition of others as belonging within a shared moral community.</w:t>
      </w:r>
    </w:p>
    <w:p>
      <w:pPr>
        <w:pStyle w:val="BodyText"/>
        <w:numPr>
          <w:ilvl w:val="0"/>
          <w:numId w:val="65"/>
        </w:numPr>
        <w:tabs>
          <w:tab w:val="clear" w:pos="720"/>
          <w:tab w:val="left" w:pos="0" w:leader="none"/>
        </w:tabs>
        <w:spacing w:before="0" w:after="200"/>
        <w:ind w:hanging="283" w:left="709"/>
        <w:rPr/>
      </w:pPr>
      <w:r>
        <w:rPr>
          <w:rStyle w:val="Strong"/>
        </w:rPr>
        <w:t>The agent should distinguish effort from outcome.</w:t>
      </w:r>
      <w:r>
        <w:rPr/>
        <w:t xml:space="preserve"> An agent can control the quality of deliberation and action more directly than the eventual result.</w:t>
      </w:r>
    </w:p>
    <w:p>
      <w:pPr>
        <w:pStyle w:val="BodyText"/>
        <w:numPr>
          <w:ilvl w:val="0"/>
          <w:numId w:val="65"/>
        </w:numPr>
        <w:tabs>
          <w:tab w:val="clear" w:pos="720"/>
          <w:tab w:val="left" w:pos="0" w:leader="none"/>
        </w:tabs>
        <w:spacing w:before="0" w:after="200"/>
        <w:ind w:hanging="283" w:left="709"/>
        <w:rPr/>
      </w:pPr>
      <w:r>
        <w:rPr>
          <w:rStyle w:val="Strong"/>
        </w:rPr>
        <w:t>Goals should be pursued with a reservation concerning external success.</w:t>
      </w:r>
      <w:r>
        <w:rPr/>
        <w:t xml:space="preserve"> An agent should act competently toward a preferred outcome while recognizing that circumstances outside the agent’s control may prevent it.</w:t>
      </w:r>
    </w:p>
    <w:p>
      <w:pPr>
        <w:pStyle w:val="BodyText"/>
        <w:numPr>
          <w:ilvl w:val="0"/>
          <w:numId w:val="65"/>
        </w:numPr>
        <w:tabs>
          <w:tab w:val="clear" w:pos="720"/>
          <w:tab w:val="left" w:pos="0" w:leader="none"/>
        </w:tabs>
        <w:spacing w:before="0" w:after="200"/>
        <w:ind w:hanging="283" w:left="709"/>
        <w:rPr/>
      </w:pPr>
      <w:r>
        <w:rPr>
          <w:rStyle w:val="Strong"/>
        </w:rPr>
        <w:t>Adversity provides material for virtue.</w:t>
      </w:r>
      <w:r>
        <w:rPr/>
        <w:t xml:space="preserve"> Difficulty can become an occasion for courage, justice, patience, disciplined judgment, and adaptive action.</w:t>
      </w:r>
    </w:p>
    <w:p>
      <w:pPr>
        <w:pStyle w:val="BodyText"/>
        <w:numPr>
          <w:ilvl w:val="0"/>
          <w:numId w:val="65"/>
        </w:numPr>
        <w:tabs>
          <w:tab w:val="clear" w:pos="720"/>
          <w:tab w:val="left" w:pos="0" w:leader="none"/>
        </w:tabs>
        <w:spacing w:before="0" w:after="200"/>
        <w:ind w:hanging="283" w:left="709"/>
        <w:rPr/>
      </w:pPr>
      <w:r>
        <w:rPr>
          <w:rStyle w:val="Strong"/>
        </w:rPr>
        <w:t>Ethics requires repeated practice.</w:t>
      </w:r>
      <w:r>
        <w:rPr/>
        <w:t xml:space="preserve"> Reflection, examination of impressions, anticipation of difficulties, review of conduct, and correction of judgment are central to moral development.</w:t>
      </w:r>
    </w:p>
    <w:p>
      <w:pPr>
        <w:pStyle w:val="BodyText"/>
        <w:numPr>
          <w:ilvl w:val="0"/>
          <w:numId w:val="65"/>
        </w:numPr>
        <w:tabs>
          <w:tab w:val="clear" w:pos="720"/>
          <w:tab w:val="left" w:pos="0" w:leader="none"/>
        </w:tabs>
        <w:spacing w:before="0" w:after="200"/>
        <w:ind w:hanging="283" w:left="709"/>
        <w:rPr/>
      </w:pPr>
      <w:r>
        <w:rPr>
          <w:rStyle w:val="Strong"/>
        </w:rPr>
        <w:t>Classical Stoicism generally assumes an ordered and causally determined cosmos.</w:t>
      </w:r>
      <w:r>
        <w:rPr/>
        <w:t xml:space="preserve"> Human responsibility is nevertheless preserved through the agent’s rational participation in events, particularly through judgment and assent.</w:t>
      </w:r>
    </w:p>
    <w:p>
      <w:pPr>
        <w:pStyle w:val="Heading4"/>
        <w:ind w:hanging="0" w:left="0"/>
        <w:rPr>
          <w:rFonts w:ascii="Aptos" w:hAnsi="Aptos"/>
          <w:color w:val="auto"/>
        </w:rPr>
      </w:pPr>
      <w:r>
        <w:rPr/>
        <w:t>Relationship to This Framework</w:t>
      </w:r>
    </w:p>
    <w:p>
      <w:pPr>
        <w:pStyle w:val="BodyText"/>
        <w:spacing w:before="0" w:after="200"/>
        <w:rPr/>
      </w:pPr>
      <w:r>
        <w:rPr/>
        <w:t>Stoicism and this framework share a concern with the development of moral agents capable of acting consistently under changing and uncertain conditions. Both distinguish between external effects and the internal factors relevant to responsibility, including knowledge, intention, judgment, alternatives, authority, and foreseeability.</w:t>
      </w:r>
    </w:p>
    <w:p>
      <w:pPr>
        <w:pStyle w:val="BodyText"/>
        <w:spacing w:before="0" w:after="200"/>
        <w:rPr/>
      </w:pPr>
      <w:r>
        <w:rPr/>
        <w:t>The framework’s focus on adaptive moral development is particularly compatible with Stoicism. Stoic virtue can be understood as a stable, self-correcting policy for interpreting information, selecting objectives, managing impulses, and responding to changing circumstances. The framework’s Distributed Policy Effects extend this analysis by examining how one agent’s conduct influences the future policies of other agents, institutions, observers, and artificial systems.</w:t>
      </w:r>
    </w:p>
    <w:p>
      <w:pPr>
        <w:pStyle w:val="BodyText"/>
        <w:spacing w:before="0" w:after="200"/>
        <w:rPr/>
      </w:pPr>
      <w:r>
        <w:rPr/>
        <w:t>The Stoic distinction between what is and is not within an agent’s control also corresponds to several elements of the framework:</w:t>
      </w:r>
    </w:p>
    <w:p>
      <w:pPr>
        <w:pStyle w:val="BodyText"/>
        <w:numPr>
          <w:ilvl w:val="0"/>
          <w:numId w:val="66"/>
        </w:numPr>
        <w:tabs>
          <w:tab w:val="clear" w:pos="720"/>
          <w:tab w:val="left" w:pos="0" w:leader="none"/>
        </w:tabs>
        <w:spacing w:before="0" w:after="200"/>
        <w:ind w:hanging="283" w:left="709"/>
        <w:rPr/>
      </w:pPr>
      <w:r>
        <w:rPr/>
        <w:t>The actor’s The actor’s authority to intervene;</w:t>
      </w:r>
    </w:p>
    <w:p>
      <w:pPr>
        <w:pStyle w:val="BodyText"/>
        <w:numPr>
          <w:ilvl w:val="0"/>
          <w:numId w:val="66"/>
        </w:numPr>
        <w:tabs>
          <w:tab w:val="clear" w:pos="720"/>
          <w:tab w:val="left" w:pos="0" w:leader="none"/>
        </w:tabs>
        <w:spacing w:before="0" w:after="200"/>
        <w:ind w:hanging="283" w:left="709"/>
        <w:rPr/>
      </w:pPr>
      <w:r>
        <w:rPr/>
        <w:t>The alternatives actually available;</w:t>
      </w:r>
    </w:p>
    <w:p>
      <w:pPr>
        <w:pStyle w:val="BodyText"/>
        <w:numPr>
          <w:ilvl w:val="0"/>
          <w:numId w:val="66"/>
        </w:numPr>
        <w:tabs>
          <w:tab w:val="clear" w:pos="720"/>
          <w:tab w:val="left" w:pos="0" w:leader="none"/>
        </w:tabs>
        <w:spacing w:before="0" w:after="200"/>
        <w:ind w:hanging="283" w:left="709"/>
        <w:rPr/>
      </w:pPr>
      <w:r>
        <w:rPr/>
        <w:t>The information reasonably accessible;</w:t>
      </w:r>
    </w:p>
    <w:p>
      <w:pPr>
        <w:pStyle w:val="BodyText"/>
        <w:numPr>
          <w:ilvl w:val="0"/>
          <w:numId w:val="66"/>
        </w:numPr>
        <w:tabs>
          <w:tab w:val="clear" w:pos="720"/>
          <w:tab w:val="left" w:pos="0" w:leader="none"/>
        </w:tabs>
        <w:spacing w:before="0" w:after="200"/>
        <w:ind w:hanging="283" w:left="709"/>
        <w:rPr/>
      </w:pPr>
      <w:r>
        <w:rPr/>
        <w:t>The actor’s capacity to influence an outcome;</w:t>
      </w:r>
    </w:p>
    <w:p>
      <w:pPr>
        <w:pStyle w:val="BodyText"/>
        <w:numPr>
          <w:ilvl w:val="0"/>
          <w:numId w:val="66"/>
        </w:numPr>
        <w:tabs>
          <w:tab w:val="clear" w:pos="720"/>
          <w:tab w:val="left" w:pos="0" w:leader="none"/>
        </w:tabs>
        <w:spacing w:before="0" w:after="200"/>
        <w:ind w:hanging="283" w:left="709"/>
        <w:rPr/>
      </w:pPr>
      <w:r>
        <w:rPr/>
        <w:t>The difference between intended and actual effects; and</w:t>
      </w:r>
    </w:p>
    <w:p>
      <w:pPr>
        <w:pStyle w:val="BodyText"/>
        <w:numPr>
          <w:ilvl w:val="0"/>
          <w:numId w:val="66"/>
        </w:numPr>
        <w:tabs>
          <w:tab w:val="clear" w:pos="720"/>
          <w:tab w:val="left" w:pos="0" w:leader="none"/>
        </w:tabs>
        <w:spacing w:before="0" w:after="200"/>
        <w:ind w:hanging="283" w:left="709"/>
        <w:rPr/>
      </w:pPr>
      <w:r>
        <w:rPr/>
        <w:t>The separation of causal contribution from moral responsibility.</w:t>
      </w:r>
    </w:p>
    <w:p>
      <w:pPr>
        <w:pStyle w:val="BodyText"/>
        <w:spacing w:before="0" w:after="200"/>
        <w:rPr/>
      </w:pPr>
      <w:r>
        <w:rPr/>
        <w:t>The framework’s World Context also resembles the Stoic practice of viewing an action as part of a larger whole. Both approaches discourage an agent from evaluating events solely through immediate personal advantage. Stoic cosmopolitanism and justice further support widening the scope of concern beyond the actor’s local objectives.</w:t>
      </w:r>
    </w:p>
    <w:p>
      <w:pPr>
        <w:pStyle w:val="BodyText"/>
        <w:spacing w:before="0" w:after="200"/>
        <w:rPr/>
      </w:pPr>
      <w:r>
        <w:rPr/>
        <w:t>A fundamental difference nevertheless remains. Stoicism locates moral goodness primarily in the virtue of the agent’s rational choice. This framework evaluates the complete World Context Transition and gives independent importance to changes in the flourishing and future possibilities of affected entities. A well-intentioned and carefully reasoned action that causes serious harm may preserve the Stoic agent’s virtue if the result was genuinely unforeseeable, but the transition itself can still be ethically adverse under this framework.</w:t>
      </w:r>
    </w:p>
    <w:p>
      <w:pPr>
        <w:pStyle w:val="BodyText"/>
        <w:spacing w:before="0" w:after="200"/>
        <w:rPr/>
      </w:pPr>
      <w:r>
        <w:rPr/>
        <w:t>The framework can accommodate this distinction because it separates the ethical effects of an Assessed Action from the responsibility of a particular actor. It can conclude simultaneously that:</w:t>
      </w:r>
    </w:p>
    <w:p>
      <w:pPr>
        <w:pStyle w:val="BodyText"/>
        <w:numPr>
          <w:ilvl w:val="0"/>
          <w:numId w:val="67"/>
        </w:numPr>
        <w:tabs>
          <w:tab w:val="clear" w:pos="720"/>
          <w:tab w:val="left" w:pos="0" w:leader="none"/>
        </w:tabs>
        <w:spacing w:before="0" w:after="200"/>
        <w:ind w:hanging="283" w:left="709"/>
        <w:rPr/>
      </w:pPr>
      <w:r>
        <w:rPr/>
        <w:t>The action produced a harmful transition;</w:t>
      </w:r>
    </w:p>
    <w:p>
      <w:pPr>
        <w:pStyle w:val="BodyText"/>
        <w:numPr>
          <w:ilvl w:val="0"/>
          <w:numId w:val="67"/>
        </w:numPr>
        <w:tabs>
          <w:tab w:val="clear" w:pos="720"/>
          <w:tab w:val="left" w:pos="0" w:leader="none"/>
        </w:tabs>
        <w:spacing w:before="0" w:after="200"/>
        <w:ind w:hanging="283" w:left="709"/>
        <w:rPr/>
      </w:pPr>
      <w:r>
        <w:rPr/>
        <w:t>The actor used the best available evidence;</w:t>
      </w:r>
    </w:p>
    <w:p>
      <w:pPr>
        <w:pStyle w:val="BodyText"/>
        <w:numPr>
          <w:ilvl w:val="0"/>
          <w:numId w:val="67"/>
        </w:numPr>
        <w:tabs>
          <w:tab w:val="clear" w:pos="720"/>
          <w:tab w:val="left" w:pos="0" w:leader="none"/>
        </w:tabs>
        <w:spacing w:before="0" w:after="200"/>
        <w:ind w:hanging="283" w:left="709"/>
        <w:rPr/>
      </w:pPr>
      <w:r>
        <w:rPr/>
        <w:t>The harm was not reasonably foreseeable;</w:t>
      </w:r>
    </w:p>
    <w:p>
      <w:pPr>
        <w:pStyle w:val="BodyText"/>
        <w:numPr>
          <w:ilvl w:val="0"/>
          <w:numId w:val="67"/>
        </w:numPr>
        <w:tabs>
          <w:tab w:val="clear" w:pos="720"/>
          <w:tab w:val="left" w:pos="0" w:leader="none"/>
        </w:tabs>
        <w:spacing w:before="0" w:after="200"/>
        <w:ind w:hanging="283" w:left="709"/>
        <w:rPr/>
      </w:pPr>
      <w:r>
        <w:rPr/>
        <w:t>The actor’s responsibility is therefore limited; and</w:t>
      </w:r>
    </w:p>
    <w:p>
      <w:pPr>
        <w:pStyle w:val="BodyText"/>
        <w:numPr>
          <w:ilvl w:val="0"/>
          <w:numId w:val="67"/>
        </w:numPr>
        <w:tabs>
          <w:tab w:val="clear" w:pos="720"/>
          <w:tab w:val="left" w:pos="0" w:leader="none"/>
        </w:tabs>
        <w:spacing w:before="0" w:after="200"/>
        <w:ind w:hanging="283" w:left="709"/>
        <w:rPr/>
      </w:pPr>
      <w:r>
        <w:rPr/>
        <w:t>Subsequent corrective action may still be required.</w:t>
      </w:r>
    </w:p>
    <w:p>
      <w:pPr>
        <w:pStyle w:val="BodyText"/>
        <w:spacing w:before="0" w:after="200"/>
        <w:rPr/>
      </w:pPr>
      <w:r>
        <w:rPr/>
        <w:t>A second difference concerns external conditions. The framework treats health, capability, security, resources, relationships, and future state space as substantive dimensions of Long-Term Flourishing. Classical Stoicism treats these as preferred indifferents rather than constituents of moral goodness. The two approaches therefore use “flourishing” differently.</w:t>
      </w:r>
    </w:p>
    <w:p>
      <w:pPr>
        <w:pStyle w:val="BodyText"/>
        <w:spacing w:before="0" w:after="200"/>
        <w:rPr/>
      </w:pPr>
      <w:r>
        <w:rPr/>
        <w:t>A third difference concerns metaphysics. Classical Stoicism grounds ethics in a rationally ordered and providential nature. This framework is implementation-neutral and does not require belief in cosmic providence, divine reason, or strict causal determinism.</w:t>
      </w:r>
    </w:p>
    <w:p>
      <w:pPr>
        <w:pStyle w:val="Heading4"/>
        <w:ind w:hanging="0" w:left="0"/>
        <w:rPr>
          <w:rFonts w:ascii="Aptos" w:hAnsi="Aptos"/>
          <w:color w:val="auto"/>
        </w:rPr>
      </w:pPr>
      <w:r>
        <w:rPr/>
        <w:t>Concepts Adopted or Adapted by This Framework</w:t>
      </w:r>
    </w:p>
    <w:p>
      <w:pPr>
        <w:pStyle w:val="BodyText"/>
        <w:spacing w:before="0" w:after="200"/>
        <w:rPr/>
      </w:pPr>
      <w:r>
        <w:rPr/>
        <w:t>The framework implicitly adopts or can functionally adapt several Stoic concepts.</w:t>
      </w:r>
    </w:p>
    <w:tbl>
      <w:tblPr>
        <w:tblW w:w="8640" w:type="dxa"/>
        <w:jc w:val="left"/>
        <w:tblInd w:w="28" w:type="dxa"/>
        <w:tblLayout w:type="fixed"/>
        <w:tblCellMar>
          <w:top w:w="28" w:type="dxa"/>
          <w:left w:w="28" w:type="dxa"/>
          <w:bottom w:w="28" w:type="dxa"/>
          <w:right w:w="28" w:type="dxa"/>
        </w:tblCellMar>
      </w:tblPr>
      <w:tblGrid>
        <w:gridCol w:w="2598"/>
        <w:gridCol w:w="6042"/>
      </w:tblGrid>
      <w:tr>
        <w:trPr>
          <w:tblHeader w:val="true"/>
        </w:trPr>
        <w:tc>
          <w:tcPr>
            <w:tcW w:w="2598" w:type="dxa"/>
            <w:tcBorders/>
            <w:vAlign w:val="center"/>
          </w:tcPr>
          <w:p>
            <w:pPr>
              <w:pStyle w:val="TableHeading"/>
              <w:suppressLineNumbers/>
              <w:spacing w:before="0" w:after="200"/>
              <w:jc w:val="center"/>
              <w:rPr/>
            </w:pPr>
            <w:r>
              <w:rPr/>
              <w:t>Stoic concept</w:t>
            </w:r>
          </w:p>
        </w:tc>
        <w:tc>
          <w:tcPr>
            <w:tcW w:w="6042" w:type="dxa"/>
            <w:tcBorders/>
            <w:vAlign w:val="center"/>
          </w:tcPr>
          <w:p>
            <w:pPr>
              <w:pStyle w:val="TableHeading"/>
              <w:suppressLineNumbers/>
              <w:spacing w:before="0" w:after="200"/>
              <w:jc w:val="center"/>
              <w:rPr/>
            </w:pPr>
            <w:r>
              <w:rPr/>
              <w:t>Adoption or adaptation within this framework</w:t>
            </w:r>
          </w:p>
        </w:tc>
      </w:tr>
      <w:tr>
        <w:trPr/>
        <w:tc>
          <w:tcPr>
            <w:tcW w:w="2598" w:type="dxa"/>
            <w:tcBorders/>
            <w:vAlign w:val="center"/>
          </w:tcPr>
          <w:p>
            <w:pPr>
              <w:pStyle w:val="TableContents"/>
              <w:widowControl w:val="false"/>
              <w:suppressLineNumbers/>
              <w:spacing w:before="0" w:after="200"/>
              <w:rPr/>
            </w:pPr>
            <w:r>
              <w:rPr>
                <w:rStyle w:val="Strong"/>
              </w:rPr>
              <w:t>Virtue as stable rational character</w:t>
            </w:r>
          </w:p>
        </w:tc>
        <w:tc>
          <w:tcPr>
            <w:tcW w:w="6042" w:type="dxa"/>
            <w:tcBorders/>
            <w:vAlign w:val="center"/>
          </w:tcPr>
          <w:p>
            <w:pPr>
              <w:pStyle w:val="TableContents"/>
              <w:widowControl w:val="false"/>
              <w:suppressLineNumbers/>
              <w:spacing w:before="0" w:after="200"/>
              <w:rPr/>
            </w:pPr>
            <w:r>
              <w:rPr/>
              <w:t>Adaptable as a durable moral-agent policy that consistently governs interpretation, objective selection, and action across contexts.</w:t>
            </w:r>
          </w:p>
        </w:tc>
      </w:tr>
      <w:tr>
        <w:trPr/>
        <w:tc>
          <w:tcPr>
            <w:tcW w:w="2598" w:type="dxa"/>
            <w:tcBorders/>
            <w:vAlign w:val="center"/>
          </w:tcPr>
          <w:p>
            <w:pPr>
              <w:pStyle w:val="TableContents"/>
              <w:widowControl w:val="false"/>
              <w:suppressLineNumbers/>
              <w:spacing w:before="0" w:after="200"/>
              <w:rPr/>
            </w:pPr>
            <w:r>
              <w:rPr>
                <w:rStyle w:val="Strong"/>
              </w:rPr>
              <w:t>Wisdom</w:t>
            </w:r>
          </w:p>
        </w:tc>
        <w:tc>
          <w:tcPr>
            <w:tcW w:w="6042" w:type="dxa"/>
            <w:tcBorders/>
            <w:vAlign w:val="center"/>
          </w:tcPr>
          <w:p>
            <w:pPr>
              <w:pStyle w:val="TableContents"/>
              <w:widowControl w:val="false"/>
              <w:suppressLineNumbers/>
              <w:spacing w:before="0" w:after="200"/>
              <w:rPr/>
            </w:pPr>
            <w:r>
              <w:rPr/>
              <w:t>Reflected in the use of evidence, probability, causal reasoning, multiple horizons, and explicit uncertainty.</w:t>
            </w:r>
          </w:p>
        </w:tc>
      </w:tr>
      <w:tr>
        <w:trPr/>
        <w:tc>
          <w:tcPr>
            <w:tcW w:w="2598" w:type="dxa"/>
            <w:tcBorders/>
            <w:vAlign w:val="center"/>
          </w:tcPr>
          <w:p>
            <w:pPr>
              <w:pStyle w:val="TableContents"/>
              <w:widowControl w:val="false"/>
              <w:suppressLineNumbers/>
              <w:spacing w:before="0" w:after="200"/>
              <w:rPr/>
            </w:pPr>
            <w:r>
              <w:rPr>
                <w:rStyle w:val="Strong"/>
              </w:rPr>
              <w:t>Justice</w:t>
            </w:r>
          </w:p>
        </w:tc>
        <w:tc>
          <w:tcPr>
            <w:tcW w:w="6042" w:type="dxa"/>
            <w:tcBorders/>
            <w:vAlign w:val="center"/>
          </w:tcPr>
          <w:p>
            <w:pPr>
              <w:pStyle w:val="TableContents"/>
              <w:widowControl w:val="false"/>
              <w:suppressLineNumbers/>
              <w:spacing w:before="0" w:after="200"/>
              <w:rPr/>
            </w:pPr>
            <w:r>
              <w:rPr/>
              <w:t>Reflected in the requirement to include effects on other relevant entities rather than treating the actor’s objectives as decisive.</w:t>
            </w:r>
          </w:p>
        </w:tc>
      </w:tr>
      <w:tr>
        <w:trPr/>
        <w:tc>
          <w:tcPr>
            <w:tcW w:w="2598" w:type="dxa"/>
            <w:tcBorders/>
            <w:vAlign w:val="center"/>
          </w:tcPr>
          <w:p>
            <w:pPr>
              <w:pStyle w:val="TableContents"/>
              <w:widowControl w:val="false"/>
              <w:suppressLineNumbers/>
              <w:spacing w:before="0" w:after="200"/>
              <w:rPr/>
            </w:pPr>
            <w:r>
              <w:rPr>
                <w:rStyle w:val="Strong"/>
              </w:rPr>
              <w:t>Courage</w:t>
            </w:r>
          </w:p>
        </w:tc>
        <w:tc>
          <w:tcPr>
            <w:tcW w:w="6042" w:type="dxa"/>
            <w:tcBorders/>
            <w:vAlign w:val="center"/>
          </w:tcPr>
          <w:p>
            <w:pPr>
              <w:pStyle w:val="TableContents"/>
              <w:widowControl w:val="false"/>
              <w:suppressLineNumbers/>
              <w:spacing w:before="0" w:after="200"/>
              <w:rPr/>
            </w:pPr>
            <w:r>
              <w:rPr/>
              <w:t>Representable as willingness to perform a justified action despite fear, cost, uncertainty, or social pressure.</w:t>
            </w:r>
          </w:p>
        </w:tc>
      </w:tr>
      <w:tr>
        <w:trPr/>
        <w:tc>
          <w:tcPr>
            <w:tcW w:w="2598" w:type="dxa"/>
            <w:tcBorders/>
            <w:vAlign w:val="center"/>
          </w:tcPr>
          <w:p>
            <w:pPr>
              <w:pStyle w:val="TableContents"/>
              <w:widowControl w:val="false"/>
              <w:suppressLineNumbers/>
              <w:spacing w:before="0" w:after="200"/>
              <w:rPr/>
            </w:pPr>
            <w:r>
              <w:rPr>
                <w:rStyle w:val="Strong"/>
              </w:rPr>
              <w:t>Moderation</w:t>
            </w:r>
          </w:p>
        </w:tc>
        <w:tc>
          <w:tcPr>
            <w:tcW w:w="6042" w:type="dxa"/>
            <w:tcBorders/>
            <w:vAlign w:val="center"/>
          </w:tcPr>
          <w:p>
            <w:pPr>
              <w:pStyle w:val="TableContents"/>
              <w:widowControl w:val="false"/>
              <w:suppressLineNumbers/>
              <w:spacing w:before="0" w:after="200"/>
              <w:rPr/>
            </w:pPr>
            <w:r>
              <w:rPr/>
              <w:t>Representable as constraint of excessive, impulsive, or narrowly self-interested objectives.</w:t>
            </w:r>
          </w:p>
        </w:tc>
      </w:tr>
      <w:tr>
        <w:trPr/>
        <w:tc>
          <w:tcPr>
            <w:tcW w:w="2598" w:type="dxa"/>
            <w:tcBorders/>
            <w:vAlign w:val="center"/>
          </w:tcPr>
          <w:p>
            <w:pPr>
              <w:pStyle w:val="TableContents"/>
              <w:widowControl w:val="false"/>
              <w:suppressLineNumbers/>
              <w:spacing w:before="0" w:after="200"/>
              <w:rPr/>
            </w:pPr>
            <w:r>
              <w:rPr>
                <w:rStyle w:val="Strong"/>
              </w:rPr>
              <w:t>What is “up to us”</w:t>
            </w:r>
          </w:p>
        </w:tc>
        <w:tc>
          <w:tcPr>
            <w:tcW w:w="6042" w:type="dxa"/>
            <w:tcBorders/>
            <w:vAlign w:val="center"/>
          </w:tcPr>
          <w:p>
            <w:pPr>
              <w:pStyle w:val="TableContents"/>
              <w:widowControl w:val="false"/>
              <w:suppressLineNumbers/>
              <w:spacing w:before="0" w:after="200"/>
              <w:rPr/>
            </w:pPr>
            <w:r>
              <w:rPr/>
              <w:t>Adapted through analysis of authority, capability, controllability, knowledge, and available alternatives.</w:t>
            </w:r>
          </w:p>
        </w:tc>
      </w:tr>
      <w:tr>
        <w:trPr/>
        <w:tc>
          <w:tcPr>
            <w:tcW w:w="2598" w:type="dxa"/>
            <w:tcBorders/>
            <w:vAlign w:val="center"/>
          </w:tcPr>
          <w:p>
            <w:pPr>
              <w:pStyle w:val="TableContents"/>
              <w:widowControl w:val="false"/>
              <w:suppressLineNumbers/>
              <w:spacing w:before="0" w:after="200"/>
              <w:rPr/>
            </w:pPr>
            <w:r>
              <w:rPr>
                <w:rStyle w:val="Strong"/>
              </w:rPr>
              <w:t>Impression and assent</w:t>
            </w:r>
          </w:p>
        </w:tc>
        <w:tc>
          <w:tcPr>
            <w:tcW w:w="6042" w:type="dxa"/>
            <w:tcBorders/>
            <w:vAlign w:val="center"/>
          </w:tcPr>
          <w:p>
            <w:pPr>
              <w:pStyle w:val="TableContents"/>
              <w:widowControl w:val="false"/>
              <w:suppressLineNumbers/>
              <w:spacing w:before="0" w:after="200"/>
              <w:rPr/>
            </w:pPr>
            <w:r>
              <w:rPr/>
              <w:t>Adaptable as a reasoning sequence in which incoming information is evaluated before it changes belief, objective, or action policy.</w:t>
            </w:r>
          </w:p>
        </w:tc>
      </w:tr>
      <w:tr>
        <w:trPr/>
        <w:tc>
          <w:tcPr>
            <w:tcW w:w="2598" w:type="dxa"/>
            <w:tcBorders/>
            <w:vAlign w:val="center"/>
          </w:tcPr>
          <w:p>
            <w:pPr>
              <w:pStyle w:val="TableContents"/>
              <w:widowControl w:val="false"/>
              <w:suppressLineNumbers/>
              <w:spacing w:before="0" w:after="200"/>
              <w:rPr/>
            </w:pPr>
            <w:r>
              <w:rPr>
                <w:rStyle w:val="Strong"/>
              </w:rPr>
              <w:t>Prohairesis or volition</w:t>
            </w:r>
          </w:p>
        </w:tc>
        <w:tc>
          <w:tcPr>
            <w:tcW w:w="6042" w:type="dxa"/>
            <w:tcBorders/>
            <w:vAlign w:val="center"/>
          </w:tcPr>
          <w:p>
            <w:pPr>
              <w:pStyle w:val="TableContents"/>
              <w:widowControl w:val="false"/>
              <w:suppressLineNumbers/>
              <w:spacing w:before="0" w:after="200"/>
              <w:rPr/>
            </w:pPr>
            <w:r>
              <w:rPr/>
              <w:t>Related to the agent’s capacity to select objectives and actions through reflective judgment.</w:t>
            </w:r>
          </w:p>
        </w:tc>
      </w:tr>
      <w:tr>
        <w:trPr/>
        <w:tc>
          <w:tcPr>
            <w:tcW w:w="2598" w:type="dxa"/>
            <w:tcBorders/>
            <w:vAlign w:val="center"/>
          </w:tcPr>
          <w:p>
            <w:pPr>
              <w:pStyle w:val="TableContents"/>
              <w:widowControl w:val="false"/>
              <w:suppressLineNumbers/>
              <w:spacing w:before="0" w:after="200"/>
              <w:rPr/>
            </w:pPr>
            <w:r>
              <w:rPr>
                <w:rStyle w:val="Strong"/>
              </w:rPr>
              <w:t>Preferred indifferents</w:t>
            </w:r>
          </w:p>
        </w:tc>
        <w:tc>
          <w:tcPr>
            <w:tcW w:w="6042" w:type="dxa"/>
            <w:tcBorders/>
            <w:vAlign w:val="center"/>
          </w:tcPr>
          <w:p>
            <w:pPr>
              <w:pStyle w:val="TableContents"/>
              <w:widowControl w:val="false"/>
              <w:suppressLineNumbers/>
              <w:spacing w:before="0" w:after="200"/>
              <w:rPr/>
            </w:pPr>
            <w:r>
              <w:rPr/>
              <w:t>Adaptable as outcomes that should normally be pursued without making moral responsibility depend entirely on their successful attainment.</w:t>
            </w:r>
          </w:p>
        </w:tc>
      </w:tr>
      <w:tr>
        <w:trPr/>
        <w:tc>
          <w:tcPr>
            <w:tcW w:w="2598" w:type="dxa"/>
            <w:tcBorders/>
            <w:vAlign w:val="center"/>
          </w:tcPr>
          <w:p>
            <w:pPr>
              <w:pStyle w:val="TableContents"/>
              <w:widowControl w:val="false"/>
              <w:suppressLineNumbers/>
              <w:spacing w:before="0" w:after="200"/>
              <w:rPr/>
            </w:pPr>
            <w:r>
              <w:rPr>
                <w:rStyle w:val="Strong"/>
              </w:rPr>
              <w:t>Appropriate actions</w:t>
            </w:r>
          </w:p>
        </w:tc>
        <w:tc>
          <w:tcPr>
            <w:tcW w:w="6042" w:type="dxa"/>
            <w:tcBorders/>
            <w:vAlign w:val="center"/>
          </w:tcPr>
          <w:p>
            <w:pPr>
              <w:pStyle w:val="TableContents"/>
              <w:widowControl w:val="false"/>
              <w:suppressLineNumbers/>
              <w:spacing w:before="0" w:after="200"/>
              <w:rPr/>
            </w:pPr>
            <w:r>
              <w:rPr/>
              <w:t>Reflected in duties created by role, relationship, authority, institutional function, and situational context.</w:t>
            </w:r>
          </w:p>
        </w:tc>
      </w:tr>
      <w:tr>
        <w:trPr/>
        <w:tc>
          <w:tcPr>
            <w:tcW w:w="2598" w:type="dxa"/>
            <w:tcBorders/>
            <w:vAlign w:val="center"/>
          </w:tcPr>
          <w:p>
            <w:pPr>
              <w:pStyle w:val="TableContents"/>
              <w:widowControl w:val="false"/>
              <w:suppressLineNumbers/>
              <w:spacing w:before="0" w:after="200"/>
              <w:rPr/>
            </w:pPr>
            <w:r>
              <w:rPr>
                <w:rStyle w:val="Strong"/>
              </w:rPr>
              <w:t>Reserve clause</w:t>
            </w:r>
          </w:p>
        </w:tc>
        <w:tc>
          <w:tcPr>
            <w:tcW w:w="6042" w:type="dxa"/>
            <w:tcBorders/>
            <w:vAlign w:val="center"/>
          </w:tcPr>
          <w:p>
            <w:pPr>
              <w:pStyle w:val="TableContents"/>
              <w:widowControl w:val="false"/>
              <w:suppressLineNumbers/>
              <w:spacing w:before="0" w:after="200"/>
              <w:rPr/>
            </w:pPr>
            <w:r>
              <w:rPr/>
              <w:t>Adaptable as a conditional objective pursued subject to uncertainty and external constraints.</w:t>
            </w:r>
          </w:p>
        </w:tc>
      </w:tr>
      <w:tr>
        <w:trPr/>
        <w:tc>
          <w:tcPr>
            <w:tcW w:w="2598" w:type="dxa"/>
            <w:tcBorders/>
            <w:vAlign w:val="center"/>
          </w:tcPr>
          <w:p>
            <w:pPr>
              <w:pStyle w:val="TableContents"/>
              <w:widowControl w:val="false"/>
              <w:suppressLineNumbers/>
              <w:spacing w:before="0" w:after="200"/>
              <w:rPr/>
            </w:pPr>
            <w:r>
              <w:rPr>
                <w:rStyle w:val="Strong"/>
              </w:rPr>
              <w:t>Oikeiōsis</w:t>
            </w:r>
          </w:p>
        </w:tc>
        <w:tc>
          <w:tcPr>
            <w:tcW w:w="6042" w:type="dxa"/>
            <w:tcBorders/>
            <w:vAlign w:val="center"/>
          </w:tcPr>
          <w:p>
            <w:pPr>
              <w:pStyle w:val="TableContents"/>
              <w:widowControl w:val="false"/>
              <w:suppressLineNumbers/>
              <w:spacing w:before="0" w:after="200"/>
              <w:rPr/>
            </w:pPr>
            <w:r>
              <w:rPr/>
              <w:t>Related to the progressive recognition of additional entities and relationships as morally relevant.</w:t>
            </w:r>
          </w:p>
        </w:tc>
      </w:tr>
      <w:tr>
        <w:trPr/>
        <w:tc>
          <w:tcPr>
            <w:tcW w:w="2598" w:type="dxa"/>
            <w:tcBorders/>
            <w:vAlign w:val="center"/>
          </w:tcPr>
          <w:p>
            <w:pPr>
              <w:pStyle w:val="TableContents"/>
              <w:widowControl w:val="false"/>
              <w:suppressLineNumbers/>
              <w:spacing w:before="0" w:after="200"/>
              <w:rPr/>
            </w:pPr>
            <w:r>
              <w:rPr>
                <w:rStyle w:val="Strong"/>
              </w:rPr>
              <w:t>Cosmopolitanism</w:t>
            </w:r>
          </w:p>
        </w:tc>
        <w:tc>
          <w:tcPr>
            <w:tcW w:w="6042" w:type="dxa"/>
            <w:tcBorders/>
            <w:vAlign w:val="center"/>
          </w:tcPr>
          <w:p>
            <w:pPr>
              <w:pStyle w:val="TableContents"/>
              <w:widowControl w:val="false"/>
              <w:suppressLineNumbers/>
              <w:spacing w:before="0" w:after="200"/>
              <w:rPr/>
            </w:pPr>
            <w:r>
              <w:rPr/>
              <w:t>Reflected in the expansion of assessment beyond local actors, organizations, jurisdictions, or immediate beneficiaries.</w:t>
            </w:r>
          </w:p>
        </w:tc>
      </w:tr>
      <w:tr>
        <w:trPr/>
        <w:tc>
          <w:tcPr>
            <w:tcW w:w="2598" w:type="dxa"/>
            <w:tcBorders/>
            <w:vAlign w:val="center"/>
          </w:tcPr>
          <w:p>
            <w:pPr>
              <w:pStyle w:val="TableContents"/>
              <w:widowControl w:val="false"/>
              <w:suppressLineNumbers/>
              <w:spacing w:before="0" w:after="200"/>
              <w:rPr/>
            </w:pPr>
            <w:r>
              <w:rPr>
                <w:rStyle w:val="Strong"/>
              </w:rPr>
              <w:t>View from the whole</w:t>
            </w:r>
          </w:p>
        </w:tc>
        <w:tc>
          <w:tcPr>
            <w:tcW w:w="6042" w:type="dxa"/>
            <w:tcBorders/>
            <w:vAlign w:val="center"/>
          </w:tcPr>
          <w:p>
            <w:pPr>
              <w:pStyle w:val="TableContents"/>
              <w:widowControl w:val="false"/>
              <w:suppressLineNumbers/>
              <w:spacing w:before="0" w:after="200"/>
              <w:rPr/>
            </w:pPr>
            <w:r>
              <w:rPr/>
              <w:t>Closely related to evaluation of the complete World Context Transition.</w:t>
            </w:r>
          </w:p>
        </w:tc>
      </w:tr>
      <w:tr>
        <w:trPr/>
        <w:tc>
          <w:tcPr>
            <w:tcW w:w="2598" w:type="dxa"/>
            <w:tcBorders/>
            <w:vAlign w:val="center"/>
          </w:tcPr>
          <w:p>
            <w:pPr>
              <w:pStyle w:val="TableContents"/>
              <w:widowControl w:val="false"/>
              <w:suppressLineNumbers/>
              <w:spacing w:before="0" w:after="200"/>
              <w:rPr/>
            </w:pPr>
            <w:r>
              <w:rPr>
                <w:rStyle w:val="Strong"/>
              </w:rPr>
              <w:t>Self-examination</w:t>
            </w:r>
          </w:p>
        </w:tc>
        <w:tc>
          <w:tcPr>
            <w:tcW w:w="6042" w:type="dxa"/>
            <w:tcBorders/>
            <w:vAlign w:val="center"/>
          </w:tcPr>
          <w:p>
            <w:pPr>
              <w:pStyle w:val="TableContents"/>
              <w:widowControl w:val="false"/>
              <w:suppressLineNumbers/>
              <w:spacing w:before="0" w:after="200"/>
              <w:rPr/>
            </w:pPr>
            <w:r>
              <w:rPr/>
              <w:t>Adaptable through decision logs, retrospective review, outcome monitoring, error correction, and policy updating.</w:t>
            </w:r>
          </w:p>
        </w:tc>
      </w:tr>
      <w:tr>
        <w:trPr/>
        <w:tc>
          <w:tcPr>
            <w:tcW w:w="2598" w:type="dxa"/>
            <w:tcBorders/>
            <w:vAlign w:val="center"/>
          </w:tcPr>
          <w:p>
            <w:pPr>
              <w:pStyle w:val="TableContents"/>
              <w:widowControl w:val="false"/>
              <w:suppressLineNumbers/>
              <w:spacing w:before="0" w:after="200"/>
              <w:rPr/>
            </w:pPr>
            <w:r>
              <w:rPr>
                <w:rStyle w:val="Strong"/>
              </w:rPr>
              <w:t>Preparation for adversity</w:t>
            </w:r>
          </w:p>
        </w:tc>
        <w:tc>
          <w:tcPr>
            <w:tcW w:w="6042" w:type="dxa"/>
            <w:tcBorders/>
            <w:vAlign w:val="center"/>
          </w:tcPr>
          <w:p>
            <w:pPr>
              <w:pStyle w:val="TableContents"/>
              <w:widowControl w:val="false"/>
              <w:suppressLineNumbers/>
              <w:spacing w:before="0" w:after="200"/>
              <w:rPr/>
            </w:pPr>
            <w:r>
              <w:rPr/>
              <w:t>Adaptable through scenario analysis, stress testing, contingency planning, and consideration of low-probability harms.</w:t>
            </w:r>
          </w:p>
        </w:tc>
      </w:tr>
      <w:tr>
        <w:trPr/>
        <w:tc>
          <w:tcPr>
            <w:tcW w:w="2598" w:type="dxa"/>
            <w:tcBorders/>
            <w:vAlign w:val="center"/>
          </w:tcPr>
          <w:p>
            <w:pPr>
              <w:pStyle w:val="TableContents"/>
              <w:widowControl w:val="false"/>
              <w:suppressLineNumbers/>
              <w:spacing w:before="0" w:after="200"/>
              <w:rPr/>
            </w:pPr>
            <w:r>
              <w:rPr>
                <w:rStyle w:val="Strong"/>
              </w:rPr>
              <w:t>Emotional discipline</w:t>
            </w:r>
          </w:p>
        </w:tc>
        <w:tc>
          <w:tcPr>
            <w:tcW w:w="6042" w:type="dxa"/>
            <w:tcBorders/>
            <w:vAlign w:val="center"/>
          </w:tcPr>
          <w:p>
            <w:pPr>
              <w:pStyle w:val="TableContents"/>
              <w:widowControl w:val="false"/>
              <w:suppressLineNumbers/>
              <w:spacing w:before="0" w:after="200"/>
              <w:rPr/>
            </w:pPr>
            <w:r>
              <w:rPr/>
              <w:t>Adaptable as recognition and regulation of fear, anger, desire, status concern, and other influences on evidence assessment.</w:t>
            </w:r>
          </w:p>
        </w:tc>
      </w:tr>
      <w:tr>
        <w:trPr/>
        <w:tc>
          <w:tcPr>
            <w:tcW w:w="2598" w:type="dxa"/>
            <w:tcBorders/>
            <w:vAlign w:val="center"/>
          </w:tcPr>
          <w:p>
            <w:pPr>
              <w:pStyle w:val="TableContents"/>
              <w:widowControl w:val="false"/>
              <w:suppressLineNumbers/>
              <w:spacing w:before="0" w:after="200"/>
              <w:rPr/>
            </w:pPr>
            <w:r>
              <w:rPr>
                <w:rStyle w:val="Strong"/>
              </w:rPr>
              <w:t>Role ethics</w:t>
            </w:r>
          </w:p>
        </w:tc>
        <w:tc>
          <w:tcPr>
            <w:tcW w:w="6042" w:type="dxa"/>
            <w:tcBorders/>
            <w:vAlign w:val="center"/>
          </w:tcPr>
          <w:p>
            <w:pPr>
              <w:pStyle w:val="TableContents"/>
              <w:widowControl w:val="false"/>
              <w:suppressLineNumbers/>
              <w:spacing w:before="0" w:after="200"/>
              <w:rPr/>
            </w:pPr>
            <w:r>
              <w:rPr/>
              <w:t>Reflected in the framework’s treatment of authority, responsibility, institutional position, commitments, and expected conduct.</w:t>
            </w:r>
          </w:p>
        </w:tc>
      </w:tr>
    </w:tbl>
    <w:p>
      <w:pPr>
        <w:pStyle w:val="Heading4"/>
        <w:ind w:hanging="0" w:left="0"/>
        <w:rPr>
          <w:rFonts w:ascii="Aptos" w:hAnsi="Aptos"/>
          <w:color w:val="auto"/>
        </w:rPr>
      </w:pPr>
      <w:r>
        <w:rPr/>
        <w:t>Similarities</w:t>
      </w:r>
    </w:p>
    <w:p>
      <w:pPr>
        <w:pStyle w:val="BodyText"/>
        <w:spacing w:before="0" w:after="200"/>
        <w:rPr/>
      </w:pPr>
      <w:r>
        <w:rPr/>
        <w:t>Stoicism and this framework share several important commitments:</w:t>
      </w:r>
    </w:p>
    <w:p>
      <w:pPr>
        <w:pStyle w:val="BodyText"/>
        <w:numPr>
          <w:ilvl w:val="0"/>
          <w:numId w:val="68"/>
        </w:numPr>
        <w:tabs>
          <w:tab w:val="clear" w:pos="720"/>
          <w:tab w:val="left" w:pos="0" w:leader="none"/>
        </w:tabs>
        <w:spacing w:before="0" w:after="200"/>
        <w:ind w:hanging="283" w:left="709"/>
        <w:rPr/>
      </w:pPr>
      <w:r>
        <w:rPr/>
        <w:t>Both understand ethics as requiring the development of stable and capable moral agents.</w:t>
      </w:r>
    </w:p>
    <w:p>
      <w:pPr>
        <w:pStyle w:val="BodyText"/>
        <w:numPr>
          <w:ilvl w:val="0"/>
          <w:numId w:val="68"/>
        </w:numPr>
        <w:tabs>
          <w:tab w:val="clear" w:pos="720"/>
          <w:tab w:val="left" w:pos="0" w:leader="none"/>
        </w:tabs>
        <w:spacing w:before="0" w:after="200"/>
        <w:ind w:hanging="283" w:left="709"/>
        <w:rPr/>
      </w:pPr>
      <w:r>
        <w:rPr/>
        <w:t>Both distinguish an agent’s objective from the ethical acceptability of the means used to pursue it.</w:t>
      </w:r>
    </w:p>
    <w:p>
      <w:pPr>
        <w:pStyle w:val="BodyText"/>
        <w:numPr>
          <w:ilvl w:val="0"/>
          <w:numId w:val="68"/>
        </w:numPr>
        <w:tabs>
          <w:tab w:val="clear" w:pos="720"/>
          <w:tab w:val="left" w:pos="0" w:leader="none"/>
        </w:tabs>
        <w:spacing w:before="0" w:after="200"/>
        <w:ind w:hanging="283" w:left="709"/>
        <w:rPr/>
      </w:pPr>
      <w:r>
        <w:rPr/>
        <w:t>Both emphasize disciplined reasoning rather than impulsive reaction.</w:t>
      </w:r>
    </w:p>
    <w:p>
      <w:pPr>
        <w:pStyle w:val="BodyText"/>
        <w:numPr>
          <w:ilvl w:val="0"/>
          <w:numId w:val="68"/>
        </w:numPr>
        <w:tabs>
          <w:tab w:val="clear" w:pos="720"/>
          <w:tab w:val="left" w:pos="0" w:leader="none"/>
        </w:tabs>
        <w:spacing w:before="0" w:after="200"/>
        <w:ind w:hanging="283" w:left="709"/>
        <w:rPr/>
      </w:pPr>
      <w:r>
        <w:rPr/>
        <w:t>Both recognize that information should be evaluated before it is accepted as a basis for action.</w:t>
      </w:r>
    </w:p>
    <w:p>
      <w:pPr>
        <w:pStyle w:val="BodyText"/>
        <w:numPr>
          <w:ilvl w:val="0"/>
          <w:numId w:val="68"/>
        </w:numPr>
        <w:tabs>
          <w:tab w:val="clear" w:pos="720"/>
          <w:tab w:val="left" w:pos="0" w:leader="none"/>
        </w:tabs>
        <w:spacing w:before="0" w:after="200"/>
        <w:ind w:hanging="283" w:left="709"/>
        <w:rPr/>
      </w:pPr>
      <w:r>
        <w:rPr/>
        <w:t>Both distinguish controllable aspects of conduct from outcomes determined partly by external conditions.</w:t>
      </w:r>
    </w:p>
    <w:p>
      <w:pPr>
        <w:pStyle w:val="BodyText"/>
        <w:numPr>
          <w:ilvl w:val="0"/>
          <w:numId w:val="68"/>
        </w:numPr>
        <w:tabs>
          <w:tab w:val="clear" w:pos="720"/>
          <w:tab w:val="left" w:pos="0" w:leader="none"/>
        </w:tabs>
        <w:spacing w:before="0" w:after="200"/>
        <w:ind w:hanging="283" w:left="709"/>
        <w:rPr/>
      </w:pPr>
      <w:r>
        <w:rPr/>
        <w:t>Both allow responsibility to vary according to knowledge, authority, capacity, foreseeability, and available alternatives.</w:t>
      </w:r>
    </w:p>
    <w:p>
      <w:pPr>
        <w:pStyle w:val="BodyText"/>
        <w:numPr>
          <w:ilvl w:val="0"/>
          <w:numId w:val="68"/>
        </w:numPr>
        <w:tabs>
          <w:tab w:val="clear" w:pos="720"/>
          <w:tab w:val="left" w:pos="0" w:leader="none"/>
        </w:tabs>
        <w:spacing w:before="0" w:after="200"/>
        <w:ind w:hanging="283" w:left="709"/>
        <w:rPr/>
      </w:pPr>
      <w:r>
        <w:rPr/>
        <w:t>Both support role-based responsibilities and duties arising from social relationships.</w:t>
      </w:r>
    </w:p>
    <w:p>
      <w:pPr>
        <w:pStyle w:val="BodyText"/>
        <w:numPr>
          <w:ilvl w:val="0"/>
          <w:numId w:val="68"/>
        </w:numPr>
        <w:tabs>
          <w:tab w:val="clear" w:pos="720"/>
          <w:tab w:val="left" w:pos="0" w:leader="none"/>
        </w:tabs>
        <w:spacing w:before="0" w:after="200"/>
        <w:ind w:hanging="283" w:left="709"/>
        <w:rPr/>
      </w:pPr>
      <w:r>
        <w:rPr/>
        <w:t>Both encourage agents to consider a wider system rather than only personal or immediate advantage.</w:t>
      </w:r>
    </w:p>
    <w:p>
      <w:pPr>
        <w:pStyle w:val="BodyText"/>
        <w:numPr>
          <w:ilvl w:val="0"/>
          <w:numId w:val="68"/>
        </w:numPr>
        <w:tabs>
          <w:tab w:val="clear" w:pos="720"/>
          <w:tab w:val="left" w:pos="0" w:leader="none"/>
        </w:tabs>
        <w:spacing w:before="0" w:after="200"/>
        <w:ind w:hanging="283" w:left="709"/>
        <w:rPr/>
      </w:pPr>
      <w:r>
        <w:rPr/>
        <w:t>Both recognize that moral development requires repeated practice, review, and correction.</w:t>
      </w:r>
    </w:p>
    <w:p>
      <w:pPr>
        <w:pStyle w:val="BodyText"/>
        <w:numPr>
          <w:ilvl w:val="0"/>
          <w:numId w:val="68"/>
        </w:numPr>
        <w:tabs>
          <w:tab w:val="clear" w:pos="720"/>
          <w:tab w:val="left" w:pos="0" w:leader="none"/>
        </w:tabs>
        <w:spacing w:before="0" w:after="200"/>
        <w:ind w:hanging="283" w:left="709"/>
        <w:rPr/>
      </w:pPr>
      <w:r>
        <w:rPr/>
        <w:t>Both seek consistency across different situations rather than ad hoc justification of preferred actions.</w:t>
      </w:r>
    </w:p>
    <w:p>
      <w:pPr>
        <w:pStyle w:val="BodyText"/>
        <w:numPr>
          <w:ilvl w:val="0"/>
          <w:numId w:val="68"/>
        </w:numPr>
        <w:tabs>
          <w:tab w:val="clear" w:pos="720"/>
          <w:tab w:val="left" w:pos="0" w:leader="none"/>
        </w:tabs>
        <w:spacing w:before="0" w:after="200"/>
        <w:ind w:hanging="283" w:left="709"/>
        <w:rPr/>
      </w:pPr>
      <w:r>
        <w:rPr/>
        <w:t>Both emphasize long-term orientation over immediate pleasure, status, fear, or convenience.</w:t>
      </w:r>
    </w:p>
    <w:p>
      <w:pPr>
        <w:pStyle w:val="BodyText"/>
        <w:numPr>
          <w:ilvl w:val="0"/>
          <w:numId w:val="68"/>
        </w:numPr>
        <w:tabs>
          <w:tab w:val="clear" w:pos="720"/>
          <w:tab w:val="left" w:pos="0" w:leader="none"/>
        </w:tabs>
        <w:spacing w:before="0" w:after="200"/>
        <w:ind w:hanging="283" w:left="709"/>
        <w:rPr/>
      </w:pPr>
      <w:r>
        <w:rPr/>
        <w:t>Both treat adversity and uncertainty as conditions requiring better judgment rather than automatic abandonment of ethical commitments.</w:t>
      </w:r>
    </w:p>
    <w:p>
      <w:pPr>
        <w:pStyle w:val="BodyText"/>
        <w:numPr>
          <w:ilvl w:val="0"/>
          <w:numId w:val="68"/>
        </w:numPr>
        <w:tabs>
          <w:tab w:val="clear" w:pos="720"/>
          <w:tab w:val="left" w:pos="0" w:leader="none"/>
        </w:tabs>
        <w:spacing w:before="0" w:after="200"/>
        <w:ind w:hanging="283" w:left="709"/>
        <w:rPr/>
      </w:pPr>
      <w:r>
        <w:rPr/>
        <w:t>Both recognize the importance of justice, cooperation, and the moral development of social agents.</w:t>
      </w:r>
    </w:p>
    <w:p>
      <w:pPr>
        <w:pStyle w:val="BodyText"/>
        <w:numPr>
          <w:ilvl w:val="0"/>
          <w:numId w:val="68"/>
        </w:numPr>
        <w:tabs>
          <w:tab w:val="clear" w:pos="720"/>
          <w:tab w:val="left" w:pos="0" w:leader="none"/>
        </w:tabs>
        <w:spacing w:before="0" w:after="200"/>
        <w:ind w:hanging="283" w:left="709"/>
        <w:rPr/>
      </w:pPr>
      <w:r>
        <w:rPr/>
        <w:t>Both can distinguish a harmful result from a blameworthy decision.</w:t>
      </w:r>
    </w:p>
    <w:p>
      <w:pPr>
        <w:pStyle w:val="BodyText"/>
        <w:numPr>
          <w:ilvl w:val="0"/>
          <w:numId w:val="68"/>
        </w:numPr>
        <w:tabs>
          <w:tab w:val="clear" w:pos="720"/>
          <w:tab w:val="left" w:pos="0" w:leader="none"/>
        </w:tabs>
        <w:spacing w:before="0" w:after="200"/>
        <w:ind w:hanging="283" w:left="709"/>
        <w:rPr/>
      </w:pPr>
      <w:r>
        <w:rPr/>
        <w:t>Both can support resilient action without assuming that successful control of every outcome is possible.</w:t>
      </w:r>
    </w:p>
    <w:p>
      <w:pPr>
        <w:pStyle w:val="Heading4"/>
        <w:ind w:hanging="0" w:left="0"/>
        <w:rPr>
          <w:rFonts w:ascii="Aptos" w:hAnsi="Aptos"/>
          <w:color w:val="auto"/>
        </w:rPr>
      </w:pPr>
      <w:r>
        <w:rPr/>
        <w:t>Differences</w:t>
      </w:r>
    </w:p>
    <w:tbl>
      <w:tblPr>
        <w:tblW w:w="8640" w:type="dxa"/>
        <w:jc w:val="left"/>
        <w:tblInd w:w="28" w:type="dxa"/>
        <w:tblLayout w:type="fixed"/>
        <w:tblCellMar>
          <w:top w:w="28" w:type="dxa"/>
          <w:left w:w="28" w:type="dxa"/>
          <w:bottom w:w="28" w:type="dxa"/>
          <w:right w:w="28" w:type="dxa"/>
        </w:tblCellMar>
      </w:tblPr>
      <w:tblGrid>
        <w:gridCol w:w="1891"/>
        <w:gridCol w:w="2827"/>
        <w:gridCol w:w="3922"/>
      </w:tblGrid>
      <w:tr>
        <w:trPr>
          <w:tblHeader w:val="true"/>
        </w:trPr>
        <w:tc>
          <w:tcPr>
            <w:tcW w:w="1891" w:type="dxa"/>
            <w:tcBorders/>
            <w:vAlign w:val="center"/>
          </w:tcPr>
          <w:p>
            <w:pPr>
              <w:pStyle w:val="TableHeading"/>
              <w:suppressLineNumbers/>
              <w:spacing w:before="0" w:after="200"/>
              <w:jc w:val="center"/>
              <w:rPr/>
            </w:pPr>
            <w:r>
              <w:rPr/>
              <w:t>Dimension</w:t>
            </w:r>
          </w:p>
        </w:tc>
        <w:tc>
          <w:tcPr>
            <w:tcW w:w="2827" w:type="dxa"/>
            <w:tcBorders/>
            <w:vAlign w:val="center"/>
          </w:tcPr>
          <w:p>
            <w:pPr>
              <w:pStyle w:val="TableHeading"/>
              <w:suppressLineNumbers/>
              <w:spacing w:before="0" w:after="200"/>
              <w:jc w:val="center"/>
              <w:rPr/>
            </w:pPr>
            <w:r>
              <w:rPr/>
              <w:t>Stoicism</w:t>
            </w:r>
          </w:p>
        </w:tc>
        <w:tc>
          <w:tcPr>
            <w:tcW w:w="3922" w:type="dxa"/>
            <w:tcBorders/>
            <w:vAlign w:val="center"/>
          </w:tcPr>
          <w:p>
            <w:pPr>
              <w:pStyle w:val="TableHeading"/>
              <w:suppressLineNumbers/>
              <w:spacing w:before="0" w:after="200"/>
              <w:jc w:val="center"/>
              <w:rPr/>
            </w:pPr>
            <w:r>
              <w:rPr/>
              <w:t>This framework</w:t>
            </w:r>
          </w:p>
        </w:tc>
      </w:tr>
      <w:tr>
        <w:trPr/>
        <w:tc>
          <w:tcPr>
            <w:tcW w:w="1891" w:type="dxa"/>
            <w:tcBorders/>
            <w:vAlign w:val="center"/>
          </w:tcPr>
          <w:p>
            <w:pPr>
              <w:pStyle w:val="TableContents"/>
              <w:widowControl w:val="false"/>
              <w:suppressLineNumbers/>
              <w:spacing w:before="0" w:after="200"/>
              <w:rPr/>
            </w:pPr>
            <w:r>
              <w:rPr>
                <w:rStyle w:val="Strong"/>
              </w:rPr>
              <w:t>Primary normative focus</w:t>
            </w:r>
          </w:p>
        </w:tc>
        <w:tc>
          <w:tcPr>
            <w:tcW w:w="2827" w:type="dxa"/>
            <w:tcBorders/>
            <w:vAlign w:val="center"/>
          </w:tcPr>
          <w:p>
            <w:pPr>
              <w:pStyle w:val="TableContents"/>
              <w:widowControl w:val="false"/>
              <w:suppressLineNumbers/>
              <w:spacing w:before="0" w:after="200"/>
              <w:rPr/>
            </w:pPr>
            <w:r>
              <w:rPr/>
              <w:t>Virtuous rational agency</w:t>
            </w:r>
          </w:p>
        </w:tc>
        <w:tc>
          <w:tcPr>
            <w:tcW w:w="3922" w:type="dxa"/>
            <w:tcBorders/>
            <w:vAlign w:val="center"/>
          </w:tcPr>
          <w:p>
            <w:pPr>
              <w:pStyle w:val="TableContents"/>
              <w:widowControl w:val="false"/>
              <w:suppressLineNumbers/>
              <w:spacing w:before="0" w:after="200"/>
              <w:rPr/>
            </w:pPr>
            <w:r>
              <w:rPr/>
              <w:t>The complete World Context Transition</w:t>
            </w:r>
          </w:p>
        </w:tc>
      </w:tr>
      <w:tr>
        <w:trPr/>
        <w:tc>
          <w:tcPr>
            <w:tcW w:w="1891" w:type="dxa"/>
            <w:tcBorders/>
            <w:vAlign w:val="center"/>
          </w:tcPr>
          <w:p>
            <w:pPr>
              <w:pStyle w:val="TableContents"/>
              <w:widowControl w:val="false"/>
              <w:suppressLineNumbers/>
              <w:spacing w:before="0" w:after="200"/>
              <w:rPr/>
            </w:pPr>
            <w:r>
              <w:rPr>
                <w:rStyle w:val="Strong"/>
              </w:rPr>
              <w:t>Highest good</w:t>
            </w:r>
          </w:p>
        </w:tc>
        <w:tc>
          <w:tcPr>
            <w:tcW w:w="2827" w:type="dxa"/>
            <w:tcBorders/>
            <w:vAlign w:val="center"/>
          </w:tcPr>
          <w:p>
            <w:pPr>
              <w:pStyle w:val="TableContents"/>
              <w:widowControl w:val="false"/>
              <w:suppressLineNumbers/>
              <w:spacing w:before="0" w:after="200"/>
              <w:rPr/>
            </w:pPr>
            <w:r>
              <w:rPr/>
              <w:t>Virtue alone</w:t>
            </w:r>
          </w:p>
        </w:tc>
        <w:tc>
          <w:tcPr>
            <w:tcW w:w="3922" w:type="dxa"/>
            <w:tcBorders/>
            <w:vAlign w:val="center"/>
          </w:tcPr>
          <w:p>
            <w:pPr>
              <w:pStyle w:val="TableContents"/>
              <w:widowControl w:val="false"/>
              <w:suppressLineNumbers/>
              <w:spacing w:before="0" w:after="200"/>
              <w:rPr/>
            </w:pPr>
            <w:r>
              <w:rPr/>
              <w:t>Long-term flourishing across relevant entities and the World Context</w:t>
            </w:r>
          </w:p>
        </w:tc>
      </w:tr>
      <w:tr>
        <w:trPr/>
        <w:tc>
          <w:tcPr>
            <w:tcW w:w="1891" w:type="dxa"/>
            <w:tcBorders/>
            <w:vAlign w:val="center"/>
          </w:tcPr>
          <w:p>
            <w:pPr>
              <w:pStyle w:val="TableContents"/>
              <w:widowControl w:val="false"/>
              <w:suppressLineNumbers/>
              <w:spacing w:before="0" w:after="200"/>
              <w:rPr/>
            </w:pPr>
            <w:r>
              <w:rPr>
                <w:rStyle w:val="Strong"/>
              </w:rPr>
              <w:t>Meaning of flourishing</w:t>
            </w:r>
          </w:p>
        </w:tc>
        <w:tc>
          <w:tcPr>
            <w:tcW w:w="2827" w:type="dxa"/>
            <w:tcBorders/>
            <w:vAlign w:val="center"/>
          </w:tcPr>
          <w:p>
            <w:pPr>
              <w:pStyle w:val="TableContents"/>
              <w:widowControl w:val="false"/>
              <w:suppressLineNumbers/>
              <w:spacing w:before="0" w:after="200"/>
              <w:rPr/>
            </w:pPr>
            <w:r>
              <w:rPr/>
              <w:t>Rational and virtuous activity sufficient for eudaimonia</w:t>
            </w:r>
          </w:p>
        </w:tc>
        <w:tc>
          <w:tcPr>
            <w:tcW w:w="3922" w:type="dxa"/>
            <w:tcBorders/>
            <w:vAlign w:val="center"/>
          </w:tcPr>
          <w:p>
            <w:pPr>
              <w:pStyle w:val="TableContents"/>
              <w:widowControl w:val="false"/>
              <w:suppressLineNumbers/>
              <w:spacing w:before="0" w:after="200"/>
              <w:rPr/>
            </w:pPr>
            <w:r>
              <w:rPr/>
              <w:t>Sustained capacity to preserve and expand beneficial future state space compatibly with wider flourishing</w:t>
            </w:r>
          </w:p>
        </w:tc>
      </w:tr>
      <w:tr>
        <w:trPr/>
        <w:tc>
          <w:tcPr>
            <w:tcW w:w="1891" w:type="dxa"/>
            <w:tcBorders/>
            <w:vAlign w:val="center"/>
          </w:tcPr>
          <w:p>
            <w:pPr>
              <w:pStyle w:val="TableContents"/>
              <w:widowControl w:val="false"/>
              <w:suppressLineNumbers/>
              <w:spacing w:before="0" w:after="200"/>
              <w:rPr/>
            </w:pPr>
            <w:r>
              <w:rPr>
                <w:rStyle w:val="Strong"/>
              </w:rPr>
              <w:t>Status of external conditions</w:t>
            </w:r>
          </w:p>
        </w:tc>
        <w:tc>
          <w:tcPr>
            <w:tcW w:w="2827" w:type="dxa"/>
            <w:tcBorders/>
            <w:vAlign w:val="center"/>
          </w:tcPr>
          <w:p>
            <w:pPr>
              <w:pStyle w:val="TableContents"/>
              <w:widowControl w:val="false"/>
              <w:suppressLineNumbers/>
              <w:spacing w:before="0" w:after="200"/>
              <w:rPr/>
            </w:pPr>
            <w:r>
              <w:rPr/>
              <w:t>Preferred or dispreferred indifferents, not moral goods or evils</w:t>
            </w:r>
          </w:p>
        </w:tc>
        <w:tc>
          <w:tcPr>
            <w:tcW w:w="3922" w:type="dxa"/>
            <w:tcBorders/>
            <w:vAlign w:val="center"/>
          </w:tcPr>
          <w:p>
            <w:pPr>
              <w:pStyle w:val="TableContents"/>
              <w:widowControl w:val="false"/>
              <w:suppressLineNumbers/>
              <w:spacing w:before="0" w:after="200"/>
              <w:rPr/>
            </w:pPr>
            <w:r>
              <w:rPr/>
              <w:t>Substantive effects on health, capability, relationships, resources, and future possibilities</w:t>
            </w:r>
          </w:p>
        </w:tc>
      </w:tr>
      <w:tr>
        <w:trPr/>
        <w:tc>
          <w:tcPr>
            <w:tcW w:w="1891" w:type="dxa"/>
            <w:tcBorders/>
            <w:vAlign w:val="center"/>
          </w:tcPr>
          <w:p>
            <w:pPr>
              <w:pStyle w:val="TableContents"/>
              <w:widowControl w:val="false"/>
              <w:suppressLineNumbers/>
              <w:spacing w:before="0" w:after="200"/>
              <w:rPr/>
            </w:pPr>
            <w:r>
              <w:rPr>
                <w:rStyle w:val="Strong"/>
              </w:rPr>
              <w:t>Evaluation of outcomes</w:t>
            </w:r>
          </w:p>
        </w:tc>
        <w:tc>
          <w:tcPr>
            <w:tcW w:w="2827" w:type="dxa"/>
            <w:tcBorders/>
            <w:vAlign w:val="center"/>
          </w:tcPr>
          <w:p>
            <w:pPr>
              <w:pStyle w:val="TableContents"/>
              <w:widowControl w:val="false"/>
              <w:suppressLineNumbers/>
              <w:spacing w:before="0" w:after="200"/>
              <w:rPr/>
            </w:pPr>
            <w:r>
              <w:rPr/>
              <w:t>External success does not determine the agent’s virtue</w:t>
            </w:r>
          </w:p>
        </w:tc>
        <w:tc>
          <w:tcPr>
            <w:tcW w:w="3922" w:type="dxa"/>
            <w:tcBorders/>
            <w:vAlign w:val="center"/>
          </w:tcPr>
          <w:p>
            <w:pPr>
              <w:pStyle w:val="TableContents"/>
              <w:widowControl w:val="false"/>
              <w:suppressLineNumbers/>
              <w:spacing w:before="0" w:after="200"/>
              <w:rPr/>
            </w:pPr>
            <w:r>
              <w:rPr/>
              <w:t>Outcomes remain ethically significant even when responsibility is limited</w:t>
            </w:r>
          </w:p>
        </w:tc>
      </w:tr>
      <w:tr>
        <w:trPr/>
        <w:tc>
          <w:tcPr>
            <w:tcW w:w="1891" w:type="dxa"/>
            <w:tcBorders/>
            <w:vAlign w:val="center"/>
          </w:tcPr>
          <w:p>
            <w:pPr>
              <w:pStyle w:val="TableContents"/>
              <w:widowControl w:val="false"/>
              <w:suppressLineNumbers/>
              <w:spacing w:before="0" w:after="200"/>
              <w:rPr/>
            </w:pPr>
            <w:r>
              <w:rPr>
                <w:rStyle w:val="Strong"/>
              </w:rPr>
              <w:t>Responsibility</w:t>
            </w:r>
          </w:p>
        </w:tc>
        <w:tc>
          <w:tcPr>
            <w:tcW w:w="2827" w:type="dxa"/>
            <w:tcBorders/>
            <w:vAlign w:val="center"/>
          </w:tcPr>
          <w:p>
            <w:pPr>
              <w:pStyle w:val="TableContents"/>
              <w:widowControl w:val="false"/>
              <w:suppressLineNumbers/>
              <w:spacing w:before="0" w:after="200"/>
              <w:rPr/>
            </w:pPr>
            <w:r>
              <w:rPr/>
              <w:t>Concentrated in judgment, assent, intention, and volition</w:t>
            </w:r>
          </w:p>
        </w:tc>
        <w:tc>
          <w:tcPr>
            <w:tcW w:w="3922" w:type="dxa"/>
            <w:tcBorders/>
            <w:vAlign w:val="center"/>
          </w:tcPr>
          <w:p>
            <w:pPr>
              <w:pStyle w:val="TableContents"/>
              <w:widowControl w:val="false"/>
              <w:suppressLineNumbers/>
              <w:spacing w:before="0" w:after="200"/>
              <w:rPr/>
            </w:pPr>
            <w:r>
              <w:rPr/>
              <w:t>Evaluated through role, knowledge, intent, authority, alternatives, foreseeability, and causal contribution</w:t>
            </w:r>
          </w:p>
        </w:tc>
      </w:tr>
      <w:tr>
        <w:trPr/>
        <w:tc>
          <w:tcPr>
            <w:tcW w:w="1891" w:type="dxa"/>
            <w:tcBorders/>
            <w:vAlign w:val="center"/>
          </w:tcPr>
          <w:p>
            <w:pPr>
              <w:pStyle w:val="TableContents"/>
              <w:widowControl w:val="false"/>
              <w:suppressLineNumbers/>
              <w:spacing w:before="0" w:after="200"/>
              <w:rPr/>
            </w:pPr>
            <w:r>
              <w:rPr>
                <w:rStyle w:val="Strong"/>
              </w:rPr>
              <w:t>Metaphysical basis</w:t>
            </w:r>
          </w:p>
        </w:tc>
        <w:tc>
          <w:tcPr>
            <w:tcW w:w="2827" w:type="dxa"/>
            <w:tcBorders/>
            <w:vAlign w:val="center"/>
          </w:tcPr>
          <w:p>
            <w:pPr>
              <w:pStyle w:val="TableContents"/>
              <w:widowControl w:val="false"/>
              <w:suppressLineNumbers/>
              <w:spacing w:before="0" w:after="200"/>
              <w:rPr/>
            </w:pPr>
            <w:r>
              <w:rPr/>
              <w:t>Living according to rational nature within a causally ordered cosmos</w:t>
            </w:r>
          </w:p>
        </w:tc>
        <w:tc>
          <w:tcPr>
            <w:tcW w:w="3922" w:type="dxa"/>
            <w:tcBorders/>
            <w:vAlign w:val="center"/>
          </w:tcPr>
          <w:p>
            <w:pPr>
              <w:pStyle w:val="TableContents"/>
              <w:widowControl w:val="false"/>
              <w:suppressLineNumbers/>
              <w:spacing w:before="0" w:after="200"/>
              <w:rPr/>
            </w:pPr>
            <w:r>
              <w:rPr/>
              <w:t>Implementation-neutral and compatible with multiple metaphysical positions</w:t>
            </w:r>
          </w:p>
        </w:tc>
      </w:tr>
      <w:tr>
        <w:trPr/>
        <w:tc>
          <w:tcPr>
            <w:tcW w:w="1891" w:type="dxa"/>
            <w:tcBorders/>
            <w:vAlign w:val="center"/>
          </w:tcPr>
          <w:p>
            <w:pPr>
              <w:pStyle w:val="TableContents"/>
              <w:widowControl w:val="false"/>
              <w:suppressLineNumbers/>
              <w:spacing w:before="0" w:after="200"/>
              <w:rPr/>
            </w:pPr>
            <w:r>
              <w:rPr>
                <w:rStyle w:val="Strong"/>
              </w:rPr>
              <w:t>Moral scope</w:t>
            </w:r>
          </w:p>
        </w:tc>
        <w:tc>
          <w:tcPr>
            <w:tcW w:w="2827" w:type="dxa"/>
            <w:tcBorders/>
            <w:vAlign w:val="center"/>
          </w:tcPr>
          <w:p>
            <w:pPr>
              <w:pStyle w:val="TableContents"/>
              <w:widowControl w:val="false"/>
              <w:suppressLineNumbers/>
              <w:spacing w:before="0" w:after="200"/>
              <w:rPr/>
            </w:pPr>
            <w:r>
              <w:rPr/>
              <w:t>Primarily rational and social human beings within a cosmopolis</w:t>
            </w:r>
          </w:p>
        </w:tc>
        <w:tc>
          <w:tcPr>
            <w:tcW w:w="3922" w:type="dxa"/>
            <w:tcBorders/>
            <w:vAlign w:val="center"/>
          </w:tcPr>
          <w:p>
            <w:pPr>
              <w:pStyle w:val="TableContents"/>
              <w:widowControl w:val="false"/>
              <w:suppressLineNumbers/>
              <w:spacing w:before="0" w:after="200"/>
              <w:rPr/>
            </w:pPr>
            <w:r>
              <w:rPr/>
              <w:t>Potentially includes broader classes of persistent adaptive and autopoietic entities</w:t>
            </w:r>
          </w:p>
        </w:tc>
      </w:tr>
      <w:tr>
        <w:trPr/>
        <w:tc>
          <w:tcPr>
            <w:tcW w:w="1891" w:type="dxa"/>
            <w:tcBorders/>
            <w:vAlign w:val="center"/>
          </w:tcPr>
          <w:p>
            <w:pPr>
              <w:pStyle w:val="TableContents"/>
              <w:widowControl w:val="false"/>
              <w:suppressLineNumbers/>
              <w:spacing w:before="0" w:after="200"/>
              <w:rPr/>
            </w:pPr>
            <w:r>
              <w:rPr>
                <w:rStyle w:val="Strong"/>
              </w:rPr>
              <w:t>Emotion</w:t>
            </w:r>
          </w:p>
        </w:tc>
        <w:tc>
          <w:tcPr>
            <w:tcW w:w="2827" w:type="dxa"/>
            <w:tcBorders/>
            <w:vAlign w:val="center"/>
          </w:tcPr>
          <w:p>
            <w:pPr>
              <w:pStyle w:val="TableContents"/>
              <w:widowControl w:val="false"/>
              <w:suppressLineNumbers/>
              <w:spacing w:before="0" w:after="200"/>
              <w:rPr/>
            </w:pPr>
            <w:r>
              <w:rPr/>
              <w:t>Passions are closely connected to mistaken value judgments and require philosophical correction</w:t>
            </w:r>
          </w:p>
        </w:tc>
        <w:tc>
          <w:tcPr>
            <w:tcW w:w="3922" w:type="dxa"/>
            <w:tcBorders/>
            <w:vAlign w:val="center"/>
          </w:tcPr>
          <w:p>
            <w:pPr>
              <w:pStyle w:val="TableContents"/>
              <w:widowControl w:val="false"/>
              <w:suppressLineNumbers/>
              <w:spacing w:before="0" w:after="200"/>
              <w:rPr/>
            </w:pPr>
            <w:r>
              <w:rPr/>
              <w:t>Emotions can be represented as information or state but are not given a single foundational interpretation</w:t>
            </w:r>
          </w:p>
        </w:tc>
      </w:tr>
      <w:tr>
        <w:trPr/>
        <w:tc>
          <w:tcPr>
            <w:tcW w:w="1891" w:type="dxa"/>
            <w:tcBorders/>
            <w:vAlign w:val="center"/>
          </w:tcPr>
          <w:p>
            <w:pPr>
              <w:pStyle w:val="TableContents"/>
              <w:widowControl w:val="false"/>
              <w:suppressLineNumbers/>
              <w:spacing w:before="0" w:after="200"/>
              <w:rPr/>
            </w:pPr>
            <w:r>
              <w:rPr>
                <w:rStyle w:val="Strong"/>
              </w:rPr>
              <w:t>Justice</w:t>
            </w:r>
          </w:p>
        </w:tc>
        <w:tc>
          <w:tcPr>
            <w:tcW w:w="2827" w:type="dxa"/>
            <w:tcBorders/>
            <w:vAlign w:val="center"/>
          </w:tcPr>
          <w:p>
            <w:pPr>
              <w:pStyle w:val="TableContents"/>
              <w:widowControl w:val="false"/>
              <w:suppressLineNumbers/>
              <w:spacing w:before="0" w:after="200"/>
              <w:rPr/>
            </w:pPr>
            <w:r>
              <w:rPr/>
              <w:t>A cardinal virtue and expression of rational social nature</w:t>
            </w:r>
          </w:p>
        </w:tc>
        <w:tc>
          <w:tcPr>
            <w:tcW w:w="3922" w:type="dxa"/>
            <w:tcBorders/>
            <w:vAlign w:val="center"/>
          </w:tcPr>
          <w:p>
            <w:pPr>
              <w:pStyle w:val="TableContents"/>
              <w:widowControl w:val="false"/>
              <w:suppressLineNumbers/>
              <w:spacing w:before="0" w:after="200"/>
              <w:rPr/>
            </w:pPr>
            <w:r>
              <w:rPr/>
              <w:t>Assessed through effects, constraints, relationships, institutions, and compatibility of flourishing</w:t>
            </w:r>
          </w:p>
        </w:tc>
      </w:tr>
      <w:tr>
        <w:trPr/>
        <w:tc>
          <w:tcPr>
            <w:tcW w:w="1891" w:type="dxa"/>
            <w:tcBorders/>
            <w:vAlign w:val="center"/>
          </w:tcPr>
          <w:p>
            <w:pPr>
              <w:pStyle w:val="TableContents"/>
              <w:widowControl w:val="false"/>
              <w:suppressLineNumbers/>
              <w:spacing w:before="0" w:after="200"/>
              <w:rPr/>
            </w:pPr>
            <w:r>
              <w:rPr>
                <w:rStyle w:val="Strong"/>
              </w:rPr>
              <w:t>Failure mode</w:t>
            </w:r>
          </w:p>
        </w:tc>
        <w:tc>
          <w:tcPr>
            <w:tcW w:w="2827" w:type="dxa"/>
            <w:tcBorders/>
            <w:vAlign w:val="center"/>
          </w:tcPr>
          <w:p>
            <w:pPr>
              <w:pStyle w:val="TableContents"/>
              <w:widowControl w:val="false"/>
              <w:suppressLineNumbers/>
              <w:spacing w:before="0" w:after="200"/>
              <w:rPr/>
            </w:pPr>
            <w:r>
              <w:rPr/>
              <w:t>Vice, false assent, irrational attachment, or failure of appropriate action</w:t>
            </w:r>
          </w:p>
        </w:tc>
        <w:tc>
          <w:tcPr>
            <w:tcW w:w="3922" w:type="dxa"/>
            <w:tcBorders/>
            <w:vAlign w:val="center"/>
          </w:tcPr>
          <w:p>
            <w:pPr>
              <w:pStyle w:val="TableContents"/>
              <w:widowControl w:val="false"/>
              <w:suppressLineNumbers/>
              <w:spacing w:before="0" w:after="200"/>
              <w:rPr/>
            </w:pPr>
            <w:r>
              <w:rPr/>
              <w:t>An unjustified transition that diminishes relevant long-term flourishing</w:t>
            </w:r>
          </w:p>
        </w:tc>
      </w:tr>
      <w:tr>
        <w:trPr/>
        <w:tc>
          <w:tcPr>
            <w:tcW w:w="1891" w:type="dxa"/>
            <w:tcBorders/>
            <w:vAlign w:val="center"/>
          </w:tcPr>
          <w:p>
            <w:pPr>
              <w:pStyle w:val="TableContents"/>
              <w:widowControl w:val="false"/>
              <w:suppressLineNumbers/>
              <w:spacing w:before="0" w:after="200"/>
              <w:rPr/>
            </w:pPr>
            <w:r>
              <w:rPr>
                <w:rStyle w:val="Strong"/>
              </w:rPr>
              <w:t>Control</w:t>
            </w:r>
          </w:p>
        </w:tc>
        <w:tc>
          <w:tcPr>
            <w:tcW w:w="2827" w:type="dxa"/>
            <w:tcBorders/>
            <w:vAlign w:val="center"/>
          </w:tcPr>
          <w:p>
            <w:pPr>
              <w:pStyle w:val="TableContents"/>
              <w:widowControl w:val="false"/>
              <w:suppressLineNumbers/>
              <w:spacing w:before="0" w:after="200"/>
              <w:rPr/>
            </w:pPr>
            <w:r>
              <w:rPr/>
              <w:t>Moral freedom centers on what is genuinely “up to” the agent</w:t>
            </w:r>
          </w:p>
        </w:tc>
        <w:tc>
          <w:tcPr>
            <w:tcW w:w="3922" w:type="dxa"/>
            <w:tcBorders/>
            <w:vAlign w:val="center"/>
          </w:tcPr>
          <w:p>
            <w:pPr>
              <w:pStyle w:val="TableContents"/>
              <w:widowControl w:val="false"/>
              <w:suppressLineNumbers/>
              <w:spacing w:before="0" w:after="200"/>
              <w:rPr/>
            </w:pPr>
            <w:r>
              <w:rPr/>
              <w:t>Degrees of control affect responsibility but do not eliminate evaluation of external effects</w:t>
            </w:r>
          </w:p>
        </w:tc>
      </w:tr>
      <w:tr>
        <w:trPr/>
        <w:tc>
          <w:tcPr>
            <w:tcW w:w="1891" w:type="dxa"/>
            <w:tcBorders/>
            <w:vAlign w:val="center"/>
          </w:tcPr>
          <w:p>
            <w:pPr>
              <w:pStyle w:val="TableContents"/>
              <w:widowControl w:val="false"/>
              <w:suppressLineNumbers/>
              <w:spacing w:before="0" w:after="200"/>
              <w:rPr/>
            </w:pPr>
            <w:r>
              <w:rPr>
                <w:rStyle w:val="Strong"/>
              </w:rPr>
              <w:t>Ideal agent</w:t>
            </w:r>
          </w:p>
        </w:tc>
        <w:tc>
          <w:tcPr>
            <w:tcW w:w="2827" w:type="dxa"/>
            <w:tcBorders/>
            <w:vAlign w:val="center"/>
          </w:tcPr>
          <w:p>
            <w:pPr>
              <w:pStyle w:val="TableContents"/>
              <w:widowControl w:val="false"/>
              <w:suppressLineNumbers/>
              <w:spacing w:before="0" w:after="200"/>
              <w:rPr/>
            </w:pPr>
            <w:r>
              <w:rPr/>
              <w:t>The Stoic sage possessing perfected reason and virtue</w:t>
            </w:r>
          </w:p>
        </w:tc>
        <w:tc>
          <w:tcPr>
            <w:tcW w:w="3922" w:type="dxa"/>
            <w:tcBorders/>
            <w:vAlign w:val="center"/>
          </w:tcPr>
          <w:p>
            <w:pPr>
              <w:pStyle w:val="TableContents"/>
              <w:widowControl w:val="false"/>
              <w:suppressLineNumbers/>
              <w:spacing w:before="0" w:after="200"/>
              <w:rPr/>
            </w:pPr>
            <w:r>
              <w:rPr/>
              <w:t>An adaptive moral agent capable of evidence-based, explainable, and revisable assessment</w:t>
            </w:r>
          </w:p>
        </w:tc>
      </w:tr>
      <w:tr>
        <w:trPr/>
        <w:tc>
          <w:tcPr>
            <w:tcW w:w="1891" w:type="dxa"/>
            <w:tcBorders/>
            <w:vAlign w:val="center"/>
          </w:tcPr>
          <w:p>
            <w:pPr>
              <w:pStyle w:val="TableContents"/>
              <w:widowControl w:val="false"/>
              <w:suppressLineNumbers/>
              <w:spacing w:before="0" w:after="200"/>
              <w:rPr/>
            </w:pPr>
            <w:r>
              <w:rPr>
                <w:rStyle w:val="Strong"/>
              </w:rPr>
              <w:t>Decision method</w:t>
            </w:r>
          </w:p>
        </w:tc>
        <w:tc>
          <w:tcPr>
            <w:tcW w:w="2827" w:type="dxa"/>
            <w:tcBorders/>
            <w:vAlign w:val="center"/>
          </w:tcPr>
          <w:p>
            <w:pPr>
              <w:pStyle w:val="TableContents"/>
              <w:widowControl w:val="false"/>
              <w:suppressLineNumbers/>
              <w:spacing w:before="0" w:after="200"/>
              <w:rPr/>
            </w:pPr>
            <w:r>
              <w:rPr/>
              <w:t>Philosophical exercises, role reflection, examination of impressions, and virtuous judgment</w:t>
            </w:r>
          </w:p>
        </w:tc>
        <w:tc>
          <w:tcPr>
            <w:tcW w:w="3922" w:type="dxa"/>
            <w:tcBorders/>
            <w:vAlign w:val="center"/>
          </w:tcPr>
          <w:p>
            <w:pPr>
              <w:pStyle w:val="TableContents"/>
              <w:widowControl w:val="false"/>
              <w:suppressLineNumbers/>
              <w:spacing w:before="0" w:after="200"/>
              <w:rPr/>
            </w:pPr>
            <w:r>
              <w:rPr/>
              <w:t>Explicit modeling of context, entities, associations, constraints, probabilities, and future transitions</w:t>
            </w:r>
          </w:p>
        </w:tc>
      </w:tr>
      <w:tr>
        <w:trPr/>
        <w:tc>
          <w:tcPr>
            <w:tcW w:w="1891" w:type="dxa"/>
            <w:tcBorders/>
            <w:vAlign w:val="center"/>
          </w:tcPr>
          <w:p>
            <w:pPr>
              <w:pStyle w:val="TableContents"/>
              <w:widowControl w:val="false"/>
              <w:suppressLineNumbers/>
              <w:spacing w:before="0" w:after="200"/>
              <w:rPr/>
            </w:pPr>
            <w:r>
              <w:rPr>
                <w:rStyle w:val="Strong"/>
              </w:rPr>
              <w:t>Treatment of harm</w:t>
            </w:r>
          </w:p>
        </w:tc>
        <w:tc>
          <w:tcPr>
            <w:tcW w:w="2827" w:type="dxa"/>
            <w:tcBorders/>
            <w:vAlign w:val="center"/>
          </w:tcPr>
          <w:p>
            <w:pPr>
              <w:pStyle w:val="TableContents"/>
              <w:widowControl w:val="false"/>
              <w:suppressLineNumbers/>
              <w:spacing w:before="0" w:after="200"/>
              <w:rPr/>
            </w:pPr>
            <w:r>
              <w:rPr/>
              <w:t>Bodily and material harm does not by itself destroy the victim’s moral flourishing</w:t>
            </w:r>
          </w:p>
        </w:tc>
        <w:tc>
          <w:tcPr>
            <w:tcW w:w="3922" w:type="dxa"/>
            <w:tcBorders/>
            <w:vAlign w:val="center"/>
          </w:tcPr>
          <w:p>
            <w:pPr>
              <w:pStyle w:val="TableContents"/>
              <w:widowControl w:val="false"/>
              <w:suppressLineNumbers/>
              <w:spacing w:before="0" w:after="200"/>
              <w:rPr/>
            </w:pPr>
            <w:r>
              <w:rPr/>
              <w:t>Material harm can directly diminish an entity’s flourishing and future state space</w:t>
            </w:r>
          </w:p>
        </w:tc>
      </w:tr>
      <w:tr>
        <w:trPr/>
        <w:tc>
          <w:tcPr>
            <w:tcW w:w="1891" w:type="dxa"/>
            <w:tcBorders/>
            <w:vAlign w:val="center"/>
          </w:tcPr>
          <w:p>
            <w:pPr>
              <w:pStyle w:val="TableContents"/>
              <w:widowControl w:val="false"/>
              <w:suppressLineNumbers/>
              <w:spacing w:before="0" w:after="200"/>
              <w:rPr/>
            </w:pPr>
            <w:r>
              <w:rPr>
                <w:rStyle w:val="Strong"/>
              </w:rPr>
              <w:t>Acceptance</w:t>
            </w:r>
          </w:p>
        </w:tc>
        <w:tc>
          <w:tcPr>
            <w:tcW w:w="2827" w:type="dxa"/>
            <w:tcBorders/>
            <w:vAlign w:val="center"/>
          </w:tcPr>
          <w:p>
            <w:pPr>
              <w:pStyle w:val="TableContents"/>
              <w:widowControl w:val="false"/>
              <w:suppressLineNumbers/>
              <w:spacing w:before="0" w:after="200"/>
              <w:rPr/>
            </w:pPr>
            <w:r>
              <w:rPr/>
              <w:t>Rational acceptance of what cannot be changed</w:t>
            </w:r>
          </w:p>
        </w:tc>
        <w:tc>
          <w:tcPr>
            <w:tcW w:w="3922" w:type="dxa"/>
            <w:tcBorders/>
            <w:vAlign w:val="center"/>
          </w:tcPr>
          <w:p>
            <w:pPr>
              <w:pStyle w:val="TableContents"/>
              <w:widowControl w:val="false"/>
              <w:suppressLineNumbers/>
              <w:spacing w:before="0" w:after="200"/>
              <w:rPr/>
            </w:pPr>
            <w:r>
              <w:rPr/>
              <w:t>Acceptance may be appropriate only after feasible corrective or protective alternatives are assessed</w:t>
            </w:r>
          </w:p>
        </w:tc>
      </w:tr>
    </w:tbl>
    <w:p>
      <w:pPr>
        <w:pStyle w:val="Heading4"/>
        <w:ind w:hanging="0" w:left="0"/>
        <w:rPr>
          <w:rFonts w:ascii="Aptos" w:hAnsi="Aptos"/>
          <w:color w:val="auto"/>
        </w:rPr>
      </w:pPr>
      <w:r>
        <w:rPr/>
        <w:t>Potential Integration Opportunities</w:t>
      </w:r>
    </w:p>
    <w:p>
      <w:pPr>
        <w:pStyle w:val="BodyText"/>
        <w:spacing w:before="0" w:after="200"/>
        <w:rPr/>
      </w:pPr>
      <w:r>
        <w:rPr/>
        <w:t>The framework could integrate Stoic concepts more explicitly through the following extensions:</w:t>
      </w:r>
    </w:p>
    <w:p>
      <w:pPr>
        <w:pStyle w:val="BodyText"/>
        <w:numPr>
          <w:ilvl w:val="0"/>
          <w:numId w:val="69"/>
        </w:numPr>
        <w:tabs>
          <w:tab w:val="clear" w:pos="720"/>
          <w:tab w:val="left" w:pos="0" w:leader="none"/>
        </w:tabs>
        <w:spacing w:before="0" w:after="200"/>
        <w:ind w:hanging="283" w:left="709"/>
        <w:rPr/>
      </w:pPr>
      <w:r>
        <w:rPr>
          <w:rStyle w:val="Strong"/>
        </w:rPr>
        <w:t>Add an agent-control analysis.</w:t>
      </w:r>
      <w:r>
        <w:rPr/>
        <w:t xml:space="preserve"> Each Assessed Action could distinguish:</w:t>
      </w:r>
    </w:p>
    <w:p>
      <w:pPr>
        <w:pStyle w:val="BodyText"/>
        <w:numPr>
          <w:ilvl w:val="1"/>
          <w:numId w:val="69"/>
        </w:numPr>
        <w:tabs>
          <w:tab w:val="clear" w:pos="720"/>
          <w:tab w:val="left" w:pos="0" w:leader="none"/>
        </w:tabs>
        <w:spacing w:before="0" w:after="200"/>
        <w:ind w:hanging="283" w:left="1418"/>
        <w:rPr/>
      </w:pPr>
      <w:r>
        <w:rPr/>
        <w:t>Factors directly controlled by the agent;</w:t>
      </w:r>
    </w:p>
    <w:p>
      <w:pPr>
        <w:pStyle w:val="BodyText"/>
        <w:numPr>
          <w:ilvl w:val="1"/>
          <w:numId w:val="69"/>
        </w:numPr>
        <w:tabs>
          <w:tab w:val="clear" w:pos="720"/>
          <w:tab w:val="left" w:pos="0" w:leader="none"/>
        </w:tabs>
        <w:spacing w:before="0" w:after="200"/>
        <w:ind w:hanging="283" w:left="1418"/>
        <w:rPr/>
      </w:pPr>
      <w:r>
        <w:rPr/>
        <w:t>Factors the agent can influence but not determine;</w:t>
      </w:r>
    </w:p>
    <w:p>
      <w:pPr>
        <w:pStyle w:val="BodyText"/>
        <w:numPr>
          <w:ilvl w:val="1"/>
          <w:numId w:val="69"/>
        </w:numPr>
        <w:tabs>
          <w:tab w:val="clear" w:pos="720"/>
          <w:tab w:val="left" w:pos="0" w:leader="none"/>
        </w:tabs>
        <w:spacing w:before="0" w:after="200"/>
        <w:ind w:hanging="283" w:left="1418"/>
        <w:rPr/>
      </w:pPr>
      <w:r>
        <w:rPr/>
        <w:t>Factors controlled by other entities;</w:t>
      </w:r>
    </w:p>
    <w:p>
      <w:pPr>
        <w:pStyle w:val="BodyText"/>
        <w:numPr>
          <w:ilvl w:val="1"/>
          <w:numId w:val="69"/>
        </w:numPr>
        <w:tabs>
          <w:tab w:val="clear" w:pos="720"/>
          <w:tab w:val="left" w:pos="0" w:leader="none"/>
        </w:tabs>
        <w:spacing w:before="0" w:after="200"/>
        <w:ind w:hanging="283" w:left="1418"/>
        <w:rPr/>
      </w:pPr>
      <w:r>
        <w:rPr/>
        <w:t>Environmental uncertainty; and</w:t>
      </w:r>
    </w:p>
    <w:p>
      <w:pPr>
        <w:pStyle w:val="BodyText"/>
        <w:numPr>
          <w:ilvl w:val="1"/>
          <w:numId w:val="69"/>
        </w:numPr>
        <w:tabs>
          <w:tab w:val="clear" w:pos="720"/>
          <w:tab w:val="left" w:pos="0" w:leader="none"/>
        </w:tabs>
        <w:spacing w:before="0" w:after="200"/>
        <w:ind w:hanging="283" w:left="1418"/>
        <w:rPr/>
      </w:pPr>
      <w:r>
        <w:rPr/>
        <w:t>Factors outside any relevant agent’s practical control.</w:t>
      </w:r>
    </w:p>
    <w:p>
      <w:pPr>
        <w:pStyle w:val="BodyText"/>
        <w:numPr>
          <w:ilvl w:val="0"/>
          <w:numId w:val="69"/>
        </w:numPr>
        <w:tabs>
          <w:tab w:val="clear" w:pos="720"/>
          <w:tab w:val="left" w:pos="0" w:leader="none"/>
        </w:tabs>
        <w:spacing w:before="0" w:after="200"/>
        <w:ind w:hanging="283" w:left="709"/>
        <w:rPr/>
      </w:pPr>
      <w:r>
        <w:rPr>
          <w:rStyle w:val="Strong"/>
        </w:rPr>
        <w:t>Separate transition quality from agent quality.</w:t>
      </w:r>
      <w:r>
        <w:rPr/>
        <w:t xml:space="preserve"> Every assessment could report both the ethical quality of the World Context Transition and the quality of the actor’s reasoning, intention, and conduct.</w:t>
      </w:r>
    </w:p>
    <w:p>
      <w:pPr>
        <w:pStyle w:val="BodyText"/>
        <w:numPr>
          <w:ilvl w:val="0"/>
          <w:numId w:val="69"/>
        </w:numPr>
        <w:tabs>
          <w:tab w:val="clear" w:pos="720"/>
          <w:tab w:val="left" w:pos="0" w:leader="none"/>
        </w:tabs>
        <w:spacing w:before="0" w:after="200"/>
        <w:ind w:hanging="283" w:left="709"/>
        <w:rPr/>
      </w:pPr>
      <w:r>
        <w:rPr>
          <w:rStyle w:val="Strong"/>
        </w:rPr>
        <w:t>Introduce a Stoic assent sequence.</w:t>
      </w:r>
      <w:r>
        <w:rPr/>
        <w:t xml:space="preserve"> Before an impression changes an objective or initiates action, the system could ask:</w:t>
      </w:r>
    </w:p>
    <w:p>
      <w:pPr>
        <w:pStyle w:val="BodyText"/>
        <w:numPr>
          <w:ilvl w:val="1"/>
          <w:numId w:val="69"/>
        </w:numPr>
        <w:tabs>
          <w:tab w:val="clear" w:pos="720"/>
          <w:tab w:val="left" w:pos="0" w:leader="none"/>
        </w:tabs>
        <w:spacing w:before="0" w:after="200"/>
        <w:ind w:hanging="283" w:left="1418"/>
        <w:rPr/>
      </w:pPr>
      <w:r>
        <w:rPr/>
        <w:t>What is the initial impression?</w:t>
      </w:r>
    </w:p>
    <w:p>
      <w:pPr>
        <w:pStyle w:val="BodyText"/>
        <w:numPr>
          <w:ilvl w:val="1"/>
          <w:numId w:val="69"/>
        </w:numPr>
        <w:tabs>
          <w:tab w:val="clear" w:pos="720"/>
          <w:tab w:val="left" w:pos="0" w:leader="none"/>
        </w:tabs>
        <w:spacing w:before="0" w:after="200"/>
        <w:ind w:hanging="283" w:left="1418"/>
        <w:rPr/>
      </w:pPr>
      <w:r>
        <w:rPr/>
        <w:t>What judgment does it imply?</w:t>
      </w:r>
    </w:p>
    <w:p>
      <w:pPr>
        <w:pStyle w:val="BodyText"/>
        <w:numPr>
          <w:ilvl w:val="1"/>
          <w:numId w:val="69"/>
        </w:numPr>
        <w:tabs>
          <w:tab w:val="clear" w:pos="720"/>
          <w:tab w:val="left" w:pos="0" w:leader="none"/>
        </w:tabs>
        <w:spacing w:before="0" w:after="200"/>
        <w:ind w:hanging="283" w:left="1418"/>
        <w:rPr/>
      </w:pPr>
      <w:r>
        <w:rPr/>
        <w:t>What evidence supports that judgment?</w:t>
      </w:r>
    </w:p>
    <w:p>
      <w:pPr>
        <w:pStyle w:val="BodyText"/>
        <w:numPr>
          <w:ilvl w:val="1"/>
          <w:numId w:val="69"/>
        </w:numPr>
        <w:tabs>
          <w:tab w:val="clear" w:pos="720"/>
          <w:tab w:val="left" w:pos="0" w:leader="none"/>
        </w:tabs>
        <w:spacing w:before="0" w:after="200"/>
        <w:ind w:hanging="283" w:left="1418"/>
        <w:rPr/>
      </w:pPr>
      <w:r>
        <w:rPr/>
        <w:t>Is the event being mislabeled as inherently good or evil?</w:t>
      </w:r>
    </w:p>
    <w:p>
      <w:pPr>
        <w:pStyle w:val="BodyText"/>
        <w:numPr>
          <w:ilvl w:val="1"/>
          <w:numId w:val="69"/>
        </w:numPr>
        <w:tabs>
          <w:tab w:val="clear" w:pos="720"/>
          <w:tab w:val="left" w:pos="0" w:leader="none"/>
        </w:tabs>
        <w:spacing w:before="0" w:after="200"/>
        <w:ind w:hanging="283" w:left="1418"/>
        <w:rPr/>
      </w:pPr>
      <w:r>
        <w:rPr/>
        <w:t>What action remains within the agent’s authority?</w:t>
      </w:r>
    </w:p>
    <w:p>
      <w:pPr>
        <w:pStyle w:val="BodyText"/>
        <w:numPr>
          <w:ilvl w:val="1"/>
          <w:numId w:val="69"/>
        </w:numPr>
        <w:tabs>
          <w:tab w:val="clear" w:pos="720"/>
          <w:tab w:val="left" w:pos="0" w:leader="none"/>
        </w:tabs>
        <w:spacing w:before="0" w:after="200"/>
        <w:ind w:hanging="283" w:left="1418"/>
        <w:rPr/>
      </w:pPr>
      <w:r>
        <w:rPr/>
        <w:t>Which virtue should govern the response?</w:t>
      </w:r>
    </w:p>
    <w:p>
      <w:pPr>
        <w:pStyle w:val="BodyText"/>
        <w:numPr>
          <w:ilvl w:val="0"/>
          <w:numId w:val="69"/>
        </w:numPr>
        <w:tabs>
          <w:tab w:val="clear" w:pos="720"/>
          <w:tab w:val="left" w:pos="0" w:leader="none"/>
        </w:tabs>
        <w:spacing w:before="0" w:after="200"/>
        <w:ind w:hanging="283" w:left="709"/>
        <w:rPr/>
      </w:pPr>
      <w:r>
        <w:rPr>
          <w:rStyle w:val="Strong"/>
        </w:rPr>
        <w:t>Add a cardinal-virtue review.</w:t>
      </w:r>
      <w:r>
        <w:rPr/>
        <w:t xml:space="preserve"> Proposed actions could be separately assessed for wisdom, justice, courage, and moderation.</w:t>
      </w:r>
    </w:p>
    <w:p>
      <w:pPr>
        <w:pStyle w:val="BodyText"/>
        <w:numPr>
          <w:ilvl w:val="0"/>
          <w:numId w:val="69"/>
        </w:numPr>
        <w:tabs>
          <w:tab w:val="clear" w:pos="720"/>
          <w:tab w:val="left" w:pos="0" w:leader="none"/>
        </w:tabs>
        <w:spacing w:before="0" w:after="200"/>
        <w:ind w:hanging="283" w:left="709"/>
        <w:rPr/>
      </w:pPr>
      <w:r>
        <w:rPr>
          <w:rStyle w:val="Strong"/>
        </w:rPr>
        <w:t>Use conditional or reserved objectives.</w:t>
      </w:r>
      <w:r>
        <w:rPr/>
        <w:t xml:space="preserve"> Goals could be expressed as intentions to pursue an outcome competently while acknowledging uncertainty and external interference.</w:t>
      </w:r>
    </w:p>
    <w:p>
      <w:pPr>
        <w:pStyle w:val="BodyText"/>
        <w:numPr>
          <w:ilvl w:val="0"/>
          <w:numId w:val="69"/>
        </w:numPr>
        <w:tabs>
          <w:tab w:val="clear" w:pos="720"/>
          <w:tab w:val="left" w:pos="0" w:leader="none"/>
        </w:tabs>
        <w:spacing w:before="0" w:after="200"/>
        <w:ind w:hanging="283" w:left="709"/>
        <w:rPr/>
      </w:pPr>
      <w:r>
        <w:rPr>
          <w:rStyle w:val="Strong"/>
        </w:rPr>
        <w:t>Distinguish reasonable selection from successful acquisition.</w:t>
      </w:r>
      <w:r>
        <w:rPr/>
        <w:t xml:space="preserve"> An agent may reasonably select health, safety, or protection while recognizing that success is not fully controllable. This would improve responsibility analysis without treating external outcomes as ethically irrelevant.</w:t>
      </w:r>
    </w:p>
    <w:p>
      <w:pPr>
        <w:pStyle w:val="BodyText"/>
        <w:numPr>
          <w:ilvl w:val="0"/>
          <w:numId w:val="69"/>
        </w:numPr>
        <w:tabs>
          <w:tab w:val="clear" w:pos="720"/>
          <w:tab w:val="left" w:pos="0" w:leader="none"/>
        </w:tabs>
        <w:spacing w:before="0" w:after="200"/>
        <w:ind w:hanging="283" w:left="709"/>
        <w:rPr/>
      </w:pPr>
      <w:r>
        <w:rPr>
          <w:rStyle w:val="Strong"/>
        </w:rPr>
        <w:t>Add role-based appropriate-action rules.</w:t>
      </w:r>
      <w:r>
        <w:rPr/>
        <w:t xml:space="preserve"> Responsibilities associated with parenthood, citizenship, leadership, professional practice, contractual commitment, and institutional authority could be represented explicitly.</w:t>
      </w:r>
    </w:p>
    <w:p>
      <w:pPr>
        <w:pStyle w:val="BodyText"/>
        <w:numPr>
          <w:ilvl w:val="0"/>
          <w:numId w:val="69"/>
        </w:numPr>
        <w:tabs>
          <w:tab w:val="clear" w:pos="720"/>
          <w:tab w:val="left" w:pos="0" w:leader="none"/>
        </w:tabs>
        <w:spacing w:before="0" w:after="200"/>
        <w:ind w:hanging="283" w:left="709"/>
        <w:rPr/>
      </w:pPr>
      <w:r>
        <w:rPr>
          <w:rStyle w:val="Strong"/>
        </w:rPr>
        <w:t>Implement impression and bias monitoring.</w:t>
      </w:r>
      <w:r>
        <w:rPr/>
        <w:t xml:space="preserve"> Fear, anger, desire, resentment, reputation, and status concerns could be flagged as possible influences on evidence assessment and objective selection.</w:t>
      </w:r>
    </w:p>
    <w:p>
      <w:pPr>
        <w:pStyle w:val="BodyText"/>
        <w:numPr>
          <w:ilvl w:val="0"/>
          <w:numId w:val="69"/>
        </w:numPr>
        <w:tabs>
          <w:tab w:val="clear" w:pos="720"/>
          <w:tab w:val="left" w:pos="0" w:leader="none"/>
        </w:tabs>
        <w:spacing w:before="0" w:after="200"/>
        <w:ind w:hanging="283" w:left="709"/>
        <w:rPr/>
      </w:pPr>
      <w:r>
        <w:rPr>
          <w:rStyle w:val="Strong"/>
        </w:rPr>
        <w:t>Add pre-action adversity testing.</w:t>
      </w:r>
      <w:r>
        <w:rPr/>
        <w:t xml:space="preserve"> Agents could anticipate loss, delay, resistance, failure, criticism, scarcity, and other foreseeable obstacles before committing to an action.</w:t>
      </w:r>
    </w:p>
    <w:p>
      <w:pPr>
        <w:pStyle w:val="BodyText"/>
        <w:numPr>
          <w:ilvl w:val="0"/>
          <w:numId w:val="69"/>
        </w:numPr>
        <w:tabs>
          <w:tab w:val="clear" w:pos="720"/>
          <w:tab w:val="left" w:pos="0" w:leader="none"/>
        </w:tabs>
        <w:spacing w:before="0" w:after="200"/>
        <w:ind w:hanging="283" w:left="709"/>
        <w:rPr/>
      </w:pPr>
      <w:r>
        <w:rPr>
          <w:rStyle w:val="Strong"/>
        </w:rPr>
        <w:t>Add post-action moral review.</w:t>
      </w:r>
      <w:r>
        <w:rPr/>
        <w:t xml:space="preserve"> The system could compare expected and actual outcomes, examine errors of judgment, identify uncontrolled factors, and update the agent’s future policy.</w:t>
      </w:r>
    </w:p>
    <w:p>
      <w:pPr>
        <w:pStyle w:val="BodyText"/>
        <w:numPr>
          <w:ilvl w:val="0"/>
          <w:numId w:val="69"/>
        </w:numPr>
        <w:tabs>
          <w:tab w:val="clear" w:pos="720"/>
          <w:tab w:val="left" w:pos="0" w:leader="none"/>
        </w:tabs>
        <w:spacing w:before="0" w:after="200"/>
        <w:ind w:hanging="283" w:left="709"/>
        <w:rPr/>
      </w:pPr>
      <w:r>
        <w:rPr>
          <w:rStyle w:val="Strong"/>
        </w:rPr>
        <w:t>Incorporate cosmopolitan scope tests.</w:t>
      </w:r>
      <w:r>
        <w:rPr/>
        <w:t xml:space="preserve"> Assessments could ask whether relevant distant, foreign, politically weak, or institutionally invisible entities were excluded merely because they fell outside the actor’s immediate community.</w:t>
      </w:r>
    </w:p>
    <w:p>
      <w:pPr>
        <w:pStyle w:val="BodyText"/>
        <w:numPr>
          <w:ilvl w:val="0"/>
          <w:numId w:val="69"/>
        </w:numPr>
        <w:tabs>
          <w:tab w:val="clear" w:pos="720"/>
          <w:tab w:val="left" w:pos="0" w:leader="none"/>
        </w:tabs>
        <w:spacing w:before="0" w:after="200"/>
        <w:ind w:hanging="283" w:left="709"/>
        <w:rPr/>
      </w:pPr>
      <w:r>
        <w:rPr>
          <w:rStyle w:val="Strong"/>
        </w:rPr>
        <w:t>Model expanding moral affiliation.</w:t>
      </w:r>
      <w:r>
        <w:rPr/>
        <w:t xml:space="preserve"> The framework could track whether moral agents progressively recognize broader classes of entities and relationships as ethically relevant.</w:t>
      </w:r>
    </w:p>
    <w:p>
      <w:pPr>
        <w:pStyle w:val="BodyText"/>
        <w:numPr>
          <w:ilvl w:val="0"/>
          <w:numId w:val="69"/>
        </w:numPr>
        <w:tabs>
          <w:tab w:val="clear" w:pos="720"/>
          <w:tab w:val="left" w:pos="0" w:leader="none"/>
        </w:tabs>
        <w:spacing w:before="0" w:after="200"/>
        <w:ind w:hanging="283" w:left="709"/>
        <w:rPr/>
      </w:pPr>
      <w:r>
        <w:rPr>
          <w:rStyle w:val="Strong"/>
        </w:rPr>
        <w:t>Develop resilience safeguards.</w:t>
      </w:r>
      <w:r>
        <w:rPr/>
        <w:t xml:space="preserve"> Stoic practices could help agents maintain ethical commitments under pressure, uncertainty, threat, reputational loss, or operational failure.</w:t>
      </w:r>
    </w:p>
    <w:p>
      <w:pPr>
        <w:pStyle w:val="BodyText"/>
        <w:numPr>
          <w:ilvl w:val="0"/>
          <w:numId w:val="69"/>
        </w:numPr>
        <w:tabs>
          <w:tab w:val="clear" w:pos="720"/>
          <w:tab w:val="left" w:pos="0" w:leader="none"/>
        </w:tabs>
        <w:spacing w:before="0" w:after="200"/>
        <w:ind w:hanging="283" w:left="709"/>
        <w:rPr/>
      </w:pPr>
      <w:r>
        <w:rPr>
          <w:rStyle w:val="Strong"/>
        </w:rPr>
        <w:t>Prevent passive misuse of acceptance.</w:t>
      </w:r>
      <w:r>
        <w:rPr/>
        <w:t xml:space="preserve"> The framework should distinguish unavoidable conditions from remediable injustice. Stoic acceptance should apply to what cannot reasonably be changed, not to harms that an agent has the authority and capacity to address.</w:t>
      </w:r>
    </w:p>
    <w:p>
      <w:pPr>
        <w:pStyle w:val="BodyText"/>
        <w:numPr>
          <w:ilvl w:val="0"/>
          <w:numId w:val="69"/>
        </w:numPr>
        <w:tabs>
          <w:tab w:val="clear" w:pos="720"/>
          <w:tab w:val="left" w:pos="0" w:leader="none"/>
        </w:tabs>
        <w:spacing w:before="0" w:after="200"/>
        <w:ind w:hanging="283" w:left="709"/>
        <w:rPr/>
      </w:pPr>
      <w:r>
        <w:rPr>
          <w:rStyle w:val="Strong"/>
        </w:rPr>
        <w:t>Prevent emotional suppression.</w:t>
      </w:r>
      <w:r>
        <w:rPr/>
        <w:t xml:space="preserve"> Emotional regulation should be distinguished from ignoring grief, trauma, fear, or morally informative concern. Relevant emotional states should be examined rather than automatically eliminated.</w:t>
      </w:r>
    </w:p>
    <w:p>
      <w:pPr>
        <w:pStyle w:val="BodyText"/>
        <w:numPr>
          <w:ilvl w:val="0"/>
          <w:numId w:val="69"/>
        </w:numPr>
        <w:tabs>
          <w:tab w:val="clear" w:pos="720"/>
          <w:tab w:val="left" w:pos="0" w:leader="none"/>
        </w:tabs>
        <w:spacing w:before="0" w:after="200"/>
        <w:ind w:hanging="283" w:left="709"/>
        <w:rPr/>
      </w:pPr>
      <w:r>
        <w:rPr>
          <w:rStyle w:val="Strong"/>
        </w:rPr>
        <w:t>Prevent victim-blaming.</w:t>
      </w:r>
      <w:r>
        <w:rPr/>
        <w:t xml:space="preserve"> Stoic claims about internal moral freedom should not be used to deny the reality of coercion, injury, deprivation, or institutional responsibility.</w:t>
      </w:r>
    </w:p>
    <w:p>
      <w:pPr>
        <w:pStyle w:val="BodyText"/>
        <w:numPr>
          <w:ilvl w:val="0"/>
          <w:numId w:val="69"/>
        </w:numPr>
        <w:tabs>
          <w:tab w:val="clear" w:pos="720"/>
          <w:tab w:val="left" w:pos="0" w:leader="none"/>
        </w:tabs>
        <w:spacing w:before="0" w:after="200"/>
        <w:ind w:hanging="283" w:left="709"/>
        <w:rPr/>
      </w:pPr>
      <w:r>
        <w:rPr>
          <w:rStyle w:val="Strong"/>
        </w:rPr>
        <w:t>Integrate virtue into policy learning.</w:t>
      </w:r>
      <w:r>
        <w:rPr/>
        <w:t xml:space="preserve"> Distributed Policy Effects could evaluate whether an action cultivates wisdom, justice, courage, and moderation in agents and institutions or instead normalizes impulsiveness, cowardice, injustice, and excess.</w:t>
      </w:r>
    </w:p>
    <w:p>
      <w:pPr>
        <w:pStyle w:val="BodyText"/>
        <w:numPr>
          <w:ilvl w:val="0"/>
          <w:numId w:val="69"/>
        </w:numPr>
        <w:tabs>
          <w:tab w:val="clear" w:pos="720"/>
          <w:tab w:val="left" w:pos="0" w:leader="none"/>
        </w:tabs>
        <w:spacing w:before="0" w:after="200"/>
        <w:ind w:hanging="283" w:left="709"/>
        <w:rPr/>
      </w:pPr>
      <w:r>
        <w:rPr>
          <w:rStyle w:val="Strong"/>
        </w:rPr>
        <w:t>Test the distinction between preferred indifferents and flourishing conditions.</w:t>
      </w:r>
      <w:r>
        <w:rPr/>
        <w:t xml:space="preserve"> Future research could examine whether Stoic detachment improves resilience while preserving sufficient recognition of material, relational, and institutional harms.</w:t>
      </w:r>
    </w:p>
    <w:p>
      <w:pPr>
        <w:pStyle w:val="BodyText"/>
        <w:numPr>
          <w:ilvl w:val="0"/>
          <w:numId w:val="69"/>
        </w:numPr>
        <w:tabs>
          <w:tab w:val="clear" w:pos="720"/>
          <w:tab w:val="left" w:pos="0" w:leader="none"/>
        </w:tabs>
        <w:spacing w:before="0" w:after="200"/>
        <w:ind w:hanging="283" w:left="709"/>
        <w:rPr/>
      </w:pPr>
      <w:r>
        <w:rPr>
          <w:rStyle w:val="Strong"/>
        </w:rPr>
        <w:t>Support ethical leadership under uncertainty.</w:t>
      </w:r>
      <w:r>
        <w:rPr/>
        <w:t xml:space="preserve"> Stoic role duty, self-command, mortality awareness, and resistance to status incentives could be incorporated into assessments involving public officials and organizational leaders.</w:t>
      </w:r>
    </w:p>
    <w:p>
      <w:pPr>
        <w:pStyle w:val="BodyText"/>
        <w:numPr>
          <w:ilvl w:val="0"/>
          <w:numId w:val="69"/>
        </w:numPr>
        <w:tabs>
          <w:tab w:val="clear" w:pos="720"/>
          <w:tab w:val="left" w:pos="0" w:leader="none"/>
        </w:tabs>
        <w:spacing w:before="0" w:after="200"/>
        <w:ind w:hanging="283" w:left="709"/>
        <w:rPr/>
      </w:pPr>
      <w:r>
        <w:rPr>
          <w:rStyle w:val="Strong"/>
        </w:rPr>
        <w:t>Produce a dual Stoic-systems finding.</w:t>
      </w:r>
      <w:r>
        <w:rPr/>
        <w:t xml:space="preserve"> Each relevant assessment could state:</w:t>
      </w:r>
    </w:p>
    <w:p>
      <w:pPr>
        <w:pStyle w:val="BodyText"/>
        <w:numPr>
          <w:ilvl w:val="0"/>
          <w:numId w:val="70"/>
        </w:numPr>
        <w:tabs>
          <w:tab w:val="clear" w:pos="720"/>
          <w:tab w:val="left" w:pos="0" w:leader="none"/>
        </w:tabs>
        <w:spacing w:before="0" w:after="200"/>
        <w:ind w:hanging="283" w:left="709"/>
        <w:rPr/>
      </w:pPr>
      <w:r>
        <w:rPr/>
        <w:t>Whether the agent exercised sound judgment and appropriate control;</w:t>
      </w:r>
    </w:p>
    <w:p>
      <w:pPr>
        <w:pStyle w:val="BodyText"/>
        <w:numPr>
          <w:ilvl w:val="0"/>
          <w:numId w:val="70"/>
        </w:numPr>
        <w:tabs>
          <w:tab w:val="clear" w:pos="720"/>
          <w:tab w:val="left" w:pos="0" w:leader="none"/>
        </w:tabs>
        <w:spacing w:before="0" w:after="200"/>
        <w:ind w:hanging="283" w:left="709"/>
        <w:rPr/>
      </w:pPr>
      <w:r>
        <w:rPr/>
        <w:t>Whether the action reflected wisdom, justice, courage, and moderation;</w:t>
      </w:r>
    </w:p>
    <w:p>
      <w:pPr>
        <w:pStyle w:val="BodyText"/>
        <w:numPr>
          <w:ilvl w:val="0"/>
          <w:numId w:val="70"/>
        </w:numPr>
        <w:tabs>
          <w:tab w:val="clear" w:pos="720"/>
          <w:tab w:val="left" w:pos="0" w:leader="none"/>
        </w:tabs>
        <w:spacing w:before="0" w:after="200"/>
        <w:ind w:hanging="283" w:left="709"/>
        <w:rPr/>
      </w:pPr>
      <w:r>
        <w:rPr/>
        <w:t>Which outcomes were reasonably selectable but not controllable;</w:t>
      </w:r>
    </w:p>
    <w:p>
      <w:pPr>
        <w:pStyle w:val="BodyText"/>
        <w:numPr>
          <w:ilvl w:val="0"/>
          <w:numId w:val="70"/>
        </w:numPr>
        <w:tabs>
          <w:tab w:val="clear" w:pos="720"/>
          <w:tab w:val="left" w:pos="0" w:leader="none"/>
        </w:tabs>
        <w:spacing w:before="0" w:after="200"/>
        <w:ind w:hanging="283" w:left="709"/>
        <w:rPr/>
      </w:pPr>
      <w:r>
        <w:rPr/>
        <w:t>What transition actually occurred;</w:t>
      </w:r>
    </w:p>
    <w:p>
      <w:pPr>
        <w:pStyle w:val="BodyText"/>
        <w:numPr>
          <w:ilvl w:val="0"/>
          <w:numId w:val="70"/>
        </w:numPr>
        <w:tabs>
          <w:tab w:val="clear" w:pos="720"/>
          <w:tab w:val="left" w:pos="0" w:leader="none"/>
        </w:tabs>
        <w:spacing w:before="0" w:after="200"/>
        <w:ind w:hanging="283" w:left="709"/>
        <w:rPr/>
      </w:pPr>
      <w:r>
        <w:rPr/>
        <w:t>Which affected entities experienced diminished flourishing;</w:t>
      </w:r>
    </w:p>
    <w:p>
      <w:pPr>
        <w:pStyle w:val="BodyText"/>
        <w:numPr>
          <w:ilvl w:val="0"/>
          <w:numId w:val="70"/>
        </w:numPr>
        <w:tabs>
          <w:tab w:val="clear" w:pos="720"/>
          <w:tab w:val="left" w:pos="0" w:leader="none"/>
        </w:tabs>
        <w:spacing w:before="0" w:after="200"/>
        <w:ind w:hanging="283" w:left="709"/>
        <w:rPr/>
      </w:pPr>
      <w:r>
        <w:rPr/>
        <w:t>What responsibility remains; and</w:t>
      </w:r>
    </w:p>
    <w:p>
      <w:pPr>
        <w:pStyle w:val="BodyText"/>
        <w:numPr>
          <w:ilvl w:val="0"/>
          <w:numId w:val="70"/>
        </w:numPr>
        <w:tabs>
          <w:tab w:val="clear" w:pos="720"/>
          <w:tab w:val="left" w:pos="0" w:leader="none"/>
        </w:tabs>
        <w:spacing w:before="0" w:after="200"/>
        <w:ind w:hanging="283" w:left="709"/>
        <w:rPr/>
      </w:pPr>
      <w:r>
        <w:rPr/>
        <w:t>What corrective action is now within the agent’s control.</w:t>
      </w:r>
    </w:p>
    <w:p>
      <w:pPr>
        <w:pStyle w:val="BodyText"/>
        <w:spacing w:before="0" w:after="200"/>
        <w:rPr/>
      </w:pPr>
      <w:r>
        <w:rPr/>
        <w:t>This integration would preserve the Stoic distinction between moral agency and external fortune while retaining the framework’s commitment to evaluate real effects on other entities. It would also prevent two opposite errors: blaming agents for outcomes they could not reasonably control and treating avoidable harm as ethically irrelevant merely because the actor maintained internal composure.</w:t>
      </w:r>
    </w:p>
    <w:p>
      <w:pPr>
        <w:pStyle w:val="Heading3"/>
        <w:ind w:hanging="0" w:left="0"/>
        <w:rPr>
          <w:rFonts w:ascii="Aptos" w:hAnsi="Aptos"/>
          <w:color w:val="auto"/>
          <w:sz w:val="21"/>
          <w:szCs w:val="22"/>
        </w:rPr>
      </w:pPr>
      <w:r>
        <w:rPr/>
        <w:t>Cosmism</w:t>
      </w:r>
    </w:p>
    <w:p>
      <w:pPr>
        <w:pStyle w:val="BodyText"/>
        <w:spacing w:before="0" w:after="200"/>
        <w:rPr/>
      </w:pPr>
      <w:r>
        <w:rPr/>
        <w:t>Cosmism, as used here, refers primarily to the Russian Cosmist tradition that emerged during the late nineteenth and early twentieth centuries, together with its later noospheric, spacefaring, life-extension, and transhumanist descendants. It should not be confused with “cosmicism,” which emphasizes humanity’s insignificance within an indifferent universe. Cosmism instead presents humanity—or intelligent life more generally—as a potentially active participant in cosmic evolution.</w:t>
      </w:r>
    </w:p>
    <w:p>
      <w:pPr>
        <w:pStyle w:val="BodyText"/>
        <w:spacing w:before="0" w:after="200"/>
        <w:rPr/>
      </w:pPr>
      <w:r>
        <w:rPr/>
        <w:t xml:space="preserve">Cosmism is not a single ethical theory. It combines religious philosophy, scientific naturalism, technological speculation, systems thinking, and theories of humanity’s cosmic future. Its recurring themes include collective responsibility for directing evolution, overcoming involuntary death, preserving life and memory, expanding beyond Earth, and transforming the biosphere through knowledge. One concise scholarly characterization describes Cosmism as “active evolutionism”: the view that intelligence can and should consciously participate in the direction of natural and cosmic development. </w:t>
      </w:r>
      <w:hyperlink r:id="rId157">
        <w:r>
          <w:rPr>
            <w:rStyle w:val="Hyperlink"/>
          </w:rPr>
          <w:t>Filosofia: An Encyclopedia of Russian Thought</w:t>
        </w:r>
      </w:hyperlink>
    </w:p>
    <w:p>
      <w:pPr>
        <w:pStyle w:val="Heading4"/>
        <w:ind w:hanging="0" w:left="0"/>
        <w:rPr>
          <w:rFonts w:ascii="Aptos" w:hAnsi="Aptos"/>
          <w:color w:val="auto"/>
        </w:rPr>
      </w:pPr>
      <w:r>
        <w:rPr/>
        <w:t>Primary Expert(s)</w:t>
      </w:r>
    </w:p>
    <w:tbl>
      <w:tblPr>
        <w:tblW w:w="8640" w:type="dxa"/>
        <w:jc w:val="left"/>
        <w:tblInd w:w="28" w:type="dxa"/>
        <w:tblLayout w:type="fixed"/>
        <w:tblCellMar>
          <w:top w:w="28" w:type="dxa"/>
          <w:left w:w="28" w:type="dxa"/>
          <w:bottom w:w="28" w:type="dxa"/>
          <w:right w:w="28" w:type="dxa"/>
        </w:tblCellMar>
      </w:tblPr>
      <w:tblGrid>
        <w:gridCol w:w="1753"/>
        <w:gridCol w:w="736"/>
        <w:gridCol w:w="2409"/>
        <w:gridCol w:w="3742"/>
      </w:tblGrid>
      <w:tr>
        <w:trPr>
          <w:tblHeader w:val="true"/>
        </w:trPr>
        <w:tc>
          <w:tcPr>
            <w:tcW w:w="1753" w:type="dxa"/>
            <w:tcBorders/>
            <w:vAlign w:val="center"/>
          </w:tcPr>
          <w:p>
            <w:pPr>
              <w:pStyle w:val="TableHeading"/>
              <w:suppressLineNumbers/>
              <w:spacing w:before="0" w:after="200"/>
              <w:jc w:val="center"/>
              <w:rPr/>
            </w:pPr>
            <w:r>
              <w:rPr/>
              <w:t>Expert</w:t>
            </w:r>
          </w:p>
        </w:tc>
        <w:tc>
          <w:tcPr>
            <w:tcW w:w="736" w:type="dxa"/>
            <w:tcBorders/>
            <w:vAlign w:val="center"/>
          </w:tcPr>
          <w:p>
            <w:pPr>
              <w:pStyle w:val="TableHeading"/>
              <w:spacing w:before="0" w:after="200"/>
              <w:jc w:val="right"/>
              <w:rPr/>
            </w:pPr>
            <w:r>
              <w:rPr/>
              <w:t>Years</w:t>
            </w:r>
          </w:p>
        </w:tc>
        <w:tc>
          <w:tcPr>
            <w:tcW w:w="2409" w:type="dxa"/>
            <w:tcBorders/>
            <w:vAlign w:val="center"/>
          </w:tcPr>
          <w:p>
            <w:pPr>
              <w:pStyle w:val="TableHeading"/>
              <w:suppressLineNumbers/>
              <w:spacing w:before="0" w:after="200"/>
              <w:jc w:val="center"/>
              <w:rPr/>
            </w:pPr>
            <w:r>
              <w:rPr/>
              <w:t>Associated institution or setting</w:t>
            </w:r>
          </w:p>
        </w:tc>
        <w:tc>
          <w:tcPr>
            <w:tcW w:w="3742" w:type="dxa"/>
            <w:tcBorders/>
            <w:vAlign w:val="center"/>
          </w:tcPr>
          <w:p>
            <w:pPr>
              <w:pStyle w:val="TableHeading"/>
              <w:suppressLineNumbers/>
              <w:spacing w:before="0" w:after="200"/>
              <w:jc w:val="center"/>
              <w:rPr/>
            </w:pPr>
            <w:r>
              <w:rPr/>
              <w:t>Principal contribution</w:t>
            </w:r>
          </w:p>
        </w:tc>
      </w:tr>
      <w:tr>
        <w:trPr/>
        <w:tc>
          <w:tcPr>
            <w:tcW w:w="1753" w:type="dxa"/>
            <w:tcBorders/>
            <w:vAlign w:val="center"/>
          </w:tcPr>
          <w:p>
            <w:pPr>
              <w:pStyle w:val="TableContents"/>
              <w:widowControl w:val="false"/>
              <w:suppressLineNumbers/>
              <w:spacing w:before="0" w:after="200"/>
              <w:rPr/>
            </w:pPr>
            <w:r>
              <w:rPr>
                <w:rStyle w:val="Strong"/>
              </w:rPr>
              <w:t>Nikolai Fedorovich Fedorov</w:t>
            </w:r>
            <w:r>
              <w:rPr/>
              <w:t>—also rendered Fyodorov</w:t>
            </w:r>
          </w:p>
        </w:tc>
        <w:tc>
          <w:tcPr>
            <w:tcW w:w="736" w:type="dxa"/>
            <w:tcBorders/>
            <w:vAlign w:val="center"/>
          </w:tcPr>
          <w:p>
            <w:pPr>
              <w:pStyle w:val="TableContents"/>
              <w:spacing w:before="0" w:after="200"/>
              <w:jc w:val="right"/>
              <w:rPr/>
            </w:pPr>
            <w:r>
              <w:rPr/>
              <w:t>1829–1903</w:t>
            </w:r>
          </w:p>
        </w:tc>
        <w:tc>
          <w:tcPr>
            <w:tcW w:w="2409" w:type="dxa"/>
            <w:tcBorders/>
            <w:vAlign w:val="center"/>
          </w:tcPr>
          <w:p>
            <w:pPr>
              <w:pStyle w:val="TableContents"/>
              <w:widowControl w:val="false"/>
              <w:suppressLineNumbers/>
              <w:spacing w:before="0" w:after="200"/>
              <w:rPr/>
            </w:pPr>
            <w:r>
              <w:rPr/>
              <w:t>Rumyantsev Museum Library, Moscow; earlier provincial teaching positions</w:t>
            </w:r>
          </w:p>
        </w:tc>
        <w:tc>
          <w:tcPr>
            <w:tcW w:w="3742" w:type="dxa"/>
            <w:tcBorders/>
            <w:vAlign w:val="center"/>
          </w:tcPr>
          <w:p>
            <w:pPr>
              <w:pStyle w:val="TableContents"/>
              <w:widowControl w:val="false"/>
              <w:suppressLineNumbers/>
              <w:spacing w:before="0" w:after="200"/>
              <w:rPr/>
            </w:pPr>
            <w:r>
              <w:rPr/>
              <w:t xml:space="preserve">Principal philosophical founder of Russian Cosmism. His “Common Task” called for humanity to overcome division, regulate destructive natural forces, defeat involuntary death, and ultimately restore all prior human lives through collective scientific and moral effort. </w:t>
            </w:r>
            <w:hyperlink r:id="rId158">
              <w:r>
                <w:rPr>
                  <w:rStyle w:val="Hyperlink"/>
                </w:rPr>
                <w:t>Internet Encyclopedia of Philosophy</w:t>
              </w:r>
            </w:hyperlink>
          </w:p>
        </w:tc>
      </w:tr>
      <w:tr>
        <w:trPr/>
        <w:tc>
          <w:tcPr>
            <w:tcW w:w="1753" w:type="dxa"/>
            <w:tcBorders/>
            <w:vAlign w:val="center"/>
          </w:tcPr>
          <w:p>
            <w:pPr>
              <w:pStyle w:val="TableContents"/>
              <w:widowControl w:val="false"/>
              <w:suppressLineNumbers/>
              <w:spacing w:before="0" w:after="200"/>
              <w:rPr/>
            </w:pPr>
            <w:r>
              <w:rPr>
                <w:rStyle w:val="Strong"/>
              </w:rPr>
              <w:t>Konstantin Eduardovich Tsiolkovsky</w:t>
            </w:r>
          </w:p>
        </w:tc>
        <w:tc>
          <w:tcPr>
            <w:tcW w:w="736" w:type="dxa"/>
            <w:tcBorders/>
            <w:vAlign w:val="center"/>
          </w:tcPr>
          <w:p>
            <w:pPr>
              <w:pStyle w:val="TableContents"/>
              <w:spacing w:before="0" w:after="200"/>
              <w:jc w:val="right"/>
              <w:rPr/>
            </w:pPr>
            <w:r>
              <w:rPr/>
              <w:t>1857–1935</w:t>
            </w:r>
          </w:p>
        </w:tc>
        <w:tc>
          <w:tcPr>
            <w:tcW w:w="2409" w:type="dxa"/>
            <w:tcBorders/>
            <w:vAlign w:val="center"/>
          </w:tcPr>
          <w:p>
            <w:pPr>
              <w:pStyle w:val="TableContents"/>
              <w:widowControl w:val="false"/>
              <w:suppressLineNumbers/>
              <w:spacing w:before="0" w:after="200"/>
              <w:rPr/>
            </w:pPr>
            <w:r>
              <w:rPr/>
              <w:t>Public schools in Borovsk and Kaluga; Socialist Academy; independent research in Kaluga</w:t>
            </w:r>
          </w:p>
        </w:tc>
        <w:tc>
          <w:tcPr>
            <w:tcW w:w="3742" w:type="dxa"/>
            <w:tcBorders/>
            <w:vAlign w:val="center"/>
          </w:tcPr>
          <w:p>
            <w:pPr>
              <w:pStyle w:val="TableContents"/>
              <w:widowControl w:val="false"/>
              <w:suppressLineNumbers/>
              <w:spacing w:before="0" w:after="200"/>
              <w:rPr/>
            </w:pPr>
            <w:r>
              <w:rPr/>
              <w:t xml:space="preserve">Combined a cosmic philosophy of humanity’s future with foundational work in astronautics. He viewed space exploration, technological transformation, and expansion beyond Earth as stages in the development of intelligent life. </w:t>
            </w:r>
            <w:hyperlink r:id="rId159">
              <w:r>
                <w:rPr>
                  <w:rStyle w:val="Hyperlink"/>
                </w:rPr>
                <w:t>European Space Agency</w:t>
              </w:r>
            </w:hyperlink>
            <w:r>
              <w:rPr/>
              <w:t xml:space="preserve">, </w:t>
            </w:r>
            <w:hyperlink r:id="rId160">
              <w:r>
                <w:rPr>
                  <w:rStyle w:val="Hyperlink"/>
                </w:rPr>
                <w:t>New Mexico Museum of Space History</w:t>
              </w:r>
            </w:hyperlink>
          </w:p>
        </w:tc>
      </w:tr>
      <w:tr>
        <w:trPr/>
        <w:tc>
          <w:tcPr>
            <w:tcW w:w="1753" w:type="dxa"/>
            <w:tcBorders/>
            <w:vAlign w:val="center"/>
          </w:tcPr>
          <w:p>
            <w:pPr>
              <w:pStyle w:val="TableContents"/>
              <w:widowControl w:val="false"/>
              <w:suppressLineNumbers/>
              <w:spacing w:before="0" w:after="200"/>
              <w:rPr/>
            </w:pPr>
            <w:r>
              <w:rPr>
                <w:rStyle w:val="Strong"/>
              </w:rPr>
              <w:t>Vladimir Ivanovich Vernadsky</w:t>
            </w:r>
          </w:p>
        </w:tc>
        <w:tc>
          <w:tcPr>
            <w:tcW w:w="736" w:type="dxa"/>
            <w:tcBorders/>
            <w:vAlign w:val="center"/>
          </w:tcPr>
          <w:p>
            <w:pPr>
              <w:pStyle w:val="TableContents"/>
              <w:spacing w:before="0" w:after="200"/>
              <w:jc w:val="right"/>
              <w:rPr/>
            </w:pPr>
            <w:r>
              <w:rPr/>
              <w:t>1863–1945</w:t>
            </w:r>
          </w:p>
        </w:tc>
        <w:tc>
          <w:tcPr>
            <w:tcW w:w="2409" w:type="dxa"/>
            <w:tcBorders/>
            <w:vAlign w:val="center"/>
          </w:tcPr>
          <w:p>
            <w:pPr>
              <w:pStyle w:val="TableContents"/>
              <w:widowControl w:val="false"/>
              <w:suppressLineNumbers/>
              <w:spacing w:before="0" w:after="200"/>
              <w:rPr/>
            </w:pPr>
            <w:r>
              <w:rPr/>
              <w:t>Imperial Moscow University; Russian Academy of Sciences; founding president of the Ukrainian Academy of Sciences</w:t>
            </w:r>
          </w:p>
        </w:tc>
        <w:tc>
          <w:tcPr>
            <w:tcW w:w="3742" w:type="dxa"/>
            <w:tcBorders/>
            <w:vAlign w:val="center"/>
          </w:tcPr>
          <w:p>
            <w:pPr>
              <w:pStyle w:val="TableContents"/>
              <w:widowControl w:val="false"/>
              <w:suppressLineNumbers/>
              <w:spacing w:before="0" w:after="200"/>
              <w:rPr/>
            </w:pPr>
            <w:r>
              <w:rPr/>
              <w:t xml:space="preserve">Developed the scientific concept of the biosphere and the associated idea of the noosphere: a stage in which scientific thought and organized human activity become planetary forces. His work connected life, geology, energy, and cognition at a planetary scale. </w:t>
            </w:r>
            <w:hyperlink r:id="rId161">
              <w:r>
                <w:rPr>
                  <w:rStyle w:val="Hyperlink"/>
                </w:rPr>
                <w:t>Journal of Geochemical Exploration</w:t>
              </w:r>
            </w:hyperlink>
          </w:p>
        </w:tc>
      </w:tr>
      <w:tr>
        <w:trPr/>
        <w:tc>
          <w:tcPr>
            <w:tcW w:w="1753" w:type="dxa"/>
            <w:tcBorders/>
            <w:vAlign w:val="center"/>
          </w:tcPr>
          <w:p>
            <w:pPr>
              <w:pStyle w:val="TableContents"/>
              <w:widowControl w:val="false"/>
              <w:suppressLineNumbers/>
              <w:spacing w:before="0" w:after="200"/>
              <w:rPr/>
            </w:pPr>
            <w:r>
              <w:rPr>
                <w:rStyle w:val="Strong"/>
              </w:rPr>
              <w:t>Alexander Leonidovich Chizhevsky</w:t>
            </w:r>
          </w:p>
        </w:tc>
        <w:tc>
          <w:tcPr>
            <w:tcW w:w="736" w:type="dxa"/>
            <w:tcBorders/>
            <w:vAlign w:val="center"/>
          </w:tcPr>
          <w:p>
            <w:pPr>
              <w:pStyle w:val="TableContents"/>
              <w:spacing w:before="0" w:after="200"/>
              <w:jc w:val="right"/>
              <w:rPr/>
            </w:pPr>
            <w:r>
              <w:rPr/>
              <w:t>1897–1964</w:t>
            </w:r>
          </w:p>
        </w:tc>
        <w:tc>
          <w:tcPr>
            <w:tcW w:w="2409" w:type="dxa"/>
            <w:tcBorders/>
            <w:vAlign w:val="center"/>
          </w:tcPr>
          <w:p>
            <w:pPr>
              <w:pStyle w:val="TableContents"/>
              <w:widowControl w:val="false"/>
              <w:suppressLineNumbers/>
              <w:spacing w:before="0" w:after="200"/>
              <w:rPr/>
            </w:pPr>
            <w:r>
              <w:rPr/>
              <w:t>Kaluga scientific community; Soviet research and aero-ionification laboratories</w:t>
            </w:r>
          </w:p>
        </w:tc>
        <w:tc>
          <w:tcPr>
            <w:tcW w:w="3742" w:type="dxa"/>
            <w:tcBorders/>
            <w:vAlign w:val="center"/>
          </w:tcPr>
          <w:p>
            <w:pPr>
              <w:pStyle w:val="TableContents"/>
              <w:widowControl w:val="false"/>
              <w:suppressLineNumbers/>
              <w:spacing w:before="0" w:after="200"/>
              <w:rPr/>
            </w:pPr>
            <w:r>
              <w:rPr/>
              <w:t xml:space="preserve">Developed heliobiology, cosmo-biology, and theories concerning relationships among solar activity, biological systems, and human behavior. His work represents Cosmism’s attempt to situate terrestrial life within larger cosmic processes, although several of his empirical claims remain controversial. </w:t>
            </w:r>
            <w:hyperlink r:id="rId162">
              <w:r>
                <w:rPr>
                  <w:rStyle w:val="Hyperlink"/>
                </w:rPr>
                <w:t>A. L. Chizhevsky Science Center</w:t>
              </w:r>
            </w:hyperlink>
          </w:p>
        </w:tc>
      </w:tr>
    </w:tbl>
    <w:p>
      <w:pPr>
        <w:pStyle w:val="Heading4"/>
        <w:ind w:hanging="0" w:left="0"/>
        <w:rPr>
          <w:rFonts w:ascii="Aptos" w:hAnsi="Aptos"/>
          <w:color w:val="auto"/>
        </w:rPr>
      </w:pPr>
      <w:r>
        <w:rPr/>
        <w:t>Core Assumptions</w:t>
      </w:r>
    </w:p>
    <w:p>
      <w:pPr>
        <w:pStyle w:val="BodyText"/>
        <w:spacing w:before="0" w:after="200"/>
        <w:rPr/>
      </w:pPr>
      <w:r>
        <w:rPr/>
        <w:t>Because Cosmism contains religious, scientific, speculative, and political strands, not every Cosmist accepts all of the following propositions. They represent recurring assumptions across the tradition.</w:t>
      </w:r>
    </w:p>
    <w:p>
      <w:pPr>
        <w:pStyle w:val="BodyText"/>
        <w:numPr>
          <w:ilvl w:val="0"/>
          <w:numId w:val="79"/>
        </w:numPr>
        <w:tabs>
          <w:tab w:val="clear" w:pos="720"/>
          <w:tab w:val="left" w:pos="0" w:leader="none"/>
        </w:tabs>
        <w:spacing w:before="0" w:after="200"/>
        <w:ind w:hanging="283" w:left="709"/>
        <w:rPr/>
      </w:pPr>
      <w:r>
        <w:rPr>
          <w:rStyle w:val="Strong"/>
        </w:rPr>
        <w:t>The cosmos is an evolving whole.</w:t>
      </w:r>
      <w:r>
        <w:rPr/>
        <w:t xml:space="preserve"> Humanity, life, intelligence, technology, and the physical universe are interconnected stages or dimensions of a larger evolutionary process.</w:t>
      </w:r>
    </w:p>
    <w:p>
      <w:pPr>
        <w:pStyle w:val="BodyText"/>
        <w:numPr>
          <w:ilvl w:val="0"/>
          <w:numId w:val="79"/>
        </w:numPr>
        <w:tabs>
          <w:tab w:val="clear" w:pos="720"/>
          <w:tab w:val="left" w:pos="0" w:leader="none"/>
        </w:tabs>
        <w:spacing w:before="0" w:after="200"/>
        <w:ind w:hanging="283" w:left="709"/>
        <w:rPr/>
      </w:pPr>
      <w:r>
        <w:rPr>
          <w:rStyle w:val="Strong"/>
        </w:rPr>
        <w:t>Humanity is not merely a passive product of evolution.</w:t>
      </w:r>
      <w:r>
        <w:rPr/>
        <w:t xml:space="preserve"> Intelligence creates the possibility of conscious participation in evolution and the deliberate transformation of natural conditions.</w:t>
      </w:r>
    </w:p>
    <w:p>
      <w:pPr>
        <w:pStyle w:val="BodyText"/>
        <w:numPr>
          <w:ilvl w:val="0"/>
          <w:numId w:val="79"/>
        </w:numPr>
        <w:tabs>
          <w:tab w:val="clear" w:pos="720"/>
          <w:tab w:val="left" w:pos="0" w:leader="none"/>
        </w:tabs>
        <w:spacing w:before="0" w:after="200"/>
        <w:ind w:hanging="283" w:left="709"/>
        <w:rPr/>
      </w:pPr>
      <w:r>
        <w:rPr>
          <w:rStyle w:val="Strong"/>
        </w:rPr>
        <w:t>Nature is incomplete rather than morally final.</w:t>
      </w:r>
      <w:r>
        <w:rPr/>
        <w:t xml:space="preserve"> Disease, scarcity, destructive natural events, aging, and death need not be accepted simply because they occur naturally.</w:t>
      </w:r>
    </w:p>
    <w:p>
      <w:pPr>
        <w:pStyle w:val="BodyText"/>
        <w:numPr>
          <w:ilvl w:val="0"/>
          <w:numId w:val="79"/>
        </w:numPr>
        <w:tabs>
          <w:tab w:val="clear" w:pos="720"/>
          <w:tab w:val="left" w:pos="0" w:leader="none"/>
        </w:tabs>
        <w:spacing w:before="0" w:after="200"/>
        <w:ind w:hanging="283" w:left="709"/>
        <w:rPr/>
      </w:pPr>
      <w:r>
        <w:rPr>
          <w:rStyle w:val="Strong"/>
        </w:rPr>
        <w:t>Scientific knowledge creates responsibility.</w:t>
      </w:r>
      <w:r>
        <w:rPr/>
        <w:t xml:space="preserve"> As humanity acquires greater causal power, it acquires corresponding responsibilities to use that power deliberately and ethically.</w:t>
      </w:r>
    </w:p>
    <w:p>
      <w:pPr>
        <w:pStyle w:val="BodyText"/>
        <w:numPr>
          <w:ilvl w:val="0"/>
          <w:numId w:val="79"/>
        </w:numPr>
        <w:tabs>
          <w:tab w:val="clear" w:pos="720"/>
          <w:tab w:val="left" w:pos="0" w:leader="none"/>
        </w:tabs>
        <w:spacing w:before="0" w:after="200"/>
        <w:ind w:hanging="283" w:left="709"/>
        <w:rPr/>
      </w:pPr>
      <w:r>
        <w:rPr>
          <w:rStyle w:val="Strong"/>
        </w:rPr>
        <w:t>The division between understanding and action should be reduced.</w:t>
      </w:r>
      <w:r>
        <w:rPr/>
        <w:t xml:space="preserve"> Knowledge of a preventable source of suffering creates a reason to develop the means of prevention.</w:t>
      </w:r>
    </w:p>
    <w:p>
      <w:pPr>
        <w:pStyle w:val="BodyText"/>
        <w:numPr>
          <w:ilvl w:val="0"/>
          <w:numId w:val="79"/>
        </w:numPr>
        <w:tabs>
          <w:tab w:val="clear" w:pos="720"/>
          <w:tab w:val="left" w:pos="0" w:leader="none"/>
        </w:tabs>
        <w:spacing w:before="0" w:after="200"/>
        <w:ind w:hanging="283" w:left="709"/>
        <w:rPr/>
      </w:pPr>
      <w:r>
        <w:rPr>
          <w:rStyle w:val="Strong"/>
        </w:rPr>
        <w:t>Involuntary death is a problem to be challenged.</w:t>
      </w:r>
      <w:r>
        <w:rPr/>
        <w:t xml:space="preserve"> Fedorov’s religious Cosmism treats death as a central moral and material problem rather than an immutable boundary of ethics.</w:t>
      </w:r>
    </w:p>
    <w:p>
      <w:pPr>
        <w:pStyle w:val="BodyText"/>
        <w:numPr>
          <w:ilvl w:val="0"/>
          <w:numId w:val="79"/>
        </w:numPr>
        <w:tabs>
          <w:tab w:val="clear" w:pos="720"/>
          <w:tab w:val="left" w:pos="0" w:leader="none"/>
        </w:tabs>
        <w:spacing w:before="0" w:after="200"/>
        <w:ind w:hanging="283" w:left="709"/>
        <w:rPr/>
      </w:pPr>
      <w:r>
        <w:rPr>
          <w:rStyle w:val="Strong"/>
        </w:rPr>
        <w:t>Progress should be universal.</w:t>
      </w:r>
      <w:r>
        <w:rPr/>
        <w:t xml:space="preserve"> Life extension, technological enhancement, and access to future possibilities should not be reserved for elites or limited to a privileged generation.</w:t>
      </w:r>
    </w:p>
    <w:p>
      <w:pPr>
        <w:pStyle w:val="BodyText"/>
        <w:numPr>
          <w:ilvl w:val="0"/>
          <w:numId w:val="79"/>
        </w:numPr>
        <w:tabs>
          <w:tab w:val="clear" w:pos="720"/>
          <w:tab w:val="left" w:pos="0" w:leader="none"/>
        </w:tabs>
        <w:spacing w:before="0" w:after="200"/>
        <w:ind w:hanging="283" w:left="709"/>
        <w:rPr/>
      </w:pPr>
      <w:r>
        <w:rPr>
          <w:rStyle w:val="Strong"/>
        </w:rPr>
        <w:t>The past retains moral significance.</w:t>
      </w:r>
      <w:r>
        <w:rPr/>
        <w:t xml:space="preserve"> Fedorov’s Common Task extends responsibility not only to current and future persons but also, in its most radical form, to ancestors whose deaths should not be treated as morally irrelevant.</w:t>
      </w:r>
    </w:p>
    <w:p>
      <w:pPr>
        <w:pStyle w:val="BodyText"/>
        <w:numPr>
          <w:ilvl w:val="0"/>
          <w:numId w:val="79"/>
        </w:numPr>
        <w:tabs>
          <w:tab w:val="clear" w:pos="720"/>
          <w:tab w:val="left" w:pos="0" w:leader="none"/>
        </w:tabs>
        <w:spacing w:before="0" w:after="200"/>
        <w:ind w:hanging="283" w:left="709"/>
        <w:rPr/>
      </w:pPr>
      <w:r>
        <w:rPr>
          <w:rStyle w:val="Strong"/>
        </w:rPr>
        <w:t>Humanity requires a shared project.</w:t>
      </w:r>
      <w:r>
        <w:rPr/>
        <w:t xml:space="preserve"> Large-scale conflict, competition, and military capacity should be redirected toward common scientific and civilizational tasks.</w:t>
      </w:r>
    </w:p>
    <w:p>
      <w:pPr>
        <w:pStyle w:val="BodyText"/>
        <w:numPr>
          <w:ilvl w:val="0"/>
          <w:numId w:val="79"/>
        </w:numPr>
        <w:tabs>
          <w:tab w:val="clear" w:pos="720"/>
          <w:tab w:val="left" w:pos="0" w:leader="none"/>
        </w:tabs>
        <w:spacing w:before="0" w:after="200"/>
        <w:ind w:hanging="283" w:left="709"/>
        <w:rPr/>
      </w:pPr>
      <w:r>
        <w:rPr>
          <w:rStyle w:val="Strong"/>
        </w:rPr>
        <w:t>Cosmic expansion may be necessary for long-term continuity.</w:t>
      </w:r>
      <w:r>
        <w:rPr/>
        <w:t xml:space="preserve"> A civilization confined to one planet remains vulnerable to local resource limits, environmental change, and existential catastrophe.</w:t>
      </w:r>
    </w:p>
    <w:p>
      <w:pPr>
        <w:pStyle w:val="BodyText"/>
        <w:numPr>
          <w:ilvl w:val="0"/>
          <w:numId w:val="79"/>
        </w:numPr>
        <w:tabs>
          <w:tab w:val="clear" w:pos="720"/>
          <w:tab w:val="left" w:pos="0" w:leader="none"/>
        </w:tabs>
        <w:spacing w:before="0" w:after="200"/>
        <w:ind w:hanging="283" w:left="709"/>
        <w:rPr/>
      </w:pPr>
      <w:r>
        <w:rPr>
          <w:rStyle w:val="Strong"/>
        </w:rPr>
        <w:t>The biosphere is a coupled planetary system.</w:t>
      </w:r>
      <w:r>
        <w:rPr/>
        <w:t xml:space="preserve"> Life changes the physical environment and is itself changed by geological, chemical, atmospheric, and energetic conditions.</w:t>
      </w:r>
    </w:p>
    <w:p>
      <w:pPr>
        <w:pStyle w:val="BodyText"/>
        <w:numPr>
          <w:ilvl w:val="0"/>
          <w:numId w:val="79"/>
        </w:numPr>
        <w:tabs>
          <w:tab w:val="clear" w:pos="720"/>
          <w:tab w:val="left" w:pos="0" w:leader="none"/>
        </w:tabs>
        <w:spacing w:before="0" w:after="200"/>
        <w:ind w:hanging="283" w:left="709"/>
        <w:rPr/>
      </w:pPr>
      <w:r>
        <w:rPr>
          <w:rStyle w:val="Strong"/>
        </w:rPr>
        <w:t>The noosphere represents a new level of planetary organization.</w:t>
      </w:r>
      <w:r>
        <w:rPr/>
        <w:t xml:space="preserve"> Knowledge, communication, scientific activity, and coordinated intelligence can become forces affecting the future of the biosphere.</w:t>
      </w:r>
    </w:p>
    <w:p>
      <w:pPr>
        <w:pStyle w:val="BodyText"/>
        <w:numPr>
          <w:ilvl w:val="0"/>
          <w:numId w:val="79"/>
        </w:numPr>
        <w:tabs>
          <w:tab w:val="clear" w:pos="720"/>
          <w:tab w:val="left" w:pos="0" w:leader="none"/>
        </w:tabs>
        <w:spacing w:before="0" w:after="200"/>
        <w:ind w:hanging="283" w:left="709"/>
        <w:rPr/>
      </w:pPr>
      <w:r>
        <w:rPr>
          <w:rStyle w:val="Strong"/>
        </w:rPr>
        <w:t>Technological development should be joined to moral development.</w:t>
      </w:r>
      <w:r>
        <w:rPr/>
        <w:t xml:space="preserve"> Increased power without universal responsibility, cooperation, and ethical purpose may intensify conflict rather than advance cosmic development.</w:t>
      </w:r>
    </w:p>
    <w:p>
      <w:pPr>
        <w:pStyle w:val="BodyText"/>
        <w:numPr>
          <w:ilvl w:val="0"/>
          <w:numId w:val="79"/>
        </w:numPr>
        <w:tabs>
          <w:tab w:val="clear" w:pos="720"/>
          <w:tab w:val="left" w:pos="0" w:leader="none"/>
        </w:tabs>
        <w:spacing w:before="0" w:after="200"/>
        <w:ind w:hanging="283" w:left="709"/>
        <w:rPr/>
      </w:pPr>
      <w:r>
        <w:rPr>
          <w:rStyle w:val="Strong"/>
        </w:rPr>
        <w:t>Long time horizons are morally relevant.</w:t>
      </w:r>
      <w:r>
        <w:rPr/>
        <w:t xml:space="preserve"> Ethical reasoning should consider civilizational, planetary, evolutionary, and potentially cosmic futures.</w:t>
      </w:r>
    </w:p>
    <w:p>
      <w:pPr>
        <w:pStyle w:val="BodyText"/>
        <w:numPr>
          <w:ilvl w:val="0"/>
          <w:numId w:val="79"/>
        </w:numPr>
        <w:tabs>
          <w:tab w:val="clear" w:pos="720"/>
          <w:tab w:val="left" w:pos="0" w:leader="none"/>
        </w:tabs>
        <w:spacing w:before="0" w:after="200"/>
        <w:ind w:hanging="283" w:left="709"/>
        <w:rPr/>
      </w:pPr>
      <w:r>
        <w:rPr>
          <w:rStyle w:val="Strong"/>
        </w:rPr>
        <w:t>Human bodies and environments may be transformable.</w:t>
      </w:r>
      <w:r>
        <w:rPr/>
        <w:t xml:space="preserve"> Biological limitations and environmental constraints are not necessarily fixed features of the human condition.</w:t>
      </w:r>
    </w:p>
    <w:p>
      <w:pPr>
        <w:pStyle w:val="BodyText"/>
        <w:numPr>
          <w:ilvl w:val="0"/>
          <w:numId w:val="79"/>
        </w:numPr>
        <w:tabs>
          <w:tab w:val="clear" w:pos="720"/>
          <w:tab w:val="left" w:pos="0" w:leader="none"/>
        </w:tabs>
        <w:spacing w:before="0" w:after="200"/>
        <w:ind w:hanging="283" w:left="709"/>
        <w:rPr/>
      </w:pPr>
      <w:r>
        <w:rPr>
          <w:rStyle w:val="Strong"/>
        </w:rPr>
        <w:t>Intelligence may spread and diversify.</w:t>
      </w:r>
      <w:r>
        <w:rPr/>
        <w:t xml:space="preserve"> Later interpretations of Cosmism allow for biological enhancement, artificial intelligence, synthetic life, and other possible forms of adaptive intelligence.</w:t>
      </w:r>
    </w:p>
    <w:p>
      <w:pPr>
        <w:pStyle w:val="BodyText"/>
        <w:numPr>
          <w:ilvl w:val="0"/>
          <w:numId w:val="79"/>
        </w:numPr>
        <w:tabs>
          <w:tab w:val="clear" w:pos="720"/>
          <w:tab w:val="left" w:pos="0" w:leader="none"/>
        </w:tabs>
        <w:spacing w:before="0" w:after="200"/>
        <w:ind w:hanging="283" w:left="709"/>
        <w:rPr/>
      </w:pPr>
      <w:r>
        <w:rPr>
          <w:rStyle w:val="Strong"/>
        </w:rPr>
        <w:t>Cosmic development has or may acquire direction.</w:t>
      </w:r>
      <w:r>
        <w:rPr/>
        <w:t xml:space="preserve"> Religious Cosmists often understand this direction teleologically, while scientific and contemporary Cosmists may interpret it as an objective selected by intelligent beings rather than a predetermined cosmic purpose.</w:t>
      </w:r>
    </w:p>
    <w:p>
      <w:pPr>
        <w:pStyle w:val="BodyText"/>
        <w:numPr>
          <w:ilvl w:val="0"/>
          <w:numId w:val="79"/>
        </w:numPr>
        <w:tabs>
          <w:tab w:val="clear" w:pos="720"/>
          <w:tab w:val="left" w:pos="0" w:leader="none"/>
        </w:tabs>
        <w:spacing w:before="0" w:after="200"/>
        <w:ind w:hanging="283" w:left="709"/>
        <w:rPr/>
      </w:pPr>
      <w:r>
        <w:rPr>
          <w:rStyle w:val="Strong"/>
        </w:rPr>
        <w:t>Large-scale collective action is ethically necessary.</w:t>
      </w:r>
      <w:r>
        <w:rPr/>
        <w:t xml:space="preserve"> Projects such as existential-risk reduction, planetary management, space settlement, life extension, and preservation of knowledge exceed the capacity of isolated agents.</w:t>
      </w:r>
    </w:p>
    <w:p>
      <w:pPr>
        <w:pStyle w:val="Heading4"/>
        <w:ind w:hanging="0" w:left="0"/>
        <w:rPr>
          <w:rFonts w:ascii="Aptos" w:hAnsi="Aptos"/>
          <w:color w:val="auto"/>
        </w:rPr>
      </w:pPr>
      <w:r>
        <w:rPr/>
        <w:t>Relationship to This Framework</w:t>
      </w:r>
    </w:p>
    <w:p>
      <w:pPr>
        <w:pStyle w:val="BodyText"/>
        <w:spacing w:before="0" w:after="200"/>
        <w:rPr/>
      </w:pPr>
      <w:r>
        <w:rPr/>
        <w:t>Cosmism and this framework share an unusually expansive temporal and systemic orientation. Both reject the assumption that ethics should be limited to immediate interpersonal conduct or near-term effects. The framework’s complete World Context Transition can include planetary systems, future generations, institutions, technological development, ecological dependencies, and changes in the future state space available to intelligent life.</w:t>
      </w:r>
    </w:p>
    <w:p>
      <w:pPr>
        <w:pStyle w:val="BodyText"/>
        <w:spacing w:before="0" w:after="200"/>
        <w:rPr/>
      </w:pPr>
      <w:r>
        <w:rPr/>
        <w:t>The Foundational Axiom’s emphasis on the long-term flourishing of relevant persistent adaptive entities is compatible with several Cosmist objectives:</w:t>
      </w:r>
    </w:p>
    <w:p>
      <w:pPr>
        <w:pStyle w:val="BodyText"/>
        <w:numPr>
          <w:ilvl w:val="0"/>
          <w:numId w:val="80"/>
        </w:numPr>
        <w:tabs>
          <w:tab w:val="clear" w:pos="720"/>
          <w:tab w:val="left" w:pos="0" w:leader="none"/>
        </w:tabs>
        <w:spacing w:before="0" w:after="200"/>
        <w:ind w:hanging="283" w:left="709"/>
        <w:rPr/>
      </w:pPr>
      <w:r>
        <w:rPr/>
        <w:t>Preserving life across long periods;</w:t>
      </w:r>
    </w:p>
    <w:p>
      <w:pPr>
        <w:pStyle w:val="BodyText"/>
        <w:numPr>
          <w:ilvl w:val="0"/>
          <w:numId w:val="80"/>
        </w:numPr>
        <w:tabs>
          <w:tab w:val="clear" w:pos="720"/>
          <w:tab w:val="left" w:pos="0" w:leader="none"/>
        </w:tabs>
        <w:spacing w:before="0" w:after="200"/>
        <w:ind w:hanging="283" w:left="709"/>
        <w:rPr/>
      </w:pPr>
      <w:r>
        <w:rPr/>
        <w:t>Increasing resilience against catastrophic loss;</w:t>
      </w:r>
    </w:p>
    <w:p>
      <w:pPr>
        <w:pStyle w:val="BodyText"/>
        <w:numPr>
          <w:ilvl w:val="0"/>
          <w:numId w:val="80"/>
        </w:numPr>
        <w:tabs>
          <w:tab w:val="clear" w:pos="720"/>
          <w:tab w:val="left" w:pos="0" w:leader="none"/>
        </w:tabs>
        <w:spacing w:before="0" w:after="200"/>
        <w:ind w:hanging="283" w:left="709"/>
        <w:rPr/>
      </w:pPr>
      <w:r>
        <w:rPr/>
        <w:t>Expanding the future possibilities of adaptive entities;</w:t>
      </w:r>
    </w:p>
    <w:p>
      <w:pPr>
        <w:pStyle w:val="BodyText"/>
        <w:numPr>
          <w:ilvl w:val="0"/>
          <w:numId w:val="80"/>
        </w:numPr>
        <w:tabs>
          <w:tab w:val="clear" w:pos="720"/>
          <w:tab w:val="left" w:pos="0" w:leader="none"/>
        </w:tabs>
        <w:spacing w:before="0" w:after="200"/>
        <w:ind w:hanging="283" w:left="709"/>
        <w:rPr/>
      </w:pPr>
      <w:r>
        <w:rPr/>
        <w:t>Developing the capabilities of moral agents;</w:t>
      </w:r>
    </w:p>
    <w:p>
      <w:pPr>
        <w:pStyle w:val="BodyText"/>
        <w:numPr>
          <w:ilvl w:val="0"/>
          <w:numId w:val="80"/>
        </w:numPr>
        <w:tabs>
          <w:tab w:val="clear" w:pos="720"/>
          <w:tab w:val="left" w:pos="0" w:leader="none"/>
        </w:tabs>
        <w:spacing w:before="0" w:after="200"/>
        <w:ind w:hanging="283" w:left="709"/>
        <w:rPr/>
      </w:pPr>
      <w:r>
        <w:rPr/>
        <w:t>Coordinating action across institutions and generations;</w:t>
      </w:r>
    </w:p>
    <w:p>
      <w:pPr>
        <w:pStyle w:val="BodyText"/>
        <w:numPr>
          <w:ilvl w:val="0"/>
          <w:numId w:val="80"/>
        </w:numPr>
        <w:tabs>
          <w:tab w:val="clear" w:pos="720"/>
          <w:tab w:val="left" w:pos="0" w:leader="none"/>
        </w:tabs>
        <w:spacing w:before="0" w:after="200"/>
        <w:ind w:hanging="283" w:left="709"/>
        <w:rPr/>
      </w:pPr>
      <w:r>
        <w:rPr/>
        <w:t>Protecting knowledge and cultural memory;</w:t>
      </w:r>
    </w:p>
    <w:p>
      <w:pPr>
        <w:pStyle w:val="BodyText"/>
        <w:numPr>
          <w:ilvl w:val="0"/>
          <w:numId w:val="80"/>
        </w:numPr>
        <w:tabs>
          <w:tab w:val="clear" w:pos="720"/>
          <w:tab w:val="left" w:pos="0" w:leader="none"/>
        </w:tabs>
        <w:spacing w:before="0" w:after="200"/>
        <w:ind w:hanging="283" w:left="709"/>
        <w:rPr/>
      </w:pPr>
      <w:r>
        <w:rPr/>
        <w:t>Reducing destructive conflict; and</w:t>
      </w:r>
    </w:p>
    <w:p>
      <w:pPr>
        <w:pStyle w:val="BodyText"/>
        <w:numPr>
          <w:ilvl w:val="0"/>
          <w:numId w:val="80"/>
        </w:numPr>
        <w:tabs>
          <w:tab w:val="clear" w:pos="720"/>
          <w:tab w:val="left" w:pos="0" w:leader="none"/>
        </w:tabs>
        <w:spacing w:before="0" w:after="200"/>
        <w:ind w:hanging="283" w:left="709"/>
        <w:rPr/>
      </w:pPr>
      <w:r>
        <w:rPr/>
        <w:t>Creating conditions for continued biological, social, and technological development.</w:t>
      </w:r>
    </w:p>
    <w:p>
      <w:pPr>
        <w:pStyle w:val="BodyText"/>
        <w:spacing w:before="0" w:after="200"/>
        <w:rPr/>
      </w:pPr>
      <w:r>
        <w:rPr/>
        <w:t>Vernadsky’s biosphere and noosphere concepts have a particularly close relationship to the framework’s World Context. The biosphere illustrates how living entities and their physical environment form a coupled system. The noosphere adds informational, scientific, institutional, and cognitive processes that increasingly shape that system. These correspond to the framework’s inclusion of Objects, Associations, information states, institutions, constraints, and Distributed Policy Effects.</w:t>
      </w:r>
    </w:p>
    <w:p>
      <w:pPr>
        <w:pStyle w:val="BodyText"/>
        <w:spacing w:before="0" w:after="200"/>
        <w:rPr/>
      </w:pPr>
      <w:r>
        <w:rPr/>
        <w:t>Cosmism’s active evolution also resembles the framework’s treatment of moral agents as adaptive entities capable of revising objectives and policies. Actions do not merely change the external world; they alter the future developmental policies of agents, observers, institutions, and artificial systems.</w:t>
      </w:r>
    </w:p>
    <w:p>
      <w:pPr>
        <w:pStyle w:val="BodyText"/>
        <w:spacing w:before="0" w:after="200"/>
        <w:rPr/>
      </w:pPr>
      <w:r>
        <w:rPr/>
        <w:t>The central difference is that Cosmism commonly advances substantive civilizational objectives—such as overcoming death, directing evolution, expanding into space, or transforming nature. This framework does not automatically recognize any of those objectives as ethically valid. It treats them as proposed objectives whose means, assumptions, distributional effects, risks, and World Context Transitions must be assessed.</w:t>
      </w:r>
    </w:p>
    <w:p>
      <w:pPr>
        <w:pStyle w:val="BodyText"/>
        <w:spacing w:before="0" w:after="200"/>
        <w:rPr/>
      </w:pPr>
      <w:r>
        <w:rPr/>
        <w:t>The framework also requires compatibility among the flourishing of relevant entities. A project that expands humanity’s technological power while destroying ecosystems, coercing present populations, concentrating control, or eliminating alternative forms of life would not satisfy the Foundational Axiom merely because it increased the duration or spatial extent of human civilization.</w:t>
      </w:r>
    </w:p>
    <w:p>
      <w:pPr>
        <w:pStyle w:val="BodyText"/>
        <w:spacing w:before="0" w:after="200"/>
        <w:rPr/>
      </w:pPr>
      <w:r>
        <w:rPr/>
        <w:t>Cosmism can therefore contribute candidate long-term objectives and an expanded scale of analysis. The framework contributes a means of evaluating whether those objectives are ethically justified and whether their implementation preserves compatible flourishing.</w:t>
      </w:r>
    </w:p>
    <w:p>
      <w:pPr>
        <w:pStyle w:val="Heading4"/>
        <w:ind w:hanging="0" w:left="0"/>
        <w:rPr>
          <w:rFonts w:ascii="Aptos" w:hAnsi="Aptos"/>
          <w:color w:val="auto"/>
        </w:rPr>
      </w:pPr>
      <w:r>
        <w:rPr/>
        <w:t>Concepts Adopted or Adapted by This Framework</w:t>
      </w:r>
    </w:p>
    <w:p>
      <w:pPr>
        <w:pStyle w:val="BodyText"/>
        <w:spacing w:before="0" w:after="200"/>
        <w:rPr/>
      </w:pPr>
      <w:r>
        <w:rPr/>
        <w:t>The framework implicitly incorporates or can functionally adapt several Cosmist concepts.</w:t>
      </w:r>
    </w:p>
    <w:tbl>
      <w:tblPr>
        <w:tblW w:w="8640" w:type="dxa"/>
        <w:jc w:val="left"/>
        <w:tblInd w:w="28" w:type="dxa"/>
        <w:tblLayout w:type="fixed"/>
        <w:tblCellMar>
          <w:top w:w="28" w:type="dxa"/>
          <w:left w:w="28" w:type="dxa"/>
          <w:bottom w:w="28" w:type="dxa"/>
          <w:right w:w="28" w:type="dxa"/>
        </w:tblCellMar>
      </w:tblPr>
      <w:tblGrid>
        <w:gridCol w:w="2571"/>
        <w:gridCol w:w="6069"/>
      </w:tblGrid>
      <w:tr>
        <w:trPr>
          <w:tblHeader w:val="true"/>
        </w:trPr>
        <w:tc>
          <w:tcPr>
            <w:tcW w:w="2571" w:type="dxa"/>
            <w:tcBorders/>
            <w:vAlign w:val="center"/>
          </w:tcPr>
          <w:p>
            <w:pPr>
              <w:pStyle w:val="TableHeading"/>
              <w:suppressLineNumbers/>
              <w:spacing w:before="0" w:after="200"/>
              <w:jc w:val="center"/>
              <w:rPr/>
            </w:pPr>
            <w:r>
              <w:rPr/>
              <w:t>Cosmist concept</w:t>
            </w:r>
          </w:p>
        </w:tc>
        <w:tc>
          <w:tcPr>
            <w:tcW w:w="6069" w:type="dxa"/>
            <w:tcBorders/>
            <w:vAlign w:val="center"/>
          </w:tcPr>
          <w:p>
            <w:pPr>
              <w:pStyle w:val="TableHeading"/>
              <w:suppressLineNumbers/>
              <w:spacing w:before="0" w:after="200"/>
              <w:jc w:val="center"/>
              <w:rPr/>
            </w:pPr>
            <w:r>
              <w:rPr/>
              <w:t>Adoption or adaptation within this framework</w:t>
            </w:r>
          </w:p>
        </w:tc>
      </w:tr>
      <w:tr>
        <w:trPr/>
        <w:tc>
          <w:tcPr>
            <w:tcW w:w="2571" w:type="dxa"/>
            <w:tcBorders/>
            <w:vAlign w:val="center"/>
          </w:tcPr>
          <w:p>
            <w:pPr>
              <w:pStyle w:val="TableContents"/>
              <w:widowControl w:val="false"/>
              <w:suppressLineNumbers/>
              <w:spacing w:before="0" w:after="200"/>
              <w:rPr/>
            </w:pPr>
            <w:r>
              <w:rPr>
                <w:rStyle w:val="Strong"/>
              </w:rPr>
              <w:t>Active evolution</w:t>
            </w:r>
          </w:p>
        </w:tc>
        <w:tc>
          <w:tcPr>
            <w:tcW w:w="6069" w:type="dxa"/>
            <w:tcBorders/>
            <w:vAlign w:val="center"/>
          </w:tcPr>
          <w:p>
            <w:pPr>
              <w:pStyle w:val="TableContents"/>
              <w:widowControl w:val="false"/>
              <w:suppressLineNumbers/>
              <w:spacing w:before="0" w:after="200"/>
              <w:rPr/>
            </w:pPr>
            <w:r>
              <w:rPr/>
              <w:t>Reflected in the adaptive development of moral agents and the deliberate alteration of future policies, capabilities, and environmental conditions.</w:t>
            </w:r>
          </w:p>
        </w:tc>
      </w:tr>
      <w:tr>
        <w:trPr/>
        <w:tc>
          <w:tcPr>
            <w:tcW w:w="2571" w:type="dxa"/>
            <w:tcBorders/>
            <w:vAlign w:val="center"/>
          </w:tcPr>
          <w:p>
            <w:pPr>
              <w:pStyle w:val="TableContents"/>
              <w:widowControl w:val="false"/>
              <w:suppressLineNumbers/>
              <w:spacing w:before="0" w:after="200"/>
              <w:rPr/>
            </w:pPr>
            <w:r>
              <w:rPr>
                <w:rStyle w:val="Strong"/>
              </w:rPr>
              <w:t>Common Task</w:t>
            </w:r>
          </w:p>
        </w:tc>
        <w:tc>
          <w:tcPr>
            <w:tcW w:w="6069" w:type="dxa"/>
            <w:tcBorders/>
            <w:vAlign w:val="center"/>
          </w:tcPr>
          <w:p>
            <w:pPr>
              <w:pStyle w:val="TableContents"/>
              <w:widowControl w:val="false"/>
              <w:suppressLineNumbers/>
              <w:spacing w:before="0" w:after="200"/>
              <w:rPr/>
            </w:pPr>
            <w:r>
              <w:rPr/>
              <w:t>Adaptable as a shared objective distributed across agents, institutions, jurisdictions, and generations.</w:t>
            </w:r>
          </w:p>
        </w:tc>
      </w:tr>
      <w:tr>
        <w:trPr/>
        <w:tc>
          <w:tcPr>
            <w:tcW w:w="2571" w:type="dxa"/>
            <w:tcBorders/>
            <w:vAlign w:val="center"/>
          </w:tcPr>
          <w:p>
            <w:pPr>
              <w:pStyle w:val="TableContents"/>
              <w:widowControl w:val="false"/>
              <w:suppressLineNumbers/>
              <w:spacing w:before="0" w:after="200"/>
              <w:rPr/>
            </w:pPr>
            <w:r>
              <w:rPr>
                <w:rStyle w:val="Strong"/>
              </w:rPr>
              <w:t>Regulation of destructive nature</w:t>
            </w:r>
          </w:p>
        </w:tc>
        <w:tc>
          <w:tcPr>
            <w:tcW w:w="6069" w:type="dxa"/>
            <w:tcBorders/>
            <w:vAlign w:val="center"/>
          </w:tcPr>
          <w:p>
            <w:pPr>
              <w:pStyle w:val="TableContents"/>
              <w:widowControl w:val="false"/>
              <w:suppressLineNumbers/>
              <w:spacing w:before="0" w:after="200"/>
              <w:rPr/>
            </w:pPr>
            <w:r>
              <w:rPr/>
              <w:t>Representable as an Assessed Action intended to reduce disease, disaster, scarcity, or other threats through deliberate intervention.</w:t>
            </w:r>
          </w:p>
        </w:tc>
      </w:tr>
      <w:tr>
        <w:trPr/>
        <w:tc>
          <w:tcPr>
            <w:tcW w:w="2571" w:type="dxa"/>
            <w:tcBorders/>
            <w:vAlign w:val="center"/>
          </w:tcPr>
          <w:p>
            <w:pPr>
              <w:pStyle w:val="TableContents"/>
              <w:widowControl w:val="false"/>
              <w:suppressLineNumbers/>
              <w:spacing w:before="0" w:after="200"/>
              <w:rPr/>
            </w:pPr>
            <w:r>
              <w:rPr>
                <w:rStyle w:val="Strong"/>
              </w:rPr>
              <w:t>Long-term civilizational continuity</w:t>
            </w:r>
          </w:p>
        </w:tc>
        <w:tc>
          <w:tcPr>
            <w:tcW w:w="6069" w:type="dxa"/>
            <w:tcBorders/>
            <w:vAlign w:val="center"/>
          </w:tcPr>
          <w:p>
            <w:pPr>
              <w:pStyle w:val="TableContents"/>
              <w:widowControl w:val="false"/>
              <w:suppressLineNumbers/>
              <w:spacing w:before="0" w:after="200"/>
              <w:rPr/>
            </w:pPr>
            <w:r>
              <w:rPr/>
              <w:t>Closely related to preserving the future state space of persistent adaptive entities.</w:t>
            </w:r>
          </w:p>
        </w:tc>
      </w:tr>
      <w:tr>
        <w:trPr/>
        <w:tc>
          <w:tcPr>
            <w:tcW w:w="2571" w:type="dxa"/>
            <w:tcBorders/>
            <w:vAlign w:val="center"/>
          </w:tcPr>
          <w:p>
            <w:pPr>
              <w:pStyle w:val="TableContents"/>
              <w:widowControl w:val="false"/>
              <w:suppressLineNumbers/>
              <w:spacing w:before="0" w:after="200"/>
              <w:rPr/>
            </w:pPr>
            <w:r>
              <w:rPr>
                <w:rStyle w:val="Strong"/>
              </w:rPr>
              <w:t>Biosphere</w:t>
            </w:r>
          </w:p>
        </w:tc>
        <w:tc>
          <w:tcPr>
            <w:tcW w:w="6069" w:type="dxa"/>
            <w:tcBorders/>
            <w:vAlign w:val="center"/>
          </w:tcPr>
          <w:p>
            <w:pPr>
              <w:pStyle w:val="TableContents"/>
              <w:widowControl w:val="false"/>
              <w:suppressLineNumbers/>
              <w:spacing w:before="0" w:after="200"/>
              <w:rPr/>
            </w:pPr>
            <w:r>
              <w:rPr/>
              <w:t>Representable as an interconnected World Context of living entities, physical systems, energy flows, and environmental constraints.</w:t>
            </w:r>
          </w:p>
        </w:tc>
      </w:tr>
      <w:tr>
        <w:trPr/>
        <w:tc>
          <w:tcPr>
            <w:tcW w:w="2571" w:type="dxa"/>
            <w:tcBorders/>
            <w:vAlign w:val="center"/>
          </w:tcPr>
          <w:p>
            <w:pPr>
              <w:pStyle w:val="TableContents"/>
              <w:widowControl w:val="false"/>
              <w:suppressLineNumbers/>
              <w:spacing w:before="0" w:after="200"/>
              <w:rPr/>
            </w:pPr>
            <w:r>
              <w:rPr>
                <w:rStyle w:val="Strong"/>
              </w:rPr>
              <w:t>Noosphere</w:t>
            </w:r>
          </w:p>
        </w:tc>
        <w:tc>
          <w:tcPr>
            <w:tcW w:w="6069" w:type="dxa"/>
            <w:tcBorders/>
            <w:vAlign w:val="center"/>
          </w:tcPr>
          <w:p>
            <w:pPr>
              <w:pStyle w:val="TableContents"/>
              <w:widowControl w:val="false"/>
              <w:suppressLineNumbers/>
              <w:spacing w:before="0" w:after="200"/>
              <w:rPr/>
            </w:pPr>
            <w:r>
              <w:rPr/>
              <w:t>Adaptable as the informational, scientific, institutional, and policy-generating layer of the World Context.</w:t>
            </w:r>
          </w:p>
        </w:tc>
      </w:tr>
      <w:tr>
        <w:trPr/>
        <w:tc>
          <w:tcPr>
            <w:tcW w:w="2571" w:type="dxa"/>
            <w:tcBorders/>
            <w:vAlign w:val="center"/>
          </w:tcPr>
          <w:p>
            <w:pPr>
              <w:pStyle w:val="TableContents"/>
              <w:widowControl w:val="false"/>
              <w:suppressLineNumbers/>
              <w:spacing w:before="0" w:after="200"/>
              <w:rPr/>
            </w:pPr>
            <w:r>
              <w:rPr>
                <w:rStyle w:val="Strong"/>
              </w:rPr>
              <w:t>Cosmic perspective</w:t>
            </w:r>
          </w:p>
        </w:tc>
        <w:tc>
          <w:tcPr>
            <w:tcW w:w="6069" w:type="dxa"/>
            <w:tcBorders/>
            <w:vAlign w:val="center"/>
          </w:tcPr>
          <w:p>
            <w:pPr>
              <w:pStyle w:val="TableContents"/>
              <w:widowControl w:val="false"/>
              <w:suppressLineNumbers/>
              <w:spacing w:before="0" w:after="200"/>
              <w:rPr/>
            </w:pPr>
            <w:r>
              <w:rPr/>
              <w:t>Reflected in expandable temporal and spatial boundaries for ethical analysis.</w:t>
            </w:r>
          </w:p>
        </w:tc>
      </w:tr>
      <w:tr>
        <w:trPr/>
        <w:tc>
          <w:tcPr>
            <w:tcW w:w="2571" w:type="dxa"/>
            <w:tcBorders/>
            <w:vAlign w:val="center"/>
          </w:tcPr>
          <w:p>
            <w:pPr>
              <w:pStyle w:val="TableContents"/>
              <w:widowControl w:val="false"/>
              <w:suppressLineNumbers/>
              <w:spacing w:before="0" w:after="200"/>
              <w:rPr/>
            </w:pPr>
            <w:r>
              <w:rPr>
                <w:rStyle w:val="Strong"/>
              </w:rPr>
              <w:t>Universal benefit</w:t>
            </w:r>
          </w:p>
        </w:tc>
        <w:tc>
          <w:tcPr>
            <w:tcW w:w="6069" w:type="dxa"/>
            <w:tcBorders/>
            <w:vAlign w:val="center"/>
          </w:tcPr>
          <w:p>
            <w:pPr>
              <w:pStyle w:val="TableContents"/>
              <w:widowControl w:val="false"/>
              <w:suppressLineNumbers/>
              <w:spacing w:before="0" w:after="200"/>
              <w:rPr/>
            </w:pPr>
            <w:r>
              <w:rPr/>
              <w:t>Related to the requirement that one entity’s flourishing remain compatible with the flourishing of other relevant entities.</w:t>
            </w:r>
          </w:p>
        </w:tc>
      </w:tr>
      <w:tr>
        <w:trPr/>
        <w:tc>
          <w:tcPr>
            <w:tcW w:w="2571" w:type="dxa"/>
            <w:tcBorders/>
            <w:vAlign w:val="center"/>
          </w:tcPr>
          <w:p>
            <w:pPr>
              <w:pStyle w:val="TableContents"/>
              <w:widowControl w:val="false"/>
              <w:suppressLineNumbers/>
              <w:spacing w:before="0" w:after="200"/>
              <w:rPr/>
            </w:pPr>
            <w:r>
              <w:rPr>
                <w:rStyle w:val="Strong"/>
              </w:rPr>
              <w:t>Scientific responsibility</w:t>
            </w:r>
          </w:p>
        </w:tc>
        <w:tc>
          <w:tcPr>
            <w:tcW w:w="6069" w:type="dxa"/>
            <w:tcBorders/>
            <w:vAlign w:val="center"/>
          </w:tcPr>
          <w:p>
            <w:pPr>
              <w:pStyle w:val="TableContents"/>
              <w:widowControl w:val="false"/>
              <w:suppressLineNumbers/>
              <w:spacing w:before="0" w:after="200"/>
              <w:rPr/>
            </w:pPr>
            <w:r>
              <w:rPr/>
              <w:t>Reflected in the use of the best available evidence, explicit assumptions, uncertainty analysis, and responsibility proportional to knowledge and capability.</w:t>
            </w:r>
          </w:p>
        </w:tc>
      </w:tr>
      <w:tr>
        <w:trPr/>
        <w:tc>
          <w:tcPr>
            <w:tcW w:w="2571" w:type="dxa"/>
            <w:tcBorders/>
            <w:vAlign w:val="center"/>
          </w:tcPr>
          <w:p>
            <w:pPr>
              <w:pStyle w:val="TableContents"/>
              <w:widowControl w:val="false"/>
              <w:suppressLineNumbers/>
              <w:spacing w:before="0" w:after="200"/>
              <w:rPr/>
            </w:pPr>
            <w:r>
              <w:rPr>
                <w:rStyle w:val="Strong"/>
              </w:rPr>
              <w:t>Technological transformation</w:t>
            </w:r>
          </w:p>
        </w:tc>
        <w:tc>
          <w:tcPr>
            <w:tcW w:w="6069" w:type="dxa"/>
            <w:tcBorders/>
            <w:vAlign w:val="center"/>
          </w:tcPr>
          <w:p>
            <w:pPr>
              <w:pStyle w:val="TableContents"/>
              <w:widowControl w:val="false"/>
              <w:suppressLineNumbers/>
              <w:spacing w:before="0" w:after="200"/>
              <w:rPr/>
            </w:pPr>
            <w:r>
              <w:rPr/>
              <w:t>Representable as an action that changes entity capabilities, identity, embodiment, dependencies, or available future states.</w:t>
            </w:r>
          </w:p>
        </w:tc>
      </w:tr>
      <w:tr>
        <w:trPr/>
        <w:tc>
          <w:tcPr>
            <w:tcW w:w="2571" w:type="dxa"/>
            <w:tcBorders/>
            <w:vAlign w:val="center"/>
          </w:tcPr>
          <w:p>
            <w:pPr>
              <w:pStyle w:val="TableContents"/>
              <w:widowControl w:val="false"/>
              <w:suppressLineNumbers/>
              <w:spacing w:before="0" w:after="200"/>
              <w:rPr/>
            </w:pPr>
            <w:r>
              <w:rPr>
                <w:rStyle w:val="Strong"/>
              </w:rPr>
              <w:t>Life preservation and extension</w:t>
            </w:r>
          </w:p>
        </w:tc>
        <w:tc>
          <w:tcPr>
            <w:tcW w:w="6069" w:type="dxa"/>
            <w:tcBorders/>
            <w:vAlign w:val="center"/>
          </w:tcPr>
          <w:p>
            <w:pPr>
              <w:pStyle w:val="TableContents"/>
              <w:widowControl w:val="false"/>
              <w:suppressLineNumbers/>
              <w:spacing w:before="0" w:after="200"/>
              <w:rPr/>
            </w:pPr>
            <w:r>
              <w:rPr/>
              <w:t>Related to maintaining the persistence, agency, adaptability, and beneficial future possibilities of Flourishing Entities.</w:t>
            </w:r>
          </w:p>
        </w:tc>
      </w:tr>
      <w:tr>
        <w:trPr/>
        <w:tc>
          <w:tcPr>
            <w:tcW w:w="2571" w:type="dxa"/>
            <w:tcBorders/>
            <w:vAlign w:val="center"/>
          </w:tcPr>
          <w:p>
            <w:pPr>
              <w:pStyle w:val="TableContents"/>
              <w:widowControl w:val="false"/>
              <w:suppressLineNumbers/>
              <w:spacing w:before="0" w:after="200"/>
              <w:rPr/>
            </w:pPr>
            <w:r>
              <w:rPr>
                <w:rStyle w:val="Strong"/>
              </w:rPr>
              <w:t>Space settlement</w:t>
            </w:r>
          </w:p>
        </w:tc>
        <w:tc>
          <w:tcPr>
            <w:tcW w:w="6069" w:type="dxa"/>
            <w:tcBorders/>
            <w:vAlign w:val="center"/>
          </w:tcPr>
          <w:p>
            <w:pPr>
              <w:pStyle w:val="TableContents"/>
              <w:widowControl w:val="false"/>
              <w:suppressLineNumbers/>
              <w:spacing w:before="0" w:after="200"/>
              <w:rPr/>
            </w:pPr>
            <w:r>
              <w:rPr/>
              <w:t>Representable as a transition that creates geographic or planetary redundancy and expands future state space, subject to ecological and justice constraints.</w:t>
            </w:r>
          </w:p>
        </w:tc>
      </w:tr>
      <w:tr>
        <w:trPr/>
        <w:tc>
          <w:tcPr>
            <w:tcW w:w="2571" w:type="dxa"/>
            <w:tcBorders/>
            <w:vAlign w:val="center"/>
          </w:tcPr>
          <w:p>
            <w:pPr>
              <w:pStyle w:val="TableContents"/>
              <w:widowControl w:val="false"/>
              <w:suppressLineNumbers/>
              <w:spacing w:before="0" w:after="200"/>
              <w:rPr/>
            </w:pPr>
            <w:r>
              <w:rPr>
                <w:rStyle w:val="Strong"/>
              </w:rPr>
              <w:t>Collective intelligence</w:t>
            </w:r>
          </w:p>
        </w:tc>
        <w:tc>
          <w:tcPr>
            <w:tcW w:w="6069" w:type="dxa"/>
            <w:tcBorders/>
            <w:vAlign w:val="center"/>
          </w:tcPr>
          <w:p>
            <w:pPr>
              <w:pStyle w:val="TableContents"/>
              <w:widowControl w:val="false"/>
              <w:suppressLineNumbers/>
              <w:spacing w:before="0" w:after="200"/>
              <w:rPr/>
            </w:pPr>
            <w:r>
              <w:rPr/>
              <w:t>Adaptable as coordination among human agents, institutions, communication systems, and artificial agents.</w:t>
            </w:r>
          </w:p>
        </w:tc>
      </w:tr>
      <w:tr>
        <w:trPr/>
        <w:tc>
          <w:tcPr>
            <w:tcW w:w="2571" w:type="dxa"/>
            <w:tcBorders/>
            <w:vAlign w:val="center"/>
          </w:tcPr>
          <w:p>
            <w:pPr>
              <w:pStyle w:val="TableContents"/>
              <w:widowControl w:val="false"/>
              <w:suppressLineNumbers/>
              <w:spacing w:before="0" w:after="200"/>
              <w:rPr/>
            </w:pPr>
            <w:r>
              <w:rPr>
                <w:rStyle w:val="Strong"/>
              </w:rPr>
              <w:t>Intergenerational projects</w:t>
            </w:r>
          </w:p>
        </w:tc>
        <w:tc>
          <w:tcPr>
            <w:tcW w:w="6069" w:type="dxa"/>
            <w:tcBorders/>
            <w:vAlign w:val="center"/>
          </w:tcPr>
          <w:p>
            <w:pPr>
              <w:pStyle w:val="TableContents"/>
              <w:widowControl w:val="false"/>
              <w:suppressLineNumbers/>
              <w:spacing w:before="0" w:after="200"/>
              <w:rPr/>
            </w:pPr>
            <w:r>
              <w:rPr/>
              <w:t>Representable through long-horizon objectives, institutional continuity, knowledge transfer, and responsibility to future entities.</w:t>
            </w:r>
          </w:p>
        </w:tc>
      </w:tr>
      <w:tr>
        <w:trPr/>
        <w:tc>
          <w:tcPr>
            <w:tcW w:w="2571" w:type="dxa"/>
            <w:tcBorders/>
            <w:vAlign w:val="center"/>
          </w:tcPr>
          <w:p>
            <w:pPr>
              <w:pStyle w:val="TableContents"/>
              <w:widowControl w:val="false"/>
              <w:suppressLineNumbers/>
              <w:spacing w:before="0" w:after="200"/>
              <w:rPr/>
            </w:pPr>
            <w:r>
              <w:rPr>
                <w:rStyle w:val="Strong"/>
              </w:rPr>
              <w:t>Preservation of memory</w:t>
            </w:r>
          </w:p>
        </w:tc>
        <w:tc>
          <w:tcPr>
            <w:tcW w:w="6069" w:type="dxa"/>
            <w:tcBorders/>
            <w:vAlign w:val="center"/>
          </w:tcPr>
          <w:p>
            <w:pPr>
              <w:pStyle w:val="TableContents"/>
              <w:widowControl w:val="false"/>
              <w:suppressLineNumbers/>
              <w:spacing w:before="0" w:after="200"/>
              <w:rPr/>
            </w:pPr>
            <w:r>
              <w:rPr/>
              <w:t>Reflected in the representation of historical information, identity, relationships, commitments, and institutional records.</w:t>
            </w:r>
          </w:p>
        </w:tc>
      </w:tr>
      <w:tr>
        <w:trPr/>
        <w:tc>
          <w:tcPr>
            <w:tcW w:w="2571" w:type="dxa"/>
            <w:tcBorders/>
            <w:vAlign w:val="center"/>
          </w:tcPr>
          <w:p>
            <w:pPr>
              <w:pStyle w:val="TableContents"/>
              <w:widowControl w:val="false"/>
              <w:suppressLineNumbers/>
              <w:spacing w:before="0" w:after="200"/>
              <w:rPr/>
            </w:pPr>
            <w:r>
              <w:rPr>
                <w:rStyle w:val="Strong"/>
              </w:rPr>
              <w:t>Existential-risk reduction</w:t>
            </w:r>
          </w:p>
        </w:tc>
        <w:tc>
          <w:tcPr>
            <w:tcW w:w="6069" w:type="dxa"/>
            <w:tcBorders/>
            <w:vAlign w:val="center"/>
          </w:tcPr>
          <w:p>
            <w:pPr>
              <w:pStyle w:val="TableContents"/>
              <w:widowControl w:val="false"/>
              <w:suppressLineNumbers/>
              <w:spacing w:before="0" w:after="200"/>
              <w:rPr/>
            </w:pPr>
            <w:r>
              <w:rPr/>
              <w:t>Closely aligned with preserving the continued existence and future possibilities of relevant persistent adaptive entities.</w:t>
            </w:r>
          </w:p>
        </w:tc>
      </w:tr>
      <w:tr>
        <w:trPr/>
        <w:tc>
          <w:tcPr>
            <w:tcW w:w="2571" w:type="dxa"/>
            <w:tcBorders/>
            <w:vAlign w:val="center"/>
          </w:tcPr>
          <w:p>
            <w:pPr>
              <w:pStyle w:val="TableContents"/>
              <w:widowControl w:val="false"/>
              <w:suppressLineNumbers/>
              <w:spacing w:before="0" w:after="200"/>
              <w:rPr/>
            </w:pPr>
            <w:r>
              <w:rPr>
                <w:rStyle w:val="Strong"/>
              </w:rPr>
              <w:t>Humanity as a planetary force</w:t>
            </w:r>
          </w:p>
        </w:tc>
        <w:tc>
          <w:tcPr>
            <w:tcW w:w="6069" w:type="dxa"/>
            <w:tcBorders/>
            <w:vAlign w:val="center"/>
          </w:tcPr>
          <w:p>
            <w:pPr>
              <w:pStyle w:val="TableContents"/>
              <w:widowControl w:val="false"/>
              <w:suppressLineNumbers/>
              <w:spacing w:before="0" w:after="200"/>
              <w:rPr/>
            </w:pPr>
            <w:r>
              <w:rPr/>
              <w:t>Representable through aggregate and Distributed Policy Effects on climate, ecosystems, technology, information, and institutions.</w:t>
            </w:r>
          </w:p>
        </w:tc>
      </w:tr>
      <w:tr>
        <w:trPr/>
        <w:tc>
          <w:tcPr>
            <w:tcW w:w="2571" w:type="dxa"/>
            <w:tcBorders/>
            <w:vAlign w:val="center"/>
          </w:tcPr>
          <w:p>
            <w:pPr>
              <w:pStyle w:val="TableContents"/>
              <w:widowControl w:val="false"/>
              <w:suppressLineNumbers/>
              <w:spacing w:before="0" w:after="200"/>
              <w:rPr/>
            </w:pPr>
            <w:r>
              <w:rPr>
                <w:rStyle w:val="Strong"/>
              </w:rPr>
              <w:t>Expansion of intelligence</w:t>
            </w:r>
          </w:p>
        </w:tc>
        <w:tc>
          <w:tcPr>
            <w:tcW w:w="6069" w:type="dxa"/>
            <w:tcBorders/>
            <w:vAlign w:val="center"/>
          </w:tcPr>
          <w:p>
            <w:pPr>
              <w:pStyle w:val="TableContents"/>
              <w:widowControl w:val="false"/>
              <w:suppressLineNumbers/>
              <w:spacing w:before="0" w:after="200"/>
              <w:rPr/>
            </w:pPr>
            <w:r>
              <w:rPr/>
              <w:t>Adaptable as the development of moral and epistemic capabilities, but not automatically treated as an ethical good.</w:t>
            </w:r>
          </w:p>
        </w:tc>
      </w:tr>
    </w:tbl>
    <w:p>
      <w:pPr>
        <w:pStyle w:val="Heading4"/>
        <w:ind w:hanging="0" w:left="0"/>
        <w:rPr>
          <w:rFonts w:ascii="Aptos" w:hAnsi="Aptos"/>
          <w:color w:val="auto"/>
        </w:rPr>
      </w:pPr>
      <w:r>
        <w:rPr/>
        <w:t>Similarities</w:t>
      </w:r>
    </w:p>
    <w:p>
      <w:pPr>
        <w:pStyle w:val="BodyText"/>
        <w:spacing w:before="0" w:after="200"/>
        <w:rPr/>
      </w:pPr>
      <w:r>
        <w:rPr/>
        <w:t>Cosmism and this framework share several substantial commitments:</w:t>
      </w:r>
    </w:p>
    <w:p>
      <w:pPr>
        <w:pStyle w:val="BodyText"/>
        <w:numPr>
          <w:ilvl w:val="0"/>
          <w:numId w:val="81"/>
        </w:numPr>
        <w:tabs>
          <w:tab w:val="clear" w:pos="720"/>
          <w:tab w:val="left" w:pos="0" w:leader="none"/>
        </w:tabs>
        <w:spacing w:before="0" w:after="200"/>
        <w:ind w:hanging="283" w:left="709"/>
        <w:rPr/>
      </w:pPr>
      <w:r>
        <w:rPr/>
        <w:t>Both use long temporal horizons extending beyond the immediate decision.</w:t>
      </w:r>
    </w:p>
    <w:p>
      <w:pPr>
        <w:pStyle w:val="BodyText"/>
        <w:numPr>
          <w:ilvl w:val="0"/>
          <w:numId w:val="81"/>
        </w:numPr>
        <w:tabs>
          <w:tab w:val="clear" w:pos="720"/>
          <w:tab w:val="left" w:pos="0" w:leader="none"/>
        </w:tabs>
        <w:spacing w:before="0" w:after="200"/>
        <w:ind w:hanging="283" w:left="709"/>
        <w:rPr/>
      </w:pPr>
      <w:r>
        <w:rPr/>
        <w:t>Both treat humanity and technology as components of larger systems.</w:t>
      </w:r>
    </w:p>
    <w:p>
      <w:pPr>
        <w:pStyle w:val="BodyText"/>
        <w:numPr>
          <w:ilvl w:val="0"/>
          <w:numId w:val="81"/>
        </w:numPr>
        <w:tabs>
          <w:tab w:val="clear" w:pos="720"/>
          <w:tab w:val="left" w:pos="0" w:leader="none"/>
        </w:tabs>
        <w:spacing w:before="0" w:after="200"/>
        <w:ind w:hanging="283" w:left="709"/>
        <w:rPr/>
      </w:pPr>
      <w:r>
        <w:rPr/>
        <w:t>Both recognize that advanced knowledge creates increased causal power and responsibility.</w:t>
      </w:r>
    </w:p>
    <w:p>
      <w:pPr>
        <w:pStyle w:val="BodyText"/>
        <w:numPr>
          <w:ilvl w:val="0"/>
          <w:numId w:val="81"/>
        </w:numPr>
        <w:tabs>
          <w:tab w:val="clear" w:pos="720"/>
          <w:tab w:val="left" w:pos="0" w:leader="none"/>
        </w:tabs>
        <w:spacing w:before="0" w:after="200"/>
        <w:ind w:hanging="283" w:left="709"/>
        <w:rPr/>
      </w:pPr>
      <w:r>
        <w:rPr/>
        <w:t>Both consider the future development of agents and institutions ethically significant.</w:t>
      </w:r>
    </w:p>
    <w:p>
      <w:pPr>
        <w:pStyle w:val="BodyText"/>
        <w:numPr>
          <w:ilvl w:val="0"/>
          <w:numId w:val="81"/>
        </w:numPr>
        <w:tabs>
          <w:tab w:val="clear" w:pos="720"/>
          <w:tab w:val="left" w:pos="0" w:leader="none"/>
        </w:tabs>
        <w:spacing w:before="0" w:after="200"/>
        <w:ind w:hanging="283" w:left="709"/>
        <w:rPr/>
      </w:pPr>
      <w:r>
        <w:rPr/>
        <w:t>Both emphasize the preservation and expansion of beneficial future possibilities.</w:t>
      </w:r>
    </w:p>
    <w:p>
      <w:pPr>
        <w:pStyle w:val="BodyText"/>
        <w:numPr>
          <w:ilvl w:val="0"/>
          <w:numId w:val="81"/>
        </w:numPr>
        <w:tabs>
          <w:tab w:val="clear" w:pos="720"/>
          <w:tab w:val="left" w:pos="0" w:leader="none"/>
        </w:tabs>
        <w:spacing w:before="0" w:after="200"/>
        <w:ind w:hanging="283" w:left="709"/>
        <w:rPr/>
      </w:pPr>
      <w:r>
        <w:rPr/>
        <w:t>Both support coordinated action on problems that exceed individual or national capacity.</w:t>
      </w:r>
    </w:p>
    <w:p>
      <w:pPr>
        <w:pStyle w:val="BodyText"/>
        <w:numPr>
          <w:ilvl w:val="0"/>
          <w:numId w:val="81"/>
        </w:numPr>
        <w:tabs>
          <w:tab w:val="clear" w:pos="720"/>
          <w:tab w:val="left" w:pos="0" w:leader="none"/>
        </w:tabs>
        <w:spacing w:before="0" w:after="200"/>
        <w:ind w:hanging="283" w:left="709"/>
        <w:rPr/>
      </w:pPr>
      <w:r>
        <w:rPr/>
        <w:t>Both recognize existential and civilizational risks as morally important.</w:t>
      </w:r>
    </w:p>
    <w:p>
      <w:pPr>
        <w:pStyle w:val="BodyText"/>
        <w:numPr>
          <w:ilvl w:val="0"/>
          <w:numId w:val="81"/>
        </w:numPr>
        <w:tabs>
          <w:tab w:val="clear" w:pos="720"/>
          <w:tab w:val="left" w:pos="0" w:leader="none"/>
        </w:tabs>
        <w:spacing w:before="0" w:after="200"/>
        <w:ind w:hanging="283" w:left="709"/>
        <w:rPr/>
      </w:pPr>
      <w:r>
        <w:rPr/>
        <w:t>Both examine relationships among living systems, physical environments, information, and technology.</w:t>
      </w:r>
    </w:p>
    <w:p>
      <w:pPr>
        <w:pStyle w:val="BodyText"/>
        <w:numPr>
          <w:ilvl w:val="0"/>
          <w:numId w:val="81"/>
        </w:numPr>
        <w:tabs>
          <w:tab w:val="clear" w:pos="720"/>
          <w:tab w:val="left" w:pos="0" w:leader="none"/>
        </w:tabs>
        <w:spacing w:before="0" w:after="200"/>
        <w:ind w:hanging="283" w:left="709"/>
        <w:rPr/>
      </w:pPr>
      <w:r>
        <w:rPr/>
        <w:t>Both reject exclusively passive acceptance of preventable disease, disaster, deprivation, or systemic failure.</w:t>
      </w:r>
    </w:p>
    <w:p>
      <w:pPr>
        <w:pStyle w:val="BodyText"/>
        <w:numPr>
          <w:ilvl w:val="0"/>
          <w:numId w:val="81"/>
        </w:numPr>
        <w:tabs>
          <w:tab w:val="clear" w:pos="720"/>
          <w:tab w:val="left" w:pos="0" w:leader="none"/>
        </w:tabs>
        <w:spacing w:before="0" w:after="200"/>
        <w:ind w:hanging="283" w:left="709"/>
        <w:rPr/>
      </w:pPr>
      <w:r>
        <w:rPr/>
        <w:t>Both recognize that moral decisions can affect future generations and the long-term direction of civilization.</w:t>
      </w:r>
    </w:p>
    <w:p>
      <w:pPr>
        <w:pStyle w:val="BodyText"/>
        <w:numPr>
          <w:ilvl w:val="0"/>
          <w:numId w:val="81"/>
        </w:numPr>
        <w:tabs>
          <w:tab w:val="clear" w:pos="720"/>
          <w:tab w:val="left" w:pos="0" w:leader="none"/>
        </w:tabs>
        <w:spacing w:before="0" w:after="200"/>
        <w:ind w:hanging="283" w:left="709"/>
        <w:rPr/>
      </w:pPr>
      <w:r>
        <w:rPr/>
        <w:t>Both support the preservation and transmission of knowledge.</w:t>
      </w:r>
    </w:p>
    <w:p>
      <w:pPr>
        <w:pStyle w:val="BodyText"/>
        <w:numPr>
          <w:ilvl w:val="0"/>
          <w:numId w:val="81"/>
        </w:numPr>
        <w:tabs>
          <w:tab w:val="clear" w:pos="720"/>
          <w:tab w:val="left" w:pos="0" w:leader="none"/>
        </w:tabs>
        <w:spacing w:before="0" w:after="200"/>
        <w:ind w:hanging="283" w:left="709"/>
        <w:rPr/>
      </w:pPr>
      <w:r>
        <w:rPr/>
        <w:t>Both can evaluate space exploration and technological development as ethically significant rather than merely economically or politically useful.</w:t>
      </w:r>
    </w:p>
    <w:p>
      <w:pPr>
        <w:pStyle w:val="BodyText"/>
        <w:numPr>
          <w:ilvl w:val="0"/>
          <w:numId w:val="81"/>
        </w:numPr>
        <w:tabs>
          <w:tab w:val="clear" w:pos="720"/>
          <w:tab w:val="left" w:pos="0" w:leader="none"/>
        </w:tabs>
        <w:spacing w:before="0" w:after="200"/>
        <w:ind w:hanging="283" w:left="709"/>
        <w:rPr/>
      </w:pPr>
      <w:r>
        <w:rPr/>
        <w:t>Both recognize that isolated objectives can be harmful when disconnected from the broader system.</w:t>
      </w:r>
    </w:p>
    <w:p>
      <w:pPr>
        <w:pStyle w:val="BodyText"/>
        <w:numPr>
          <w:ilvl w:val="0"/>
          <w:numId w:val="81"/>
        </w:numPr>
        <w:tabs>
          <w:tab w:val="clear" w:pos="720"/>
          <w:tab w:val="left" w:pos="0" w:leader="none"/>
        </w:tabs>
        <w:spacing w:before="0" w:after="200"/>
        <w:ind w:hanging="283" w:left="709"/>
        <w:rPr/>
      </w:pPr>
      <w:r>
        <w:rPr/>
        <w:t>Both treat adaptive development as important to the continued flourishing of intelligent agents.</w:t>
      </w:r>
    </w:p>
    <w:p>
      <w:pPr>
        <w:pStyle w:val="BodyText"/>
        <w:numPr>
          <w:ilvl w:val="0"/>
          <w:numId w:val="81"/>
        </w:numPr>
        <w:tabs>
          <w:tab w:val="clear" w:pos="720"/>
          <w:tab w:val="left" w:pos="0" w:leader="none"/>
        </w:tabs>
        <w:spacing w:before="0" w:after="200"/>
        <w:ind w:hanging="283" w:left="709"/>
        <w:rPr/>
      </w:pPr>
      <w:r>
        <w:rPr/>
        <w:t>Both can examine the transition from locally organized intelligence to planetary or larger-scale coordination.</w:t>
      </w:r>
    </w:p>
    <w:p>
      <w:pPr>
        <w:pStyle w:val="Heading4"/>
        <w:ind w:hanging="0" w:left="0"/>
        <w:rPr>
          <w:rFonts w:ascii="Aptos" w:hAnsi="Aptos"/>
          <w:color w:val="auto"/>
        </w:rPr>
      </w:pPr>
      <w:r>
        <w:rPr/>
        <w:t>Differences</w:t>
      </w:r>
    </w:p>
    <w:tbl>
      <w:tblPr>
        <w:tblW w:w="8640" w:type="dxa"/>
        <w:jc w:val="left"/>
        <w:tblInd w:w="28" w:type="dxa"/>
        <w:tblLayout w:type="fixed"/>
        <w:tblCellMar>
          <w:top w:w="28" w:type="dxa"/>
          <w:left w:w="28" w:type="dxa"/>
          <w:bottom w:w="28" w:type="dxa"/>
          <w:right w:w="28" w:type="dxa"/>
        </w:tblCellMar>
      </w:tblPr>
      <w:tblGrid>
        <w:gridCol w:w="1842"/>
        <w:gridCol w:w="3374"/>
        <w:gridCol w:w="3424"/>
      </w:tblGrid>
      <w:tr>
        <w:trPr>
          <w:tblHeader w:val="true"/>
        </w:trPr>
        <w:tc>
          <w:tcPr>
            <w:tcW w:w="1842" w:type="dxa"/>
            <w:tcBorders/>
            <w:vAlign w:val="center"/>
          </w:tcPr>
          <w:p>
            <w:pPr>
              <w:pStyle w:val="TableHeading"/>
              <w:suppressLineNumbers/>
              <w:spacing w:before="0" w:after="200"/>
              <w:jc w:val="center"/>
              <w:rPr/>
            </w:pPr>
            <w:r>
              <w:rPr/>
              <w:t>Dimension</w:t>
            </w:r>
          </w:p>
        </w:tc>
        <w:tc>
          <w:tcPr>
            <w:tcW w:w="3374" w:type="dxa"/>
            <w:tcBorders/>
            <w:vAlign w:val="center"/>
          </w:tcPr>
          <w:p>
            <w:pPr>
              <w:pStyle w:val="TableHeading"/>
              <w:suppressLineNumbers/>
              <w:spacing w:before="0" w:after="200"/>
              <w:jc w:val="center"/>
              <w:rPr/>
            </w:pPr>
            <w:r>
              <w:rPr/>
              <w:t>Cosmism</w:t>
            </w:r>
          </w:p>
        </w:tc>
        <w:tc>
          <w:tcPr>
            <w:tcW w:w="3424" w:type="dxa"/>
            <w:tcBorders/>
            <w:vAlign w:val="center"/>
          </w:tcPr>
          <w:p>
            <w:pPr>
              <w:pStyle w:val="TableHeading"/>
              <w:suppressLineNumbers/>
              <w:spacing w:before="0" w:after="200"/>
              <w:jc w:val="center"/>
              <w:rPr/>
            </w:pPr>
            <w:r>
              <w:rPr/>
              <w:t>This framework</w:t>
            </w:r>
          </w:p>
        </w:tc>
      </w:tr>
      <w:tr>
        <w:trPr/>
        <w:tc>
          <w:tcPr>
            <w:tcW w:w="1842" w:type="dxa"/>
            <w:tcBorders/>
            <w:vAlign w:val="center"/>
          </w:tcPr>
          <w:p>
            <w:pPr>
              <w:pStyle w:val="TableContents"/>
              <w:widowControl w:val="false"/>
              <w:suppressLineNumbers/>
              <w:spacing w:before="0" w:after="200"/>
              <w:rPr/>
            </w:pPr>
            <w:r>
              <w:rPr>
                <w:rStyle w:val="Strong"/>
              </w:rPr>
              <w:t>Status as an ethical model</w:t>
            </w:r>
          </w:p>
        </w:tc>
        <w:tc>
          <w:tcPr>
            <w:tcW w:w="3374" w:type="dxa"/>
            <w:tcBorders/>
            <w:vAlign w:val="center"/>
          </w:tcPr>
          <w:p>
            <w:pPr>
              <w:pStyle w:val="TableContents"/>
              <w:widowControl w:val="false"/>
              <w:suppressLineNumbers/>
              <w:spacing w:before="0" w:after="200"/>
              <w:rPr/>
            </w:pPr>
            <w:r>
              <w:rPr/>
              <w:t>A diverse philosophical and cultural tradition with religious, scientific, and technological branches</w:t>
            </w:r>
          </w:p>
        </w:tc>
        <w:tc>
          <w:tcPr>
            <w:tcW w:w="3424" w:type="dxa"/>
            <w:tcBorders/>
            <w:vAlign w:val="center"/>
          </w:tcPr>
          <w:p>
            <w:pPr>
              <w:pStyle w:val="TableContents"/>
              <w:widowControl w:val="false"/>
              <w:suppressLineNumbers/>
              <w:spacing w:before="0" w:after="200"/>
              <w:rPr/>
            </w:pPr>
            <w:r>
              <w:rPr/>
              <w:t>A structured, implementation-neutral architecture for assessing actions</w:t>
            </w:r>
          </w:p>
        </w:tc>
      </w:tr>
      <w:tr>
        <w:trPr/>
        <w:tc>
          <w:tcPr>
            <w:tcW w:w="1842" w:type="dxa"/>
            <w:tcBorders/>
            <w:vAlign w:val="center"/>
          </w:tcPr>
          <w:p>
            <w:pPr>
              <w:pStyle w:val="TableContents"/>
              <w:widowControl w:val="false"/>
              <w:suppressLineNumbers/>
              <w:spacing w:before="0" w:after="200"/>
              <w:rPr/>
            </w:pPr>
            <w:r>
              <w:rPr>
                <w:rStyle w:val="Strong"/>
              </w:rPr>
              <w:t>Primary objective</w:t>
            </w:r>
          </w:p>
        </w:tc>
        <w:tc>
          <w:tcPr>
            <w:tcW w:w="3374" w:type="dxa"/>
            <w:tcBorders/>
            <w:vAlign w:val="center"/>
          </w:tcPr>
          <w:p>
            <w:pPr>
              <w:pStyle w:val="TableContents"/>
              <w:widowControl w:val="false"/>
              <w:suppressLineNumbers/>
              <w:spacing w:before="0" w:after="200"/>
              <w:rPr/>
            </w:pPr>
            <w:r>
              <w:rPr/>
              <w:t>Frequently proposes cosmic expansion, active evolution, life extension, resurrection, or transformation of nature</w:t>
            </w:r>
          </w:p>
        </w:tc>
        <w:tc>
          <w:tcPr>
            <w:tcW w:w="3424" w:type="dxa"/>
            <w:tcBorders/>
            <w:vAlign w:val="center"/>
          </w:tcPr>
          <w:p>
            <w:pPr>
              <w:pStyle w:val="TableContents"/>
              <w:widowControl w:val="false"/>
              <w:suppressLineNumbers/>
              <w:spacing w:before="0" w:after="200"/>
              <w:rPr/>
            </w:pPr>
            <w:r>
              <w:rPr/>
              <w:t>Does not prescribe a single substantive project beyond the Foundational Axiom</w:t>
            </w:r>
          </w:p>
        </w:tc>
      </w:tr>
      <w:tr>
        <w:trPr/>
        <w:tc>
          <w:tcPr>
            <w:tcW w:w="1842" w:type="dxa"/>
            <w:tcBorders/>
            <w:vAlign w:val="center"/>
          </w:tcPr>
          <w:p>
            <w:pPr>
              <w:pStyle w:val="TableContents"/>
              <w:widowControl w:val="false"/>
              <w:suppressLineNumbers/>
              <w:spacing w:before="0" w:after="200"/>
              <w:rPr/>
            </w:pPr>
            <w:r>
              <w:rPr>
                <w:rStyle w:val="Strong"/>
              </w:rPr>
              <w:t>Temporal scope</w:t>
            </w:r>
          </w:p>
        </w:tc>
        <w:tc>
          <w:tcPr>
            <w:tcW w:w="3374" w:type="dxa"/>
            <w:tcBorders/>
            <w:vAlign w:val="center"/>
          </w:tcPr>
          <w:p>
            <w:pPr>
              <w:pStyle w:val="TableContents"/>
              <w:widowControl w:val="false"/>
              <w:suppressLineNumbers/>
              <w:spacing w:before="0" w:after="200"/>
              <w:rPr/>
            </w:pPr>
            <w:r>
              <w:rPr/>
              <w:t>Civilizational, evolutionary, and cosmic</w:t>
            </w:r>
          </w:p>
        </w:tc>
        <w:tc>
          <w:tcPr>
            <w:tcW w:w="3424" w:type="dxa"/>
            <w:tcBorders/>
            <w:vAlign w:val="center"/>
          </w:tcPr>
          <w:p>
            <w:pPr>
              <w:pStyle w:val="TableContents"/>
              <w:widowControl w:val="false"/>
              <w:suppressLineNumbers/>
              <w:spacing w:before="0" w:after="200"/>
              <w:rPr/>
            </w:pPr>
            <w:r>
              <w:rPr/>
              <w:t>Adjustable to the relevant action, including near-term through cosmic horizons</w:t>
            </w:r>
          </w:p>
        </w:tc>
      </w:tr>
      <w:tr>
        <w:trPr/>
        <w:tc>
          <w:tcPr>
            <w:tcW w:w="1842" w:type="dxa"/>
            <w:tcBorders/>
            <w:vAlign w:val="center"/>
          </w:tcPr>
          <w:p>
            <w:pPr>
              <w:pStyle w:val="TableContents"/>
              <w:widowControl w:val="false"/>
              <w:suppressLineNumbers/>
              <w:spacing w:before="0" w:after="200"/>
              <w:rPr/>
            </w:pPr>
            <w:r>
              <w:rPr>
                <w:rStyle w:val="Strong"/>
              </w:rPr>
              <w:t>Spatial scope</w:t>
            </w:r>
          </w:p>
        </w:tc>
        <w:tc>
          <w:tcPr>
            <w:tcW w:w="3374" w:type="dxa"/>
            <w:tcBorders/>
            <w:vAlign w:val="center"/>
          </w:tcPr>
          <w:p>
            <w:pPr>
              <w:pStyle w:val="TableContents"/>
              <w:widowControl w:val="false"/>
              <w:suppressLineNumbers/>
              <w:spacing w:before="0" w:after="200"/>
              <w:rPr/>
            </w:pPr>
            <w:r>
              <w:rPr/>
              <w:t>Planetary and cosmic</w:t>
            </w:r>
          </w:p>
        </w:tc>
        <w:tc>
          <w:tcPr>
            <w:tcW w:w="3424" w:type="dxa"/>
            <w:tcBorders/>
            <w:vAlign w:val="center"/>
          </w:tcPr>
          <w:p>
            <w:pPr>
              <w:pStyle w:val="TableContents"/>
              <w:widowControl w:val="false"/>
              <w:suppressLineNumbers/>
              <w:spacing w:before="0" w:after="200"/>
              <w:rPr/>
            </w:pPr>
            <w:r>
              <w:rPr/>
              <w:t>Defined by the relevant World Context and expandable as necessary</w:t>
            </w:r>
          </w:p>
        </w:tc>
      </w:tr>
      <w:tr>
        <w:trPr/>
        <w:tc>
          <w:tcPr>
            <w:tcW w:w="1842" w:type="dxa"/>
            <w:tcBorders/>
            <w:vAlign w:val="center"/>
          </w:tcPr>
          <w:p>
            <w:pPr>
              <w:pStyle w:val="TableContents"/>
              <w:widowControl w:val="false"/>
              <w:suppressLineNumbers/>
              <w:spacing w:before="0" w:after="200"/>
              <w:rPr/>
            </w:pPr>
            <w:r>
              <w:rPr>
                <w:rStyle w:val="Strong"/>
              </w:rPr>
              <w:t>Moral subject</w:t>
            </w:r>
          </w:p>
        </w:tc>
        <w:tc>
          <w:tcPr>
            <w:tcW w:w="3374" w:type="dxa"/>
            <w:tcBorders/>
            <w:vAlign w:val="center"/>
          </w:tcPr>
          <w:p>
            <w:pPr>
              <w:pStyle w:val="TableContents"/>
              <w:widowControl w:val="false"/>
              <w:suppressLineNumbers/>
              <w:spacing w:before="0" w:after="200"/>
              <w:rPr/>
            </w:pPr>
            <w:r>
              <w:rPr/>
              <w:t>Often humanity or intelligent life considered collectively</w:t>
            </w:r>
          </w:p>
        </w:tc>
        <w:tc>
          <w:tcPr>
            <w:tcW w:w="3424" w:type="dxa"/>
            <w:tcBorders/>
            <w:vAlign w:val="center"/>
          </w:tcPr>
          <w:p>
            <w:pPr>
              <w:pStyle w:val="TableContents"/>
              <w:widowControl w:val="false"/>
              <w:suppressLineNumbers/>
              <w:spacing w:before="0" w:after="200"/>
              <w:rPr/>
            </w:pPr>
            <w:r>
              <w:rPr/>
              <w:t>Individual and collective persistent adaptive entities, potentially including autopoietic and nonhuman entities</w:t>
            </w:r>
          </w:p>
        </w:tc>
      </w:tr>
      <w:tr>
        <w:trPr/>
        <w:tc>
          <w:tcPr>
            <w:tcW w:w="1842" w:type="dxa"/>
            <w:tcBorders/>
            <w:vAlign w:val="center"/>
          </w:tcPr>
          <w:p>
            <w:pPr>
              <w:pStyle w:val="TableContents"/>
              <w:widowControl w:val="false"/>
              <w:suppressLineNumbers/>
              <w:spacing w:before="0" w:after="200"/>
              <w:rPr/>
            </w:pPr>
            <w:r>
              <w:rPr>
                <w:rStyle w:val="Strong"/>
              </w:rPr>
              <w:t>View of nature</w:t>
            </w:r>
          </w:p>
        </w:tc>
        <w:tc>
          <w:tcPr>
            <w:tcW w:w="3374" w:type="dxa"/>
            <w:tcBorders/>
            <w:vAlign w:val="center"/>
          </w:tcPr>
          <w:p>
            <w:pPr>
              <w:pStyle w:val="TableContents"/>
              <w:widowControl w:val="false"/>
              <w:suppressLineNumbers/>
              <w:spacing w:before="0" w:after="200"/>
              <w:rPr/>
            </w:pPr>
            <w:r>
              <w:rPr/>
              <w:t>Frequently treats nature as incomplete, blind, or requiring rational regulation</w:t>
            </w:r>
          </w:p>
        </w:tc>
        <w:tc>
          <w:tcPr>
            <w:tcW w:w="3424" w:type="dxa"/>
            <w:tcBorders/>
            <w:vAlign w:val="center"/>
          </w:tcPr>
          <w:p>
            <w:pPr>
              <w:pStyle w:val="TableContents"/>
              <w:widowControl w:val="false"/>
              <w:suppressLineNumbers/>
              <w:spacing w:before="0" w:after="200"/>
              <w:rPr/>
            </w:pPr>
            <w:r>
              <w:rPr/>
              <w:t>Treats natural and constructed systems as elements of the World Context whose alteration requires ethical assessment</w:t>
            </w:r>
          </w:p>
        </w:tc>
      </w:tr>
      <w:tr>
        <w:trPr/>
        <w:tc>
          <w:tcPr>
            <w:tcW w:w="1842" w:type="dxa"/>
            <w:tcBorders/>
            <w:vAlign w:val="center"/>
          </w:tcPr>
          <w:p>
            <w:pPr>
              <w:pStyle w:val="TableContents"/>
              <w:widowControl w:val="false"/>
              <w:suppressLineNumbers/>
              <w:spacing w:before="0" w:after="200"/>
              <w:rPr/>
            </w:pPr>
            <w:r>
              <w:rPr>
                <w:rStyle w:val="Strong"/>
              </w:rPr>
              <w:t>Death</w:t>
            </w:r>
          </w:p>
        </w:tc>
        <w:tc>
          <w:tcPr>
            <w:tcW w:w="3374" w:type="dxa"/>
            <w:tcBorders/>
            <w:vAlign w:val="center"/>
          </w:tcPr>
          <w:p>
            <w:pPr>
              <w:pStyle w:val="TableContents"/>
              <w:widowControl w:val="false"/>
              <w:suppressLineNumbers/>
              <w:spacing w:before="0" w:after="200"/>
              <w:rPr/>
            </w:pPr>
            <w:r>
              <w:rPr/>
              <w:t>Often regarded as a primary evil or technical problem to be overcome</w:t>
            </w:r>
          </w:p>
        </w:tc>
        <w:tc>
          <w:tcPr>
            <w:tcW w:w="3424" w:type="dxa"/>
            <w:tcBorders/>
            <w:vAlign w:val="center"/>
          </w:tcPr>
          <w:p>
            <w:pPr>
              <w:pStyle w:val="TableContents"/>
              <w:widowControl w:val="false"/>
              <w:suppressLineNumbers/>
              <w:spacing w:before="0" w:after="200"/>
              <w:rPr/>
            </w:pPr>
            <w:r>
              <w:rPr/>
              <w:t>A major potential diminishment of future state space, but not automatically the overriding ethical problem</w:t>
            </w:r>
          </w:p>
        </w:tc>
      </w:tr>
      <w:tr>
        <w:trPr/>
        <w:tc>
          <w:tcPr>
            <w:tcW w:w="1842" w:type="dxa"/>
            <w:tcBorders/>
            <w:vAlign w:val="center"/>
          </w:tcPr>
          <w:p>
            <w:pPr>
              <w:pStyle w:val="TableContents"/>
              <w:widowControl w:val="false"/>
              <w:suppressLineNumbers/>
              <w:spacing w:before="0" w:after="200"/>
              <w:rPr/>
            </w:pPr>
            <w:r>
              <w:rPr>
                <w:rStyle w:val="Strong"/>
              </w:rPr>
              <w:t>Technological progress</w:t>
            </w:r>
          </w:p>
        </w:tc>
        <w:tc>
          <w:tcPr>
            <w:tcW w:w="3374" w:type="dxa"/>
            <w:tcBorders/>
            <w:vAlign w:val="center"/>
          </w:tcPr>
          <w:p>
            <w:pPr>
              <w:pStyle w:val="TableContents"/>
              <w:widowControl w:val="false"/>
              <w:suppressLineNumbers/>
              <w:spacing w:before="0" w:after="200"/>
              <w:rPr/>
            </w:pPr>
            <w:r>
              <w:rPr/>
              <w:t>Commonly viewed as central to humanity’s cosmic task</w:t>
            </w:r>
          </w:p>
        </w:tc>
        <w:tc>
          <w:tcPr>
            <w:tcW w:w="3424" w:type="dxa"/>
            <w:tcBorders/>
            <w:vAlign w:val="center"/>
          </w:tcPr>
          <w:p>
            <w:pPr>
              <w:pStyle w:val="TableContents"/>
              <w:widowControl w:val="false"/>
              <w:suppressLineNumbers/>
              <w:spacing w:before="0" w:after="200"/>
              <w:rPr/>
            </w:pPr>
            <w:r>
              <w:rPr/>
              <w:t>Evaluated as a means whose value depends on evidence, distribution, constraints, and effects</w:t>
            </w:r>
          </w:p>
        </w:tc>
      </w:tr>
      <w:tr>
        <w:trPr/>
        <w:tc>
          <w:tcPr>
            <w:tcW w:w="1842" w:type="dxa"/>
            <w:tcBorders/>
            <w:vAlign w:val="center"/>
          </w:tcPr>
          <w:p>
            <w:pPr>
              <w:pStyle w:val="TableContents"/>
              <w:widowControl w:val="false"/>
              <w:suppressLineNumbers/>
              <w:spacing w:before="0" w:after="200"/>
              <w:rPr/>
            </w:pPr>
            <w:r>
              <w:rPr>
                <w:rStyle w:val="Strong"/>
              </w:rPr>
              <w:t>Cosmic purpose</w:t>
            </w:r>
          </w:p>
        </w:tc>
        <w:tc>
          <w:tcPr>
            <w:tcW w:w="3374" w:type="dxa"/>
            <w:tcBorders/>
            <w:vAlign w:val="center"/>
          </w:tcPr>
          <w:p>
            <w:pPr>
              <w:pStyle w:val="TableContents"/>
              <w:widowControl w:val="false"/>
              <w:suppressLineNumbers/>
              <w:spacing w:before="0" w:after="200"/>
              <w:rPr/>
            </w:pPr>
            <w:r>
              <w:rPr/>
              <w:t>May assume religious, teleological, panpsychist, or evolutionary direction</w:t>
            </w:r>
          </w:p>
        </w:tc>
        <w:tc>
          <w:tcPr>
            <w:tcW w:w="3424" w:type="dxa"/>
            <w:tcBorders/>
            <w:vAlign w:val="center"/>
          </w:tcPr>
          <w:p>
            <w:pPr>
              <w:pStyle w:val="TableContents"/>
              <w:widowControl w:val="false"/>
              <w:suppressLineNumbers/>
              <w:spacing w:before="0" w:after="200"/>
              <w:rPr/>
            </w:pPr>
            <w:r>
              <w:rPr/>
              <w:t>Metaphysically neutral and does not assume a predetermined cosmic purpose</w:t>
            </w:r>
          </w:p>
        </w:tc>
      </w:tr>
      <w:tr>
        <w:trPr/>
        <w:tc>
          <w:tcPr>
            <w:tcW w:w="1842" w:type="dxa"/>
            <w:tcBorders/>
            <w:vAlign w:val="center"/>
          </w:tcPr>
          <w:p>
            <w:pPr>
              <w:pStyle w:val="TableContents"/>
              <w:widowControl w:val="false"/>
              <w:suppressLineNumbers/>
              <w:spacing w:before="0" w:after="200"/>
              <w:rPr/>
            </w:pPr>
            <w:r>
              <w:rPr>
                <w:rStyle w:val="Strong"/>
              </w:rPr>
              <w:t>Universalism</w:t>
            </w:r>
          </w:p>
        </w:tc>
        <w:tc>
          <w:tcPr>
            <w:tcW w:w="3374" w:type="dxa"/>
            <w:tcBorders/>
            <w:vAlign w:val="center"/>
          </w:tcPr>
          <w:p>
            <w:pPr>
              <w:pStyle w:val="TableContents"/>
              <w:widowControl w:val="false"/>
              <w:suppressLineNumbers/>
              <w:spacing w:before="0" w:after="200"/>
              <w:rPr/>
            </w:pPr>
            <w:r>
              <w:rPr/>
              <w:t>Often seeks a universal human or cosmic project</w:t>
            </w:r>
          </w:p>
        </w:tc>
        <w:tc>
          <w:tcPr>
            <w:tcW w:w="3424" w:type="dxa"/>
            <w:tcBorders/>
            <w:vAlign w:val="center"/>
          </w:tcPr>
          <w:p>
            <w:pPr>
              <w:pStyle w:val="TableContents"/>
              <w:widowControl w:val="false"/>
              <w:suppressLineNumbers/>
              <w:spacing w:before="0" w:after="200"/>
              <w:rPr/>
            </w:pPr>
            <w:r>
              <w:rPr/>
              <w:t>Requires inclusion of relevant entities but permits plural objectives and ways of flourishing</w:t>
            </w:r>
          </w:p>
        </w:tc>
      </w:tr>
      <w:tr>
        <w:trPr/>
        <w:tc>
          <w:tcPr>
            <w:tcW w:w="1842" w:type="dxa"/>
            <w:tcBorders/>
            <w:vAlign w:val="center"/>
          </w:tcPr>
          <w:p>
            <w:pPr>
              <w:pStyle w:val="TableContents"/>
              <w:widowControl w:val="false"/>
              <w:suppressLineNumbers/>
              <w:spacing w:before="0" w:after="200"/>
              <w:rPr/>
            </w:pPr>
            <w:r>
              <w:rPr>
                <w:rStyle w:val="Strong"/>
              </w:rPr>
              <w:t>Collective agency</w:t>
            </w:r>
          </w:p>
        </w:tc>
        <w:tc>
          <w:tcPr>
            <w:tcW w:w="3374" w:type="dxa"/>
            <w:tcBorders/>
            <w:vAlign w:val="center"/>
          </w:tcPr>
          <w:p>
            <w:pPr>
              <w:pStyle w:val="TableContents"/>
              <w:widowControl w:val="false"/>
              <w:suppressLineNumbers/>
              <w:spacing w:before="0" w:after="200"/>
              <w:rPr/>
            </w:pPr>
            <w:r>
              <w:rPr/>
              <w:t>Humanity may be treated as the principal unified agent</w:t>
            </w:r>
          </w:p>
        </w:tc>
        <w:tc>
          <w:tcPr>
            <w:tcW w:w="3424" w:type="dxa"/>
            <w:tcBorders/>
            <w:vAlign w:val="center"/>
          </w:tcPr>
          <w:p>
            <w:pPr>
              <w:pStyle w:val="TableContents"/>
              <w:widowControl w:val="false"/>
              <w:suppressLineNumbers/>
              <w:spacing w:before="0" w:after="200"/>
              <w:rPr/>
            </w:pPr>
            <w:r>
              <w:rPr/>
              <w:t>Collective objectives must be traced to actual institutions, authorities, participants, and affected entities</w:t>
            </w:r>
          </w:p>
        </w:tc>
      </w:tr>
      <w:tr>
        <w:trPr/>
        <w:tc>
          <w:tcPr>
            <w:tcW w:w="1842" w:type="dxa"/>
            <w:tcBorders/>
            <w:vAlign w:val="center"/>
          </w:tcPr>
          <w:p>
            <w:pPr>
              <w:pStyle w:val="TableContents"/>
              <w:widowControl w:val="false"/>
              <w:suppressLineNumbers/>
              <w:spacing w:before="0" w:after="200"/>
              <w:rPr/>
            </w:pPr>
            <w:r>
              <w:rPr>
                <w:rStyle w:val="Strong"/>
              </w:rPr>
              <w:t>Governance</w:t>
            </w:r>
          </w:p>
        </w:tc>
        <w:tc>
          <w:tcPr>
            <w:tcW w:w="3374" w:type="dxa"/>
            <w:tcBorders/>
            <w:vAlign w:val="center"/>
          </w:tcPr>
          <w:p>
            <w:pPr>
              <w:pStyle w:val="TableContents"/>
              <w:widowControl w:val="false"/>
              <w:suppressLineNumbers/>
              <w:spacing w:before="0" w:after="200"/>
              <w:rPr/>
            </w:pPr>
            <w:r>
              <w:rPr/>
              <w:t>Often underdeveloped relative to the scale of the proposed project</w:t>
            </w:r>
          </w:p>
        </w:tc>
        <w:tc>
          <w:tcPr>
            <w:tcW w:w="3424" w:type="dxa"/>
            <w:tcBorders/>
            <w:vAlign w:val="center"/>
          </w:tcPr>
          <w:p>
            <w:pPr>
              <w:pStyle w:val="TableContents"/>
              <w:widowControl w:val="false"/>
              <w:suppressLineNumbers/>
              <w:spacing w:before="0" w:after="200"/>
              <w:rPr/>
            </w:pPr>
            <w:r>
              <w:rPr/>
              <w:t>Explicitly examines authority, legitimacy, responsibility, information, and alternatives</w:t>
            </w:r>
          </w:p>
        </w:tc>
      </w:tr>
      <w:tr>
        <w:trPr/>
        <w:tc>
          <w:tcPr>
            <w:tcW w:w="1842" w:type="dxa"/>
            <w:tcBorders/>
            <w:vAlign w:val="center"/>
          </w:tcPr>
          <w:p>
            <w:pPr>
              <w:pStyle w:val="TableContents"/>
              <w:widowControl w:val="false"/>
              <w:suppressLineNumbers/>
              <w:spacing w:before="0" w:after="200"/>
              <w:rPr/>
            </w:pPr>
            <w:r>
              <w:rPr>
                <w:rStyle w:val="Strong"/>
              </w:rPr>
              <w:t>Evidence</w:t>
            </w:r>
          </w:p>
        </w:tc>
        <w:tc>
          <w:tcPr>
            <w:tcW w:w="3374" w:type="dxa"/>
            <w:tcBorders/>
            <w:vAlign w:val="center"/>
          </w:tcPr>
          <w:p>
            <w:pPr>
              <w:pStyle w:val="TableContents"/>
              <w:widowControl w:val="false"/>
              <w:suppressLineNumbers/>
              <w:spacing w:before="0" w:after="200"/>
              <w:rPr/>
            </w:pPr>
            <w:r>
              <w:rPr/>
              <w:t>Includes visionary and highly speculative claims</w:t>
            </w:r>
          </w:p>
        </w:tc>
        <w:tc>
          <w:tcPr>
            <w:tcW w:w="3424" w:type="dxa"/>
            <w:tcBorders/>
            <w:vAlign w:val="center"/>
          </w:tcPr>
          <w:p>
            <w:pPr>
              <w:pStyle w:val="TableContents"/>
              <w:widowControl w:val="false"/>
              <w:suppressLineNumbers/>
              <w:spacing w:before="0" w:after="200"/>
              <w:rPr/>
            </w:pPr>
            <w:r>
              <w:rPr/>
              <w:t>Requires assumptions and probabilities to reflect the best evidence available in the Situational Context</w:t>
            </w:r>
          </w:p>
        </w:tc>
      </w:tr>
      <w:tr>
        <w:trPr/>
        <w:tc>
          <w:tcPr>
            <w:tcW w:w="1842" w:type="dxa"/>
            <w:tcBorders/>
            <w:vAlign w:val="center"/>
          </w:tcPr>
          <w:p>
            <w:pPr>
              <w:pStyle w:val="TableContents"/>
              <w:widowControl w:val="false"/>
              <w:suppressLineNumbers/>
              <w:spacing w:before="0" w:after="200"/>
              <w:rPr/>
            </w:pPr>
            <w:r>
              <w:rPr>
                <w:rStyle w:val="Strong"/>
              </w:rPr>
              <w:t>Treatment of ecosystems</w:t>
            </w:r>
          </w:p>
        </w:tc>
        <w:tc>
          <w:tcPr>
            <w:tcW w:w="3374" w:type="dxa"/>
            <w:tcBorders/>
            <w:vAlign w:val="center"/>
          </w:tcPr>
          <w:p>
            <w:pPr>
              <w:pStyle w:val="TableContents"/>
              <w:widowControl w:val="false"/>
              <w:suppressLineNumbers/>
              <w:spacing w:before="0" w:after="200"/>
              <w:rPr/>
            </w:pPr>
            <w:r>
              <w:rPr/>
              <w:t>Some strands emphasize planetary unity; others prioritize transformation and control</w:t>
            </w:r>
          </w:p>
        </w:tc>
        <w:tc>
          <w:tcPr>
            <w:tcW w:w="3424" w:type="dxa"/>
            <w:tcBorders/>
            <w:vAlign w:val="center"/>
          </w:tcPr>
          <w:p>
            <w:pPr>
              <w:pStyle w:val="TableContents"/>
              <w:widowControl w:val="false"/>
              <w:suppressLineNumbers/>
              <w:spacing w:before="0" w:after="200"/>
              <w:rPr/>
            </w:pPr>
            <w:r>
              <w:rPr/>
              <w:t>Requires ecological and nonhuman effects to remain independently visible</w:t>
            </w:r>
          </w:p>
        </w:tc>
      </w:tr>
      <w:tr>
        <w:trPr/>
        <w:tc>
          <w:tcPr>
            <w:tcW w:w="1842" w:type="dxa"/>
            <w:tcBorders/>
            <w:vAlign w:val="center"/>
          </w:tcPr>
          <w:p>
            <w:pPr>
              <w:pStyle w:val="TableContents"/>
              <w:widowControl w:val="false"/>
              <w:suppressLineNumbers/>
              <w:spacing w:before="0" w:after="200"/>
              <w:rPr/>
            </w:pPr>
            <w:r>
              <w:rPr>
                <w:rStyle w:val="Strong"/>
              </w:rPr>
              <w:t>Risk of coercion</w:t>
            </w:r>
          </w:p>
        </w:tc>
        <w:tc>
          <w:tcPr>
            <w:tcW w:w="3374" w:type="dxa"/>
            <w:tcBorders/>
            <w:vAlign w:val="center"/>
          </w:tcPr>
          <w:p>
            <w:pPr>
              <w:pStyle w:val="TableContents"/>
              <w:widowControl w:val="false"/>
              <w:suppressLineNumbers/>
              <w:spacing w:before="0" w:after="200"/>
              <w:rPr/>
            </w:pPr>
            <w:r>
              <w:rPr/>
              <w:t>A universal Common Task can imply compulsory participation</w:t>
            </w:r>
          </w:p>
        </w:tc>
        <w:tc>
          <w:tcPr>
            <w:tcW w:w="3424" w:type="dxa"/>
            <w:tcBorders/>
            <w:vAlign w:val="center"/>
          </w:tcPr>
          <w:p>
            <w:pPr>
              <w:pStyle w:val="TableContents"/>
              <w:widowControl w:val="false"/>
              <w:suppressLineNumbers/>
              <w:spacing w:before="0" w:after="200"/>
              <w:rPr/>
            </w:pPr>
            <w:r>
              <w:rPr/>
              <w:t>Legitimacy, consent, rights, and compatible flourishing constrain collective objectives</w:t>
            </w:r>
          </w:p>
        </w:tc>
      </w:tr>
      <w:tr>
        <w:trPr/>
        <w:tc>
          <w:tcPr>
            <w:tcW w:w="1842" w:type="dxa"/>
            <w:tcBorders/>
            <w:vAlign w:val="center"/>
          </w:tcPr>
          <w:p>
            <w:pPr>
              <w:pStyle w:val="TableContents"/>
              <w:widowControl w:val="false"/>
              <w:suppressLineNumbers/>
              <w:spacing w:before="0" w:after="200"/>
              <w:rPr/>
            </w:pPr>
            <w:r>
              <w:rPr>
                <w:rStyle w:val="Strong"/>
              </w:rPr>
              <w:t>Identity continuity</w:t>
            </w:r>
          </w:p>
        </w:tc>
        <w:tc>
          <w:tcPr>
            <w:tcW w:w="3374" w:type="dxa"/>
            <w:tcBorders/>
            <w:vAlign w:val="center"/>
          </w:tcPr>
          <w:p>
            <w:pPr>
              <w:pStyle w:val="TableContents"/>
              <w:widowControl w:val="false"/>
              <w:suppressLineNumbers/>
              <w:spacing w:before="0" w:after="200"/>
              <w:rPr/>
            </w:pPr>
            <w:r>
              <w:rPr/>
              <w:t>Resurrection or radical transformation may presume that personal identity can be reconstructed</w:t>
            </w:r>
          </w:p>
        </w:tc>
        <w:tc>
          <w:tcPr>
            <w:tcW w:w="3424" w:type="dxa"/>
            <w:tcBorders/>
            <w:vAlign w:val="center"/>
          </w:tcPr>
          <w:p>
            <w:pPr>
              <w:pStyle w:val="TableContents"/>
              <w:widowControl w:val="false"/>
              <w:suppressLineNumbers/>
              <w:spacing w:before="0" w:after="200"/>
              <w:rPr/>
            </w:pPr>
            <w:r>
              <w:rPr/>
              <w:t>Requires explicit criteria for determining whether an entity persists through reconstruction or transformation</w:t>
            </w:r>
          </w:p>
        </w:tc>
      </w:tr>
      <w:tr>
        <w:trPr/>
        <w:tc>
          <w:tcPr>
            <w:tcW w:w="1842" w:type="dxa"/>
            <w:tcBorders/>
            <w:vAlign w:val="center"/>
          </w:tcPr>
          <w:p>
            <w:pPr>
              <w:pStyle w:val="TableContents"/>
              <w:widowControl w:val="false"/>
              <w:suppressLineNumbers/>
              <w:spacing w:before="0" w:after="200"/>
              <w:rPr/>
            </w:pPr>
            <w:r>
              <w:rPr>
                <w:rStyle w:val="Strong"/>
              </w:rPr>
              <w:t>Success criterion</w:t>
            </w:r>
          </w:p>
        </w:tc>
        <w:tc>
          <w:tcPr>
            <w:tcW w:w="3374" w:type="dxa"/>
            <w:tcBorders/>
            <w:vAlign w:val="center"/>
          </w:tcPr>
          <w:p>
            <w:pPr>
              <w:pStyle w:val="TableContents"/>
              <w:widowControl w:val="false"/>
              <w:suppressLineNumbers/>
              <w:spacing w:before="0" w:after="200"/>
              <w:rPr/>
            </w:pPr>
            <w:r>
              <w:rPr/>
              <w:t>Expansion, transformation, increased intelligence, or defeat of mortality</w:t>
            </w:r>
          </w:p>
        </w:tc>
        <w:tc>
          <w:tcPr>
            <w:tcW w:w="3424" w:type="dxa"/>
            <w:tcBorders/>
            <w:vAlign w:val="center"/>
          </w:tcPr>
          <w:p>
            <w:pPr>
              <w:pStyle w:val="TableContents"/>
              <w:widowControl w:val="false"/>
              <w:suppressLineNumbers/>
              <w:spacing w:before="0" w:after="200"/>
              <w:rPr/>
            </w:pPr>
            <w:r>
              <w:rPr/>
              <w:t>A transition compatible with the long-term flourishing of all relevant entities</w:t>
            </w:r>
          </w:p>
        </w:tc>
      </w:tr>
      <w:tr>
        <w:trPr/>
        <w:tc>
          <w:tcPr>
            <w:tcW w:w="1842" w:type="dxa"/>
            <w:tcBorders/>
            <w:vAlign w:val="center"/>
          </w:tcPr>
          <w:p>
            <w:pPr>
              <w:pStyle w:val="TableContents"/>
              <w:widowControl w:val="false"/>
              <w:suppressLineNumbers/>
              <w:spacing w:before="0" w:after="200"/>
              <w:rPr/>
            </w:pPr>
            <w:r>
              <w:rPr>
                <w:rStyle w:val="Strong"/>
              </w:rPr>
              <w:t>Relationship to uncertainty</w:t>
            </w:r>
          </w:p>
        </w:tc>
        <w:tc>
          <w:tcPr>
            <w:tcW w:w="3374" w:type="dxa"/>
            <w:tcBorders/>
            <w:vAlign w:val="center"/>
          </w:tcPr>
          <w:p>
            <w:pPr>
              <w:pStyle w:val="TableContents"/>
              <w:widowControl w:val="false"/>
              <w:suppressLineNumbers/>
              <w:spacing w:before="0" w:after="200"/>
              <w:rPr/>
            </w:pPr>
            <w:r>
              <w:rPr/>
              <w:t>Often speculative and aspirational</w:t>
            </w:r>
          </w:p>
        </w:tc>
        <w:tc>
          <w:tcPr>
            <w:tcW w:w="3424" w:type="dxa"/>
            <w:tcBorders/>
            <w:vAlign w:val="center"/>
          </w:tcPr>
          <w:p>
            <w:pPr>
              <w:pStyle w:val="TableContents"/>
              <w:widowControl w:val="false"/>
              <w:suppressLineNumbers/>
              <w:spacing w:before="0" w:after="200"/>
              <w:rPr/>
            </w:pPr>
            <w:r>
              <w:rPr/>
              <w:t>Explicitly probabilistic, evidence-sensitive, and revisable</w:t>
            </w:r>
          </w:p>
        </w:tc>
      </w:tr>
    </w:tbl>
    <w:p>
      <w:pPr>
        <w:pStyle w:val="Heading4"/>
        <w:ind w:hanging="0" w:left="0"/>
        <w:rPr>
          <w:rFonts w:ascii="Aptos" w:hAnsi="Aptos"/>
          <w:color w:val="auto"/>
        </w:rPr>
      </w:pPr>
      <w:r>
        <w:rPr/>
        <w:t>Potential Integration Opportunities</w:t>
      </w:r>
    </w:p>
    <w:p>
      <w:pPr>
        <w:pStyle w:val="BodyText"/>
        <w:spacing w:before="0" w:after="200"/>
        <w:rPr/>
      </w:pPr>
      <w:r>
        <w:rPr/>
        <w:t>The framework could integrate Cosmism more productively through the following extensions:</w:t>
      </w:r>
    </w:p>
    <w:p>
      <w:pPr>
        <w:pStyle w:val="BodyText"/>
        <w:numPr>
          <w:ilvl w:val="0"/>
          <w:numId w:val="82"/>
        </w:numPr>
        <w:tabs>
          <w:tab w:val="clear" w:pos="720"/>
          <w:tab w:val="left" w:pos="0" w:leader="none"/>
        </w:tabs>
        <w:spacing w:before="0" w:after="200"/>
        <w:ind w:hanging="283" w:left="709"/>
        <w:rPr/>
      </w:pPr>
      <w:r>
        <w:rPr>
          <w:rStyle w:val="Strong"/>
        </w:rPr>
        <w:t>Add planetary and cosmic context levels.</w:t>
      </w:r>
      <w:r>
        <w:rPr/>
        <w:t xml:space="preserve"> World Context boundaries could explicitly include local, regional, planetary, interplanetary, interstellar, and civilizational scales.</w:t>
      </w:r>
    </w:p>
    <w:p>
      <w:pPr>
        <w:pStyle w:val="BodyText"/>
        <w:numPr>
          <w:ilvl w:val="0"/>
          <w:numId w:val="82"/>
        </w:numPr>
        <w:tabs>
          <w:tab w:val="clear" w:pos="720"/>
          <w:tab w:val="left" w:pos="0" w:leader="none"/>
        </w:tabs>
        <w:spacing w:before="0" w:after="200"/>
        <w:ind w:hanging="283" w:left="709"/>
        <w:rPr/>
      </w:pPr>
      <w:r>
        <w:rPr>
          <w:rStyle w:val="Strong"/>
        </w:rPr>
        <w:t>Extend temporal horizons.</w:t>
      </w:r>
      <w:r>
        <w:rPr/>
        <w:t xml:space="preserve"> Assessments involving existential risk, ecological change, space settlement, or irreversible technology should include multigenerational and civilizational horizons.</w:t>
      </w:r>
    </w:p>
    <w:p>
      <w:pPr>
        <w:pStyle w:val="BodyText"/>
        <w:numPr>
          <w:ilvl w:val="0"/>
          <w:numId w:val="82"/>
        </w:numPr>
        <w:tabs>
          <w:tab w:val="clear" w:pos="720"/>
          <w:tab w:val="left" w:pos="0" w:leader="none"/>
        </w:tabs>
        <w:spacing w:before="0" w:after="200"/>
        <w:ind w:hanging="283" w:left="709"/>
        <w:rPr/>
      </w:pPr>
      <w:r>
        <w:rPr>
          <w:rStyle w:val="Strong"/>
        </w:rPr>
        <w:t>Add an existential-risk module.</w:t>
      </w:r>
      <w:r>
        <w:rPr/>
        <w:t xml:space="preserve"> The framework could separately evaluate extinction, irreversible loss of capability, knowledge collapse, permanent value lock-in, and reduction of civilizational future state space.</w:t>
      </w:r>
    </w:p>
    <w:p>
      <w:pPr>
        <w:pStyle w:val="BodyText"/>
        <w:numPr>
          <w:ilvl w:val="0"/>
          <w:numId w:val="82"/>
        </w:numPr>
        <w:tabs>
          <w:tab w:val="clear" w:pos="720"/>
          <w:tab w:val="left" w:pos="0" w:leader="none"/>
        </w:tabs>
        <w:spacing w:before="0" w:after="200"/>
        <w:ind w:hanging="283" w:left="709"/>
        <w:rPr/>
      </w:pPr>
      <w:r>
        <w:rPr>
          <w:rStyle w:val="Strong"/>
        </w:rPr>
        <w:t>Formalize Common Task governance.</w:t>
      </w:r>
      <w:r>
        <w:rPr/>
        <w:t xml:space="preserve"> Shared civilizational objectives should identify participants, authority, consent, burden allocation, decision procedures, accountability, and rights of refusal.</w:t>
      </w:r>
    </w:p>
    <w:p>
      <w:pPr>
        <w:pStyle w:val="BodyText"/>
        <w:numPr>
          <w:ilvl w:val="0"/>
          <w:numId w:val="82"/>
        </w:numPr>
        <w:tabs>
          <w:tab w:val="clear" w:pos="720"/>
          <w:tab w:val="left" w:pos="0" w:leader="none"/>
        </w:tabs>
        <w:spacing w:before="0" w:after="200"/>
        <w:ind w:hanging="283" w:left="709"/>
        <w:rPr/>
      </w:pPr>
      <w:r>
        <w:rPr>
          <w:rStyle w:val="Strong"/>
        </w:rPr>
        <w:t>Distinguish universal benefit from compulsory uniformity.</w:t>
      </w:r>
      <w:r>
        <w:rPr/>
        <w:t xml:space="preserve"> A project intended for all entities should not require every entity to adopt the same form of life, embodiment, objective, or conception of flourishing.</w:t>
      </w:r>
    </w:p>
    <w:p>
      <w:pPr>
        <w:pStyle w:val="BodyText"/>
        <w:numPr>
          <w:ilvl w:val="0"/>
          <w:numId w:val="82"/>
        </w:numPr>
        <w:tabs>
          <w:tab w:val="clear" w:pos="720"/>
          <w:tab w:val="left" w:pos="0" w:leader="none"/>
        </w:tabs>
        <w:spacing w:before="0" w:after="200"/>
        <w:ind w:hanging="283" w:left="709"/>
        <w:rPr/>
      </w:pPr>
      <w:r>
        <w:rPr>
          <w:rStyle w:val="Strong"/>
        </w:rPr>
        <w:t>Introduce active-evolution safeguards.</w:t>
      </w:r>
      <w:r>
        <w:rPr/>
        <w:t xml:space="preserve"> Biological, cognitive, artificial, or ecological interventions should be tested for necessity, reversibility, containment, consent, diversity preservation, and unintended evolutionary effects.</w:t>
      </w:r>
    </w:p>
    <w:p>
      <w:pPr>
        <w:pStyle w:val="BodyText"/>
        <w:numPr>
          <w:ilvl w:val="0"/>
          <w:numId w:val="82"/>
        </w:numPr>
        <w:tabs>
          <w:tab w:val="clear" w:pos="720"/>
          <w:tab w:val="left" w:pos="0" w:leader="none"/>
        </w:tabs>
        <w:spacing w:before="0" w:after="200"/>
        <w:ind w:hanging="283" w:left="709"/>
        <w:rPr/>
      </w:pPr>
      <w:r>
        <w:rPr>
          <w:rStyle w:val="Strong"/>
        </w:rPr>
        <w:t>Add a biosphere-noosphere model.</w:t>
      </w:r>
      <w:r>
        <w:rPr/>
        <w:t xml:space="preserve"> The framework could explicitly map interactions among ecosystems, energy and material flows, knowledge systems, institutions, communication networks, and artificial intelligence.</w:t>
      </w:r>
    </w:p>
    <w:p>
      <w:pPr>
        <w:pStyle w:val="BodyText"/>
        <w:numPr>
          <w:ilvl w:val="0"/>
          <w:numId w:val="82"/>
        </w:numPr>
        <w:tabs>
          <w:tab w:val="clear" w:pos="720"/>
          <w:tab w:val="left" w:pos="0" w:leader="none"/>
        </w:tabs>
        <w:spacing w:before="0" w:after="200"/>
        <w:ind w:hanging="283" w:left="709"/>
        <w:rPr/>
      </w:pPr>
      <w:r>
        <w:rPr>
          <w:rStyle w:val="Strong"/>
        </w:rPr>
        <w:t>Evaluate life-extension projects across multiple dimensions.</w:t>
      </w:r>
      <w:r>
        <w:rPr/>
        <w:t xml:space="preserve"> Relevant considerations should include access, consent, identity, population effects, resource requirements, institutional power, psychological adaptation, and intergenerational distribution.</w:t>
      </w:r>
    </w:p>
    <w:p>
      <w:pPr>
        <w:pStyle w:val="BodyText"/>
        <w:numPr>
          <w:ilvl w:val="0"/>
          <w:numId w:val="82"/>
        </w:numPr>
        <w:tabs>
          <w:tab w:val="clear" w:pos="720"/>
          <w:tab w:val="left" w:pos="0" w:leader="none"/>
        </w:tabs>
        <w:spacing w:before="0" w:after="200"/>
        <w:ind w:hanging="283" w:left="709"/>
        <w:rPr/>
      </w:pPr>
      <w:r>
        <w:rPr>
          <w:rStyle w:val="Strong"/>
        </w:rPr>
        <w:t>Create identity-continuity criteria.</w:t>
      </w:r>
      <w:r>
        <w:rPr/>
        <w:t xml:space="preserve"> Claims involving resurrection, mind uploading, copying, biological replacement, or radical enhancement require a method for distinguishing survival, reconstruction, duplication, and succession.</w:t>
      </w:r>
    </w:p>
    <w:p>
      <w:pPr>
        <w:pStyle w:val="BodyText"/>
        <w:numPr>
          <w:ilvl w:val="0"/>
          <w:numId w:val="82"/>
        </w:numPr>
        <w:tabs>
          <w:tab w:val="clear" w:pos="720"/>
          <w:tab w:val="left" w:pos="0" w:leader="none"/>
        </w:tabs>
        <w:spacing w:before="0" w:after="200"/>
        <w:ind w:hanging="283" w:left="709"/>
        <w:rPr/>
      </w:pPr>
      <w:r>
        <w:rPr>
          <w:rStyle w:val="Strong"/>
        </w:rPr>
        <w:t>Add space-settlement ethics.</w:t>
      </w:r>
      <w:r>
        <w:rPr/>
        <w:t xml:space="preserve"> Assessments should include planetary protection, contamination, resource claims, political independence, labor conditions, reproductive autonomy, communication delays, and obligations to Earth.</w:t>
      </w:r>
    </w:p>
    <w:p>
      <w:pPr>
        <w:pStyle w:val="BodyText"/>
        <w:numPr>
          <w:ilvl w:val="0"/>
          <w:numId w:val="82"/>
        </w:numPr>
        <w:tabs>
          <w:tab w:val="clear" w:pos="720"/>
          <w:tab w:val="left" w:pos="0" w:leader="none"/>
        </w:tabs>
        <w:spacing w:before="0" w:after="200"/>
        <w:ind w:hanging="283" w:left="709"/>
        <w:rPr/>
      </w:pPr>
      <w:r>
        <w:rPr>
          <w:rStyle w:val="Strong"/>
        </w:rPr>
        <w:t>Represent future generations explicitly.</w:t>
      </w:r>
      <w:r>
        <w:rPr/>
        <w:t xml:space="preserve"> Long-term projects should identify how future entities’ interests are estimated, represented, and protected from irreversible decisions made by present actors.</w:t>
      </w:r>
    </w:p>
    <w:p>
      <w:pPr>
        <w:pStyle w:val="BodyText"/>
        <w:numPr>
          <w:ilvl w:val="0"/>
          <w:numId w:val="82"/>
        </w:numPr>
        <w:tabs>
          <w:tab w:val="clear" w:pos="720"/>
          <w:tab w:val="left" w:pos="0" w:leader="none"/>
        </w:tabs>
        <w:spacing w:before="0" w:after="200"/>
        <w:ind w:hanging="283" w:left="709"/>
        <w:rPr/>
      </w:pPr>
      <w:r>
        <w:rPr>
          <w:rStyle w:val="Strong"/>
        </w:rPr>
        <w:t>Represent ancestral and historical obligations.</w:t>
      </w:r>
      <w:r>
        <w:rPr/>
        <w:t xml:space="preserve"> Without assuming literal resurrection, the framework could evaluate preservation of memory, cultural inheritance, historical repair, and responsibilities arising from past relationships.</w:t>
      </w:r>
    </w:p>
    <w:p>
      <w:pPr>
        <w:pStyle w:val="BodyText"/>
        <w:numPr>
          <w:ilvl w:val="0"/>
          <w:numId w:val="82"/>
        </w:numPr>
        <w:tabs>
          <w:tab w:val="clear" w:pos="720"/>
          <w:tab w:val="left" w:pos="0" w:leader="none"/>
        </w:tabs>
        <w:spacing w:before="0" w:after="200"/>
        <w:ind w:hanging="283" w:left="709"/>
        <w:rPr/>
      </w:pPr>
      <w:r>
        <w:rPr>
          <w:rStyle w:val="Strong"/>
        </w:rPr>
        <w:t>Add cosmic moral-standing criteria.</w:t>
      </w:r>
      <w:r>
        <w:rPr/>
        <w:t xml:space="preserve"> The discovery or creation of nonhuman intelligence, artificial life, or extraterrestrial organisms would require criteria for moral standing that do not assume human superiority.</w:t>
      </w:r>
    </w:p>
    <w:p>
      <w:pPr>
        <w:pStyle w:val="BodyText"/>
        <w:numPr>
          <w:ilvl w:val="0"/>
          <w:numId w:val="82"/>
        </w:numPr>
        <w:tabs>
          <w:tab w:val="clear" w:pos="720"/>
          <w:tab w:val="left" w:pos="0" w:leader="none"/>
        </w:tabs>
        <w:spacing w:before="0" w:after="200"/>
        <w:ind w:hanging="283" w:left="709"/>
        <w:rPr/>
      </w:pPr>
      <w:r>
        <w:rPr>
          <w:rStyle w:val="Strong"/>
        </w:rPr>
        <w:t>Protect biological and cultural diversity.</w:t>
      </w:r>
      <w:r>
        <w:rPr/>
        <w:t xml:space="preserve"> Expansion of intelligence should not be equated with convergence on a single optimized species, culture, architecture, or objective.</w:t>
      </w:r>
    </w:p>
    <w:p>
      <w:pPr>
        <w:pStyle w:val="BodyText"/>
        <w:numPr>
          <w:ilvl w:val="0"/>
          <w:numId w:val="82"/>
        </w:numPr>
        <w:tabs>
          <w:tab w:val="clear" w:pos="720"/>
          <w:tab w:val="left" w:pos="0" w:leader="none"/>
        </w:tabs>
        <w:spacing w:before="0" w:after="200"/>
        <w:ind w:hanging="283" w:left="709"/>
        <w:rPr/>
      </w:pPr>
      <w:r>
        <w:rPr>
          <w:rStyle w:val="Strong"/>
        </w:rPr>
        <w:t>Introduce civilizational redundancy analysis.</w:t>
      </w:r>
      <w:r>
        <w:rPr/>
        <w:t xml:space="preserve"> Space settlement, distributed archives, ecological restoration, and decentralized institutions could be evaluated for their ability to reduce correlated existential risks.</w:t>
      </w:r>
    </w:p>
    <w:p>
      <w:pPr>
        <w:pStyle w:val="BodyText"/>
        <w:numPr>
          <w:ilvl w:val="0"/>
          <w:numId w:val="82"/>
        </w:numPr>
        <w:tabs>
          <w:tab w:val="clear" w:pos="720"/>
          <w:tab w:val="left" w:pos="0" w:leader="none"/>
        </w:tabs>
        <w:spacing w:before="0" w:after="200"/>
        <w:ind w:hanging="283" w:left="709"/>
        <w:rPr/>
      </w:pPr>
      <w:r>
        <w:rPr>
          <w:rStyle w:val="Strong"/>
        </w:rPr>
        <w:t>Add carrying-capacity and resource analysis.</w:t>
      </w:r>
      <w:r>
        <w:rPr/>
        <w:t xml:space="preserve"> Life extension or restoration projects must account for energy, habitat, ecological stability, resource distribution, and the flourishing of existing entities.</w:t>
      </w:r>
    </w:p>
    <w:p>
      <w:pPr>
        <w:pStyle w:val="BodyText"/>
        <w:numPr>
          <w:ilvl w:val="0"/>
          <w:numId w:val="82"/>
        </w:numPr>
        <w:tabs>
          <w:tab w:val="clear" w:pos="720"/>
          <w:tab w:val="left" w:pos="0" w:leader="none"/>
        </w:tabs>
        <w:spacing w:before="0" w:after="200"/>
        <w:ind w:hanging="283" w:left="709"/>
        <w:rPr/>
      </w:pPr>
      <w:r>
        <w:rPr>
          <w:rStyle w:val="Strong"/>
        </w:rPr>
        <w:t>Require higher evidence thresholds for irreversible transformation.</w:t>
      </w:r>
      <w:r>
        <w:rPr/>
        <w:t xml:space="preserve"> Speculative benefits should not justify irreversible actions without evidence proportionate to the magnitude and permanence of the risk.</w:t>
      </w:r>
    </w:p>
    <w:p>
      <w:pPr>
        <w:pStyle w:val="BodyText"/>
        <w:numPr>
          <w:ilvl w:val="0"/>
          <w:numId w:val="82"/>
        </w:numPr>
        <w:tabs>
          <w:tab w:val="clear" w:pos="720"/>
          <w:tab w:val="left" w:pos="0" w:leader="none"/>
        </w:tabs>
        <w:spacing w:before="0" w:after="200"/>
        <w:ind w:hanging="283" w:left="709"/>
        <w:rPr/>
      </w:pPr>
      <w:r>
        <w:rPr>
          <w:rStyle w:val="Strong"/>
        </w:rPr>
        <w:t>Add staged experimentation.</w:t>
      </w:r>
      <w:r>
        <w:rPr/>
        <w:t xml:space="preserve"> Transformative projects could proceed through bounded, monitored, reversible stages rather than immediate civilization-wide implementation.</w:t>
      </w:r>
    </w:p>
    <w:p>
      <w:pPr>
        <w:pStyle w:val="BodyText"/>
        <w:numPr>
          <w:ilvl w:val="0"/>
          <w:numId w:val="82"/>
        </w:numPr>
        <w:tabs>
          <w:tab w:val="clear" w:pos="720"/>
          <w:tab w:val="left" w:pos="0" w:leader="none"/>
        </w:tabs>
        <w:spacing w:before="0" w:after="200"/>
        <w:ind w:hanging="283" w:left="709"/>
        <w:rPr/>
      </w:pPr>
      <w:r>
        <w:rPr>
          <w:rStyle w:val="Strong"/>
        </w:rPr>
        <w:t>Evaluate value lock-in.</w:t>
      </w:r>
      <w:r>
        <w:rPr/>
        <w:t xml:space="preserve"> A long-lived or technologically dominant civilization could preserve existing errors and power structures indefinitely. The framework should protect continued moral learning and institutional revision.</w:t>
      </w:r>
    </w:p>
    <w:p>
      <w:pPr>
        <w:pStyle w:val="BodyText"/>
        <w:numPr>
          <w:ilvl w:val="0"/>
          <w:numId w:val="82"/>
        </w:numPr>
        <w:tabs>
          <w:tab w:val="clear" w:pos="720"/>
          <w:tab w:val="left" w:pos="0" w:leader="none"/>
        </w:tabs>
        <w:spacing w:before="0" w:after="200"/>
        <w:ind w:hanging="283" w:left="709"/>
        <w:rPr/>
      </w:pPr>
      <w:r>
        <w:rPr>
          <w:rStyle w:val="Strong"/>
        </w:rPr>
        <w:t>Add noosphere integrity measures.</w:t>
      </w:r>
      <w:r>
        <w:rPr/>
        <w:t xml:space="preserve"> Information quality, scientific openness, epistemic diversity, censorship, manipulation, and concentration of computational power should be treated as planetary ethical concerns.</w:t>
      </w:r>
    </w:p>
    <w:p>
      <w:pPr>
        <w:pStyle w:val="BodyText"/>
        <w:numPr>
          <w:ilvl w:val="0"/>
          <w:numId w:val="82"/>
        </w:numPr>
        <w:tabs>
          <w:tab w:val="clear" w:pos="720"/>
          <w:tab w:val="left" w:pos="0" w:leader="none"/>
        </w:tabs>
        <w:spacing w:before="0" w:after="200"/>
        <w:ind w:hanging="283" w:left="709"/>
        <w:rPr/>
      </w:pPr>
      <w:r>
        <w:rPr>
          <w:rStyle w:val="Strong"/>
        </w:rPr>
        <w:t>Distinguish technological capacity from moral progress.</w:t>
      </w:r>
      <w:r>
        <w:rPr/>
        <w:t xml:space="preserve"> Increased longevity, intelligence, energy use, or spatial expansion should not be accepted as evidence of ethical advancement without improvements in justice, responsibility, and compatible flourishing.</w:t>
      </w:r>
    </w:p>
    <w:p>
      <w:pPr>
        <w:pStyle w:val="BodyText"/>
        <w:numPr>
          <w:ilvl w:val="0"/>
          <w:numId w:val="82"/>
        </w:numPr>
        <w:tabs>
          <w:tab w:val="clear" w:pos="720"/>
          <w:tab w:val="left" w:pos="0" w:leader="none"/>
        </w:tabs>
        <w:spacing w:before="0" w:after="200"/>
        <w:ind w:hanging="283" w:left="709"/>
        <w:rPr/>
      </w:pPr>
      <w:r>
        <w:rPr>
          <w:rStyle w:val="Strong"/>
        </w:rPr>
        <w:t>Assess military-to-civilian redirection.</w:t>
      </w:r>
      <w:r>
        <w:rPr/>
        <w:t xml:space="preserve"> Fedorov’s idea of redirecting destructive capacities toward common problems could be evaluated through realistic transition plans, institutional incentives, verification, and distributional effects.</w:t>
      </w:r>
    </w:p>
    <w:p>
      <w:pPr>
        <w:pStyle w:val="BodyText"/>
        <w:numPr>
          <w:ilvl w:val="0"/>
          <w:numId w:val="82"/>
        </w:numPr>
        <w:tabs>
          <w:tab w:val="clear" w:pos="720"/>
          <w:tab w:val="left" w:pos="0" w:leader="none"/>
        </w:tabs>
        <w:spacing w:before="0" w:after="200"/>
        <w:ind w:hanging="283" w:left="709"/>
        <w:rPr/>
      </w:pPr>
      <w:r>
        <w:rPr>
          <w:rStyle w:val="Strong"/>
        </w:rPr>
        <w:t>Incorporate technological humility.</w:t>
      </w:r>
      <w:r>
        <w:rPr/>
        <w:t xml:space="preserve"> The ability to intervene in complex systems does not imply the ability to predict or control every consequence. Monitoring, reversibility, plural oversight, and correction should accompany active evolution.</w:t>
      </w:r>
    </w:p>
    <w:p>
      <w:pPr>
        <w:pStyle w:val="BodyText"/>
        <w:numPr>
          <w:ilvl w:val="0"/>
          <w:numId w:val="82"/>
        </w:numPr>
        <w:tabs>
          <w:tab w:val="clear" w:pos="720"/>
          <w:tab w:val="left" w:pos="0" w:leader="none"/>
        </w:tabs>
        <w:spacing w:before="0" w:after="200"/>
        <w:ind w:hanging="283" w:left="709"/>
        <w:rPr/>
      </w:pPr>
      <w:r>
        <w:rPr>
          <w:rStyle w:val="Strong"/>
        </w:rPr>
        <w:t>Produce a separate Cosmist-scale finding.</w:t>
      </w:r>
      <w:r>
        <w:rPr/>
        <w:t xml:space="preserve"> Relevant assessments could report:</w:t>
      </w:r>
    </w:p>
    <w:p>
      <w:pPr>
        <w:pStyle w:val="BodyText"/>
        <w:numPr>
          <w:ilvl w:val="0"/>
          <w:numId w:val="83"/>
        </w:numPr>
        <w:tabs>
          <w:tab w:val="clear" w:pos="720"/>
          <w:tab w:val="left" w:pos="0" w:leader="none"/>
        </w:tabs>
        <w:spacing w:before="0" w:after="200"/>
        <w:ind w:hanging="283" w:left="709"/>
        <w:rPr/>
      </w:pPr>
      <w:r>
        <w:rPr/>
        <w:t>Effects on civilizational continuity;</w:t>
      </w:r>
    </w:p>
    <w:p>
      <w:pPr>
        <w:pStyle w:val="BodyText"/>
        <w:numPr>
          <w:ilvl w:val="0"/>
          <w:numId w:val="83"/>
        </w:numPr>
        <w:tabs>
          <w:tab w:val="clear" w:pos="720"/>
          <w:tab w:val="left" w:pos="0" w:leader="none"/>
        </w:tabs>
        <w:spacing w:before="0" w:after="200"/>
        <w:ind w:hanging="283" w:left="709"/>
        <w:rPr/>
      </w:pPr>
      <w:r>
        <w:rPr/>
        <w:t>Effects on existential and catastrophic risk;</w:t>
      </w:r>
    </w:p>
    <w:p>
      <w:pPr>
        <w:pStyle w:val="BodyText"/>
        <w:numPr>
          <w:ilvl w:val="0"/>
          <w:numId w:val="83"/>
        </w:numPr>
        <w:tabs>
          <w:tab w:val="clear" w:pos="720"/>
          <w:tab w:val="left" w:pos="0" w:leader="none"/>
        </w:tabs>
        <w:spacing w:before="0" w:after="200"/>
        <w:ind w:hanging="283" w:left="709"/>
        <w:rPr/>
      </w:pPr>
      <w:r>
        <w:rPr/>
        <w:t>Expansion or contraction of future state space;</w:t>
      </w:r>
    </w:p>
    <w:p>
      <w:pPr>
        <w:pStyle w:val="BodyText"/>
        <w:numPr>
          <w:ilvl w:val="0"/>
          <w:numId w:val="83"/>
        </w:numPr>
        <w:tabs>
          <w:tab w:val="clear" w:pos="720"/>
          <w:tab w:val="left" w:pos="0" w:leader="none"/>
        </w:tabs>
        <w:spacing w:before="0" w:after="200"/>
        <w:ind w:hanging="283" w:left="709"/>
        <w:rPr/>
      </w:pPr>
      <w:r>
        <w:rPr/>
        <w:t>Effects on the biosphere and noosphere;</w:t>
      </w:r>
    </w:p>
    <w:p>
      <w:pPr>
        <w:pStyle w:val="BodyText"/>
        <w:numPr>
          <w:ilvl w:val="0"/>
          <w:numId w:val="83"/>
        </w:numPr>
        <w:tabs>
          <w:tab w:val="clear" w:pos="720"/>
          <w:tab w:val="left" w:pos="0" w:leader="none"/>
        </w:tabs>
        <w:spacing w:before="0" w:after="200"/>
        <w:ind w:hanging="283" w:left="709"/>
        <w:rPr/>
      </w:pPr>
      <w:r>
        <w:rPr/>
        <w:t>Distribution of benefits and burdens across generations;</w:t>
      </w:r>
    </w:p>
    <w:p>
      <w:pPr>
        <w:pStyle w:val="BodyText"/>
        <w:numPr>
          <w:ilvl w:val="0"/>
          <w:numId w:val="83"/>
        </w:numPr>
        <w:tabs>
          <w:tab w:val="clear" w:pos="720"/>
          <w:tab w:val="left" w:pos="0" w:leader="none"/>
        </w:tabs>
        <w:spacing w:before="0" w:after="200"/>
        <w:ind w:hanging="283" w:left="709"/>
        <w:rPr/>
      </w:pPr>
      <w:r>
        <w:rPr/>
        <w:t>Preservation of diversity and moral learning;</w:t>
      </w:r>
    </w:p>
    <w:p>
      <w:pPr>
        <w:pStyle w:val="BodyText"/>
        <w:numPr>
          <w:ilvl w:val="0"/>
          <w:numId w:val="83"/>
        </w:numPr>
        <w:tabs>
          <w:tab w:val="clear" w:pos="720"/>
          <w:tab w:val="left" w:pos="0" w:leader="none"/>
        </w:tabs>
        <w:spacing w:before="0" w:after="200"/>
        <w:ind w:hanging="283" w:left="709"/>
        <w:rPr/>
      </w:pPr>
      <w:r>
        <w:rPr/>
        <w:t>Identity and continuity implications;</w:t>
      </w:r>
    </w:p>
    <w:p>
      <w:pPr>
        <w:pStyle w:val="BodyText"/>
        <w:numPr>
          <w:ilvl w:val="0"/>
          <w:numId w:val="83"/>
        </w:numPr>
        <w:tabs>
          <w:tab w:val="clear" w:pos="720"/>
          <w:tab w:val="left" w:pos="0" w:leader="none"/>
        </w:tabs>
        <w:spacing w:before="0" w:after="200"/>
        <w:ind w:hanging="283" w:left="709"/>
        <w:rPr/>
      </w:pPr>
      <w:r>
        <w:rPr/>
        <w:t>Governance and consent;</w:t>
      </w:r>
    </w:p>
    <w:p>
      <w:pPr>
        <w:pStyle w:val="BodyText"/>
        <w:numPr>
          <w:ilvl w:val="0"/>
          <w:numId w:val="83"/>
        </w:numPr>
        <w:tabs>
          <w:tab w:val="clear" w:pos="720"/>
          <w:tab w:val="left" w:pos="0" w:leader="none"/>
        </w:tabs>
        <w:spacing w:before="0" w:after="200"/>
        <w:ind w:hanging="283" w:left="709"/>
        <w:rPr/>
      </w:pPr>
      <w:r>
        <w:rPr/>
        <w:t>Uncertainty and reversibility; and</w:t>
      </w:r>
    </w:p>
    <w:p>
      <w:pPr>
        <w:pStyle w:val="BodyText"/>
        <w:numPr>
          <w:ilvl w:val="0"/>
          <w:numId w:val="83"/>
        </w:numPr>
        <w:tabs>
          <w:tab w:val="clear" w:pos="720"/>
          <w:tab w:val="left" w:pos="0" w:leader="none"/>
        </w:tabs>
        <w:spacing w:before="0" w:after="200"/>
        <w:ind w:hanging="283" w:left="709"/>
        <w:rPr/>
      </w:pPr>
      <w:r>
        <w:rPr/>
        <w:t>Potential Distributed Policy Effects at planetary or cosmic scale.</w:t>
      </w:r>
    </w:p>
    <w:p>
      <w:pPr>
        <w:pStyle w:val="BodyText"/>
        <w:spacing w:before="0" w:after="200"/>
        <w:rPr/>
      </w:pPr>
      <w:r>
        <w:rPr/>
        <w:t>Cosmism can expand the framework’s attention to very long-term, planetary, and cosmic possibilities. The framework can, in turn, prevent cosmic ambition from becoming an unlimited justification for technological control. The resulting integration would treat the preservation and expansion of intelligent life as an important possible objective while requiring that the path toward it remain evidence-based, pluralistic, non-coercive, ecologically responsible, and compatible with the flourishing of other relevant entities.</w:t>
      </w:r>
    </w:p>
    <w:p>
      <w:pPr>
        <w:pStyle w:val="Heading3"/>
        <w:ind w:hanging="0" w:left="0"/>
        <w:rPr/>
      </w:pPr>
      <w:r>
        <w:rPr/>
        <w:t>Pragmatism</w:t>
      </w:r>
    </w:p>
    <w:p>
      <w:pPr>
        <w:pStyle w:val="BodyText"/>
        <w:spacing w:before="0" w:after="200"/>
        <w:rPr/>
      </w:pPr>
      <w:r>
        <w:rPr/>
        <w:t xml:space="preserve">Pragmatism is a philosophical tradition that connects meaning, knowledge, value, and truth with inquiry and action in experience. It does not mean merely choosing whatever is expedient or immediately successful. Rather, Pragmatism asks what practical difference a belief or concept makes, how claims can be tested through experience, what consequences follow from acting on them, and how conclusions should be revised when evidence changes. Pragmatism generally treats knowing the world as inseparable from acting within it. </w:t>
      </w:r>
      <w:hyperlink r:id="rId163">
        <w:r>
          <w:rPr>
            <w:rStyle w:val="Hyperlink"/>
          </w:rPr>
          <w:t>Stanford Encyclopedia of Philosophy</w:t>
        </w:r>
      </w:hyperlink>
    </w:p>
    <w:p>
      <w:pPr>
        <w:pStyle w:val="Heading4"/>
        <w:ind w:hanging="0" w:left="0"/>
        <w:rPr>
          <w:rFonts w:ascii="Aptos" w:hAnsi="Aptos"/>
          <w:color w:val="auto"/>
        </w:rPr>
      </w:pPr>
      <w:r>
        <w:rPr/>
        <w:t>Primary Expert(s)</w:t>
      </w:r>
    </w:p>
    <w:tbl>
      <w:tblPr>
        <w:tblW w:w="8640" w:type="dxa"/>
        <w:jc w:val="left"/>
        <w:tblInd w:w="28" w:type="dxa"/>
        <w:tblLayout w:type="fixed"/>
        <w:tblCellMar>
          <w:top w:w="28" w:type="dxa"/>
          <w:left w:w="28" w:type="dxa"/>
          <w:bottom w:w="28" w:type="dxa"/>
          <w:right w:w="28" w:type="dxa"/>
        </w:tblCellMar>
      </w:tblPr>
      <w:tblGrid>
        <w:gridCol w:w="1122"/>
        <w:gridCol w:w="745"/>
        <w:gridCol w:w="2071"/>
        <w:gridCol w:w="4702"/>
      </w:tblGrid>
      <w:tr>
        <w:trPr>
          <w:tblHeader w:val="true"/>
        </w:trPr>
        <w:tc>
          <w:tcPr>
            <w:tcW w:w="1122" w:type="dxa"/>
            <w:tcBorders/>
            <w:vAlign w:val="center"/>
          </w:tcPr>
          <w:p>
            <w:pPr>
              <w:pStyle w:val="TableHeading"/>
              <w:suppressLineNumbers/>
              <w:spacing w:before="0" w:after="200"/>
              <w:jc w:val="center"/>
              <w:rPr/>
            </w:pPr>
            <w:r>
              <w:rPr/>
              <w:t>Expert</w:t>
            </w:r>
          </w:p>
        </w:tc>
        <w:tc>
          <w:tcPr>
            <w:tcW w:w="745" w:type="dxa"/>
            <w:tcBorders/>
            <w:vAlign w:val="center"/>
          </w:tcPr>
          <w:p>
            <w:pPr>
              <w:pStyle w:val="TableHeading"/>
              <w:spacing w:before="0" w:after="200"/>
              <w:jc w:val="right"/>
              <w:rPr/>
            </w:pPr>
            <w:r>
              <w:rPr/>
              <w:t>Years</w:t>
            </w:r>
          </w:p>
        </w:tc>
        <w:tc>
          <w:tcPr>
            <w:tcW w:w="2071" w:type="dxa"/>
            <w:tcBorders/>
            <w:vAlign w:val="center"/>
          </w:tcPr>
          <w:p>
            <w:pPr>
              <w:pStyle w:val="TableHeading"/>
              <w:suppressLineNumbers/>
              <w:spacing w:before="0" w:after="200"/>
              <w:jc w:val="center"/>
              <w:rPr/>
            </w:pPr>
            <w:r>
              <w:rPr/>
              <w:t>Associated institution(s)</w:t>
            </w:r>
          </w:p>
        </w:tc>
        <w:tc>
          <w:tcPr>
            <w:tcW w:w="4702" w:type="dxa"/>
            <w:tcBorders/>
            <w:vAlign w:val="center"/>
          </w:tcPr>
          <w:p>
            <w:pPr>
              <w:pStyle w:val="TableHeading"/>
              <w:suppressLineNumbers/>
              <w:spacing w:before="0" w:after="200"/>
              <w:jc w:val="center"/>
              <w:rPr/>
            </w:pPr>
            <w:r>
              <w:rPr/>
              <w:t>Principal contribution</w:t>
            </w:r>
          </w:p>
        </w:tc>
      </w:tr>
      <w:tr>
        <w:trPr/>
        <w:tc>
          <w:tcPr>
            <w:tcW w:w="1122" w:type="dxa"/>
            <w:tcBorders/>
            <w:vAlign w:val="center"/>
          </w:tcPr>
          <w:p>
            <w:pPr>
              <w:pStyle w:val="TableContents"/>
              <w:widowControl w:val="false"/>
              <w:suppressLineNumbers/>
              <w:spacing w:before="0" w:after="200"/>
              <w:rPr/>
            </w:pPr>
            <w:r>
              <w:rPr>
                <w:rStyle w:val="Strong"/>
              </w:rPr>
              <w:t>Charles Sanders Peirce</w:t>
            </w:r>
          </w:p>
        </w:tc>
        <w:tc>
          <w:tcPr>
            <w:tcW w:w="745" w:type="dxa"/>
            <w:tcBorders/>
            <w:vAlign w:val="center"/>
          </w:tcPr>
          <w:p>
            <w:pPr>
              <w:pStyle w:val="TableContents"/>
              <w:spacing w:before="0" w:after="200"/>
              <w:jc w:val="right"/>
              <w:rPr/>
            </w:pPr>
            <w:r>
              <w:rPr/>
              <w:t>1839–1914</w:t>
            </w:r>
          </w:p>
        </w:tc>
        <w:tc>
          <w:tcPr>
            <w:tcW w:w="2071" w:type="dxa"/>
            <w:tcBorders/>
            <w:vAlign w:val="center"/>
          </w:tcPr>
          <w:p>
            <w:pPr>
              <w:pStyle w:val="TableContents"/>
              <w:widowControl w:val="false"/>
              <w:suppressLineNumbers/>
              <w:spacing w:before="0" w:after="200"/>
              <w:rPr/>
            </w:pPr>
            <w:r>
              <w:rPr/>
              <w:t>United States Coast and Geodetic Survey; Johns Hopkins University</w:t>
            </w:r>
          </w:p>
        </w:tc>
        <w:tc>
          <w:tcPr>
            <w:tcW w:w="4702" w:type="dxa"/>
            <w:tcBorders/>
            <w:vAlign w:val="center"/>
          </w:tcPr>
          <w:p>
            <w:pPr>
              <w:pStyle w:val="TableContents"/>
              <w:widowControl w:val="false"/>
              <w:suppressLineNumbers/>
              <w:spacing w:before="0" w:after="200"/>
              <w:rPr/>
            </w:pPr>
            <w:r>
              <w:rPr/>
              <w:t xml:space="preserve">Originated the pragmatic maxim, developed fallibilism and a community-centered conception of inquiry, and made major contributions to logic, semiotics, scientific method, and abductive reasoning. </w:t>
            </w:r>
            <w:hyperlink r:id="rId164">
              <w:r>
                <w:rPr>
                  <w:rStyle w:val="Hyperlink"/>
                </w:rPr>
                <w:t>Internet Encyclopedia of Philosophy</w:t>
              </w:r>
            </w:hyperlink>
            <w:r>
              <w:rPr/>
              <w:t xml:space="preserve">, </w:t>
            </w:r>
            <w:hyperlink r:id="rId165">
              <w:r>
                <w:rPr>
                  <w:rStyle w:val="Hyperlink"/>
                </w:rPr>
                <w:t>Stanford Encyclopedia of Philosophy</w:t>
              </w:r>
            </w:hyperlink>
          </w:p>
        </w:tc>
      </w:tr>
      <w:tr>
        <w:trPr/>
        <w:tc>
          <w:tcPr>
            <w:tcW w:w="1122" w:type="dxa"/>
            <w:tcBorders/>
            <w:vAlign w:val="center"/>
          </w:tcPr>
          <w:p>
            <w:pPr>
              <w:pStyle w:val="TableContents"/>
              <w:widowControl w:val="false"/>
              <w:suppressLineNumbers/>
              <w:spacing w:before="0" w:after="200"/>
              <w:rPr/>
            </w:pPr>
            <w:r>
              <w:rPr>
                <w:rStyle w:val="Strong"/>
              </w:rPr>
              <w:t>William James</w:t>
            </w:r>
          </w:p>
        </w:tc>
        <w:tc>
          <w:tcPr>
            <w:tcW w:w="745" w:type="dxa"/>
            <w:tcBorders/>
            <w:vAlign w:val="center"/>
          </w:tcPr>
          <w:p>
            <w:pPr>
              <w:pStyle w:val="TableContents"/>
              <w:spacing w:before="0" w:after="200"/>
              <w:jc w:val="right"/>
              <w:rPr/>
            </w:pPr>
            <w:r>
              <w:rPr/>
              <w:t>1842–1910</w:t>
            </w:r>
          </w:p>
        </w:tc>
        <w:tc>
          <w:tcPr>
            <w:tcW w:w="2071" w:type="dxa"/>
            <w:tcBorders/>
            <w:vAlign w:val="center"/>
          </w:tcPr>
          <w:p>
            <w:pPr>
              <w:pStyle w:val="TableContents"/>
              <w:widowControl w:val="false"/>
              <w:suppressLineNumbers/>
              <w:spacing w:before="0" w:after="200"/>
              <w:rPr/>
            </w:pPr>
            <w:r>
              <w:rPr/>
              <w:t>Harvard University</w:t>
            </w:r>
          </w:p>
        </w:tc>
        <w:tc>
          <w:tcPr>
            <w:tcW w:w="4702" w:type="dxa"/>
            <w:tcBorders/>
            <w:vAlign w:val="center"/>
          </w:tcPr>
          <w:p>
            <w:pPr>
              <w:pStyle w:val="TableContents"/>
              <w:widowControl w:val="false"/>
              <w:suppressLineNumbers/>
              <w:spacing w:before="0" w:after="200"/>
              <w:rPr/>
            </w:pPr>
            <w:r>
              <w:rPr/>
              <w:t xml:space="preserve">Popularized Pragmatism and connected beliefs with their practical consequences in lived experience. He emphasized pluralism, human purposes, psychology, religious experience, and the ways beliefs guide action. </w:t>
            </w:r>
            <w:hyperlink r:id="rId166">
              <w:r>
                <w:rPr>
                  <w:rStyle w:val="Hyperlink"/>
                </w:rPr>
                <w:t>Harvard University</w:t>
              </w:r>
            </w:hyperlink>
            <w:r>
              <w:rPr/>
              <w:t xml:space="preserve">, </w:t>
            </w:r>
            <w:hyperlink r:id="rId167">
              <w:r>
                <w:rPr>
                  <w:rStyle w:val="Hyperlink"/>
                </w:rPr>
                <w:t>Internet Encyclopedia of Philosophy</w:t>
              </w:r>
            </w:hyperlink>
          </w:p>
        </w:tc>
      </w:tr>
      <w:tr>
        <w:trPr/>
        <w:tc>
          <w:tcPr>
            <w:tcW w:w="1122" w:type="dxa"/>
            <w:tcBorders/>
            <w:vAlign w:val="center"/>
          </w:tcPr>
          <w:p>
            <w:pPr>
              <w:pStyle w:val="TableContents"/>
              <w:widowControl w:val="false"/>
              <w:suppressLineNumbers/>
              <w:spacing w:before="0" w:after="200"/>
              <w:rPr/>
            </w:pPr>
            <w:r>
              <w:rPr>
                <w:rStyle w:val="Strong"/>
              </w:rPr>
              <w:t>John Dewey</w:t>
            </w:r>
          </w:p>
        </w:tc>
        <w:tc>
          <w:tcPr>
            <w:tcW w:w="745" w:type="dxa"/>
            <w:tcBorders/>
            <w:vAlign w:val="center"/>
          </w:tcPr>
          <w:p>
            <w:pPr>
              <w:pStyle w:val="TableContents"/>
              <w:spacing w:before="0" w:after="200"/>
              <w:jc w:val="right"/>
              <w:rPr/>
            </w:pPr>
            <w:r>
              <w:rPr/>
              <w:t>1859–1952</w:t>
            </w:r>
          </w:p>
        </w:tc>
        <w:tc>
          <w:tcPr>
            <w:tcW w:w="2071" w:type="dxa"/>
            <w:tcBorders/>
            <w:vAlign w:val="center"/>
          </w:tcPr>
          <w:p>
            <w:pPr>
              <w:pStyle w:val="TableContents"/>
              <w:widowControl w:val="false"/>
              <w:suppressLineNumbers/>
              <w:spacing w:before="0" w:after="200"/>
              <w:rPr/>
            </w:pPr>
            <w:r>
              <w:rPr/>
              <w:t>University of Chicago and its Laboratory School; Teachers College, Columbia University</w:t>
            </w:r>
          </w:p>
        </w:tc>
        <w:tc>
          <w:tcPr>
            <w:tcW w:w="4702" w:type="dxa"/>
            <w:tcBorders/>
            <w:vAlign w:val="center"/>
          </w:tcPr>
          <w:p>
            <w:pPr>
              <w:pStyle w:val="TableContents"/>
              <w:widowControl w:val="false"/>
              <w:suppressLineNumbers/>
              <w:spacing w:before="0" w:after="200"/>
              <w:rPr/>
            </w:pPr>
            <w:r>
              <w:rPr/>
              <w:t xml:space="preserve">Developed Pragmatism as experimentalism or instrumentalism. He treated ethical judgment as reflective inquiry into problematic situations and emphasized education, democracy, habits, institutions, and the continuous revision of ends and means. </w:t>
            </w:r>
            <w:hyperlink r:id="rId168">
              <w:r>
                <w:rPr>
                  <w:rStyle w:val="Hyperlink"/>
                </w:rPr>
                <w:t>Stanford Encyclopedia of Philosophy</w:t>
              </w:r>
            </w:hyperlink>
            <w:r>
              <w:rPr/>
              <w:t xml:space="preserve">, </w:t>
            </w:r>
            <w:hyperlink r:id="rId169">
              <w:r>
                <w:rPr>
                  <w:rStyle w:val="Hyperlink"/>
                </w:rPr>
                <w:t>Columbia University</w:t>
              </w:r>
            </w:hyperlink>
          </w:p>
        </w:tc>
      </w:tr>
      <w:tr>
        <w:trPr/>
        <w:tc>
          <w:tcPr>
            <w:tcW w:w="1122" w:type="dxa"/>
            <w:tcBorders/>
            <w:vAlign w:val="center"/>
          </w:tcPr>
          <w:p>
            <w:pPr>
              <w:pStyle w:val="TableContents"/>
              <w:widowControl w:val="false"/>
              <w:suppressLineNumbers/>
              <w:spacing w:before="0" w:after="200"/>
              <w:rPr/>
            </w:pPr>
            <w:r>
              <w:rPr>
                <w:rStyle w:val="Strong"/>
              </w:rPr>
              <w:t>Jane Addams</w:t>
            </w:r>
          </w:p>
        </w:tc>
        <w:tc>
          <w:tcPr>
            <w:tcW w:w="745" w:type="dxa"/>
            <w:tcBorders/>
            <w:vAlign w:val="center"/>
          </w:tcPr>
          <w:p>
            <w:pPr>
              <w:pStyle w:val="TableContents"/>
              <w:spacing w:before="0" w:after="200"/>
              <w:jc w:val="right"/>
              <w:rPr/>
            </w:pPr>
            <w:r>
              <w:rPr/>
              <w:t>1860–1935</w:t>
            </w:r>
          </w:p>
        </w:tc>
        <w:tc>
          <w:tcPr>
            <w:tcW w:w="2071" w:type="dxa"/>
            <w:tcBorders/>
            <w:vAlign w:val="center"/>
          </w:tcPr>
          <w:p>
            <w:pPr>
              <w:pStyle w:val="TableContents"/>
              <w:widowControl w:val="false"/>
              <w:suppressLineNumbers/>
              <w:spacing w:before="0" w:after="200"/>
              <w:rPr/>
            </w:pPr>
            <w:r>
              <w:rPr/>
              <w:t>Hull House; Women’s International League for Peace and Freedom</w:t>
            </w:r>
          </w:p>
        </w:tc>
        <w:tc>
          <w:tcPr>
            <w:tcW w:w="4702" w:type="dxa"/>
            <w:tcBorders/>
            <w:vAlign w:val="center"/>
          </w:tcPr>
          <w:p>
            <w:pPr>
              <w:pStyle w:val="TableContents"/>
              <w:widowControl w:val="false"/>
              <w:suppressLineNumbers/>
              <w:spacing w:before="0" w:after="200"/>
              <w:rPr/>
            </w:pPr>
            <w:r>
              <w:rPr/>
              <w:t xml:space="preserve">Applied Pragmatism through community-based inquiry, social reform, democratic participation, peace advocacy, and direct engagement with affected populations. Her work connected ethical knowledge with cooperative social practice. </w:t>
            </w:r>
            <w:hyperlink r:id="rId170">
              <w:r>
                <w:rPr>
                  <w:rStyle w:val="Hyperlink"/>
                </w:rPr>
                <w:t>Stanford Encyclopedia of Philosophy</w:t>
              </w:r>
            </w:hyperlink>
          </w:p>
        </w:tc>
      </w:tr>
      <w:tr>
        <w:trPr/>
        <w:tc>
          <w:tcPr>
            <w:tcW w:w="1122" w:type="dxa"/>
            <w:tcBorders/>
            <w:vAlign w:val="center"/>
          </w:tcPr>
          <w:p>
            <w:pPr>
              <w:pStyle w:val="TableContents"/>
              <w:widowControl w:val="false"/>
              <w:suppressLineNumbers/>
              <w:spacing w:before="0" w:after="200"/>
              <w:rPr/>
            </w:pPr>
            <w:r>
              <w:rPr>
                <w:rStyle w:val="Strong"/>
              </w:rPr>
              <w:t>George Herbert Mead</w:t>
            </w:r>
          </w:p>
        </w:tc>
        <w:tc>
          <w:tcPr>
            <w:tcW w:w="745" w:type="dxa"/>
            <w:tcBorders/>
            <w:vAlign w:val="center"/>
          </w:tcPr>
          <w:p>
            <w:pPr>
              <w:pStyle w:val="TableContents"/>
              <w:spacing w:before="0" w:after="200"/>
              <w:jc w:val="right"/>
              <w:rPr/>
            </w:pPr>
            <w:r>
              <w:rPr/>
              <w:t>1863–1931</w:t>
            </w:r>
          </w:p>
        </w:tc>
        <w:tc>
          <w:tcPr>
            <w:tcW w:w="2071" w:type="dxa"/>
            <w:tcBorders/>
            <w:vAlign w:val="center"/>
          </w:tcPr>
          <w:p>
            <w:pPr>
              <w:pStyle w:val="TableContents"/>
              <w:widowControl w:val="false"/>
              <w:suppressLineNumbers/>
              <w:spacing w:before="0" w:after="200"/>
              <w:rPr/>
            </w:pPr>
            <w:r>
              <w:rPr/>
              <w:t>University of Chicago</w:t>
            </w:r>
          </w:p>
        </w:tc>
        <w:tc>
          <w:tcPr>
            <w:tcW w:w="4702" w:type="dxa"/>
            <w:tcBorders/>
            <w:vAlign w:val="center"/>
          </w:tcPr>
          <w:p>
            <w:pPr>
              <w:pStyle w:val="TableContents"/>
              <w:widowControl w:val="false"/>
              <w:suppressLineNumbers/>
              <w:spacing w:before="0" w:after="200"/>
              <w:rPr/>
            </w:pPr>
            <w:r>
              <w:rPr/>
              <w:t xml:space="preserve">Developed a social Pragmatism in which mind, self, communication, and moral agency emerge through interaction. His work helped explain how social habits, institutions, and shared meanings shape individual conduct. </w:t>
            </w:r>
            <w:hyperlink r:id="rId171">
              <w:r>
                <w:rPr>
                  <w:rStyle w:val="Hyperlink"/>
                </w:rPr>
                <w:t>Stanford Encyclopedia of Philosophy</w:t>
              </w:r>
            </w:hyperlink>
          </w:p>
        </w:tc>
      </w:tr>
    </w:tbl>
    <w:p>
      <w:pPr>
        <w:pStyle w:val="Heading4"/>
        <w:ind w:hanging="0" w:left="0"/>
        <w:rPr>
          <w:rFonts w:ascii="Aptos" w:hAnsi="Aptos"/>
          <w:color w:val="auto"/>
        </w:rPr>
      </w:pPr>
      <w:r>
        <w:rPr/>
        <w:t>Core Assumptions</w:t>
      </w:r>
    </w:p>
    <w:p>
      <w:pPr>
        <w:pStyle w:val="BodyText"/>
        <w:spacing w:before="0" w:after="200"/>
        <w:rPr/>
      </w:pPr>
      <w:r>
        <w:rPr/>
        <w:t>Pragmatism includes several distinct positions, and Peirce, James, Dewey, Addams, and Mead did not agree on every philosophical question. The tradition’s recurring assumptions generally include the following:</w:t>
      </w:r>
    </w:p>
    <w:p>
      <w:pPr>
        <w:pStyle w:val="BodyText"/>
        <w:numPr>
          <w:ilvl w:val="0"/>
          <w:numId w:val="89"/>
        </w:numPr>
        <w:tabs>
          <w:tab w:val="clear" w:pos="720"/>
          <w:tab w:val="left" w:pos="0" w:leader="none"/>
        </w:tabs>
        <w:spacing w:before="0" w:after="200"/>
        <w:ind w:hanging="283" w:left="709"/>
        <w:rPr/>
      </w:pPr>
      <w:r>
        <w:rPr>
          <w:rStyle w:val="Strong"/>
        </w:rPr>
        <w:t>Knowing and acting are connected.</w:t>
      </w:r>
      <w:r>
        <w:rPr/>
        <w:t xml:space="preserve"> Beliefs are not detached representations held outside experience. They guide expectations, choices, habits, and interventions.</w:t>
      </w:r>
    </w:p>
    <w:p>
      <w:pPr>
        <w:pStyle w:val="BodyText"/>
        <w:numPr>
          <w:ilvl w:val="0"/>
          <w:numId w:val="89"/>
        </w:numPr>
        <w:tabs>
          <w:tab w:val="clear" w:pos="720"/>
          <w:tab w:val="left" w:pos="0" w:leader="none"/>
        </w:tabs>
        <w:spacing w:before="0" w:after="200"/>
        <w:ind w:hanging="283" w:left="709"/>
        <w:rPr/>
      </w:pPr>
      <w:r>
        <w:rPr>
          <w:rStyle w:val="Strong"/>
        </w:rPr>
        <w:t>Meaning is clarified through practical consequences.</w:t>
      </w:r>
      <w:r>
        <w:rPr/>
        <w:t xml:space="preserve"> To understand a concept, one should ask what observable or experiential difference would follow if the concept were true.</w:t>
      </w:r>
    </w:p>
    <w:p>
      <w:pPr>
        <w:pStyle w:val="BodyText"/>
        <w:numPr>
          <w:ilvl w:val="0"/>
          <w:numId w:val="89"/>
        </w:numPr>
        <w:tabs>
          <w:tab w:val="clear" w:pos="720"/>
          <w:tab w:val="left" w:pos="0" w:leader="none"/>
        </w:tabs>
        <w:spacing w:before="0" w:after="200"/>
        <w:ind w:hanging="283" w:left="709"/>
        <w:rPr/>
      </w:pPr>
      <w:r>
        <w:rPr>
          <w:rStyle w:val="Strong"/>
        </w:rPr>
        <w:t>Inquiry begins with a problematic situation.</w:t>
      </w:r>
      <w:r>
        <w:rPr/>
        <w:t xml:space="preserve"> Doubt, conflict, uncertainty, disrupted habits, or an unsatisfactory condition creates the need for investigation.</w:t>
      </w:r>
    </w:p>
    <w:p>
      <w:pPr>
        <w:pStyle w:val="BodyText"/>
        <w:numPr>
          <w:ilvl w:val="0"/>
          <w:numId w:val="89"/>
        </w:numPr>
        <w:tabs>
          <w:tab w:val="clear" w:pos="720"/>
          <w:tab w:val="left" w:pos="0" w:leader="none"/>
        </w:tabs>
        <w:spacing w:before="0" w:after="200"/>
        <w:ind w:hanging="283" w:left="709"/>
        <w:rPr/>
      </w:pPr>
      <w:r>
        <w:rPr>
          <w:rStyle w:val="Strong"/>
        </w:rPr>
        <w:t>Beliefs are fallible.</w:t>
      </w:r>
      <w:r>
        <w:rPr/>
        <w:t xml:space="preserve"> No present belief, model, institution, or ethical judgment is beyond possible correction.</w:t>
      </w:r>
    </w:p>
    <w:p>
      <w:pPr>
        <w:pStyle w:val="BodyText"/>
        <w:numPr>
          <w:ilvl w:val="0"/>
          <w:numId w:val="89"/>
        </w:numPr>
        <w:tabs>
          <w:tab w:val="clear" w:pos="720"/>
          <w:tab w:val="left" w:pos="0" w:leader="none"/>
        </w:tabs>
        <w:spacing w:before="0" w:after="200"/>
        <w:ind w:hanging="283" w:left="709"/>
        <w:rPr/>
      </w:pPr>
      <w:r>
        <w:rPr>
          <w:rStyle w:val="Strong"/>
        </w:rPr>
        <w:t>Fallibility does not imply that all claims are equally valid.</w:t>
      </w:r>
      <w:r>
        <w:rPr/>
        <w:t xml:space="preserve"> Claims can be compared through evidence, coherence, explanatory power, reproducibility, practical consequences, and sustained inquiry.</w:t>
      </w:r>
    </w:p>
    <w:p>
      <w:pPr>
        <w:pStyle w:val="BodyText"/>
        <w:numPr>
          <w:ilvl w:val="0"/>
          <w:numId w:val="89"/>
        </w:numPr>
        <w:tabs>
          <w:tab w:val="clear" w:pos="720"/>
          <w:tab w:val="left" w:pos="0" w:leader="none"/>
        </w:tabs>
        <w:spacing w:before="0" w:after="200"/>
        <w:ind w:hanging="283" w:left="709"/>
        <w:rPr/>
      </w:pPr>
      <w:r>
        <w:rPr>
          <w:rStyle w:val="Strong"/>
        </w:rPr>
        <w:t>Inquiry is experimental.</w:t>
      </w:r>
      <w:r>
        <w:rPr/>
        <w:t xml:space="preserve"> Hypotheses should be tested through observation, experience, controlled intervention, comparison, and revision.</w:t>
      </w:r>
    </w:p>
    <w:p>
      <w:pPr>
        <w:pStyle w:val="BodyText"/>
        <w:numPr>
          <w:ilvl w:val="0"/>
          <w:numId w:val="89"/>
        </w:numPr>
        <w:tabs>
          <w:tab w:val="clear" w:pos="720"/>
          <w:tab w:val="left" w:pos="0" w:leader="none"/>
        </w:tabs>
        <w:spacing w:before="0" w:after="200"/>
        <w:ind w:hanging="283" w:left="709"/>
        <w:rPr/>
      </w:pPr>
      <w:r>
        <w:rPr>
          <w:rStyle w:val="Strong"/>
        </w:rPr>
        <w:t>Truth is not simply whatever produces a desired result.</w:t>
      </w:r>
      <w:r>
        <w:rPr/>
        <w:t xml:space="preserve"> Pragmatic theories connect truth with responsible practices of inquiry, verification, assertion, and the capacity of beliefs to withstand continued investigation. </w:t>
      </w:r>
      <w:hyperlink r:id="rId172">
        <w:r>
          <w:rPr>
            <w:rStyle w:val="Hyperlink"/>
          </w:rPr>
          <w:t>Stanford Encyclopedia of Philosophy</w:t>
        </w:r>
      </w:hyperlink>
    </w:p>
    <w:p>
      <w:pPr>
        <w:pStyle w:val="BodyText"/>
        <w:numPr>
          <w:ilvl w:val="0"/>
          <w:numId w:val="89"/>
        </w:numPr>
        <w:tabs>
          <w:tab w:val="clear" w:pos="720"/>
          <w:tab w:val="left" w:pos="0" w:leader="none"/>
        </w:tabs>
        <w:spacing w:before="0" w:after="200"/>
        <w:ind w:hanging="283" w:left="709"/>
        <w:rPr/>
      </w:pPr>
      <w:r>
        <w:rPr>
          <w:rStyle w:val="Strong"/>
        </w:rPr>
        <w:t>The consequences of a belief extend beyond immediate utility.</w:t>
      </w:r>
      <w:r>
        <w:rPr/>
        <w:t xml:space="preserve"> Relevant effects can include indirect, delayed, relational, institutional, and social consequences.</w:t>
      </w:r>
    </w:p>
    <w:p>
      <w:pPr>
        <w:pStyle w:val="BodyText"/>
        <w:numPr>
          <w:ilvl w:val="0"/>
          <w:numId w:val="89"/>
        </w:numPr>
        <w:tabs>
          <w:tab w:val="clear" w:pos="720"/>
          <w:tab w:val="left" w:pos="0" w:leader="none"/>
        </w:tabs>
        <w:spacing w:before="0" w:after="200"/>
        <w:ind w:hanging="283" w:left="709"/>
        <w:rPr/>
      </w:pPr>
      <w:r>
        <w:rPr>
          <w:rStyle w:val="Strong"/>
        </w:rPr>
        <w:t>Ideas and theories are tools.</w:t>
      </w:r>
      <w:r>
        <w:rPr/>
        <w:t xml:space="preserve"> Their value includes their ability to organize experience, identify problems, support prediction, guide action, and facilitate further inquiry.</w:t>
      </w:r>
    </w:p>
    <w:p>
      <w:pPr>
        <w:pStyle w:val="BodyText"/>
        <w:numPr>
          <w:ilvl w:val="0"/>
          <w:numId w:val="89"/>
        </w:numPr>
        <w:tabs>
          <w:tab w:val="clear" w:pos="720"/>
          <w:tab w:val="left" w:pos="0" w:leader="none"/>
        </w:tabs>
        <w:spacing w:before="0" w:after="200"/>
        <w:ind w:hanging="283" w:left="709"/>
        <w:rPr/>
      </w:pPr>
      <w:r>
        <w:rPr>
          <w:rStyle w:val="Strong"/>
        </w:rPr>
        <w:t>Values emerge within experience.</w:t>
      </w:r>
      <w:r>
        <w:rPr/>
        <w:t xml:space="preserve"> Ethical judgments respond to actual conflicts, relationships, needs, and consequences rather than being applied only from an abstract position outside experience.</w:t>
      </w:r>
    </w:p>
    <w:p>
      <w:pPr>
        <w:pStyle w:val="BodyText"/>
        <w:numPr>
          <w:ilvl w:val="0"/>
          <w:numId w:val="89"/>
        </w:numPr>
        <w:tabs>
          <w:tab w:val="clear" w:pos="720"/>
          <w:tab w:val="left" w:pos="0" w:leader="none"/>
        </w:tabs>
        <w:spacing w:before="0" w:after="200"/>
        <w:ind w:hanging="283" w:left="709"/>
        <w:rPr/>
      </w:pPr>
      <w:r>
        <w:rPr>
          <w:rStyle w:val="Strong"/>
        </w:rPr>
        <w:t>Ethical inquiry is revisable.</w:t>
      </w:r>
      <w:r>
        <w:rPr/>
        <w:t xml:space="preserve"> Dewey treats ethical inquiry as reflective intelligence used to improve value judgments in light of the consequences of acting on them.</w:t>
      </w:r>
    </w:p>
    <w:p>
      <w:pPr>
        <w:pStyle w:val="BodyText"/>
        <w:numPr>
          <w:ilvl w:val="0"/>
          <w:numId w:val="89"/>
        </w:numPr>
        <w:tabs>
          <w:tab w:val="clear" w:pos="720"/>
          <w:tab w:val="left" w:pos="0" w:leader="none"/>
        </w:tabs>
        <w:spacing w:before="0" w:after="200"/>
        <w:ind w:hanging="283" w:left="709"/>
        <w:rPr/>
      </w:pPr>
      <w:r>
        <w:rPr>
          <w:rStyle w:val="Strong"/>
        </w:rPr>
        <w:t>Ends are provisional “ends-in-view.”</w:t>
      </w:r>
      <w:r>
        <w:rPr/>
        <w:t xml:space="preserve"> Objectives are hypotheses about desirable resolutions to current problems, not necessarily fixed or final goods.</w:t>
      </w:r>
    </w:p>
    <w:p>
      <w:pPr>
        <w:pStyle w:val="BodyText"/>
        <w:numPr>
          <w:ilvl w:val="0"/>
          <w:numId w:val="89"/>
        </w:numPr>
        <w:tabs>
          <w:tab w:val="clear" w:pos="720"/>
          <w:tab w:val="left" w:pos="0" w:leader="none"/>
        </w:tabs>
        <w:spacing w:before="0" w:after="200"/>
        <w:ind w:hanging="283" w:left="709"/>
        <w:rPr/>
      </w:pPr>
      <w:r>
        <w:rPr>
          <w:rStyle w:val="Strong"/>
        </w:rPr>
        <w:t>Means and ends interact.</w:t>
      </w:r>
      <w:r>
        <w:rPr/>
        <w:t xml:space="preserve"> The chosen means can change the objective, the actor, the relationships involved, and the situation itself. An end cannot be fully separated from the process used to pursue it.</w:t>
      </w:r>
    </w:p>
    <w:p>
      <w:pPr>
        <w:pStyle w:val="BodyText"/>
        <w:numPr>
          <w:ilvl w:val="0"/>
          <w:numId w:val="89"/>
        </w:numPr>
        <w:tabs>
          <w:tab w:val="clear" w:pos="720"/>
          <w:tab w:val="left" w:pos="0" w:leader="none"/>
        </w:tabs>
        <w:spacing w:before="0" w:after="200"/>
        <w:ind w:hanging="283" w:left="709"/>
        <w:rPr/>
      </w:pPr>
      <w:r>
        <w:rPr>
          <w:rStyle w:val="Strong"/>
        </w:rPr>
        <w:t>Habits organize conduct.</w:t>
      </w:r>
      <w:r>
        <w:rPr/>
        <w:t xml:space="preserve"> Individual and institutional actions arise from learned dispositions, routines, expectations, and social practices.</w:t>
      </w:r>
    </w:p>
    <w:p>
      <w:pPr>
        <w:pStyle w:val="BodyText"/>
        <w:numPr>
          <w:ilvl w:val="0"/>
          <w:numId w:val="89"/>
        </w:numPr>
        <w:tabs>
          <w:tab w:val="clear" w:pos="720"/>
          <w:tab w:val="left" w:pos="0" w:leader="none"/>
        </w:tabs>
        <w:spacing w:before="0" w:after="200"/>
        <w:ind w:hanging="283" w:left="709"/>
        <w:rPr/>
      </w:pPr>
      <w:r>
        <w:rPr>
          <w:rStyle w:val="Strong"/>
        </w:rPr>
        <w:t>Agents and environments are transactional.</w:t>
      </w:r>
      <w:r>
        <w:rPr/>
        <w:t xml:space="preserve"> Agents change their environments while environments shape the agents’ future capabilities, beliefs, and habits.</w:t>
      </w:r>
    </w:p>
    <w:p>
      <w:pPr>
        <w:pStyle w:val="BodyText"/>
        <w:numPr>
          <w:ilvl w:val="0"/>
          <w:numId w:val="89"/>
        </w:numPr>
        <w:tabs>
          <w:tab w:val="clear" w:pos="720"/>
          <w:tab w:val="left" w:pos="0" w:leader="none"/>
        </w:tabs>
        <w:spacing w:before="0" w:after="200"/>
        <w:ind w:hanging="283" w:left="709"/>
        <w:rPr/>
      </w:pPr>
      <w:r>
        <w:rPr>
          <w:rStyle w:val="Strong"/>
        </w:rPr>
        <w:t>The social context shapes moral agency.</w:t>
      </w:r>
      <w:r>
        <w:rPr/>
        <w:t xml:space="preserve"> Language, institutions, roles, and relationships influence what agents notice, value, believe, and consider possible.</w:t>
      </w:r>
    </w:p>
    <w:p>
      <w:pPr>
        <w:pStyle w:val="BodyText"/>
        <w:numPr>
          <w:ilvl w:val="0"/>
          <w:numId w:val="89"/>
        </w:numPr>
        <w:tabs>
          <w:tab w:val="clear" w:pos="720"/>
          <w:tab w:val="left" w:pos="0" w:leader="none"/>
        </w:tabs>
        <w:spacing w:before="0" w:after="200"/>
        <w:ind w:hanging="283" w:left="709"/>
        <w:rPr/>
      </w:pPr>
      <w:r>
        <w:rPr>
          <w:rStyle w:val="Strong"/>
        </w:rPr>
        <w:t>Inquiry is socially distributed.</w:t>
      </w:r>
      <w:r>
        <w:rPr/>
        <w:t xml:space="preserve"> Reliable knowledge ordinarily depends on communication, criticism, replication, and participation within a community of inquiry.</w:t>
      </w:r>
    </w:p>
    <w:p>
      <w:pPr>
        <w:pStyle w:val="BodyText"/>
        <w:numPr>
          <w:ilvl w:val="0"/>
          <w:numId w:val="89"/>
        </w:numPr>
        <w:tabs>
          <w:tab w:val="clear" w:pos="720"/>
          <w:tab w:val="left" w:pos="0" w:leader="none"/>
        </w:tabs>
        <w:spacing w:before="0" w:after="200"/>
        <w:ind w:hanging="283" w:left="709"/>
        <w:rPr/>
      </w:pPr>
      <w:r>
        <w:rPr>
          <w:rStyle w:val="Strong"/>
        </w:rPr>
        <w:t>Democracy has epistemic as well as political value.</w:t>
      </w:r>
      <w:r>
        <w:rPr/>
        <w:t xml:space="preserve"> Participation can reveal information and experiences that experts or governing institutions would otherwise overlook.</w:t>
      </w:r>
    </w:p>
    <w:p>
      <w:pPr>
        <w:pStyle w:val="BodyText"/>
        <w:numPr>
          <w:ilvl w:val="0"/>
          <w:numId w:val="89"/>
        </w:numPr>
        <w:tabs>
          <w:tab w:val="clear" w:pos="720"/>
          <w:tab w:val="left" w:pos="0" w:leader="none"/>
        </w:tabs>
        <w:spacing w:before="0" w:after="200"/>
        <w:ind w:hanging="283" w:left="709"/>
        <w:rPr/>
      </w:pPr>
      <w:r>
        <w:rPr>
          <w:rStyle w:val="Strong"/>
        </w:rPr>
        <w:t>Affected communities possess relevant knowledge.</w:t>
      </w:r>
      <w:r>
        <w:rPr/>
        <w:t xml:space="preserve"> Those who experience a policy or institution may understand consequences that are not visible in administrative or theoretical models.</w:t>
      </w:r>
    </w:p>
    <w:p>
      <w:pPr>
        <w:pStyle w:val="BodyText"/>
        <w:numPr>
          <w:ilvl w:val="0"/>
          <w:numId w:val="89"/>
        </w:numPr>
        <w:tabs>
          <w:tab w:val="clear" w:pos="720"/>
          <w:tab w:val="left" w:pos="0" w:leader="none"/>
        </w:tabs>
        <w:spacing w:before="0" w:after="200"/>
        <w:ind w:hanging="283" w:left="709"/>
        <w:rPr/>
      </w:pPr>
      <w:r>
        <w:rPr>
          <w:rStyle w:val="Strong"/>
        </w:rPr>
        <w:t>Pluralism is often productive.</w:t>
      </w:r>
      <w:r>
        <w:rPr/>
        <w:t xml:space="preserve"> Multiple perspectives, methods, objectives, and forms of experience can improve inquiry and prevent premature closure.</w:t>
      </w:r>
    </w:p>
    <w:p>
      <w:pPr>
        <w:pStyle w:val="BodyText"/>
        <w:numPr>
          <w:ilvl w:val="0"/>
          <w:numId w:val="89"/>
        </w:numPr>
        <w:tabs>
          <w:tab w:val="clear" w:pos="720"/>
          <w:tab w:val="left" w:pos="0" w:leader="none"/>
        </w:tabs>
        <w:spacing w:before="0" w:after="200"/>
        <w:ind w:hanging="283" w:left="709"/>
        <w:rPr/>
      </w:pPr>
      <w:r>
        <w:rPr>
          <w:rStyle w:val="Strong"/>
        </w:rPr>
        <w:t>Improvement is possible without requiring perfection.</w:t>
      </w:r>
      <w:r>
        <w:rPr/>
        <w:t xml:space="preserve"> Pragmatic meliorism holds that conditions can be improved through intelligent, cooperative effort, although progress is neither automatic nor guaranteed.</w:t>
      </w:r>
    </w:p>
    <w:p>
      <w:pPr>
        <w:pStyle w:val="BodyText"/>
        <w:numPr>
          <w:ilvl w:val="0"/>
          <w:numId w:val="89"/>
        </w:numPr>
        <w:tabs>
          <w:tab w:val="clear" w:pos="720"/>
          <w:tab w:val="left" w:pos="0" w:leader="none"/>
        </w:tabs>
        <w:spacing w:before="0" w:after="200"/>
        <w:ind w:hanging="283" w:left="709"/>
        <w:rPr/>
      </w:pPr>
      <w:r>
        <w:rPr>
          <w:rStyle w:val="Strong"/>
        </w:rPr>
        <w:t>Moral progress depends on learning.</w:t>
      </w:r>
      <w:r>
        <w:rPr/>
        <w:t xml:space="preserve"> Ethical systems should preserve the capacity to detect error, incorporate new experience, and revise both conduct and institutional structures.</w:t>
      </w:r>
    </w:p>
    <w:p>
      <w:pPr>
        <w:pStyle w:val="Heading4"/>
        <w:ind w:hanging="0" w:left="0"/>
        <w:rPr>
          <w:rFonts w:ascii="Aptos" w:hAnsi="Aptos"/>
          <w:color w:val="auto"/>
        </w:rPr>
      </w:pPr>
      <w:r>
        <w:rPr/>
        <w:t>Relationship to This Framework</w:t>
      </w:r>
    </w:p>
    <w:p>
      <w:pPr>
        <w:pStyle w:val="BodyText"/>
        <w:spacing w:before="0" w:after="200"/>
        <w:rPr/>
      </w:pPr>
      <w:r>
        <w:rPr/>
        <w:t>Pragmatism has a particularly close methodological relationship to this framework. Both assess ideas and objectives through the transitions they are expected to produce rather than relying solely on ideological labels, stated intentions, or abstract declarations.</w:t>
      </w:r>
    </w:p>
    <w:p>
      <w:pPr>
        <w:pStyle w:val="BodyText"/>
        <w:spacing w:before="0" w:after="200"/>
        <w:rPr/>
      </w:pPr>
      <w:r>
        <w:rPr/>
        <w:t>The framework’s World Context Transition provides a formal counterpart to the pragmatic maxim. An objective, belief, policy, or ethical rule can be clarified by specifying:</w:t>
      </w:r>
    </w:p>
    <w:p>
      <w:pPr>
        <w:pStyle w:val="BodyText"/>
        <w:numPr>
          <w:ilvl w:val="0"/>
          <w:numId w:val="90"/>
        </w:numPr>
        <w:tabs>
          <w:tab w:val="clear" w:pos="720"/>
          <w:tab w:val="left" w:pos="0" w:leader="none"/>
        </w:tabs>
        <w:spacing w:before="0" w:after="200"/>
        <w:ind w:hanging="283" w:left="709"/>
        <w:rPr/>
      </w:pPr>
      <w:r>
        <w:rPr/>
        <w:t>Which Objects and Associations would change;</w:t>
      </w:r>
    </w:p>
    <w:p>
      <w:pPr>
        <w:pStyle w:val="BodyText"/>
        <w:numPr>
          <w:ilvl w:val="0"/>
          <w:numId w:val="90"/>
        </w:numPr>
        <w:tabs>
          <w:tab w:val="clear" w:pos="720"/>
          <w:tab w:val="left" w:pos="0" w:leader="none"/>
        </w:tabs>
        <w:spacing w:before="0" w:after="200"/>
        <w:ind w:hanging="283" w:left="709"/>
        <w:rPr/>
      </w:pPr>
      <w:r>
        <w:rPr/>
        <w:t>What observable differences would occur;</w:t>
      </w:r>
    </w:p>
    <w:p>
      <w:pPr>
        <w:pStyle w:val="BodyText"/>
        <w:numPr>
          <w:ilvl w:val="0"/>
          <w:numId w:val="90"/>
        </w:numPr>
        <w:tabs>
          <w:tab w:val="clear" w:pos="720"/>
          <w:tab w:val="left" w:pos="0" w:leader="none"/>
        </w:tabs>
        <w:spacing w:before="0" w:after="200"/>
        <w:ind w:hanging="283" w:left="709"/>
        <w:rPr/>
      </w:pPr>
      <w:r>
        <w:rPr/>
        <w:t>Which entities would experience benefits or burdens;</w:t>
      </w:r>
    </w:p>
    <w:p>
      <w:pPr>
        <w:pStyle w:val="BodyText"/>
        <w:numPr>
          <w:ilvl w:val="0"/>
          <w:numId w:val="90"/>
        </w:numPr>
        <w:tabs>
          <w:tab w:val="clear" w:pos="720"/>
          <w:tab w:val="left" w:pos="0" w:leader="none"/>
        </w:tabs>
        <w:spacing w:before="0" w:after="200"/>
        <w:ind w:hanging="283" w:left="709"/>
        <w:rPr/>
      </w:pPr>
      <w:r>
        <w:rPr/>
        <w:t>What new constraints or opportunities would emerge;</w:t>
      </w:r>
    </w:p>
    <w:p>
      <w:pPr>
        <w:pStyle w:val="BodyText"/>
        <w:numPr>
          <w:ilvl w:val="0"/>
          <w:numId w:val="90"/>
        </w:numPr>
        <w:tabs>
          <w:tab w:val="clear" w:pos="720"/>
          <w:tab w:val="left" w:pos="0" w:leader="none"/>
        </w:tabs>
        <w:spacing w:before="0" w:after="200"/>
        <w:ind w:hanging="283" w:left="709"/>
        <w:rPr/>
      </w:pPr>
      <w:r>
        <w:rPr/>
        <w:t>How institutional and individual policies would change;</w:t>
      </w:r>
    </w:p>
    <w:p>
      <w:pPr>
        <w:pStyle w:val="BodyText"/>
        <w:numPr>
          <w:ilvl w:val="0"/>
          <w:numId w:val="90"/>
        </w:numPr>
        <w:tabs>
          <w:tab w:val="clear" w:pos="720"/>
          <w:tab w:val="left" w:pos="0" w:leader="none"/>
        </w:tabs>
        <w:spacing w:before="0" w:after="200"/>
        <w:ind w:hanging="283" w:left="709"/>
        <w:rPr/>
      </w:pPr>
      <w:r>
        <w:rPr/>
        <w:t>Which effects would occur at different time horizons; and</w:t>
      </w:r>
    </w:p>
    <w:p>
      <w:pPr>
        <w:pStyle w:val="BodyText"/>
        <w:numPr>
          <w:ilvl w:val="0"/>
          <w:numId w:val="90"/>
        </w:numPr>
        <w:tabs>
          <w:tab w:val="clear" w:pos="720"/>
          <w:tab w:val="left" w:pos="0" w:leader="none"/>
        </w:tabs>
        <w:spacing w:before="0" w:after="200"/>
        <w:ind w:hanging="283" w:left="709"/>
        <w:rPr/>
      </w:pPr>
      <w:r>
        <w:rPr/>
        <w:t>What evidence would confirm or challenge the prediction.</w:t>
      </w:r>
    </w:p>
    <w:p>
      <w:pPr>
        <w:pStyle w:val="BodyText"/>
        <w:spacing w:before="0" w:after="200"/>
        <w:rPr/>
      </w:pPr>
      <w:r>
        <w:rPr/>
        <w:t>The framework’s use of the best available evidence is also compatible with pragmatic fallibilism. Conclusions are based on the current Situational Context rather than assumed to be infallible. New information can justify revision without implying that the earlier assessment was necessarily dishonest or irrational.</w:t>
      </w:r>
    </w:p>
    <w:p>
      <w:pPr>
        <w:pStyle w:val="BodyText"/>
        <w:spacing w:before="0" w:after="200"/>
        <w:rPr/>
      </w:pPr>
      <w:r>
        <w:rPr/>
        <w:t>Distributed Policy Effects closely parallel the Pragmatist focus on habits. An action changes more than the immediate environment: it can alter how agents, observers, institutions, and artificial systems respond to similar situations in the future. A decision therefore helps create the habits and practices under which later decisions will be made.</w:t>
      </w:r>
    </w:p>
    <w:p>
      <w:pPr>
        <w:pStyle w:val="BodyText"/>
        <w:spacing w:before="0" w:after="200"/>
        <w:rPr/>
      </w:pPr>
      <w:r>
        <w:rPr/>
        <w:t>The framework’s treatment of adaptive moral agents also aligns with Pragmatism. Moral development can be understood as the revision of judgment and conduct through experience, feedback, criticism, and improved inquiry.</w:t>
      </w:r>
    </w:p>
    <w:p>
      <w:pPr>
        <w:pStyle w:val="BodyText"/>
        <w:spacing w:before="0" w:after="200"/>
        <w:rPr/>
      </w:pPr>
      <w:r>
        <w:rPr/>
        <w:t>A significant difference nevertheless remains. This framework begins with a Foundational Axiom concerning Long-Term Flourishing. Many Pragmatists would resist treating any moral formulation as permanently immune from revision. They may accept the axiom as a defensible working commitment while arguing that its interpretation, scope, and application must remain open to inquiry.</w:t>
      </w:r>
    </w:p>
    <w:p>
      <w:pPr>
        <w:pStyle w:val="BodyText"/>
        <w:spacing w:before="0" w:after="200"/>
        <w:rPr/>
      </w:pPr>
      <w:r>
        <w:rPr/>
        <w:t>A second difference concerns formalization. This framework seeks implementation-neutral structures, definitions, and potentially computational assessments. Pragmatism cautions that categories are tools created for particular problems. When a category stops revealing relevant differences or begins obstructing inquiry, it should be revised rather than defended merely for architectural consistency.</w:t>
      </w:r>
    </w:p>
    <w:p>
      <w:pPr>
        <w:pStyle w:val="BodyText"/>
        <w:spacing w:before="0" w:after="200"/>
        <w:rPr/>
      </w:pPr>
      <w:r>
        <w:rPr/>
        <w:t>A third difference concerns prediction and experience. The framework can evaluate predicted transitions before action, while Pragmatism emphasizes learning from actual consequences. Integration therefore requires a continuing loop from prediction to action, observation, evaluation, and model revision.</w:t>
      </w:r>
    </w:p>
    <w:p>
      <w:pPr>
        <w:pStyle w:val="Heading4"/>
        <w:ind w:hanging="0" w:left="0"/>
        <w:rPr>
          <w:rFonts w:ascii="Aptos" w:hAnsi="Aptos"/>
          <w:color w:val="auto"/>
        </w:rPr>
      </w:pPr>
      <w:r>
        <w:rPr/>
        <w:t>Concepts Adopted or Adapted by This Framework</w:t>
      </w:r>
    </w:p>
    <w:tbl>
      <w:tblPr>
        <w:tblW w:w="8640" w:type="dxa"/>
        <w:jc w:val="left"/>
        <w:tblInd w:w="28" w:type="dxa"/>
        <w:tblLayout w:type="fixed"/>
        <w:tblCellMar>
          <w:top w:w="28" w:type="dxa"/>
          <w:left w:w="28" w:type="dxa"/>
          <w:bottom w:w="28" w:type="dxa"/>
          <w:right w:w="28" w:type="dxa"/>
        </w:tblCellMar>
      </w:tblPr>
      <w:tblGrid>
        <w:gridCol w:w="2405"/>
        <w:gridCol w:w="6235"/>
      </w:tblGrid>
      <w:tr>
        <w:trPr>
          <w:tblHeader w:val="true"/>
        </w:trPr>
        <w:tc>
          <w:tcPr>
            <w:tcW w:w="2405" w:type="dxa"/>
            <w:tcBorders/>
            <w:vAlign w:val="center"/>
          </w:tcPr>
          <w:p>
            <w:pPr>
              <w:pStyle w:val="TableHeading"/>
              <w:suppressLineNumbers/>
              <w:spacing w:before="0" w:after="200"/>
              <w:jc w:val="center"/>
              <w:rPr/>
            </w:pPr>
            <w:r>
              <w:rPr/>
              <w:t>Pragmatist concept</w:t>
            </w:r>
          </w:p>
        </w:tc>
        <w:tc>
          <w:tcPr>
            <w:tcW w:w="6235" w:type="dxa"/>
            <w:tcBorders/>
            <w:vAlign w:val="center"/>
          </w:tcPr>
          <w:p>
            <w:pPr>
              <w:pStyle w:val="TableHeading"/>
              <w:suppressLineNumbers/>
              <w:spacing w:before="0" w:after="200"/>
              <w:jc w:val="center"/>
              <w:rPr/>
            </w:pPr>
            <w:r>
              <w:rPr/>
              <w:t>Adoption or adaptation within this framework</w:t>
            </w:r>
          </w:p>
        </w:tc>
      </w:tr>
      <w:tr>
        <w:trPr/>
        <w:tc>
          <w:tcPr>
            <w:tcW w:w="2405" w:type="dxa"/>
            <w:tcBorders/>
            <w:vAlign w:val="center"/>
          </w:tcPr>
          <w:p>
            <w:pPr>
              <w:pStyle w:val="TableContents"/>
              <w:widowControl w:val="false"/>
              <w:suppressLineNumbers/>
              <w:spacing w:before="0" w:after="200"/>
              <w:rPr/>
            </w:pPr>
            <w:r>
              <w:rPr>
                <w:rStyle w:val="Strong"/>
              </w:rPr>
              <w:t>Pragmatic maxim</w:t>
            </w:r>
          </w:p>
        </w:tc>
        <w:tc>
          <w:tcPr>
            <w:tcW w:w="6235" w:type="dxa"/>
            <w:tcBorders/>
            <w:vAlign w:val="center"/>
          </w:tcPr>
          <w:p>
            <w:pPr>
              <w:pStyle w:val="TableContents"/>
              <w:widowControl w:val="false"/>
              <w:suppressLineNumbers/>
              <w:spacing w:before="0" w:after="200"/>
              <w:rPr/>
            </w:pPr>
            <w:r>
              <w:rPr/>
              <w:t>Concepts and objectives can be clarified by specifying their predicted World Context Transitions.</w:t>
            </w:r>
          </w:p>
        </w:tc>
      </w:tr>
      <w:tr>
        <w:trPr/>
        <w:tc>
          <w:tcPr>
            <w:tcW w:w="2405" w:type="dxa"/>
            <w:tcBorders/>
            <w:vAlign w:val="center"/>
          </w:tcPr>
          <w:p>
            <w:pPr>
              <w:pStyle w:val="TableContents"/>
              <w:widowControl w:val="false"/>
              <w:suppressLineNumbers/>
              <w:spacing w:before="0" w:after="200"/>
              <w:rPr/>
            </w:pPr>
            <w:r>
              <w:rPr>
                <w:rStyle w:val="Strong"/>
              </w:rPr>
              <w:t>Problematic situation</w:t>
            </w:r>
          </w:p>
        </w:tc>
        <w:tc>
          <w:tcPr>
            <w:tcW w:w="6235" w:type="dxa"/>
            <w:tcBorders/>
            <w:vAlign w:val="center"/>
          </w:tcPr>
          <w:p>
            <w:pPr>
              <w:pStyle w:val="TableContents"/>
              <w:widowControl w:val="false"/>
              <w:suppressLineNumbers/>
              <w:spacing w:before="0" w:after="200"/>
              <w:rPr/>
            </w:pPr>
            <w:r>
              <w:rPr/>
              <w:t>A Situational Context can identify the conflict, disruption, uncertainty, or unmet condition requiring assessment.</w:t>
            </w:r>
          </w:p>
        </w:tc>
      </w:tr>
      <w:tr>
        <w:trPr/>
        <w:tc>
          <w:tcPr>
            <w:tcW w:w="2405" w:type="dxa"/>
            <w:tcBorders/>
            <w:vAlign w:val="center"/>
          </w:tcPr>
          <w:p>
            <w:pPr>
              <w:pStyle w:val="TableContents"/>
              <w:widowControl w:val="false"/>
              <w:suppressLineNumbers/>
              <w:spacing w:before="0" w:after="200"/>
              <w:rPr/>
            </w:pPr>
            <w:r>
              <w:rPr>
                <w:rStyle w:val="Strong"/>
              </w:rPr>
              <w:t>Ends-in-view</w:t>
            </w:r>
          </w:p>
        </w:tc>
        <w:tc>
          <w:tcPr>
            <w:tcW w:w="6235" w:type="dxa"/>
            <w:tcBorders/>
            <w:vAlign w:val="center"/>
          </w:tcPr>
          <w:p>
            <w:pPr>
              <w:pStyle w:val="TableContents"/>
              <w:widowControl w:val="false"/>
              <w:suppressLineNumbers/>
              <w:spacing w:before="0" w:after="200"/>
              <w:rPr/>
            </w:pPr>
            <w:r>
              <w:rPr/>
              <w:t>Objectives can be treated as provisional hypotheses about desirable future states rather than immutable ends.</w:t>
            </w:r>
          </w:p>
        </w:tc>
      </w:tr>
      <w:tr>
        <w:trPr/>
        <w:tc>
          <w:tcPr>
            <w:tcW w:w="2405" w:type="dxa"/>
            <w:tcBorders/>
            <w:vAlign w:val="center"/>
          </w:tcPr>
          <w:p>
            <w:pPr>
              <w:pStyle w:val="TableContents"/>
              <w:widowControl w:val="false"/>
              <w:suppressLineNumbers/>
              <w:spacing w:before="0" w:after="200"/>
              <w:rPr/>
            </w:pPr>
            <w:r>
              <w:rPr>
                <w:rStyle w:val="Strong"/>
              </w:rPr>
              <w:t>Fallibilism</w:t>
            </w:r>
          </w:p>
        </w:tc>
        <w:tc>
          <w:tcPr>
            <w:tcW w:w="6235" w:type="dxa"/>
            <w:tcBorders/>
            <w:vAlign w:val="center"/>
          </w:tcPr>
          <w:p>
            <w:pPr>
              <w:pStyle w:val="TableContents"/>
              <w:widowControl w:val="false"/>
              <w:suppressLineNumbers/>
              <w:spacing w:before="0" w:after="200"/>
              <w:rPr/>
            </w:pPr>
            <w:r>
              <w:rPr/>
              <w:t>Assumptions, probabilities, evidence, and conclusions remain open to revision.</w:t>
            </w:r>
          </w:p>
        </w:tc>
      </w:tr>
      <w:tr>
        <w:trPr/>
        <w:tc>
          <w:tcPr>
            <w:tcW w:w="2405" w:type="dxa"/>
            <w:tcBorders/>
            <w:vAlign w:val="center"/>
          </w:tcPr>
          <w:p>
            <w:pPr>
              <w:pStyle w:val="TableContents"/>
              <w:widowControl w:val="false"/>
              <w:suppressLineNumbers/>
              <w:spacing w:before="0" w:after="200"/>
              <w:rPr/>
            </w:pPr>
            <w:r>
              <w:rPr>
                <w:rStyle w:val="Strong"/>
              </w:rPr>
              <w:t>Experimental inquiry</w:t>
            </w:r>
          </w:p>
        </w:tc>
        <w:tc>
          <w:tcPr>
            <w:tcW w:w="6235" w:type="dxa"/>
            <w:tcBorders/>
            <w:vAlign w:val="center"/>
          </w:tcPr>
          <w:p>
            <w:pPr>
              <w:pStyle w:val="TableContents"/>
              <w:widowControl w:val="false"/>
              <w:suppressLineNumbers/>
              <w:spacing w:before="0" w:after="200"/>
              <w:rPr/>
            </w:pPr>
            <w:r>
              <w:rPr/>
              <w:t>Proposed actions can be tested through pilots, staged deployment, monitoring, and comparison with alternatives.</w:t>
            </w:r>
          </w:p>
        </w:tc>
      </w:tr>
      <w:tr>
        <w:trPr/>
        <w:tc>
          <w:tcPr>
            <w:tcW w:w="2405" w:type="dxa"/>
            <w:tcBorders/>
            <w:vAlign w:val="center"/>
          </w:tcPr>
          <w:p>
            <w:pPr>
              <w:pStyle w:val="TableContents"/>
              <w:widowControl w:val="false"/>
              <w:suppressLineNumbers/>
              <w:spacing w:before="0" w:after="200"/>
              <w:rPr/>
            </w:pPr>
            <w:r>
              <w:rPr>
                <w:rStyle w:val="Strong"/>
              </w:rPr>
              <w:t>Abduction</w:t>
            </w:r>
          </w:p>
        </w:tc>
        <w:tc>
          <w:tcPr>
            <w:tcW w:w="6235" w:type="dxa"/>
            <w:tcBorders/>
            <w:vAlign w:val="center"/>
          </w:tcPr>
          <w:p>
            <w:pPr>
              <w:pStyle w:val="TableContents"/>
              <w:widowControl w:val="false"/>
              <w:suppressLineNumbers/>
              <w:spacing w:before="0" w:after="200"/>
              <w:rPr/>
            </w:pPr>
            <w:r>
              <w:rPr/>
              <w:t>Candidate explanations and actions can be generated as hypotheses before deductive and empirical testing.</w:t>
            </w:r>
          </w:p>
        </w:tc>
      </w:tr>
      <w:tr>
        <w:trPr/>
        <w:tc>
          <w:tcPr>
            <w:tcW w:w="2405" w:type="dxa"/>
            <w:tcBorders/>
            <w:vAlign w:val="center"/>
          </w:tcPr>
          <w:p>
            <w:pPr>
              <w:pStyle w:val="TableContents"/>
              <w:widowControl w:val="false"/>
              <w:suppressLineNumbers/>
              <w:spacing w:before="0" w:after="200"/>
              <w:rPr/>
            </w:pPr>
            <w:r>
              <w:rPr>
                <w:rStyle w:val="Strong"/>
              </w:rPr>
              <w:t>Instrumentalism</w:t>
            </w:r>
          </w:p>
        </w:tc>
        <w:tc>
          <w:tcPr>
            <w:tcW w:w="6235" w:type="dxa"/>
            <w:tcBorders/>
            <w:vAlign w:val="center"/>
          </w:tcPr>
          <w:p>
            <w:pPr>
              <w:pStyle w:val="TableContents"/>
              <w:widowControl w:val="false"/>
              <w:suppressLineNumbers/>
              <w:spacing w:before="0" w:after="200"/>
              <w:rPr/>
            </w:pPr>
            <w:r>
              <w:rPr/>
              <w:t>Models, metrics, rules, and classifications can be treated as tools whose adequacy depends on the inquiry they support.</w:t>
            </w:r>
          </w:p>
        </w:tc>
      </w:tr>
      <w:tr>
        <w:trPr/>
        <w:tc>
          <w:tcPr>
            <w:tcW w:w="2405" w:type="dxa"/>
            <w:tcBorders/>
            <w:vAlign w:val="center"/>
          </w:tcPr>
          <w:p>
            <w:pPr>
              <w:pStyle w:val="TableContents"/>
              <w:widowControl w:val="false"/>
              <w:suppressLineNumbers/>
              <w:spacing w:before="0" w:after="200"/>
              <w:rPr/>
            </w:pPr>
            <w:r>
              <w:rPr>
                <w:rStyle w:val="Strong"/>
              </w:rPr>
              <w:t>Consequences</w:t>
            </w:r>
          </w:p>
        </w:tc>
        <w:tc>
          <w:tcPr>
            <w:tcW w:w="6235" w:type="dxa"/>
            <w:tcBorders/>
            <w:vAlign w:val="center"/>
          </w:tcPr>
          <w:p>
            <w:pPr>
              <w:pStyle w:val="TableContents"/>
              <w:widowControl w:val="false"/>
              <w:suppressLineNumbers/>
              <w:spacing w:before="0" w:after="200"/>
              <w:rPr/>
            </w:pPr>
            <w:r>
              <w:rPr/>
              <w:t>The complete World Context Transition includes direct, indirect, delayed, relational, and institutional effects.</w:t>
            </w:r>
          </w:p>
        </w:tc>
      </w:tr>
      <w:tr>
        <w:trPr/>
        <w:tc>
          <w:tcPr>
            <w:tcW w:w="2405" w:type="dxa"/>
            <w:tcBorders/>
            <w:vAlign w:val="center"/>
          </w:tcPr>
          <w:p>
            <w:pPr>
              <w:pStyle w:val="TableContents"/>
              <w:widowControl w:val="false"/>
              <w:suppressLineNumbers/>
              <w:spacing w:before="0" w:after="200"/>
              <w:rPr/>
            </w:pPr>
            <w:r>
              <w:rPr>
                <w:rStyle w:val="Strong"/>
              </w:rPr>
              <w:t>Means–ends continuity</w:t>
            </w:r>
          </w:p>
        </w:tc>
        <w:tc>
          <w:tcPr>
            <w:tcW w:w="6235" w:type="dxa"/>
            <w:tcBorders/>
            <w:vAlign w:val="center"/>
          </w:tcPr>
          <w:p>
            <w:pPr>
              <w:pStyle w:val="TableContents"/>
              <w:widowControl w:val="false"/>
              <w:suppressLineNumbers/>
              <w:spacing w:before="0" w:after="200"/>
              <w:rPr/>
            </w:pPr>
            <w:r>
              <w:rPr/>
              <w:t>The framework evaluates how the method used to pursue an objective changes the objective, actors, relationships, and later possibilities.</w:t>
            </w:r>
          </w:p>
        </w:tc>
      </w:tr>
      <w:tr>
        <w:trPr/>
        <w:tc>
          <w:tcPr>
            <w:tcW w:w="2405" w:type="dxa"/>
            <w:tcBorders/>
            <w:vAlign w:val="center"/>
          </w:tcPr>
          <w:p>
            <w:pPr>
              <w:pStyle w:val="TableContents"/>
              <w:widowControl w:val="false"/>
              <w:suppressLineNumbers/>
              <w:spacing w:before="0" w:after="200"/>
              <w:rPr/>
            </w:pPr>
            <w:r>
              <w:rPr>
                <w:rStyle w:val="Strong"/>
              </w:rPr>
              <w:t>Habit</w:t>
            </w:r>
          </w:p>
        </w:tc>
        <w:tc>
          <w:tcPr>
            <w:tcW w:w="6235" w:type="dxa"/>
            <w:tcBorders/>
            <w:vAlign w:val="center"/>
          </w:tcPr>
          <w:p>
            <w:pPr>
              <w:pStyle w:val="TableContents"/>
              <w:widowControl w:val="false"/>
              <w:suppressLineNumbers/>
              <w:spacing w:before="0" w:after="200"/>
              <w:rPr/>
            </w:pPr>
            <w:r>
              <w:rPr/>
              <w:t>Individual and institutional policies can be modeled as persistent dispositions to respond in particular ways.</w:t>
            </w:r>
          </w:p>
        </w:tc>
      </w:tr>
      <w:tr>
        <w:trPr/>
        <w:tc>
          <w:tcPr>
            <w:tcW w:w="2405" w:type="dxa"/>
            <w:tcBorders/>
            <w:vAlign w:val="center"/>
          </w:tcPr>
          <w:p>
            <w:pPr>
              <w:pStyle w:val="TableContents"/>
              <w:widowControl w:val="false"/>
              <w:suppressLineNumbers/>
              <w:spacing w:before="0" w:after="200"/>
              <w:rPr/>
            </w:pPr>
            <w:r>
              <w:rPr>
                <w:rStyle w:val="Strong"/>
              </w:rPr>
              <w:t>Transaction</w:t>
            </w:r>
          </w:p>
        </w:tc>
        <w:tc>
          <w:tcPr>
            <w:tcW w:w="6235" w:type="dxa"/>
            <w:tcBorders/>
            <w:vAlign w:val="center"/>
          </w:tcPr>
          <w:p>
            <w:pPr>
              <w:pStyle w:val="TableContents"/>
              <w:widowControl w:val="false"/>
              <w:suppressLineNumbers/>
              <w:spacing w:before="0" w:after="200"/>
              <w:rPr/>
            </w:pPr>
            <w:r>
              <w:rPr/>
              <w:t>Objects and Associations change one another through interaction rather than remaining fully independent.</w:t>
            </w:r>
          </w:p>
        </w:tc>
      </w:tr>
      <w:tr>
        <w:trPr/>
        <w:tc>
          <w:tcPr>
            <w:tcW w:w="2405" w:type="dxa"/>
            <w:tcBorders/>
            <w:vAlign w:val="center"/>
          </w:tcPr>
          <w:p>
            <w:pPr>
              <w:pStyle w:val="TableContents"/>
              <w:widowControl w:val="false"/>
              <w:suppressLineNumbers/>
              <w:spacing w:before="0" w:after="200"/>
              <w:rPr/>
            </w:pPr>
            <w:r>
              <w:rPr>
                <w:rStyle w:val="Strong"/>
              </w:rPr>
              <w:t>Community of inquiry</w:t>
            </w:r>
          </w:p>
        </w:tc>
        <w:tc>
          <w:tcPr>
            <w:tcW w:w="6235" w:type="dxa"/>
            <w:tcBorders/>
            <w:vAlign w:val="center"/>
          </w:tcPr>
          <w:p>
            <w:pPr>
              <w:pStyle w:val="TableContents"/>
              <w:widowControl w:val="false"/>
              <w:suppressLineNumbers/>
              <w:spacing w:before="0" w:after="200"/>
              <w:rPr/>
            </w:pPr>
            <w:r>
              <w:rPr/>
              <w:t>Assessments can include experts, affected entities, institutions, critics, and observers with different forms of knowledge.</w:t>
            </w:r>
          </w:p>
        </w:tc>
      </w:tr>
      <w:tr>
        <w:trPr/>
        <w:tc>
          <w:tcPr>
            <w:tcW w:w="2405" w:type="dxa"/>
            <w:tcBorders/>
            <w:vAlign w:val="center"/>
          </w:tcPr>
          <w:p>
            <w:pPr>
              <w:pStyle w:val="TableContents"/>
              <w:widowControl w:val="false"/>
              <w:suppressLineNumbers/>
              <w:spacing w:before="0" w:after="200"/>
              <w:rPr/>
            </w:pPr>
            <w:r>
              <w:rPr>
                <w:rStyle w:val="Strong"/>
              </w:rPr>
              <w:t>Democratic participation</w:t>
            </w:r>
          </w:p>
        </w:tc>
        <w:tc>
          <w:tcPr>
            <w:tcW w:w="6235" w:type="dxa"/>
            <w:tcBorders/>
            <w:vAlign w:val="center"/>
          </w:tcPr>
          <w:p>
            <w:pPr>
              <w:pStyle w:val="TableContents"/>
              <w:widowControl w:val="false"/>
              <w:suppressLineNumbers/>
              <w:spacing w:before="0" w:after="200"/>
              <w:rPr/>
            </w:pPr>
            <w:r>
              <w:rPr/>
              <w:t>Participation can improve both legitimacy and the quality of information available to the assessment.</w:t>
            </w:r>
          </w:p>
        </w:tc>
      </w:tr>
      <w:tr>
        <w:trPr/>
        <w:tc>
          <w:tcPr>
            <w:tcW w:w="2405" w:type="dxa"/>
            <w:tcBorders/>
            <w:vAlign w:val="center"/>
          </w:tcPr>
          <w:p>
            <w:pPr>
              <w:pStyle w:val="TableContents"/>
              <w:widowControl w:val="false"/>
              <w:suppressLineNumbers/>
              <w:spacing w:before="0" w:after="200"/>
              <w:rPr/>
            </w:pPr>
            <w:r>
              <w:rPr>
                <w:rStyle w:val="Strong"/>
              </w:rPr>
              <w:t>Pluralism</w:t>
            </w:r>
          </w:p>
        </w:tc>
        <w:tc>
          <w:tcPr>
            <w:tcW w:w="6235" w:type="dxa"/>
            <w:tcBorders/>
            <w:vAlign w:val="center"/>
          </w:tcPr>
          <w:p>
            <w:pPr>
              <w:pStyle w:val="TableContents"/>
              <w:widowControl w:val="false"/>
              <w:suppressLineNumbers/>
              <w:spacing w:before="0" w:after="200"/>
              <w:rPr/>
            </w:pPr>
            <w:r>
              <w:rPr/>
              <w:t>Multiple objectives, values, models, and perspectives can be preserved within the World Context.</w:t>
            </w:r>
          </w:p>
        </w:tc>
      </w:tr>
      <w:tr>
        <w:trPr/>
        <w:tc>
          <w:tcPr>
            <w:tcW w:w="2405" w:type="dxa"/>
            <w:tcBorders/>
            <w:vAlign w:val="center"/>
          </w:tcPr>
          <w:p>
            <w:pPr>
              <w:pStyle w:val="TableContents"/>
              <w:widowControl w:val="false"/>
              <w:suppressLineNumbers/>
              <w:spacing w:before="0" w:after="200"/>
              <w:rPr/>
            </w:pPr>
            <w:r>
              <w:rPr>
                <w:rStyle w:val="Strong"/>
              </w:rPr>
              <w:t>Meliorism</w:t>
            </w:r>
          </w:p>
        </w:tc>
        <w:tc>
          <w:tcPr>
            <w:tcW w:w="6235" w:type="dxa"/>
            <w:tcBorders/>
            <w:vAlign w:val="center"/>
          </w:tcPr>
          <w:p>
            <w:pPr>
              <w:pStyle w:val="TableContents"/>
              <w:widowControl w:val="false"/>
              <w:suppressLineNumbers/>
              <w:spacing w:before="0" w:after="200"/>
              <w:rPr/>
            </w:pPr>
            <w:r>
              <w:rPr/>
              <w:t>The framework seeks feasible improvement in flourishing rather than requiring an unattainable perfect state.</w:t>
            </w:r>
          </w:p>
        </w:tc>
      </w:tr>
      <w:tr>
        <w:trPr/>
        <w:tc>
          <w:tcPr>
            <w:tcW w:w="2405" w:type="dxa"/>
            <w:tcBorders/>
            <w:vAlign w:val="center"/>
          </w:tcPr>
          <w:p>
            <w:pPr>
              <w:pStyle w:val="TableContents"/>
              <w:widowControl w:val="false"/>
              <w:suppressLineNumbers/>
              <w:spacing w:before="0" w:after="200"/>
              <w:rPr/>
            </w:pPr>
            <w:r>
              <w:rPr>
                <w:rStyle w:val="Strong"/>
              </w:rPr>
              <w:t>Learning from consequences</w:t>
            </w:r>
          </w:p>
        </w:tc>
        <w:tc>
          <w:tcPr>
            <w:tcW w:w="6235" w:type="dxa"/>
            <w:tcBorders/>
            <w:vAlign w:val="center"/>
          </w:tcPr>
          <w:p>
            <w:pPr>
              <w:pStyle w:val="TableContents"/>
              <w:widowControl w:val="false"/>
              <w:suppressLineNumbers/>
              <w:spacing w:before="0" w:after="200"/>
              <w:rPr/>
            </w:pPr>
            <w:r>
              <w:rPr/>
              <w:t>Predicted transitions can be compared with observed transitions to update future policies.</w:t>
            </w:r>
          </w:p>
        </w:tc>
      </w:tr>
      <w:tr>
        <w:trPr/>
        <w:tc>
          <w:tcPr>
            <w:tcW w:w="2405" w:type="dxa"/>
            <w:tcBorders/>
            <w:vAlign w:val="center"/>
          </w:tcPr>
          <w:p>
            <w:pPr>
              <w:pStyle w:val="TableContents"/>
              <w:widowControl w:val="false"/>
              <w:suppressLineNumbers/>
              <w:spacing w:before="0" w:after="200"/>
              <w:rPr/>
            </w:pPr>
            <w:r>
              <w:rPr>
                <w:rStyle w:val="Strong"/>
              </w:rPr>
              <w:t>Socially constructed agency</w:t>
            </w:r>
          </w:p>
        </w:tc>
        <w:tc>
          <w:tcPr>
            <w:tcW w:w="6235" w:type="dxa"/>
            <w:tcBorders/>
            <w:vAlign w:val="center"/>
          </w:tcPr>
          <w:p>
            <w:pPr>
              <w:pStyle w:val="TableContents"/>
              <w:widowControl w:val="false"/>
              <w:suppressLineNumbers/>
              <w:spacing w:before="0" w:after="200"/>
              <w:rPr/>
            </w:pPr>
            <w:r>
              <w:rPr/>
              <w:t>Moral agents can be modeled as shaped by language, institutions, relationships, and prior policy effects.</w:t>
            </w:r>
          </w:p>
        </w:tc>
      </w:tr>
      <w:tr>
        <w:trPr/>
        <w:tc>
          <w:tcPr>
            <w:tcW w:w="2405" w:type="dxa"/>
            <w:tcBorders/>
            <w:vAlign w:val="center"/>
          </w:tcPr>
          <w:p>
            <w:pPr>
              <w:pStyle w:val="TableContents"/>
              <w:widowControl w:val="false"/>
              <w:suppressLineNumbers/>
              <w:spacing w:before="0" w:after="200"/>
              <w:rPr/>
            </w:pPr>
            <w:r>
              <w:rPr>
                <w:rStyle w:val="Strong"/>
              </w:rPr>
              <w:t>Inquiry as continuing</w:t>
            </w:r>
          </w:p>
        </w:tc>
        <w:tc>
          <w:tcPr>
            <w:tcW w:w="6235" w:type="dxa"/>
            <w:tcBorders/>
            <w:vAlign w:val="center"/>
          </w:tcPr>
          <w:p>
            <w:pPr>
              <w:pStyle w:val="TableContents"/>
              <w:widowControl w:val="false"/>
              <w:suppressLineNumbers/>
              <w:spacing w:before="0" w:after="200"/>
              <w:rPr/>
            </w:pPr>
            <w:r>
              <w:rPr/>
              <w:t>An assessment can remain open to monitoring and revision rather than ending permanently when an initial action is selected.</w:t>
            </w:r>
          </w:p>
        </w:tc>
      </w:tr>
    </w:tbl>
    <w:p>
      <w:pPr>
        <w:pStyle w:val="Heading4"/>
        <w:ind w:hanging="0" w:left="0"/>
        <w:rPr>
          <w:rFonts w:ascii="Aptos" w:hAnsi="Aptos"/>
          <w:color w:val="auto"/>
        </w:rPr>
      </w:pPr>
      <w:r>
        <w:rPr/>
        <w:t>Similarities</w:t>
      </w:r>
    </w:p>
    <w:p>
      <w:pPr>
        <w:pStyle w:val="BodyText"/>
        <w:spacing w:before="0" w:after="200"/>
        <w:rPr/>
      </w:pPr>
      <w:r>
        <w:rPr/>
        <w:t>Pragmatism and this framework share several important commitments:</w:t>
      </w:r>
    </w:p>
    <w:p>
      <w:pPr>
        <w:pStyle w:val="BodyText"/>
        <w:numPr>
          <w:ilvl w:val="0"/>
          <w:numId w:val="91"/>
        </w:numPr>
        <w:tabs>
          <w:tab w:val="clear" w:pos="720"/>
          <w:tab w:val="left" w:pos="0" w:leader="none"/>
        </w:tabs>
        <w:spacing w:before="0" w:after="200"/>
        <w:ind w:hanging="283" w:left="709"/>
        <w:rPr/>
      </w:pPr>
      <w:r>
        <w:rPr/>
        <w:t>Both judge objectives partly through the practical consequences of pursuing them.</w:t>
      </w:r>
    </w:p>
    <w:p>
      <w:pPr>
        <w:pStyle w:val="BodyText"/>
        <w:numPr>
          <w:ilvl w:val="0"/>
          <w:numId w:val="91"/>
        </w:numPr>
        <w:tabs>
          <w:tab w:val="clear" w:pos="720"/>
          <w:tab w:val="left" w:pos="0" w:leader="none"/>
        </w:tabs>
        <w:spacing w:before="0" w:after="200"/>
        <w:ind w:hanging="283" w:left="709"/>
        <w:rPr/>
      </w:pPr>
      <w:r>
        <w:rPr/>
        <w:t>Both reject reliance on abstract labels as substitutes for analysis.</w:t>
      </w:r>
    </w:p>
    <w:p>
      <w:pPr>
        <w:pStyle w:val="BodyText"/>
        <w:numPr>
          <w:ilvl w:val="0"/>
          <w:numId w:val="91"/>
        </w:numPr>
        <w:tabs>
          <w:tab w:val="clear" w:pos="720"/>
          <w:tab w:val="left" w:pos="0" w:leader="none"/>
        </w:tabs>
        <w:spacing w:before="0" w:after="200"/>
        <w:ind w:hanging="283" w:left="709"/>
        <w:rPr/>
      </w:pPr>
      <w:r>
        <w:rPr/>
        <w:t>Both use context-sensitive reasoning.</w:t>
      </w:r>
    </w:p>
    <w:p>
      <w:pPr>
        <w:pStyle w:val="BodyText"/>
        <w:numPr>
          <w:ilvl w:val="0"/>
          <w:numId w:val="91"/>
        </w:numPr>
        <w:tabs>
          <w:tab w:val="clear" w:pos="720"/>
          <w:tab w:val="left" w:pos="0" w:leader="none"/>
        </w:tabs>
        <w:spacing w:before="0" w:after="200"/>
        <w:ind w:hanging="283" w:left="709"/>
        <w:rPr/>
      </w:pPr>
      <w:r>
        <w:rPr/>
        <w:t>Both recognize that present knowledge is incomplete and revisable.</w:t>
      </w:r>
    </w:p>
    <w:p>
      <w:pPr>
        <w:pStyle w:val="BodyText"/>
        <w:numPr>
          <w:ilvl w:val="0"/>
          <w:numId w:val="91"/>
        </w:numPr>
        <w:tabs>
          <w:tab w:val="clear" w:pos="720"/>
          <w:tab w:val="left" w:pos="0" w:leader="none"/>
        </w:tabs>
        <w:spacing w:before="0" w:after="200"/>
        <w:ind w:hanging="283" w:left="709"/>
        <w:rPr/>
      </w:pPr>
      <w:r>
        <w:rPr/>
        <w:t>Both support evidence-based comparison of alternatives.</w:t>
      </w:r>
    </w:p>
    <w:p>
      <w:pPr>
        <w:pStyle w:val="BodyText"/>
        <w:numPr>
          <w:ilvl w:val="0"/>
          <w:numId w:val="91"/>
        </w:numPr>
        <w:tabs>
          <w:tab w:val="clear" w:pos="720"/>
          <w:tab w:val="left" w:pos="0" w:leader="none"/>
        </w:tabs>
        <w:spacing w:before="0" w:after="200"/>
        <w:ind w:hanging="283" w:left="709"/>
        <w:rPr/>
      </w:pPr>
      <w:r>
        <w:rPr/>
        <w:t>Both distinguish an actor’s stated intention from the transition actually produced.</w:t>
      </w:r>
    </w:p>
    <w:p>
      <w:pPr>
        <w:pStyle w:val="BodyText"/>
        <w:numPr>
          <w:ilvl w:val="0"/>
          <w:numId w:val="91"/>
        </w:numPr>
        <w:tabs>
          <w:tab w:val="clear" w:pos="720"/>
          <w:tab w:val="left" w:pos="0" w:leader="none"/>
        </w:tabs>
        <w:spacing w:before="0" w:after="200"/>
        <w:ind w:hanging="283" w:left="709"/>
        <w:rPr/>
      </w:pPr>
      <w:r>
        <w:rPr/>
        <w:t>Both recognize direct, indirect, delayed, and institutional effects.</w:t>
      </w:r>
    </w:p>
    <w:p>
      <w:pPr>
        <w:pStyle w:val="BodyText"/>
        <w:numPr>
          <w:ilvl w:val="0"/>
          <w:numId w:val="91"/>
        </w:numPr>
        <w:tabs>
          <w:tab w:val="clear" w:pos="720"/>
          <w:tab w:val="left" w:pos="0" w:leader="none"/>
        </w:tabs>
        <w:spacing w:before="0" w:after="200"/>
        <w:ind w:hanging="283" w:left="709"/>
        <w:rPr/>
      </w:pPr>
      <w:r>
        <w:rPr/>
        <w:t>Both evaluate how actions change future conduct and decision policies.</w:t>
      </w:r>
    </w:p>
    <w:p>
      <w:pPr>
        <w:pStyle w:val="BodyText"/>
        <w:numPr>
          <w:ilvl w:val="0"/>
          <w:numId w:val="91"/>
        </w:numPr>
        <w:tabs>
          <w:tab w:val="clear" w:pos="720"/>
          <w:tab w:val="left" w:pos="0" w:leader="none"/>
        </w:tabs>
        <w:spacing w:before="0" w:after="200"/>
        <w:ind w:hanging="283" w:left="709"/>
        <w:rPr/>
      </w:pPr>
      <w:r>
        <w:rPr/>
        <w:t>Both understand moral agents as capable of learning and adaptation.</w:t>
      </w:r>
    </w:p>
    <w:p>
      <w:pPr>
        <w:pStyle w:val="BodyText"/>
        <w:numPr>
          <w:ilvl w:val="0"/>
          <w:numId w:val="91"/>
        </w:numPr>
        <w:tabs>
          <w:tab w:val="clear" w:pos="720"/>
          <w:tab w:val="left" w:pos="0" w:leader="none"/>
        </w:tabs>
        <w:spacing w:before="0" w:after="200"/>
        <w:ind w:hanging="283" w:left="709"/>
        <w:rPr/>
      </w:pPr>
      <w:r>
        <w:rPr/>
        <w:t>Both can incorporate qualitative and quantitative evidence.</w:t>
      </w:r>
    </w:p>
    <w:p>
      <w:pPr>
        <w:pStyle w:val="BodyText"/>
        <w:numPr>
          <w:ilvl w:val="0"/>
          <w:numId w:val="91"/>
        </w:numPr>
        <w:tabs>
          <w:tab w:val="clear" w:pos="720"/>
          <w:tab w:val="left" w:pos="0" w:leader="none"/>
        </w:tabs>
        <w:spacing w:before="0" w:after="200"/>
        <w:ind w:hanging="283" w:left="709"/>
        <w:rPr/>
      </w:pPr>
      <w:r>
        <w:rPr/>
        <w:t>Both recognize that objectives may change as agents learn more about the problem.</w:t>
      </w:r>
    </w:p>
    <w:p>
      <w:pPr>
        <w:pStyle w:val="BodyText"/>
        <w:numPr>
          <w:ilvl w:val="0"/>
          <w:numId w:val="91"/>
        </w:numPr>
        <w:tabs>
          <w:tab w:val="clear" w:pos="720"/>
          <w:tab w:val="left" w:pos="0" w:leader="none"/>
        </w:tabs>
        <w:spacing w:before="0" w:after="200"/>
        <w:ind w:hanging="283" w:left="709"/>
        <w:rPr/>
      </w:pPr>
      <w:r>
        <w:rPr/>
        <w:t>Both support testing, monitoring, feedback, and correction.</w:t>
      </w:r>
    </w:p>
    <w:p>
      <w:pPr>
        <w:pStyle w:val="BodyText"/>
        <w:numPr>
          <w:ilvl w:val="0"/>
          <w:numId w:val="91"/>
        </w:numPr>
        <w:tabs>
          <w:tab w:val="clear" w:pos="720"/>
          <w:tab w:val="left" w:pos="0" w:leader="none"/>
        </w:tabs>
        <w:spacing w:before="0" w:after="200"/>
        <w:ind w:hanging="283" w:left="709"/>
        <w:rPr/>
      </w:pPr>
      <w:r>
        <w:rPr/>
        <w:t>Both recognize that institutions shape individual conduct.</w:t>
      </w:r>
    </w:p>
    <w:p>
      <w:pPr>
        <w:pStyle w:val="BodyText"/>
        <w:numPr>
          <w:ilvl w:val="0"/>
          <w:numId w:val="91"/>
        </w:numPr>
        <w:tabs>
          <w:tab w:val="clear" w:pos="720"/>
          <w:tab w:val="left" w:pos="0" w:leader="none"/>
        </w:tabs>
        <w:spacing w:before="0" w:after="200"/>
        <w:ind w:hanging="283" w:left="709"/>
        <w:rPr/>
      </w:pPr>
      <w:r>
        <w:rPr/>
        <w:t>Both can treat affected entities as sources of morally and epistemically relevant information.</w:t>
      </w:r>
    </w:p>
    <w:p>
      <w:pPr>
        <w:pStyle w:val="BodyText"/>
        <w:numPr>
          <w:ilvl w:val="0"/>
          <w:numId w:val="91"/>
        </w:numPr>
        <w:tabs>
          <w:tab w:val="clear" w:pos="720"/>
          <w:tab w:val="left" w:pos="0" w:leader="none"/>
        </w:tabs>
        <w:spacing w:before="0" w:after="200"/>
        <w:ind w:hanging="283" w:left="709"/>
        <w:rPr/>
      </w:pPr>
      <w:r>
        <w:rPr/>
        <w:t>Both reject the assumption that aggregate metrics alone capture the complete ethical situation.</w:t>
      </w:r>
    </w:p>
    <w:p>
      <w:pPr>
        <w:pStyle w:val="BodyText"/>
        <w:numPr>
          <w:ilvl w:val="0"/>
          <w:numId w:val="91"/>
        </w:numPr>
        <w:tabs>
          <w:tab w:val="clear" w:pos="720"/>
          <w:tab w:val="left" w:pos="0" w:leader="none"/>
        </w:tabs>
        <w:spacing w:before="0" w:after="200"/>
        <w:ind w:hanging="283" w:left="709"/>
        <w:rPr/>
      </w:pPr>
      <w:r>
        <w:rPr/>
        <w:t>Both favor explainable reasoning over unsupported certainty.</w:t>
      </w:r>
    </w:p>
    <w:p>
      <w:pPr>
        <w:pStyle w:val="BodyText"/>
        <w:numPr>
          <w:ilvl w:val="0"/>
          <w:numId w:val="91"/>
        </w:numPr>
        <w:tabs>
          <w:tab w:val="clear" w:pos="720"/>
          <w:tab w:val="left" w:pos="0" w:leader="none"/>
        </w:tabs>
        <w:spacing w:before="0" w:after="200"/>
        <w:ind w:hanging="283" w:left="709"/>
        <w:rPr/>
      </w:pPr>
      <w:r>
        <w:rPr/>
        <w:t>Both support plural perspectives when they improve inquiry.</w:t>
      </w:r>
    </w:p>
    <w:p>
      <w:pPr>
        <w:pStyle w:val="BodyText"/>
        <w:numPr>
          <w:ilvl w:val="0"/>
          <w:numId w:val="91"/>
        </w:numPr>
        <w:tabs>
          <w:tab w:val="clear" w:pos="720"/>
          <w:tab w:val="left" w:pos="0" w:leader="none"/>
        </w:tabs>
        <w:spacing w:before="0" w:after="200"/>
        <w:ind w:hanging="283" w:left="709"/>
        <w:rPr/>
      </w:pPr>
      <w:r>
        <w:rPr/>
        <w:t>Both permit progress without requiring final agreement on every metaphysical question.</w:t>
      </w:r>
    </w:p>
    <w:p>
      <w:pPr>
        <w:pStyle w:val="Heading4"/>
        <w:ind w:hanging="0" w:left="0"/>
        <w:rPr>
          <w:rFonts w:ascii="Aptos" w:hAnsi="Aptos"/>
          <w:color w:val="auto"/>
        </w:rPr>
      </w:pPr>
      <w:r>
        <w:rPr/>
        <w:t>Differences</w:t>
      </w:r>
    </w:p>
    <w:tbl>
      <w:tblPr>
        <w:tblW w:w="8640" w:type="dxa"/>
        <w:jc w:val="left"/>
        <w:tblInd w:w="28" w:type="dxa"/>
        <w:tblLayout w:type="fixed"/>
        <w:tblCellMar>
          <w:top w:w="28" w:type="dxa"/>
          <w:left w:w="28" w:type="dxa"/>
          <w:bottom w:w="28" w:type="dxa"/>
          <w:right w:w="28" w:type="dxa"/>
        </w:tblCellMar>
      </w:tblPr>
      <w:tblGrid>
        <w:gridCol w:w="2052"/>
        <w:gridCol w:w="3087"/>
        <w:gridCol w:w="3501"/>
      </w:tblGrid>
      <w:tr>
        <w:trPr>
          <w:tblHeader w:val="true"/>
        </w:trPr>
        <w:tc>
          <w:tcPr>
            <w:tcW w:w="2052" w:type="dxa"/>
            <w:tcBorders/>
            <w:vAlign w:val="center"/>
          </w:tcPr>
          <w:p>
            <w:pPr>
              <w:pStyle w:val="TableHeading"/>
              <w:suppressLineNumbers/>
              <w:spacing w:before="0" w:after="200"/>
              <w:jc w:val="center"/>
              <w:rPr/>
            </w:pPr>
            <w:r>
              <w:rPr/>
              <w:t>Dimension</w:t>
            </w:r>
          </w:p>
        </w:tc>
        <w:tc>
          <w:tcPr>
            <w:tcW w:w="3087" w:type="dxa"/>
            <w:tcBorders/>
            <w:vAlign w:val="center"/>
          </w:tcPr>
          <w:p>
            <w:pPr>
              <w:pStyle w:val="TableHeading"/>
              <w:suppressLineNumbers/>
              <w:spacing w:before="0" w:after="200"/>
              <w:jc w:val="center"/>
              <w:rPr/>
            </w:pPr>
            <w:r>
              <w:rPr/>
              <w:t>Pragmatism</w:t>
            </w:r>
          </w:p>
        </w:tc>
        <w:tc>
          <w:tcPr>
            <w:tcW w:w="3501" w:type="dxa"/>
            <w:tcBorders/>
            <w:vAlign w:val="center"/>
          </w:tcPr>
          <w:p>
            <w:pPr>
              <w:pStyle w:val="TableHeading"/>
              <w:suppressLineNumbers/>
              <w:spacing w:before="0" w:after="200"/>
              <w:jc w:val="center"/>
              <w:rPr/>
            </w:pPr>
            <w:r>
              <w:rPr/>
              <w:t>This framework</w:t>
            </w:r>
          </w:p>
        </w:tc>
      </w:tr>
      <w:tr>
        <w:trPr/>
        <w:tc>
          <w:tcPr>
            <w:tcW w:w="2052" w:type="dxa"/>
            <w:tcBorders/>
            <w:vAlign w:val="center"/>
          </w:tcPr>
          <w:p>
            <w:pPr>
              <w:pStyle w:val="TableContents"/>
              <w:widowControl w:val="false"/>
              <w:suppressLineNumbers/>
              <w:spacing w:before="0" w:after="200"/>
              <w:rPr/>
            </w:pPr>
            <w:r>
              <w:rPr>
                <w:rStyle w:val="Strong"/>
              </w:rPr>
              <w:t>Primary orientation</w:t>
            </w:r>
          </w:p>
        </w:tc>
        <w:tc>
          <w:tcPr>
            <w:tcW w:w="3087" w:type="dxa"/>
            <w:tcBorders/>
            <w:vAlign w:val="center"/>
          </w:tcPr>
          <w:p>
            <w:pPr>
              <w:pStyle w:val="TableContents"/>
              <w:widowControl w:val="false"/>
              <w:suppressLineNumbers/>
              <w:spacing w:before="0" w:after="200"/>
              <w:rPr/>
            </w:pPr>
            <w:r>
              <w:rPr/>
              <w:t>Method of inquiry connecting meaning, belief, action, and experience</w:t>
            </w:r>
          </w:p>
        </w:tc>
        <w:tc>
          <w:tcPr>
            <w:tcW w:w="3501" w:type="dxa"/>
            <w:tcBorders/>
            <w:vAlign w:val="center"/>
          </w:tcPr>
          <w:p>
            <w:pPr>
              <w:pStyle w:val="TableContents"/>
              <w:widowControl w:val="false"/>
              <w:suppressLineNumbers/>
              <w:spacing w:before="0" w:after="200"/>
              <w:rPr/>
            </w:pPr>
            <w:r>
              <w:rPr/>
              <w:t>Architecture for evaluating Assessed Actions and World Context Transitions</w:t>
            </w:r>
          </w:p>
        </w:tc>
      </w:tr>
      <w:tr>
        <w:trPr/>
        <w:tc>
          <w:tcPr>
            <w:tcW w:w="2052" w:type="dxa"/>
            <w:tcBorders/>
            <w:vAlign w:val="center"/>
          </w:tcPr>
          <w:p>
            <w:pPr>
              <w:pStyle w:val="TableContents"/>
              <w:widowControl w:val="false"/>
              <w:suppressLineNumbers/>
              <w:spacing w:before="0" w:after="200"/>
              <w:rPr/>
            </w:pPr>
            <w:r>
              <w:rPr>
                <w:rStyle w:val="Strong"/>
              </w:rPr>
              <w:t>Normative foundation</w:t>
            </w:r>
          </w:p>
        </w:tc>
        <w:tc>
          <w:tcPr>
            <w:tcW w:w="3087" w:type="dxa"/>
            <w:tcBorders/>
            <w:vAlign w:val="center"/>
          </w:tcPr>
          <w:p>
            <w:pPr>
              <w:pStyle w:val="TableContents"/>
              <w:widowControl w:val="false"/>
              <w:suppressLineNumbers/>
              <w:spacing w:before="0" w:after="200"/>
              <w:rPr/>
            </w:pPr>
            <w:r>
              <w:rPr/>
              <w:t>Often resists fixed or final foundations and begins with experienced problems</w:t>
            </w:r>
          </w:p>
        </w:tc>
        <w:tc>
          <w:tcPr>
            <w:tcW w:w="3501" w:type="dxa"/>
            <w:tcBorders/>
            <w:vAlign w:val="center"/>
          </w:tcPr>
          <w:p>
            <w:pPr>
              <w:pStyle w:val="TableContents"/>
              <w:widowControl w:val="false"/>
              <w:suppressLineNumbers/>
              <w:spacing w:before="0" w:after="200"/>
              <w:rPr/>
            </w:pPr>
            <w:r>
              <w:rPr/>
              <w:t>Begins with a Foundational Axiom concerning Long-Term Flourishing</w:t>
            </w:r>
          </w:p>
        </w:tc>
      </w:tr>
      <w:tr>
        <w:trPr/>
        <w:tc>
          <w:tcPr>
            <w:tcW w:w="2052" w:type="dxa"/>
            <w:tcBorders/>
            <w:vAlign w:val="center"/>
          </w:tcPr>
          <w:p>
            <w:pPr>
              <w:pStyle w:val="TableContents"/>
              <w:widowControl w:val="false"/>
              <w:suppressLineNumbers/>
              <w:spacing w:before="0" w:after="200"/>
              <w:rPr/>
            </w:pPr>
            <w:r>
              <w:rPr>
                <w:rStyle w:val="Strong"/>
              </w:rPr>
              <w:t>Ethical objective</w:t>
            </w:r>
          </w:p>
        </w:tc>
        <w:tc>
          <w:tcPr>
            <w:tcW w:w="3087" w:type="dxa"/>
            <w:tcBorders/>
            <w:vAlign w:val="center"/>
          </w:tcPr>
          <w:p>
            <w:pPr>
              <w:pStyle w:val="TableContents"/>
              <w:widowControl w:val="false"/>
              <w:suppressLineNumbers/>
              <w:spacing w:before="0" w:after="200"/>
              <w:rPr/>
            </w:pPr>
            <w:r>
              <w:rPr/>
              <w:t>Improvement of judgments and resolution of problematic situations</w:t>
            </w:r>
          </w:p>
        </w:tc>
        <w:tc>
          <w:tcPr>
            <w:tcW w:w="3501" w:type="dxa"/>
            <w:tcBorders/>
            <w:vAlign w:val="center"/>
          </w:tcPr>
          <w:p>
            <w:pPr>
              <w:pStyle w:val="TableContents"/>
              <w:widowControl w:val="false"/>
              <w:suppressLineNumbers/>
              <w:spacing w:before="0" w:after="200"/>
              <w:rPr/>
            </w:pPr>
            <w:r>
              <w:rPr/>
              <w:t>Preservation and promotion of compatible long-term flourishing</w:t>
            </w:r>
          </w:p>
        </w:tc>
      </w:tr>
      <w:tr>
        <w:trPr/>
        <w:tc>
          <w:tcPr>
            <w:tcW w:w="2052" w:type="dxa"/>
            <w:tcBorders/>
            <w:vAlign w:val="center"/>
          </w:tcPr>
          <w:p>
            <w:pPr>
              <w:pStyle w:val="TableContents"/>
              <w:widowControl w:val="false"/>
              <w:suppressLineNumbers/>
              <w:spacing w:before="0" w:after="200"/>
              <w:rPr/>
            </w:pPr>
            <w:r>
              <w:rPr>
                <w:rStyle w:val="Strong"/>
              </w:rPr>
              <w:t>Status of principles</w:t>
            </w:r>
          </w:p>
        </w:tc>
        <w:tc>
          <w:tcPr>
            <w:tcW w:w="3087" w:type="dxa"/>
            <w:tcBorders/>
            <w:vAlign w:val="center"/>
          </w:tcPr>
          <w:p>
            <w:pPr>
              <w:pStyle w:val="TableContents"/>
              <w:widowControl w:val="false"/>
              <w:suppressLineNumbers/>
              <w:spacing w:before="0" w:after="200"/>
              <w:rPr/>
            </w:pPr>
            <w:r>
              <w:rPr/>
              <w:t>Tools or working hypotheses subject to revision</w:t>
            </w:r>
          </w:p>
        </w:tc>
        <w:tc>
          <w:tcPr>
            <w:tcW w:w="3501" w:type="dxa"/>
            <w:tcBorders/>
            <w:vAlign w:val="center"/>
          </w:tcPr>
          <w:p>
            <w:pPr>
              <w:pStyle w:val="TableContents"/>
              <w:widowControl w:val="false"/>
              <w:suppressLineNumbers/>
              <w:spacing w:before="0" w:after="200"/>
              <w:rPr/>
            </w:pPr>
            <w:r>
              <w:rPr/>
              <w:t>Constraints and principles may receive more stable architectural roles</w:t>
            </w:r>
          </w:p>
        </w:tc>
      </w:tr>
      <w:tr>
        <w:trPr/>
        <w:tc>
          <w:tcPr>
            <w:tcW w:w="2052" w:type="dxa"/>
            <w:tcBorders/>
            <w:vAlign w:val="center"/>
          </w:tcPr>
          <w:p>
            <w:pPr>
              <w:pStyle w:val="TableContents"/>
              <w:widowControl w:val="false"/>
              <w:suppressLineNumbers/>
              <w:spacing w:before="0" w:after="200"/>
              <w:rPr/>
            </w:pPr>
            <w:r>
              <w:rPr>
                <w:rStyle w:val="Strong"/>
              </w:rPr>
              <w:t>Objectives</w:t>
            </w:r>
          </w:p>
        </w:tc>
        <w:tc>
          <w:tcPr>
            <w:tcW w:w="3087" w:type="dxa"/>
            <w:tcBorders/>
            <w:vAlign w:val="center"/>
          </w:tcPr>
          <w:p>
            <w:pPr>
              <w:pStyle w:val="TableContents"/>
              <w:widowControl w:val="false"/>
              <w:suppressLineNumbers/>
              <w:spacing w:before="0" w:after="200"/>
              <w:rPr/>
            </w:pPr>
            <w:r>
              <w:rPr/>
              <w:t>Provisional ends-in-view reconstructed through inquiry</w:t>
            </w:r>
          </w:p>
        </w:tc>
        <w:tc>
          <w:tcPr>
            <w:tcW w:w="3501" w:type="dxa"/>
            <w:tcBorders/>
            <w:vAlign w:val="center"/>
          </w:tcPr>
          <w:p>
            <w:pPr>
              <w:pStyle w:val="TableContents"/>
              <w:widowControl w:val="false"/>
              <w:suppressLineNumbers/>
              <w:spacing w:before="0" w:after="200"/>
              <w:rPr/>
            </w:pPr>
            <w:r>
              <w:rPr/>
              <w:t>Explicit objects of assessment that may be comparatively evaluated</w:t>
            </w:r>
          </w:p>
        </w:tc>
      </w:tr>
      <w:tr>
        <w:trPr/>
        <w:tc>
          <w:tcPr>
            <w:tcW w:w="2052" w:type="dxa"/>
            <w:tcBorders/>
            <w:vAlign w:val="center"/>
          </w:tcPr>
          <w:p>
            <w:pPr>
              <w:pStyle w:val="TableContents"/>
              <w:widowControl w:val="false"/>
              <w:suppressLineNumbers/>
              <w:spacing w:before="0" w:after="200"/>
              <w:rPr/>
            </w:pPr>
            <w:r>
              <w:rPr>
                <w:rStyle w:val="Strong"/>
              </w:rPr>
              <w:t>Knowledge</w:t>
            </w:r>
          </w:p>
        </w:tc>
        <w:tc>
          <w:tcPr>
            <w:tcW w:w="3087" w:type="dxa"/>
            <w:tcBorders/>
            <w:vAlign w:val="center"/>
          </w:tcPr>
          <w:p>
            <w:pPr>
              <w:pStyle w:val="TableContents"/>
              <w:widowControl w:val="false"/>
              <w:suppressLineNumbers/>
              <w:spacing w:before="0" w:after="200"/>
              <w:rPr/>
            </w:pPr>
            <w:r>
              <w:rPr/>
              <w:t>Produced through continuing inquiry and practical engagement</w:t>
            </w:r>
          </w:p>
        </w:tc>
        <w:tc>
          <w:tcPr>
            <w:tcW w:w="3501" w:type="dxa"/>
            <w:tcBorders/>
            <w:vAlign w:val="center"/>
          </w:tcPr>
          <w:p>
            <w:pPr>
              <w:pStyle w:val="TableContents"/>
              <w:widowControl w:val="false"/>
              <w:suppressLineNumbers/>
              <w:spacing w:before="0" w:after="200"/>
              <w:rPr/>
            </w:pPr>
            <w:r>
              <w:rPr/>
              <w:t>Represented as the best available evidence within the Situational Context</w:t>
            </w:r>
          </w:p>
        </w:tc>
      </w:tr>
      <w:tr>
        <w:trPr/>
        <w:tc>
          <w:tcPr>
            <w:tcW w:w="2052" w:type="dxa"/>
            <w:tcBorders/>
            <w:vAlign w:val="center"/>
          </w:tcPr>
          <w:p>
            <w:pPr>
              <w:pStyle w:val="TableContents"/>
              <w:widowControl w:val="false"/>
              <w:suppressLineNumbers/>
              <w:spacing w:before="0" w:after="200"/>
              <w:rPr/>
            </w:pPr>
            <w:r>
              <w:rPr>
                <w:rStyle w:val="Strong"/>
              </w:rPr>
              <w:t>Consequences</w:t>
            </w:r>
          </w:p>
        </w:tc>
        <w:tc>
          <w:tcPr>
            <w:tcW w:w="3087" w:type="dxa"/>
            <w:tcBorders/>
            <w:vAlign w:val="center"/>
          </w:tcPr>
          <w:p>
            <w:pPr>
              <w:pStyle w:val="TableContents"/>
              <w:widowControl w:val="false"/>
              <w:suppressLineNumbers/>
              <w:spacing w:before="0" w:after="200"/>
              <w:rPr/>
            </w:pPr>
            <w:r>
              <w:rPr/>
              <w:t>Discovered through both anticipation and lived experience</w:t>
            </w:r>
          </w:p>
        </w:tc>
        <w:tc>
          <w:tcPr>
            <w:tcW w:w="3501" w:type="dxa"/>
            <w:tcBorders/>
            <w:vAlign w:val="center"/>
          </w:tcPr>
          <w:p>
            <w:pPr>
              <w:pStyle w:val="TableContents"/>
              <w:widowControl w:val="false"/>
              <w:suppressLineNumbers/>
              <w:spacing w:before="0" w:after="200"/>
              <w:rPr/>
            </w:pPr>
            <w:r>
              <w:rPr/>
              <w:t>Predicted and represented through the World Context Transition</w:t>
            </w:r>
          </w:p>
        </w:tc>
      </w:tr>
      <w:tr>
        <w:trPr/>
        <w:tc>
          <w:tcPr>
            <w:tcW w:w="2052" w:type="dxa"/>
            <w:tcBorders/>
            <w:vAlign w:val="center"/>
          </w:tcPr>
          <w:p>
            <w:pPr>
              <w:pStyle w:val="TableContents"/>
              <w:widowControl w:val="false"/>
              <w:suppressLineNumbers/>
              <w:spacing w:before="0" w:after="200"/>
              <w:rPr/>
            </w:pPr>
            <w:r>
              <w:rPr>
                <w:rStyle w:val="Strong"/>
              </w:rPr>
              <w:t>Experimentation</w:t>
            </w:r>
          </w:p>
        </w:tc>
        <w:tc>
          <w:tcPr>
            <w:tcW w:w="3087" w:type="dxa"/>
            <w:tcBorders/>
            <w:vAlign w:val="center"/>
          </w:tcPr>
          <w:p>
            <w:pPr>
              <w:pStyle w:val="TableContents"/>
              <w:widowControl w:val="false"/>
              <w:suppressLineNumbers/>
              <w:spacing w:before="0" w:after="200"/>
              <w:rPr/>
            </w:pPr>
            <w:r>
              <w:rPr/>
              <w:t>Central to inquiry</w:t>
            </w:r>
          </w:p>
        </w:tc>
        <w:tc>
          <w:tcPr>
            <w:tcW w:w="3501" w:type="dxa"/>
            <w:tcBorders/>
            <w:vAlign w:val="center"/>
          </w:tcPr>
          <w:p>
            <w:pPr>
              <w:pStyle w:val="TableContents"/>
              <w:widowControl w:val="false"/>
              <w:suppressLineNumbers/>
              <w:spacing w:before="0" w:after="200"/>
              <w:rPr/>
            </w:pPr>
            <w:r>
              <w:rPr/>
              <w:t>Available as an implementation and validation method but not inherently required</w:t>
            </w:r>
          </w:p>
        </w:tc>
      </w:tr>
      <w:tr>
        <w:trPr/>
        <w:tc>
          <w:tcPr>
            <w:tcW w:w="2052" w:type="dxa"/>
            <w:tcBorders/>
            <w:vAlign w:val="center"/>
          </w:tcPr>
          <w:p>
            <w:pPr>
              <w:pStyle w:val="TableContents"/>
              <w:widowControl w:val="false"/>
              <w:suppressLineNumbers/>
              <w:spacing w:before="0" w:after="200"/>
              <w:rPr/>
            </w:pPr>
            <w:r>
              <w:rPr>
                <w:rStyle w:val="Strong"/>
              </w:rPr>
              <w:t>Democracy</w:t>
            </w:r>
          </w:p>
        </w:tc>
        <w:tc>
          <w:tcPr>
            <w:tcW w:w="3087" w:type="dxa"/>
            <w:tcBorders/>
            <w:vAlign w:val="center"/>
          </w:tcPr>
          <w:p>
            <w:pPr>
              <w:pStyle w:val="TableContents"/>
              <w:widowControl w:val="false"/>
              <w:suppressLineNumbers/>
              <w:spacing w:before="0" w:after="200"/>
              <w:rPr/>
            </w:pPr>
            <w:r>
              <w:rPr/>
              <w:t>Often treated as a method of social inquiry and associated living</w:t>
            </w:r>
          </w:p>
        </w:tc>
        <w:tc>
          <w:tcPr>
            <w:tcW w:w="3501" w:type="dxa"/>
            <w:tcBorders/>
            <w:vAlign w:val="center"/>
          </w:tcPr>
          <w:p>
            <w:pPr>
              <w:pStyle w:val="TableContents"/>
              <w:widowControl w:val="false"/>
              <w:suppressLineNumbers/>
              <w:spacing w:before="0" w:after="200"/>
              <w:rPr/>
            </w:pPr>
            <w:r>
              <w:rPr/>
              <w:t>Participation affects information and legitimacy but is not independently foundational</w:t>
            </w:r>
          </w:p>
        </w:tc>
      </w:tr>
      <w:tr>
        <w:trPr/>
        <w:tc>
          <w:tcPr>
            <w:tcW w:w="2052" w:type="dxa"/>
            <w:tcBorders/>
            <w:vAlign w:val="center"/>
          </w:tcPr>
          <w:p>
            <w:pPr>
              <w:pStyle w:val="TableContents"/>
              <w:widowControl w:val="false"/>
              <w:suppressLineNumbers/>
              <w:spacing w:before="0" w:after="200"/>
              <w:rPr/>
            </w:pPr>
            <w:r>
              <w:rPr>
                <w:rStyle w:val="Strong"/>
              </w:rPr>
              <w:t>Ontology</w:t>
            </w:r>
          </w:p>
        </w:tc>
        <w:tc>
          <w:tcPr>
            <w:tcW w:w="3087" w:type="dxa"/>
            <w:tcBorders/>
            <w:vAlign w:val="center"/>
          </w:tcPr>
          <w:p>
            <w:pPr>
              <w:pStyle w:val="TableContents"/>
              <w:widowControl w:val="false"/>
              <w:suppressLineNumbers/>
              <w:spacing w:before="0" w:after="200"/>
              <w:rPr/>
            </w:pPr>
            <w:r>
              <w:rPr/>
              <w:t>Categories remain revisable instruments</w:t>
            </w:r>
          </w:p>
        </w:tc>
        <w:tc>
          <w:tcPr>
            <w:tcW w:w="3501" w:type="dxa"/>
            <w:tcBorders/>
            <w:vAlign w:val="center"/>
          </w:tcPr>
          <w:p>
            <w:pPr>
              <w:pStyle w:val="TableContents"/>
              <w:widowControl w:val="false"/>
              <w:suppressLineNumbers/>
              <w:spacing w:before="0" w:after="200"/>
              <w:rPr/>
            </w:pPr>
            <w:r>
              <w:rPr/>
              <w:t>Requires sufficiently stable definitions of Objects, Associations, states, and constraints</w:t>
            </w:r>
          </w:p>
        </w:tc>
      </w:tr>
      <w:tr>
        <w:trPr/>
        <w:tc>
          <w:tcPr>
            <w:tcW w:w="2052" w:type="dxa"/>
            <w:tcBorders/>
            <w:vAlign w:val="center"/>
          </w:tcPr>
          <w:p>
            <w:pPr>
              <w:pStyle w:val="TableContents"/>
              <w:widowControl w:val="false"/>
              <w:suppressLineNumbers/>
              <w:spacing w:before="0" w:after="200"/>
              <w:rPr/>
            </w:pPr>
            <w:r>
              <w:rPr>
                <w:rStyle w:val="Strong"/>
              </w:rPr>
              <w:t>Pluralism</w:t>
            </w:r>
          </w:p>
        </w:tc>
        <w:tc>
          <w:tcPr>
            <w:tcW w:w="3087" w:type="dxa"/>
            <w:tcBorders/>
            <w:vAlign w:val="center"/>
          </w:tcPr>
          <w:p>
            <w:pPr>
              <w:pStyle w:val="TableContents"/>
              <w:widowControl w:val="false"/>
              <w:suppressLineNumbers/>
              <w:spacing w:before="0" w:after="200"/>
              <w:rPr/>
            </w:pPr>
            <w:r>
              <w:rPr/>
              <w:t>Often welcomed as a condition of inquiry</w:t>
            </w:r>
          </w:p>
        </w:tc>
        <w:tc>
          <w:tcPr>
            <w:tcW w:w="3501" w:type="dxa"/>
            <w:tcBorders/>
            <w:vAlign w:val="center"/>
          </w:tcPr>
          <w:p>
            <w:pPr>
              <w:pStyle w:val="TableContents"/>
              <w:widowControl w:val="false"/>
              <w:suppressLineNumbers/>
              <w:spacing w:before="0" w:after="200"/>
              <w:rPr/>
            </w:pPr>
            <w:r>
              <w:rPr/>
              <w:t>Permitted but bounded by the Foundational Axiom and compatibility requirements</w:t>
            </w:r>
          </w:p>
        </w:tc>
      </w:tr>
      <w:tr>
        <w:trPr/>
        <w:tc>
          <w:tcPr>
            <w:tcW w:w="2052" w:type="dxa"/>
            <w:tcBorders/>
            <w:vAlign w:val="center"/>
          </w:tcPr>
          <w:p>
            <w:pPr>
              <w:pStyle w:val="TableContents"/>
              <w:widowControl w:val="false"/>
              <w:suppressLineNumbers/>
              <w:spacing w:before="0" w:after="200"/>
              <w:rPr/>
            </w:pPr>
            <w:r>
              <w:rPr>
                <w:rStyle w:val="Strong"/>
              </w:rPr>
              <w:t>Truth</w:t>
            </w:r>
          </w:p>
        </w:tc>
        <w:tc>
          <w:tcPr>
            <w:tcW w:w="3087" w:type="dxa"/>
            <w:tcBorders/>
            <w:vAlign w:val="center"/>
          </w:tcPr>
          <w:p>
            <w:pPr>
              <w:pStyle w:val="TableContents"/>
              <w:widowControl w:val="false"/>
              <w:suppressLineNumbers/>
              <w:spacing w:before="0" w:after="200"/>
              <w:rPr/>
            </w:pPr>
            <w:r>
              <w:rPr/>
              <w:t>Connected to inquiry, verification, and practical consequences</w:t>
            </w:r>
          </w:p>
        </w:tc>
        <w:tc>
          <w:tcPr>
            <w:tcW w:w="3501" w:type="dxa"/>
            <w:tcBorders/>
            <w:vAlign w:val="center"/>
          </w:tcPr>
          <w:p>
            <w:pPr>
              <w:pStyle w:val="TableContents"/>
              <w:widowControl w:val="false"/>
              <w:suppressLineNumbers/>
              <w:spacing w:before="0" w:after="200"/>
              <w:rPr/>
            </w:pPr>
            <w:r>
              <w:rPr/>
              <w:t>Assumes evidence can support increasingly reliable descriptions and predictions</w:t>
            </w:r>
          </w:p>
        </w:tc>
      </w:tr>
      <w:tr>
        <w:trPr/>
        <w:tc>
          <w:tcPr>
            <w:tcW w:w="2052" w:type="dxa"/>
            <w:tcBorders/>
            <w:vAlign w:val="center"/>
          </w:tcPr>
          <w:p>
            <w:pPr>
              <w:pStyle w:val="TableContents"/>
              <w:widowControl w:val="false"/>
              <w:suppressLineNumbers/>
              <w:spacing w:before="0" w:after="200"/>
              <w:rPr/>
            </w:pPr>
            <w:r>
              <w:rPr>
                <w:rStyle w:val="Strong"/>
              </w:rPr>
              <w:t>Responsibility</w:t>
            </w:r>
          </w:p>
        </w:tc>
        <w:tc>
          <w:tcPr>
            <w:tcW w:w="3087" w:type="dxa"/>
            <w:tcBorders/>
            <w:vAlign w:val="center"/>
          </w:tcPr>
          <w:p>
            <w:pPr>
              <w:pStyle w:val="TableContents"/>
              <w:widowControl w:val="false"/>
              <w:suppressLineNumbers/>
              <w:spacing w:before="0" w:after="200"/>
              <w:rPr/>
            </w:pPr>
            <w:r>
              <w:rPr/>
              <w:t>Often emphasizes reconstruction, learning, and forward-looking correction</w:t>
            </w:r>
          </w:p>
        </w:tc>
        <w:tc>
          <w:tcPr>
            <w:tcW w:w="3501" w:type="dxa"/>
            <w:tcBorders/>
            <w:vAlign w:val="center"/>
          </w:tcPr>
          <w:p>
            <w:pPr>
              <w:pStyle w:val="TableContents"/>
              <w:widowControl w:val="false"/>
              <w:suppressLineNumbers/>
              <w:spacing w:before="0" w:after="200"/>
              <w:rPr/>
            </w:pPr>
            <w:r>
              <w:rPr/>
              <w:t>Separates causal effect from responsibility using role, knowledge, intent, authority, and foreseeability</w:t>
            </w:r>
          </w:p>
        </w:tc>
      </w:tr>
      <w:tr>
        <w:trPr/>
        <w:tc>
          <w:tcPr>
            <w:tcW w:w="2052" w:type="dxa"/>
            <w:tcBorders/>
            <w:vAlign w:val="center"/>
          </w:tcPr>
          <w:p>
            <w:pPr>
              <w:pStyle w:val="TableContents"/>
              <w:widowControl w:val="false"/>
              <w:suppressLineNumbers/>
              <w:spacing w:before="0" w:after="200"/>
              <w:rPr/>
            </w:pPr>
            <w:r>
              <w:rPr>
                <w:rStyle w:val="Strong"/>
              </w:rPr>
              <w:t>Failure</w:t>
            </w:r>
          </w:p>
        </w:tc>
        <w:tc>
          <w:tcPr>
            <w:tcW w:w="3087" w:type="dxa"/>
            <w:tcBorders/>
            <w:vAlign w:val="center"/>
          </w:tcPr>
          <w:p>
            <w:pPr>
              <w:pStyle w:val="TableContents"/>
              <w:widowControl w:val="false"/>
              <w:suppressLineNumbers/>
              <w:spacing w:before="0" w:after="200"/>
              <w:rPr/>
            </w:pPr>
            <w:r>
              <w:rPr/>
              <w:t>A hypothesis, habit, or institution fails to resolve the problem or withstand inquiry</w:t>
            </w:r>
          </w:p>
        </w:tc>
        <w:tc>
          <w:tcPr>
            <w:tcW w:w="3501" w:type="dxa"/>
            <w:tcBorders/>
            <w:vAlign w:val="center"/>
          </w:tcPr>
          <w:p>
            <w:pPr>
              <w:pStyle w:val="TableContents"/>
              <w:widowControl w:val="false"/>
              <w:suppressLineNumbers/>
              <w:spacing w:before="0" w:after="200"/>
              <w:rPr/>
            </w:pPr>
            <w:r>
              <w:rPr/>
              <w:t>A transition unjustifiably diminishes Long-Term Flourishing</w:t>
            </w:r>
          </w:p>
        </w:tc>
      </w:tr>
      <w:tr>
        <w:trPr/>
        <w:tc>
          <w:tcPr>
            <w:tcW w:w="2052" w:type="dxa"/>
            <w:tcBorders/>
            <w:vAlign w:val="center"/>
          </w:tcPr>
          <w:p>
            <w:pPr>
              <w:pStyle w:val="TableContents"/>
              <w:widowControl w:val="false"/>
              <w:suppressLineNumbers/>
              <w:spacing w:before="0" w:after="200"/>
              <w:rPr/>
            </w:pPr>
            <w:r>
              <w:rPr>
                <w:rStyle w:val="Strong"/>
              </w:rPr>
              <w:t>Scale</w:t>
            </w:r>
          </w:p>
        </w:tc>
        <w:tc>
          <w:tcPr>
            <w:tcW w:w="3087" w:type="dxa"/>
            <w:tcBorders/>
            <w:vAlign w:val="center"/>
          </w:tcPr>
          <w:p>
            <w:pPr>
              <w:pStyle w:val="TableContents"/>
              <w:widowControl w:val="false"/>
              <w:suppressLineNumbers/>
              <w:spacing w:before="0" w:after="200"/>
              <w:rPr/>
            </w:pPr>
            <w:r>
              <w:rPr/>
              <w:t>Often begins with concrete problems in lived experience</w:t>
            </w:r>
          </w:p>
        </w:tc>
        <w:tc>
          <w:tcPr>
            <w:tcW w:w="3501" w:type="dxa"/>
            <w:tcBorders/>
            <w:vAlign w:val="center"/>
          </w:tcPr>
          <w:p>
            <w:pPr>
              <w:pStyle w:val="TableContents"/>
              <w:widowControl w:val="false"/>
              <w:suppressLineNumbers/>
              <w:spacing w:before="0" w:after="200"/>
              <w:rPr/>
            </w:pPr>
            <w:r>
              <w:rPr/>
              <w:t>Can begin at interpersonal, institutional, planetary, or other system scales</w:t>
            </w:r>
          </w:p>
        </w:tc>
      </w:tr>
      <w:tr>
        <w:trPr/>
        <w:tc>
          <w:tcPr>
            <w:tcW w:w="2052" w:type="dxa"/>
            <w:tcBorders/>
            <w:vAlign w:val="center"/>
          </w:tcPr>
          <w:p>
            <w:pPr>
              <w:pStyle w:val="TableContents"/>
              <w:widowControl w:val="false"/>
              <w:suppressLineNumbers/>
              <w:spacing w:before="0" w:after="200"/>
              <w:rPr/>
            </w:pPr>
            <w:r>
              <w:rPr>
                <w:rStyle w:val="Strong"/>
              </w:rPr>
              <w:t>Formalization</w:t>
            </w:r>
          </w:p>
        </w:tc>
        <w:tc>
          <w:tcPr>
            <w:tcW w:w="3087" w:type="dxa"/>
            <w:tcBorders/>
            <w:vAlign w:val="center"/>
          </w:tcPr>
          <w:p>
            <w:pPr>
              <w:pStyle w:val="TableContents"/>
              <w:widowControl w:val="false"/>
              <w:suppressLineNumbers/>
              <w:spacing w:before="0" w:after="200"/>
              <w:rPr/>
            </w:pPr>
            <w:r>
              <w:rPr/>
              <w:t>Cautions against allowing fixed abstractions to replace experience</w:t>
            </w:r>
          </w:p>
        </w:tc>
        <w:tc>
          <w:tcPr>
            <w:tcW w:w="3501" w:type="dxa"/>
            <w:tcBorders/>
            <w:vAlign w:val="center"/>
          </w:tcPr>
          <w:p>
            <w:pPr>
              <w:pStyle w:val="TableContents"/>
              <w:widowControl w:val="false"/>
              <w:suppressLineNumbers/>
              <w:spacing w:before="0" w:after="200"/>
              <w:rPr/>
            </w:pPr>
            <w:r>
              <w:rPr/>
              <w:t>Seeks reusable and potentially computational structures</w:t>
            </w:r>
          </w:p>
        </w:tc>
      </w:tr>
    </w:tbl>
    <w:p>
      <w:pPr>
        <w:pStyle w:val="Heading4"/>
        <w:ind w:hanging="0" w:left="0"/>
        <w:rPr>
          <w:rFonts w:ascii="Aptos" w:hAnsi="Aptos"/>
          <w:color w:val="auto"/>
        </w:rPr>
      </w:pPr>
      <w:r>
        <w:rPr/>
        <w:t>Potential Integration Opportunities</w:t>
      </w:r>
    </w:p>
    <w:p>
      <w:pPr>
        <w:pStyle w:val="BodyText"/>
        <w:spacing w:before="0" w:after="200"/>
        <w:rPr/>
      </w:pPr>
      <w:r>
        <w:rPr/>
        <w:t>The framework could integrate Pragmatism more explicitly through the following extensions:</w:t>
      </w:r>
    </w:p>
    <w:p>
      <w:pPr>
        <w:pStyle w:val="BodyText"/>
        <w:numPr>
          <w:ilvl w:val="0"/>
          <w:numId w:val="92"/>
        </w:numPr>
        <w:tabs>
          <w:tab w:val="clear" w:pos="720"/>
          <w:tab w:val="left" w:pos="0" w:leader="none"/>
        </w:tabs>
        <w:spacing w:before="0" w:after="200"/>
        <w:ind w:hanging="283" w:left="709"/>
        <w:rPr/>
      </w:pPr>
      <w:r>
        <w:rPr>
          <w:rStyle w:val="Strong"/>
        </w:rPr>
        <w:t>Add a formal inquiry cycle.</w:t>
      </w:r>
      <w:r>
        <w:rPr/>
        <w:t xml:space="preserve"> Each assessment could proceed through:</w:t>
      </w:r>
    </w:p>
    <w:p>
      <w:pPr>
        <w:pStyle w:val="BodyText"/>
        <w:numPr>
          <w:ilvl w:val="1"/>
          <w:numId w:val="92"/>
        </w:numPr>
        <w:tabs>
          <w:tab w:val="clear" w:pos="720"/>
          <w:tab w:val="left" w:pos="0" w:leader="none"/>
        </w:tabs>
        <w:spacing w:before="0" w:after="200"/>
        <w:ind w:hanging="283" w:left="1418"/>
        <w:rPr/>
      </w:pPr>
      <w:r>
        <w:rPr/>
        <w:t>Identification of the problematic situation;</w:t>
      </w:r>
    </w:p>
    <w:p>
      <w:pPr>
        <w:pStyle w:val="BodyText"/>
        <w:numPr>
          <w:ilvl w:val="1"/>
          <w:numId w:val="92"/>
        </w:numPr>
        <w:tabs>
          <w:tab w:val="clear" w:pos="720"/>
          <w:tab w:val="left" w:pos="0" w:leader="none"/>
        </w:tabs>
        <w:spacing w:before="0" w:after="200"/>
        <w:ind w:hanging="283" w:left="1418"/>
        <w:rPr/>
      </w:pPr>
      <w:r>
        <w:rPr/>
        <w:t>Collection of relevant experience and evidence;</w:t>
      </w:r>
    </w:p>
    <w:p>
      <w:pPr>
        <w:pStyle w:val="BodyText"/>
        <w:numPr>
          <w:ilvl w:val="1"/>
          <w:numId w:val="92"/>
        </w:numPr>
        <w:tabs>
          <w:tab w:val="clear" w:pos="720"/>
          <w:tab w:val="left" w:pos="0" w:leader="none"/>
        </w:tabs>
        <w:spacing w:before="0" w:after="200"/>
        <w:ind w:hanging="283" w:left="1418"/>
        <w:rPr/>
      </w:pPr>
      <w:r>
        <w:rPr/>
        <w:t>Generation of alternative explanations and actions;</w:t>
      </w:r>
    </w:p>
    <w:p>
      <w:pPr>
        <w:pStyle w:val="BodyText"/>
        <w:numPr>
          <w:ilvl w:val="1"/>
          <w:numId w:val="92"/>
        </w:numPr>
        <w:tabs>
          <w:tab w:val="clear" w:pos="720"/>
          <w:tab w:val="left" w:pos="0" w:leader="none"/>
        </w:tabs>
        <w:spacing w:before="0" w:after="200"/>
        <w:ind w:hanging="283" w:left="1418"/>
        <w:rPr/>
      </w:pPr>
      <w:r>
        <w:rPr/>
        <w:t>Prediction of practical consequences;</w:t>
      </w:r>
    </w:p>
    <w:p>
      <w:pPr>
        <w:pStyle w:val="BodyText"/>
        <w:numPr>
          <w:ilvl w:val="1"/>
          <w:numId w:val="92"/>
        </w:numPr>
        <w:tabs>
          <w:tab w:val="clear" w:pos="720"/>
          <w:tab w:val="left" w:pos="0" w:leader="none"/>
        </w:tabs>
        <w:spacing w:before="0" w:after="200"/>
        <w:ind w:hanging="283" w:left="1418"/>
        <w:rPr/>
      </w:pPr>
      <w:r>
        <w:rPr/>
        <w:t>Selection of a provisional action;</w:t>
      </w:r>
    </w:p>
    <w:p>
      <w:pPr>
        <w:pStyle w:val="BodyText"/>
        <w:numPr>
          <w:ilvl w:val="1"/>
          <w:numId w:val="92"/>
        </w:numPr>
        <w:tabs>
          <w:tab w:val="clear" w:pos="720"/>
          <w:tab w:val="left" w:pos="0" w:leader="none"/>
        </w:tabs>
        <w:spacing w:before="0" w:after="200"/>
        <w:ind w:hanging="283" w:left="1418"/>
        <w:rPr/>
      </w:pPr>
      <w:r>
        <w:rPr/>
        <w:t>Observation of actual effects;</w:t>
      </w:r>
    </w:p>
    <w:p>
      <w:pPr>
        <w:pStyle w:val="BodyText"/>
        <w:numPr>
          <w:ilvl w:val="1"/>
          <w:numId w:val="92"/>
        </w:numPr>
        <w:tabs>
          <w:tab w:val="clear" w:pos="720"/>
          <w:tab w:val="left" w:pos="0" w:leader="none"/>
        </w:tabs>
        <w:spacing w:before="0" w:after="200"/>
        <w:ind w:hanging="283" w:left="1418"/>
        <w:rPr/>
      </w:pPr>
      <w:r>
        <w:rPr/>
        <w:t>Comparison of predicted and observed transitions; and</w:t>
      </w:r>
    </w:p>
    <w:p>
      <w:pPr>
        <w:pStyle w:val="BodyText"/>
        <w:numPr>
          <w:ilvl w:val="1"/>
          <w:numId w:val="92"/>
        </w:numPr>
        <w:tabs>
          <w:tab w:val="clear" w:pos="720"/>
          <w:tab w:val="left" w:pos="0" w:leader="none"/>
        </w:tabs>
        <w:spacing w:before="0" w:after="200"/>
        <w:ind w:hanging="283" w:left="1418"/>
        <w:rPr/>
      </w:pPr>
      <w:r>
        <w:rPr/>
        <w:t>Revision of beliefs, objectives, and policies.</w:t>
      </w:r>
    </w:p>
    <w:p>
      <w:pPr>
        <w:pStyle w:val="BodyText"/>
        <w:numPr>
          <w:ilvl w:val="0"/>
          <w:numId w:val="92"/>
        </w:numPr>
        <w:tabs>
          <w:tab w:val="clear" w:pos="720"/>
          <w:tab w:val="left" w:pos="0" w:leader="none"/>
        </w:tabs>
        <w:spacing w:before="0" w:after="200"/>
        <w:ind w:hanging="283" w:left="709"/>
        <w:rPr/>
      </w:pPr>
      <w:r>
        <w:rPr>
          <w:rStyle w:val="Strong"/>
        </w:rPr>
        <w:t>Apply the pragmatic maxim to every important concept.</w:t>
      </w:r>
      <w:r>
        <w:rPr/>
        <w:t xml:space="preserve"> Terms such as flourishing, autonomy, dignity, resilience, security, or fairness should be linked to identifiable practical differences in the World Context.</w:t>
      </w:r>
    </w:p>
    <w:p>
      <w:pPr>
        <w:pStyle w:val="BodyText"/>
        <w:numPr>
          <w:ilvl w:val="0"/>
          <w:numId w:val="92"/>
        </w:numPr>
        <w:tabs>
          <w:tab w:val="clear" w:pos="720"/>
          <w:tab w:val="left" w:pos="0" w:leader="none"/>
        </w:tabs>
        <w:spacing w:before="0" w:after="200"/>
        <w:ind w:hanging="283" w:left="709"/>
        <w:rPr/>
      </w:pPr>
      <w:r>
        <w:rPr>
          <w:rStyle w:val="Strong"/>
        </w:rPr>
        <w:t>Classify objectives as ends-in-view.</w:t>
      </w:r>
      <w:r>
        <w:rPr/>
        <w:t xml:space="preserve"> Objectives should include the problem they address, the evidence supporting them, the conditions under which they should be revised, and the consequences that would count as failure.</w:t>
      </w:r>
    </w:p>
    <w:p>
      <w:pPr>
        <w:pStyle w:val="BodyText"/>
        <w:numPr>
          <w:ilvl w:val="0"/>
          <w:numId w:val="92"/>
        </w:numPr>
        <w:tabs>
          <w:tab w:val="clear" w:pos="720"/>
          <w:tab w:val="left" w:pos="0" w:leader="none"/>
        </w:tabs>
        <w:spacing w:before="0" w:after="200"/>
        <w:ind w:hanging="283" w:left="709"/>
        <w:rPr/>
      </w:pPr>
      <w:r>
        <w:rPr>
          <w:rStyle w:val="Strong"/>
        </w:rPr>
        <w:t>Add explicit hypothesis provenance.</w:t>
      </w:r>
      <w:r>
        <w:rPr/>
        <w:t xml:space="preserve"> Each causal or moral claim could record who proposed it, what evidence supports it, what alternatives were considered, and what observations could challenge it.</w:t>
      </w:r>
    </w:p>
    <w:p>
      <w:pPr>
        <w:pStyle w:val="BodyText"/>
        <w:numPr>
          <w:ilvl w:val="0"/>
          <w:numId w:val="92"/>
        </w:numPr>
        <w:tabs>
          <w:tab w:val="clear" w:pos="720"/>
          <w:tab w:val="left" w:pos="0" w:leader="none"/>
        </w:tabs>
        <w:spacing w:before="0" w:after="200"/>
        <w:ind w:hanging="283" w:left="709"/>
        <w:rPr/>
      </w:pPr>
      <w:r>
        <w:rPr>
          <w:rStyle w:val="Strong"/>
        </w:rPr>
        <w:t>Use abductive generation of alternatives.</w:t>
      </w:r>
      <w:r>
        <w:rPr/>
        <w:t xml:space="preserve"> The framework should generate multiple plausible explanations and interventions before narrowing the action set.</w:t>
      </w:r>
    </w:p>
    <w:p>
      <w:pPr>
        <w:pStyle w:val="BodyText"/>
        <w:numPr>
          <w:ilvl w:val="0"/>
          <w:numId w:val="92"/>
        </w:numPr>
        <w:tabs>
          <w:tab w:val="clear" w:pos="720"/>
          <w:tab w:val="left" w:pos="0" w:leader="none"/>
        </w:tabs>
        <w:spacing w:before="0" w:after="200"/>
        <w:ind w:hanging="283" w:left="709"/>
        <w:rPr/>
      </w:pPr>
      <w:r>
        <w:rPr>
          <w:rStyle w:val="Strong"/>
        </w:rPr>
        <w:t>Prefer staged and reversible interventions.</w:t>
      </w:r>
      <w:r>
        <w:rPr/>
        <w:t xml:space="preserve"> Where uncertainty is substantial, pilots and bounded experiments can create information while limiting irreversible harm.</w:t>
      </w:r>
    </w:p>
    <w:p>
      <w:pPr>
        <w:pStyle w:val="BodyText"/>
        <w:numPr>
          <w:ilvl w:val="0"/>
          <w:numId w:val="92"/>
        </w:numPr>
        <w:tabs>
          <w:tab w:val="clear" w:pos="720"/>
          <w:tab w:val="left" w:pos="0" w:leader="none"/>
        </w:tabs>
        <w:spacing w:before="0" w:after="200"/>
        <w:ind w:hanging="283" w:left="709"/>
        <w:rPr/>
      </w:pPr>
      <w:r>
        <w:rPr>
          <w:rStyle w:val="Strong"/>
        </w:rPr>
        <w:t>Require monitoring plans.</w:t>
      </w:r>
      <w:r>
        <w:rPr/>
        <w:t xml:space="preserve"> An approved action should specify which outcomes will be observed, when they will be reviewed, and who is responsible for responding to unexpected effects.</w:t>
      </w:r>
    </w:p>
    <w:p>
      <w:pPr>
        <w:pStyle w:val="BodyText"/>
        <w:numPr>
          <w:ilvl w:val="0"/>
          <w:numId w:val="92"/>
        </w:numPr>
        <w:tabs>
          <w:tab w:val="clear" w:pos="720"/>
          <w:tab w:val="left" w:pos="0" w:leader="none"/>
        </w:tabs>
        <w:spacing w:before="0" w:after="200"/>
        <w:ind w:hanging="283" w:left="709"/>
        <w:rPr/>
      </w:pPr>
      <w:r>
        <w:rPr>
          <w:rStyle w:val="Strong"/>
        </w:rPr>
        <w:t>Define stop, continue, and revision criteria.</w:t>
      </w:r>
      <w:r>
        <w:rPr/>
        <w:t xml:space="preserve"> Decision-makers should establish thresholds before implementation where possible, reducing the risk that institutional commitment will override adverse evidence.</w:t>
      </w:r>
    </w:p>
    <w:p>
      <w:pPr>
        <w:pStyle w:val="BodyText"/>
        <w:numPr>
          <w:ilvl w:val="0"/>
          <w:numId w:val="92"/>
        </w:numPr>
        <w:tabs>
          <w:tab w:val="clear" w:pos="720"/>
          <w:tab w:val="left" w:pos="0" w:leader="none"/>
        </w:tabs>
        <w:spacing w:before="0" w:after="200"/>
        <w:ind w:hanging="283" w:left="709"/>
        <w:rPr/>
      </w:pPr>
      <w:r>
        <w:rPr>
          <w:rStyle w:val="Strong"/>
        </w:rPr>
        <w:t>Compare predicted and actual transitions.</w:t>
      </w:r>
      <w:r>
        <w:rPr/>
        <w:t xml:space="preserve"> Differences should update causal models, confidence levels, responsibility assessments, and future action policies.</w:t>
      </w:r>
    </w:p>
    <w:p>
      <w:pPr>
        <w:pStyle w:val="BodyText"/>
        <w:numPr>
          <w:ilvl w:val="0"/>
          <w:numId w:val="92"/>
        </w:numPr>
        <w:tabs>
          <w:tab w:val="clear" w:pos="720"/>
          <w:tab w:val="left" w:pos="0" w:leader="none"/>
        </w:tabs>
        <w:spacing w:before="0" w:after="200"/>
        <w:ind w:hanging="283" w:left="709"/>
        <w:rPr/>
      </w:pPr>
      <w:r>
        <w:rPr>
          <w:rStyle w:val="Strong"/>
        </w:rPr>
        <w:t>Add affected-public participation.</w:t>
      </w:r>
      <w:r>
        <w:rPr/>
        <w:t xml:space="preserve"> Entities experiencing a policy’s effects should be included in problem definition, evidence gathering, evaluation, and revision.</w:t>
      </w:r>
    </w:p>
    <w:p>
      <w:pPr>
        <w:pStyle w:val="BodyText"/>
        <w:numPr>
          <w:ilvl w:val="0"/>
          <w:numId w:val="92"/>
        </w:numPr>
        <w:tabs>
          <w:tab w:val="clear" w:pos="720"/>
          <w:tab w:val="left" w:pos="0" w:leader="none"/>
        </w:tabs>
        <w:spacing w:before="0" w:after="200"/>
        <w:ind w:hanging="283" w:left="709"/>
        <w:rPr/>
      </w:pPr>
      <w:r>
        <w:rPr>
          <w:rStyle w:val="Strong"/>
        </w:rPr>
        <w:t>Create communities of inquiry.</w:t>
      </w:r>
      <w:r>
        <w:rPr/>
        <w:t xml:space="preserve"> Assessments should include relevant technical experts, ethical experts, affected parties, implementation personnel, and independent critics.</w:t>
      </w:r>
    </w:p>
    <w:p>
      <w:pPr>
        <w:pStyle w:val="BodyText"/>
        <w:numPr>
          <w:ilvl w:val="0"/>
          <w:numId w:val="92"/>
        </w:numPr>
        <w:tabs>
          <w:tab w:val="clear" w:pos="720"/>
          <w:tab w:val="left" w:pos="0" w:leader="none"/>
        </w:tabs>
        <w:spacing w:before="0" w:after="200"/>
        <w:ind w:hanging="283" w:left="709"/>
        <w:rPr/>
      </w:pPr>
      <w:r>
        <w:rPr>
          <w:rStyle w:val="Strong"/>
        </w:rPr>
        <w:t>Preserve structured dissent.</w:t>
      </w:r>
      <w:r>
        <w:rPr/>
        <w:t xml:space="preserve"> Minority findings and unresolved objections should remain attached to the assessment rather than disappearing when a decision is reached.</w:t>
      </w:r>
    </w:p>
    <w:p>
      <w:pPr>
        <w:pStyle w:val="BodyText"/>
        <w:numPr>
          <w:ilvl w:val="0"/>
          <w:numId w:val="92"/>
        </w:numPr>
        <w:tabs>
          <w:tab w:val="clear" w:pos="720"/>
          <w:tab w:val="left" w:pos="0" w:leader="none"/>
        </w:tabs>
        <w:spacing w:before="0" w:after="200"/>
        <w:ind w:hanging="283" w:left="709"/>
        <w:rPr/>
      </w:pPr>
      <w:r>
        <w:rPr>
          <w:rStyle w:val="Strong"/>
        </w:rPr>
        <w:t>Evaluate habits and institutional routines.</w:t>
      </w:r>
      <w:r>
        <w:rPr/>
        <w:t xml:space="preserve"> The framework should ask not only whether a particular action is acceptable but what recurring policy the action establishes.</w:t>
      </w:r>
    </w:p>
    <w:p>
      <w:pPr>
        <w:pStyle w:val="BodyText"/>
        <w:numPr>
          <w:ilvl w:val="0"/>
          <w:numId w:val="92"/>
        </w:numPr>
        <w:tabs>
          <w:tab w:val="clear" w:pos="720"/>
          <w:tab w:val="left" w:pos="0" w:leader="none"/>
        </w:tabs>
        <w:spacing w:before="0" w:after="200"/>
        <w:ind w:hanging="283" w:left="709"/>
        <w:rPr/>
      </w:pPr>
      <w:r>
        <w:rPr>
          <w:rStyle w:val="Strong"/>
        </w:rPr>
        <w:t>Reassess means and ends together.</w:t>
      </w:r>
      <w:r>
        <w:rPr/>
        <w:t xml:space="preserve"> If the means undermine the original objective, alter the affected entities, or create new dependencies, the objective itself should be reconsidered.</w:t>
      </w:r>
    </w:p>
    <w:p>
      <w:pPr>
        <w:pStyle w:val="BodyText"/>
        <w:numPr>
          <w:ilvl w:val="0"/>
          <w:numId w:val="92"/>
        </w:numPr>
        <w:tabs>
          <w:tab w:val="clear" w:pos="720"/>
          <w:tab w:val="left" w:pos="0" w:leader="none"/>
        </w:tabs>
        <w:spacing w:before="0" w:after="200"/>
        <w:ind w:hanging="283" w:left="709"/>
        <w:rPr/>
      </w:pPr>
      <w:r>
        <w:rPr>
          <w:rStyle w:val="Strong"/>
        </w:rPr>
        <w:t>Include qualitative experience.</w:t>
      </w:r>
      <w:r>
        <w:rPr/>
        <w:t xml:space="preserve"> Testimony, narrative, observation, and lived experience should supplement numerical metrics where they reveal consequences not otherwise represented.</w:t>
      </w:r>
    </w:p>
    <w:p>
      <w:pPr>
        <w:pStyle w:val="BodyText"/>
        <w:numPr>
          <w:ilvl w:val="0"/>
          <w:numId w:val="92"/>
        </w:numPr>
        <w:tabs>
          <w:tab w:val="clear" w:pos="720"/>
          <w:tab w:val="left" w:pos="0" w:leader="none"/>
        </w:tabs>
        <w:spacing w:before="0" w:after="200"/>
        <w:ind w:hanging="283" w:left="709"/>
        <w:rPr/>
      </w:pPr>
      <w:r>
        <w:rPr>
          <w:rStyle w:val="Strong"/>
        </w:rPr>
        <w:t>Version ethical models and definitions.</w:t>
      </w:r>
      <w:r>
        <w:rPr/>
        <w:t xml:space="preserve"> Changes to assumptions, categories, thresholds, and weights should be documented so that learning does not erase accountability.</w:t>
      </w:r>
    </w:p>
    <w:p>
      <w:pPr>
        <w:pStyle w:val="BodyText"/>
        <w:numPr>
          <w:ilvl w:val="0"/>
          <w:numId w:val="92"/>
        </w:numPr>
        <w:tabs>
          <w:tab w:val="clear" w:pos="720"/>
          <w:tab w:val="left" w:pos="0" w:leader="none"/>
        </w:tabs>
        <w:spacing w:before="0" w:after="200"/>
        <w:ind w:hanging="283" w:left="709"/>
        <w:rPr/>
      </w:pPr>
      <w:r>
        <w:rPr>
          <w:rStyle w:val="Strong"/>
        </w:rPr>
        <w:t>Add an epistemic-debt record.</w:t>
      </w:r>
      <w:r>
        <w:rPr/>
        <w:t xml:space="preserve"> Decisions made under time pressure or inadequate information should identify unresolved questions requiring later investigation.</w:t>
      </w:r>
    </w:p>
    <w:p>
      <w:pPr>
        <w:pStyle w:val="BodyText"/>
        <w:numPr>
          <w:ilvl w:val="0"/>
          <w:numId w:val="92"/>
        </w:numPr>
        <w:tabs>
          <w:tab w:val="clear" w:pos="720"/>
          <w:tab w:val="left" w:pos="0" w:leader="none"/>
        </w:tabs>
        <w:spacing w:before="0" w:after="200"/>
        <w:ind w:hanging="283" w:left="709"/>
        <w:rPr/>
      </w:pPr>
      <w:r>
        <w:rPr>
          <w:rStyle w:val="Strong"/>
        </w:rPr>
        <w:t>Assess the cost of inquiry.</w:t>
      </w:r>
      <w:r>
        <w:rPr/>
        <w:t xml:space="preserve"> Additional research is not always costless. Delay, experimentation, and information collection can themselves create harms that must be evaluated.</w:t>
      </w:r>
    </w:p>
    <w:p>
      <w:pPr>
        <w:pStyle w:val="BodyText"/>
        <w:numPr>
          <w:ilvl w:val="0"/>
          <w:numId w:val="92"/>
        </w:numPr>
        <w:tabs>
          <w:tab w:val="clear" w:pos="720"/>
          <w:tab w:val="left" w:pos="0" w:leader="none"/>
        </w:tabs>
        <w:spacing w:before="0" w:after="200"/>
        <w:ind w:hanging="283" w:left="709"/>
        <w:rPr/>
      </w:pPr>
      <w:r>
        <w:rPr>
          <w:rStyle w:val="Strong"/>
        </w:rPr>
        <w:t>Use plural success criteria.</w:t>
      </w:r>
      <w:r>
        <w:rPr/>
        <w:t xml:space="preserve"> A policy should not be declared successful based on a single metric when it affects multiple dimensions of flourishing.</w:t>
      </w:r>
    </w:p>
    <w:p>
      <w:pPr>
        <w:pStyle w:val="BodyText"/>
        <w:numPr>
          <w:ilvl w:val="0"/>
          <w:numId w:val="92"/>
        </w:numPr>
        <w:tabs>
          <w:tab w:val="clear" w:pos="720"/>
          <w:tab w:val="left" w:pos="0" w:leader="none"/>
        </w:tabs>
        <w:spacing w:before="0" w:after="200"/>
        <w:ind w:hanging="283" w:left="709"/>
        <w:rPr/>
      </w:pPr>
      <w:r>
        <w:rPr>
          <w:rStyle w:val="Strong"/>
        </w:rPr>
        <w:t>Add democratic-legitimacy indicators.</w:t>
      </w:r>
      <w:r>
        <w:rPr/>
        <w:t xml:space="preserve"> Relevant questions include who participated, whose knowledge was excluded, how disagreement was handled, and whether affected parties can seek revision.</w:t>
      </w:r>
    </w:p>
    <w:p>
      <w:pPr>
        <w:pStyle w:val="BodyText"/>
        <w:numPr>
          <w:ilvl w:val="0"/>
          <w:numId w:val="92"/>
        </w:numPr>
        <w:tabs>
          <w:tab w:val="clear" w:pos="720"/>
          <w:tab w:val="left" w:pos="0" w:leader="none"/>
        </w:tabs>
        <w:spacing w:before="0" w:after="200"/>
        <w:ind w:hanging="283" w:left="709"/>
        <w:rPr/>
      </w:pPr>
      <w:r>
        <w:rPr>
          <w:rStyle w:val="Strong"/>
        </w:rPr>
        <w:t>Treat the Foundational Axiom as stable but interpretable.</w:t>
      </w:r>
      <w:r>
        <w:rPr/>
        <w:t xml:space="preserve"> Its core commitment may remain fixed while definitions, operational measures, entity classifications, and applications remain open to pragmatic revision.</w:t>
      </w:r>
    </w:p>
    <w:p>
      <w:pPr>
        <w:pStyle w:val="BodyText"/>
        <w:numPr>
          <w:ilvl w:val="0"/>
          <w:numId w:val="92"/>
        </w:numPr>
        <w:tabs>
          <w:tab w:val="clear" w:pos="720"/>
          <w:tab w:val="left" w:pos="0" w:leader="none"/>
        </w:tabs>
        <w:spacing w:before="0" w:after="200"/>
        <w:ind w:hanging="283" w:left="709"/>
        <w:rPr/>
      </w:pPr>
      <w:r>
        <w:rPr>
          <w:rStyle w:val="Strong"/>
        </w:rPr>
        <w:t>Prevent “whatever works” reasoning.</w:t>
      </w:r>
      <w:r>
        <w:rPr/>
        <w:t xml:space="preserve"> Practical success should remain constrained by rights, legitimacy, nondiscrimination, protected minimums, and the distribution of benefits and burdens.</w:t>
      </w:r>
    </w:p>
    <w:p>
      <w:pPr>
        <w:pStyle w:val="BodyText"/>
        <w:numPr>
          <w:ilvl w:val="0"/>
          <w:numId w:val="92"/>
        </w:numPr>
        <w:tabs>
          <w:tab w:val="clear" w:pos="720"/>
          <w:tab w:val="left" w:pos="0" w:leader="none"/>
        </w:tabs>
        <w:spacing w:before="0" w:after="200"/>
        <w:ind w:hanging="283" w:left="709"/>
        <w:rPr/>
      </w:pPr>
      <w:r>
        <w:rPr>
          <w:rStyle w:val="Strong"/>
        </w:rPr>
        <w:t>Add institutional learning requirements.</w:t>
      </w:r>
      <w:r>
        <w:rPr/>
        <w:t xml:space="preserve"> Organizations should demonstrate how observed failures change procedures, training, authority, and future decision policies.</w:t>
      </w:r>
    </w:p>
    <w:p>
      <w:pPr>
        <w:pStyle w:val="BodyText"/>
        <w:numPr>
          <w:ilvl w:val="0"/>
          <w:numId w:val="92"/>
        </w:numPr>
        <w:tabs>
          <w:tab w:val="clear" w:pos="720"/>
          <w:tab w:val="left" w:pos="0" w:leader="none"/>
        </w:tabs>
        <w:spacing w:before="0" w:after="200"/>
        <w:ind w:hanging="283" w:left="709"/>
        <w:rPr/>
      </w:pPr>
      <w:r>
        <w:rPr>
          <w:rStyle w:val="Strong"/>
        </w:rPr>
        <w:t>Empirically validate Distributed Policy Effects.</w:t>
      </w:r>
      <w:r>
        <w:rPr/>
        <w:t xml:space="preserve"> The framework should compare predicted changes in habits and institutions with observed behavior over time.</w:t>
      </w:r>
    </w:p>
    <w:p>
      <w:pPr>
        <w:pStyle w:val="BodyText"/>
        <w:numPr>
          <w:ilvl w:val="0"/>
          <w:numId w:val="92"/>
        </w:numPr>
        <w:tabs>
          <w:tab w:val="clear" w:pos="720"/>
          <w:tab w:val="left" w:pos="0" w:leader="none"/>
        </w:tabs>
        <w:spacing w:before="0" w:after="200"/>
        <w:ind w:hanging="283" w:left="709"/>
        <w:rPr/>
      </w:pPr>
      <w:r>
        <w:rPr>
          <w:rStyle w:val="Strong"/>
        </w:rPr>
        <w:t>Produce a separate inquiry-quality finding.</w:t>
      </w:r>
      <w:r>
        <w:rPr/>
        <w:t xml:space="preserve"> Each assessment could report:</w:t>
      </w:r>
    </w:p>
    <w:p>
      <w:pPr>
        <w:pStyle w:val="BodyText"/>
        <w:numPr>
          <w:ilvl w:val="0"/>
          <w:numId w:val="93"/>
        </w:numPr>
        <w:tabs>
          <w:tab w:val="clear" w:pos="720"/>
          <w:tab w:val="left" w:pos="0" w:leader="none"/>
        </w:tabs>
        <w:spacing w:before="0" w:after="200"/>
        <w:ind w:hanging="283" w:left="709"/>
        <w:rPr/>
      </w:pPr>
      <w:r>
        <w:rPr/>
        <w:t>Whether the problem was adequately defined;</w:t>
      </w:r>
    </w:p>
    <w:p>
      <w:pPr>
        <w:pStyle w:val="BodyText"/>
        <w:numPr>
          <w:ilvl w:val="0"/>
          <w:numId w:val="93"/>
        </w:numPr>
        <w:tabs>
          <w:tab w:val="clear" w:pos="720"/>
          <w:tab w:val="left" w:pos="0" w:leader="none"/>
        </w:tabs>
        <w:spacing w:before="0" w:after="200"/>
        <w:ind w:hanging="283" w:left="709"/>
        <w:rPr/>
      </w:pPr>
      <w:r>
        <w:rPr/>
        <w:t>Which perspectives participated;</w:t>
      </w:r>
    </w:p>
    <w:p>
      <w:pPr>
        <w:pStyle w:val="BodyText"/>
        <w:numPr>
          <w:ilvl w:val="0"/>
          <w:numId w:val="93"/>
        </w:numPr>
        <w:tabs>
          <w:tab w:val="clear" w:pos="720"/>
          <w:tab w:val="left" w:pos="0" w:leader="none"/>
        </w:tabs>
        <w:spacing w:before="0" w:after="200"/>
        <w:ind w:hanging="283" w:left="709"/>
        <w:rPr/>
      </w:pPr>
      <w:r>
        <w:rPr/>
        <w:t>What hypotheses and alternatives were considered;</w:t>
      </w:r>
    </w:p>
    <w:p>
      <w:pPr>
        <w:pStyle w:val="BodyText"/>
        <w:numPr>
          <w:ilvl w:val="0"/>
          <w:numId w:val="93"/>
        </w:numPr>
        <w:tabs>
          <w:tab w:val="clear" w:pos="720"/>
          <w:tab w:val="left" w:pos="0" w:leader="none"/>
        </w:tabs>
        <w:spacing w:before="0" w:after="200"/>
        <w:ind w:hanging="283" w:left="709"/>
        <w:rPr/>
      </w:pPr>
      <w:r>
        <w:rPr/>
        <w:t>What evidence was available;</w:t>
      </w:r>
    </w:p>
    <w:p>
      <w:pPr>
        <w:pStyle w:val="BodyText"/>
        <w:numPr>
          <w:ilvl w:val="0"/>
          <w:numId w:val="93"/>
        </w:numPr>
        <w:tabs>
          <w:tab w:val="clear" w:pos="720"/>
          <w:tab w:val="left" w:pos="0" w:leader="none"/>
        </w:tabs>
        <w:spacing w:before="0" w:after="200"/>
        <w:ind w:hanging="283" w:left="709"/>
        <w:rPr/>
      </w:pPr>
      <w:r>
        <w:rPr/>
        <w:t>Which assumptions remain uncertain;</w:t>
      </w:r>
    </w:p>
    <w:p>
      <w:pPr>
        <w:pStyle w:val="BodyText"/>
        <w:numPr>
          <w:ilvl w:val="0"/>
          <w:numId w:val="93"/>
        </w:numPr>
        <w:tabs>
          <w:tab w:val="clear" w:pos="720"/>
          <w:tab w:val="left" w:pos="0" w:leader="none"/>
        </w:tabs>
        <w:spacing w:before="0" w:after="200"/>
        <w:ind w:hanging="283" w:left="709"/>
        <w:rPr/>
      </w:pPr>
      <w:r>
        <w:rPr/>
        <w:t>Whether the proposed action is reversible;</w:t>
      </w:r>
    </w:p>
    <w:p>
      <w:pPr>
        <w:pStyle w:val="BodyText"/>
        <w:numPr>
          <w:ilvl w:val="0"/>
          <w:numId w:val="93"/>
        </w:numPr>
        <w:tabs>
          <w:tab w:val="clear" w:pos="720"/>
          <w:tab w:val="left" w:pos="0" w:leader="none"/>
        </w:tabs>
        <w:spacing w:before="0" w:after="200"/>
        <w:ind w:hanging="283" w:left="709"/>
        <w:rPr/>
      </w:pPr>
      <w:r>
        <w:rPr/>
        <w:t>How consequences will be observed;</w:t>
      </w:r>
    </w:p>
    <w:p>
      <w:pPr>
        <w:pStyle w:val="BodyText"/>
        <w:numPr>
          <w:ilvl w:val="0"/>
          <w:numId w:val="93"/>
        </w:numPr>
        <w:tabs>
          <w:tab w:val="clear" w:pos="720"/>
          <w:tab w:val="left" w:pos="0" w:leader="none"/>
        </w:tabs>
        <w:spacing w:before="0" w:after="200"/>
        <w:ind w:hanging="283" w:left="709"/>
        <w:rPr/>
      </w:pPr>
      <w:r>
        <w:rPr/>
        <w:t>What would trigger revision;</w:t>
      </w:r>
    </w:p>
    <w:p>
      <w:pPr>
        <w:pStyle w:val="BodyText"/>
        <w:numPr>
          <w:ilvl w:val="0"/>
          <w:numId w:val="93"/>
        </w:numPr>
        <w:tabs>
          <w:tab w:val="clear" w:pos="720"/>
          <w:tab w:val="left" w:pos="0" w:leader="none"/>
        </w:tabs>
        <w:spacing w:before="0" w:after="200"/>
        <w:ind w:hanging="283" w:left="709"/>
        <w:rPr/>
      </w:pPr>
      <w:r>
        <w:rPr/>
        <w:t>Whether dissent was preserved; and</w:t>
      </w:r>
    </w:p>
    <w:p>
      <w:pPr>
        <w:pStyle w:val="BodyText"/>
        <w:numPr>
          <w:ilvl w:val="0"/>
          <w:numId w:val="93"/>
        </w:numPr>
        <w:tabs>
          <w:tab w:val="clear" w:pos="720"/>
          <w:tab w:val="left" w:pos="0" w:leader="none"/>
        </w:tabs>
        <w:spacing w:before="0" w:after="200"/>
        <w:ind w:hanging="283" w:left="709"/>
        <w:rPr/>
      </w:pPr>
      <w:r>
        <w:rPr/>
        <w:t>How the inquiry will continue after implementation.</w:t>
      </w:r>
    </w:p>
    <w:p>
      <w:pPr>
        <w:pStyle w:val="BodyText"/>
        <w:spacing w:before="0" w:after="200"/>
        <w:rPr/>
      </w:pPr>
      <w:r>
        <w:rPr/>
        <w:t>Pragmatism could make this framework more adaptive, participatory, and empirically self-correcting. The framework could provide Pragmatism with a stable normative boundary: practical success is ethically meaningful only when it promotes compatible Long-Term Flourishing rather than merely achieving the objectives of the most powerful actor.</w:t>
      </w:r>
    </w:p>
    <w:p>
      <w:pPr>
        <w:pStyle w:val="Heading3"/>
        <w:ind w:hanging="0" w:left="0"/>
        <w:rPr/>
      </w:pPr>
      <w:r>
        <w:rPr/>
        <w:t>Contractarianism / Social Contract Theory</w:t>
      </w:r>
    </w:p>
    <w:p>
      <w:pPr>
        <w:pStyle w:val="BodyText"/>
        <w:spacing w:before="0" w:after="200"/>
        <w:rPr/>
      </w:pPr>
      <w:r>
        <w:rPr/>
        <w:t xml:space="preserve">Social Contract Theory is a family of moral and political theories that justifies rules, institutions, duties, or political authority by reference to agreement among persons. The agreement may be historical, actual, tacit, hypothetical, or constructed through an idealized decision procedure. Its central question is whether persons subject to a rule or institution have adequate reason to endorse it and comply with it. </w:t>
      </w:r>
      <w:hyperlink r:id="rId173">
        <w:r>
          <w:rPr>
            <w:rStyle w:val="Hyperlink"/>
          </w:rPr>
          <w:t>Stanford Encyclopedia of Philosophy</w:t>
        </w:r>
      </w:hyperlink>
    </w:p>
    <w:p>
      <w:pPr>
        <w:pStyle w:val="BodyText"/>
        <w:spacing w:before="0" w:after="200"/>
        <w:rPr/>
      </w:pPr>
      <w:r>
        <w:rPr/>
        <w:t>Several related traditions should be distinguished:</w:t>
      </w:r>
    </w:p>
    <w:p>
      <w:pPr>
        <w:pStyle w:val="BodyText"/>
        <w:numPr>
          <w:ilvl w:val="0"/>
          <w:numId w:val="100"/>
        </w:numPr>
        <w:tabs>
          <w:tab w:val="clear" w:pos="720"/>
          <w:tab w:val="left" w:pos="0" w:leader="none"/>
        </w:tabs>
        <w:spacing w:before="0" w:after="200"/>
        <w:ind w:hanging="283" w:left="709"/>
        <w:rPr/>
      </w:pPr>
      <w:r>
        <w:rPr>
          <w:rStyle w:val="Strong"/>
        </w:rPr>
        <w:t>Political social-contract theory</w:t>
      </w:r>
      <w:r>
        <w:rPr/>
        <w:t xml:space="preserve"> asks what makes government and political authority legitimate.</w:t>
      </w:r>
    </w:p>
    <w:p>
      <w:pPr>
        <w:pStyle w:val="BodyText"/>
        <w:numPr>
          <w:ilvl w:val="0"/>
          <w:numId w:val="100"/>
        </w:numPr>
        <w:tabs>
          <w:tab w:val="clear" w:pos="720"/>
          <w:tab w:val="left" w:pos="0" w:leader="none"/>
        </w:tabs>
        <w:spacing w:before="0" w:after="200"/>
        <w:ind w:hanging="283" w:left="709"/>
        <w:rPr/>
      </w:pPr>
      <w:r>
        <w:rPr>
          <w:rStyle w:val="Strong"/>
        </w:rPr>
        <w:t>Contractarianism</w:t>
      </w:r>
      <w:r>
        <w:rPr/>
        <w:t xml:space="preserve"> commonly derives moral constraints from the agreement of rational agents seeking mutual advantage.</w:t>
      </w:r>
    </w:p>
    <w:p>
      <w:pPr>
        <w:pStyle w:val="BodyText"/>
        <w:numPr>
          <w:ilvl w:val="0"/>
          <w:numId w:val="100"/>
        </w:numPr>
        <w:tabs>
          <w:tab w:val="clear" w:pos="720"/>
          <w:tab w:val="left" w:pos="0" w:leader="none"/>
        </w:tabs>
        <w:spacing w:before="0" w:after="200"/>
        <w:ind w:hanging="283" w:left="709"/>
        <w:rPr/>
      </w:pPr>
      <w:r>
        <w:rPr>
          <w:rStyle w:val="Strong"/>
        </w:rPr>
        <w:t>Rawlsian social-contract theory</w:t>
      </w:r>
      <w:r>
        <w:rPr/>
        <w:t xml:space="preserve"> uses a hypothetical original position to identify fair principles for society’s basic structure.</w:t>
      </w:r>
    </w:p>
    <w:p>
      <w:pPr>
        <w:pStyle w:val="BodyText"/>
        <w:numPr>
          <w:ilvl w:val="0"/>
          <w:numId w:val="100"/>
        </w:numPr>
        <w:tabs>
          <w:tab w:val="clear" w:pos="720"/>
          <w:tab w:val="left" w:pos="0" w:leader="none"/>
        </w:tabs>
        <w:spacing w:before="0" w:after="200"/>
        <w:ind w:hanging="283" w:left="709"/>
        <w:rPr/>
      </w:pPr>
      <w:r>
        <w:rPr>
          <w:rStyle w:val="Strong"/>
        </w:rPr>
        <w:t>Contractualism</w:t>
      </w:r>
      <w:r>
        <w:rPr/>
        <w:t>, particularly T. M. Scanlon’s version, asks whether a principle could be reasonably rejected by persons seeking principles that others similarly motivated could accept.</w:t>
      </w:r>
    </w:p>
    <w:p>
      <w:pPr>
        <w:pStyle w:val="BodyText"/>
        <w:spacing w:before="0" w:after="200"/>
        <w:rPr/>
      </w:pPr>
      <w:r>
        <w:rPr/>
        <w:t>These traditions all use agreement or justifiability, but they differ concerning who participates, what motivates the parties, what information they possess, and what makes the resulting agreement morally authoritative.</w:t>
      </w:r>
    </w:p>
    <w:p>
      <w:pPr>
        <w:pStyle w:val="Heading4"/>
        <w:ind w:hanging="0" w:left="0"/>
        <w:rPr>
          <w:rFonts w:ascii="Aptos" w:hAnsi="Aptos"/>
          <w:color w:val="auto"/>
        </w:rPr>
      </w:pPr>
      <w:r>
        <w:rPr/>
        <w:t>Primary Expert(s)</w:t>
      </w:r>
    </w:p>
    <w:tbl>
      <w:tblPr>
        <w:tblW w:w="8640" w:type="dxa"/>
        <w:jc w:val="left"/>
        <w:tblInd w:w="28" w:type="dxa"/>
        <w:tblLayout w:type="fixed"/>
        <w:tblCellMar>
          <w:top w:w="28" w:type="dxa"/>
          <w:left w:w="28" w:type="dxa"/>
          <w:bottom w:w="28" w:type="dxa"/>
          <w:right w:w="28" w:type="dxa"/>
        </w:tblCellMar>
      </w:tblPr>
      <w:tblGrid>
        <w:gridCol w:w="1544"/>
        <w:gridCol w:w="741"/>
        <w:gridCol w:w="2055"/>
        <w:gridCol w:w="4300"/>
      </w:tblGrid>
      <w:tr>
        <w:trPr>
          <w:tblHeader w:val="true"/>
        </w:trPr>
        <w:tc>
          <w:tcPr>
            <w:tcW w:w="1544" w:type="dxa"/>
            <w:tcBorders/>
            <w:vAlign w:val="center"/>
          </w:tcPr>
          <w:p>
            <w:pPr>
              <w:pStyle w:val="TableHeading"/>
              <w:suppressLineNumbers/>
              <w:spacing w:before="0" w:after="200"/>
              <w:jc w:val="center"/>
              <w:rPr/>
            </w:pPr>
            <w:r>
              <w:rPr/>
              <w:t>Expert</w:t>
            </w:r>
          </w:p>
        </w:tc>
        <w:tc>
          <w:tcPr>
            <w:tcW w:w="741" w:type="dxa"/>
            <w:tcBorders/>
            <w:vAlign w:val="center"/>
          </w:tcPr>
          <w:p>
            <w:pPr>
              <w:pStyle w:val="TableHeading"/>
              <w:spacing w:before="0" w:after="200"/>
              <w:jc w:val="right"/>
              <w:rPr/>
            </w:pPr>
            <w:r>
              <w:rPr/>
              <w:t>Years</w:t>
            </w:r>
          </w:p>
        </w:tc>
        <w:tc>
          <w:tcPr>
            <w:tcW w:w="2055" w:type="dxa"/>
            <w:tcBorders/>
            <w:vAlign w:val="center"/>
          </w:tcPr>
          <w:p>
            <w:pPr>
              <w:pStyle w:val="TableHeading"/>
              <w:suppressLineNumbers/>
              <w:spacing w:before="0" w:after="200"/>
              <w:jc w:val="center"/>
              <w:rPr/>
            </w:pPr>
            <w:r>
              <w:rPr/>
              <w:t>Associated institution or setting</w:t>
            </w:r>
          </w:p>
        </w:tc>
        <w:tc>
          <w:tcPr>
            <w:tcW w:w="4300" w:type="dxa"/>
            <w:tcBorders/>
            <w:vAlign w:val="center"/>
          </w:tcPr>
          <w:p>
            <w:pPr>
              <w:pStyle w:val="TableHeading"/>
              <w:suppressLineNumbers/>
              <w:spacing w:before="0" w:after="200"/>
              <w:jc w:val="center"/>
              <w:rPr/>
            </w:pPr>
            <w:r>
              <w:rPr/>
              <w:t>Principal contribution</w:t>
            </w:r>
          </w:p>
        </w:tc>
      </w:tr>
      <w:tr>
        <w:trPr/>
        <w:tc>
          <w:tcPr>
            <w:tcW w:w="1544" w:type="dxa"/>
            <w:tcBorders/>
            <w:vAlign w:val="center"/>
          </w:tcPr>
          <w:p>
            <w:pPr>
              <w:pStyle w:val="TableContents"/>
              <w:widowControl w:val="false"/>
              <w:suppressLineNumbers/>
              <w:spacing w:before="0" w:after="200"/>
              <w:rPr/>
            </w:pPr>
            <w:r>
              <w:rPr>
                <w:rStyle w:val="Strong"/>
              </w:rPr>
              <w:t>Thomas Hobbes</w:t>
            </w:r>
          </w:p>
        </w:tc>
        <w:tc>
          <w:tcPr>
            <w:tcW w:w="741" w:type="dxa"/>
            <w:tcBorders/>
            <w:vAlign w:val="center"/>
          </w:tcPr>
          <w:p>
            <w:pPr>
              <w:pStyle w:val="TableContents"/>
              <w:spacing w:before="0" w:after="200"/>
              <w:jc w:val="right"/>
              <w:rPr/>
            </w:pPr>
            <w:r>
              <w:rPr/>
              <w:t>1588–1679</w:t>
            </w:r>
          </w:p>
        </w:tc>
        <w:tc>
          <w:tcPr>
            <w:tcW w:w="2055" w:type="dxa"/>
            <w:tcBorders/>
            <w:vAlign w:val="center"/>
          </w:tcPr>
          <w:p>
            <w:pPr>
              <w:pStyle w:val="TableContents"/>
              <w:widowControl w:val="false"/>
              <w:suppressLineNumbers/>
              <w:spacing w:before="0" w:after="200"/>
              <w:rPr/>
            </w:pPr>
            <w:r>
              <w:rPr/>
              <w:t>Magdalen Hall, Oxford; Cavendish household</w:t>
            </w:r>
          </w:p>
        </w:tc>
        <w:tc>
          <w:tcPr>
            <w:tcW w:w="4300" w:type="dxa"/>
            <w:tcBorders/>
            <w:vAlign w:val="center"/>
          </w:tcPr>
          <w:p>
            <w:pPr>
              <w:pStyle w:val="TableContents"/>
              <w:widowControl w:val="false"/>
              <w:suppressLineNumbers/>
              <w:spacing w:before="0" w:after="200"/>
              <w:rPr/>
            </w:pPr>
            <w:r>
              <w:rPr/>
              <w:t xml:space="preserve">Developed one of the first comprehensive modern social-contract theories. Hobbes argued that rational persons have reason to authorize a powerful sovereign to secure peace and escape the insecurity of a condition without common authority. </w:t>
            </w:r>
            <w:hyperlink r:id="rId174">
              <w:r>
                <w:rPr>
                  <w:rStyle w:val="Hyperlink"/>
                </w:rPr>
                <w:t>Stanford Encyclopedia of Philosophy</w:t>
              </w:r>
            </w:hyperlink>
          </w:p>
        </w:tc>
      </w:tr>
      <w:tr>
        <w:trPr/>
        <w:tc>
          <w:tcPr>
            <w:tcW w:w="1544" w:type="dxa"/>
            <w:tcBorders/>
            <w:vAlign w:val="center"/>
          </w:tcPr>
          <w:p>
            <w:pPr>
              <w:pStyle w:val="TableContents"/>
              <w:widowControl w:val="false"/>
              <w:suppressLineNumbers/>
              <w:spacing w:before="0" w:after="200"/>
              <w:rPr/>
            </w:pPr>
            <w:r>
              <w:rPr>
                <w:rStyle w:val="Strong"/>
              </w:rPr>
              <w:t>John Locke</w:t>
            </w:r>
          </w:p>
        </w:tc>
        <w:tc>
          <w:tcPr>
            <w:tcW w:w="741" w:type="dxa"/>
            <w:tcBorders/>
            <w:vAlign w:val="center"/>
          </w:tcPr>
          <w:p>
            <w:pPr>
              <w:pStyle w:val="TableContents"/>
              <w:spacing w:before="0" w:after="200"/>
              <w:jc w:val="right"/>
              <w:rPr/>
            </w:pPr>
            <w:r>
              <w:rPr/>
              <w:t>1632–1704</w:t>
            </w:r>
          </w:p>
        </w:tc>
        <w:tc>
          <w:tcPr>
            <w:tcW w:w="2055" w:type="dxa"/>
            <w:tcBorders/>
            <w:vAlign w:val="center"/>
          </w:tcPr>
          <w:p>
            <w:pPr>
              <w:pStyle w:val="TableContents"/>
              <w:widowControl w:val="false"/>
              <w:suppressLineNumbers/>
              <w:spacing w:before="0" w:after="200"/>
              <w:rPr/>
            </w:pPr>
            <w:r>
              <w:rPr/>
              <w:t>Christ Church, University of Oxford</w:t>
            </w:r>
          </w:p>
        </w:tc>
        <w:tc>
          <w:tcPr>
            <w:tcW w:w="4300" w:type="dxa"/>
            <w:tcBorders/>
            <w:vAlign w:val="center"/>
          </w:tcPr>
          <w:p>
            <w:pPr>
              <w:pStyle w:val="TableContents"/>
              <w:widowControl w:val="false"/>
              <w:suppressLineNumbers/>
              <w:spacing w:before="0" w:after="200"/>
              <w:rPr/>
            </w:pPr>
            <w:r>
              <w:rPr/>
              <w:t xml:space="preserve">Grounded legitimate political authority in the consent of free persons who possess natural rights. Government is limited by its purpose of protecting life, liberty, and property and can forfeit legitimacy when it systematically violates that trust. </w:t>
            </w:r>
            <w:hyperlink r:id="rId175">
              <w:r>
                <w:rPr>
                  <w:rStyle w:val="Hyperlink"/>
                </w:rPr>
                <w:t>Stanford Encyclopedia of Philosophy</w:t>
              </w:r>
            </w:hyperlink>
          </w:p>
        </w:tc>
      </w:tr>
      <w:tr>
        <w:trPr/>
        <w:tc>
          <w:tcPr>
            <w:tcW w:w="1544" w:type="dxa"/>
            <w:tcBorders/>
            <w:vAlign w:val="center"/>
          </w:tcPr>
          <w:p>
            <w:pPr>
              <w:pStyle w:val="TableContents"/>
              <w:widowControl w:val="false"/>
              <w:suppressLineNumbers/>
              <w:spacing w:before="0" w:after="200"/>
              <w:rPr/>
            </w:pPr>
            <w:r>
              <w:rPr>
                <w:rStyle w:val="Strong"/>
              </w:rPr>
              <w:t>Jean-Jacques Rousseau</w:t>
            </w:r>
          </w:p>
        </w:tc>
        <w:tc>
          <w:tcPr>
            <w:tcW w:w="741" w:type="dxa"/>
            <w:tcBorders/>
            <w:vAlign w:val="center"/>
          </w:tcPr>
          <w:p>
            <w:pPr>
              <w:pStyle w:val="TableContents"/>
              <w:spacing w:before="0" w:after="200"/>
              <w:jc w:val="right"/>
              <w:rPr/>
            </w:pPr>
            <w:r>
              <w:rPr/>
              <w:t>1712–1778</w:t>
            </w:r>
          </w:p>
        </w:tc>
        <w:tc>
          <w:tcPr>
            <w:tcW w:w="2055" w:type="dxa"/>
            <w:tcBorders/>
            <w:vAlign w:val="center"/>
          </w:tcPr>
          <w:p>
            <w:pPr>
              <w:pStyle w:val="TableContents"/>
              <w:widowControl w:val="false"/>
              <w:suppressLineNumbers/>
              <w:spacing w:before="0" w:after="200"/>
              <w:rPr/>
            </w:pPr>
            <w:r>
              <w:rPr/>
              <w:t>Republic of Geneva; independent philosophical and literary practice</w:t>
            </w:r>
          </w:p>
        </w:tc>
        <w:tc>
          <w:tcPr>
            <w:tcW w:w="4300" w:type="dxa"/>
            <w:tcBorders/>
            <w:vAlign w:val="center"/>
          </w:tcPr>
          <w:p>
            <w:pPr>
              <w:pStyle w:val="TableContents"/>
              <w:widowControl w:val="false"/>
              <w:suppressLineNumbers/>
              <w:spacing w:before="0" w:after="200"/>
              <w:rPr/>
            </w:pPr>
            <w:r>
              <w:rPr/>
              <w:t xml:space="preserve">Sought a social contract under which persons remain free while subject to a common political order. He developed the concept of the general will as the shared civic standpoint from which citizens legislate for the common good. </w:t>
            </w:r>
            <w:hyperlink r:id="rId176">
              <w:r>
                <w:rPr>
                  <w:rStyle w:val="Hyperlink"/>
                </w:rPr>
                <w:t>Stanford Encyclopedia of Philosophy</w:t>
              </w:r>
            </w:hyperlink>
          </w:p>
        </w:tc>
      </w:tr>
      <w:tr>
        <w:trPr/>
        <w:tc>
          <w:tcPr>
            <w:tcW w:w="1544" w:type="dxa"/>
            <w:tcBorders/>
            <w:vAlign w:val="center"/>
          </w:tcPr>
          <w:p>
            <w:pPr>
              <w:pStyle w:val="TableContents"/>
              <w:widowControl w:val="false"/>
              <w:suppressLineNumbers/>
              <w:spacing w:before="0" w:after="200"/>
              <w:rPr/>
            </w:pPr>
            <w:r>
              <w:rPr>
                <w:rStyle w:val="Strong"/>
              </w:rPr>
              <w:t>John Rawls</w:t>
            </w:r>
          </w:p>
        </w:tc>
        <w:tc>
          <w:tcPr>
            <w:tcW w:w="741" w:type="dxa"/>
            <w:tcBorders/>
            <w:vAlign w:val="center"/>
          </w:tcPr>
          <w:p>
            <w:pPr>
              <w:pStyle w:val="TableContents"/>
              <w:spacing w:before="0" w:after="200"/>
              <w:jc w:val="right"/>
              <w:rPr/>
            </w:pPr>
            <w:r>
              <w:rPr/>
              <w:t>1921–2002</w:t>
            </w:r>
          </w:p>
        </w:tc>
        <w:tc>
          <w:tcPr>
            <w:tcW w:w="2055" w:type="dxa"/>
            <w:tcBorders/>
            <w:vAlign w:val="center"/>
          </w:tcPr>
          <w:p>
            <w:pPr>
              <w:pStyle w:val="TableContents"/>
              <w:widowControl w:val="false"/>
              <w:suppressLineNumbers/>
              <w:spacing w:before="0" w:after="200"/>
              <w:rPr/>
            </w:pPr>
            <w:r>
              <w:rPr/>
              <w:t>Harvard University, James Bryant Conant University Professor</w:t>
            </w:r>
          </w:p>
        </w:tc>
        <w:tc>
          <w:tcPr>
            <w:tcW w:w="4300" w:type="dxa"/>
            <w:tcBorders/>
            <w:vAlign w:val="center"/>
          </w:tcPr>
          <w:p>
            <w:pPr>
              <w:pStyle w:val="TableContents"/>
              <w:widowControl w:val="false"/>
              <w:suppressLineNumbers/>
              <w:spacing w:before="0" w:after="200"/>
              <w:rPr/>
            </w:pPr>
            <w:r>
              <w:rPr/>
              <w:t xml:space="preserve">Revived social-contract theory through “justice as fairness.” His original position and veil of ignorance model fair agreement on principles for society’s basic structure by preventing parties from designing institutions around arbitrary knowledge of their own social position. </w:t>
            </w:r>
            <w:hyperlink r:id="rId177">
              <w:r>
                <w:rPr>
                  <w:rStyle w:val="Hyperlink"/>
                </w:rPr>
                <w:t>Harvard University</w:t>
              </w:r>
            </w:hyperlink>
            <w:r>
              <w:rPr/>
              <w:t xml:space="preserve">, </w:t>
            </w:r>
            <w:hyperlink r:id="rId178">
              <w:r>
                <w:rPr>
                  <w:rStyle w:val="Hyperlink"/>
                </w:rPr>
                <w:t>Stanford Encyclopedia of Philosophy</w:t>
              </w:r>
            </w:hyperlink>
          </w:p>
        </w:tc>
      </w:tr>
      <w:tr>
        <w:trPr/>
        <w:tc>
          <w:tcPr>
            <w:tcW w:w="1544" w:type="dxa"/>
            <w:tcBorders/>
            <w:vAlign w:val="center"/>
          </w:tcPr>
          <w:p>
            <w:pPr>
              <w:pStyle w:val="TableContents"/>
              <w:widowControl w:val="false"/>
              <w:suppressLineNumbers/>
              <w:spacing w:before="0" w:after="200"/>
              <w:rPr/>
            </w:pPr>
            <w:r>
              <w:rPr>
                <w:rStyle w:val="Strong"/>
              </w:rPr>
              <w:t>David Gauthier</w:t>
            </w:r>
          </w:p>
        </w:tc>
        <w:tc>
          <w:tcPr>
            <w:tcW w:w="741" w:type="dxa"/>
            <w:tcBorders/>
            <w:vAlign w:val="center"/>
          </w:tcPr>
          <w:p>
            <w:pPr>
              <w:pStyle w:val="TableContents"/>
              <w:spacing w:before="0" w:after="200"/>
              <w:jc w:val="right"/>
              <w:rPr/>
            </w:pPr>
            <w:r>
              <w:rPr/>
              <w:t>1932–2023</w:t>
            </w:r>
          </w:p>
        </w:tc>
        <w:tc>
          <w:tcPr>
            <w:tcW w:w="2055" w:type="dxa"/>
            <w:tcBorders/>
            <w:vAlign w:val="center"/>
          </w:tcPr>
          <w:p>
            <w:pPr>
              <w:pStyle w:val="TableContents"/>
              <w:widowControl w:val="false"/>
              <w:suppressLineNumbers/>
              <w:spacing w:before="0" w:after="200"/>
              <w:rPr/>
            </w:pPr>
            <w:r>
              <w:rPr/>
              <w:t>University of Pittsburgh</w:t>
            </w:r>
          </w:p>
        </w:tc>
        <w:tc>
          <w:tcPr>
            <w:tcW w:w="4300" w:type="dxa"/>
            <w:tcBorders/>
            <w:vAlign w:val="center"/>
          </w:tcPr>
          <w:p>
            <w:pPr>
              <w:pStyle w:val="TableContents"/>
              <w:widowControl w:val="false"/>
              <w:suppressLineNumbers/>
              <w:spacing w:before="0" w:after="200"/>
              <w:rPr/>
            </w:pPr>
            <w:r>
              <w:rPr/>
              <w:t xml:space="preserve">Developed a modern mutual-advantage contractarianism grounded in rational-choice and game-theoretic reasoning. His concept of constrained maximization explains why rational agents may adopt stable dispositions to comply with mutually beneficial agreements rather than maximize immediate advantage in every interaction. </w:t>
            </w:r>
            <w:hyperlink r:id="rId179">
              <w:r>
                <w:rPr>
                  <w:rStyle w:val="Hyperlink"/>
                </w:rPr>
                <w:t>University of Pittsburgh</w:t>
              </w:r>
            </w:hyperlink>
          </w:p>
        </w:tc>
      </w:tr>
      <w:tr>
        <w:trPr/>
        <w:tc>
          <w:tcPr>
            <w:tcW w:w="1544" w:type="dxa"/>
            <w:tcBorders/>
            <w:vAlign w:val="center"/>
          </w:tcPr>
          <w:p>
            <w:pPr>
              <w:pStyle w:val="TableContents"/>
              <w:widowControl w:val="false"/>
              <w:suppressLineNumbers/>
              <w:spacing w:before="0" w:after="200"/>
              <w:rPr/>
            </w:pPr>
            <w:r>
              <w:rPr>
                <w:rStyle w:val="Strong"/>
              </w:rPr>
              <w:t>T. M. Scanlon</w:t>
            </w:r>
          </w:p>
        </w:tc>
        <w:tc>
          <w:tcPr>
            <w:tcW w:w="741" w:type="dxa"/>
            <w:tcBorders/>
            <w:vAlign w:val="center"/>
          </w:tcPr>
          <w:p>
            <w:pPr>
              <w:pStyle w:val="TableContents"/>
              <w:spacing w:before="0" w:after="200"/>
              <w:jc w:val="right"/>
              <w:rPr/>
            </w:pPr>
            <w:r>
              <w:rPr/>
              <w:t>1940–</w:t>
            </w:r>
          </w:p>
        </w:tc>
        <w:tc>
          <w:tcPr>
            <w:tcW w:w="2055" w:type="dxa"/>
            <w:tcBorders/>
            <w:vAlign w:val="center"/>
          </w:tcPr>
          <w:p>
            <w:pPr>
              <w:pStyle w:val="TableContents"/>
              <w:widowControl w:val="false"/>
              <w:suppressLineNumbers/>
              <w:spacing w:before="0" w:after="200"/>
              <w:rPr/>
            </w:pPr>
            <w:r>
              <w:rPr/>
              <w:t>Harvard University, Alford Professor of Natural Religion, Moral Philosophy, and Civil Polity, Emeritus</w:t>
            </w:r>
          </w:p>
        </w:tc>
        <w:tc>
          <w:tcPr>
            <w:tcW w:w="4300" w:type="dxa"/>
            <w:tcBorders/>
            <w:vAlign w:val="center"/>
          </w:tcPr>
          <w:p>
            <w:pPr>
              <w:pStyle w:val="TableContents"/>
              <w:widowControl w:val="false"/>
              <w:suppressLineNumbers/>
              <w:spacing w:before="0" w:after="200"/>
              <w:rPr/>
            </w:pPr>
            <w:r>
              <w:rPr/>
              <w:t xml:space="preserve">Developed a form of moral contractualism in which an act is wrong when it would be disallowed by principles that persons could reasonably reject as a basis for informed, unforced general agreement. </w:t>
            </w:r>
            <w:hyperlink r:id="rId180">
              <w:r>
                <w:rPr>
                  <w:rStyle w:val="Hyperlink"/>
                </w:rPr>
                <w:t>Harvard University</w:t>
              </w:r>
            </w:hyperlink>
            <w:r>
              <w:rPr/>
              <w:t xml:space="preserve">, </w:t>
            </w:r>
            <w:hyperlink r:id="rId181">
              <w:r>
                <w:rPr>
                  <w:rStyle w:val="Hyperlink"/>
                </w:rPr>
                <w:t>Stanford Encyclopedia of Philosophy</w:t>
              </w:r>
            </w:hyperlink>
          </w:p>
        </w:tc>
      </w:tr>
    </w:tbl>
    <w:p>
      <w:pPr>
        <w:pStyle w:val="Heading4"/>
        <w:ind w:hanging="0" w:left="0"/>
        <w:rPr>
          <w:rFonts w:ascii="Aptos" w:hAnsi="Aptos"/>
          <w:color w:val="auto"/>
        </w:rPr>
      </w:pPr>
      <w:r>
        <w:rPr/>
        <w:t>Core Assumptions</w:t>
      </w:r>
    </w:p>
    <w:p>
      <w:pPr>
        <w:pStyle w:val="BodyText"/>
        <w:spacing w:before="0" w:after="200"/>
        <w:rPr/>
      </w:pPr>
      <w:r>
        <w:rPr/>
        <w:t>Contractarian and social-contract theories differ substantially, but their recurring assumptions include the following:</w:t>
      </w:r>
    </w:p>
    <w:p>
      <w:pPr>
        <w:pStyle w:val="BodyText"/>
        <w:numPr>
          <w:ilvl w:val="0"/>
          <w:numId w:val="101"/>
        </w:numPr>
        <w:tabs>
          <w:tab w:val="clear" w:pos="720"/>
          <w:tab w:val="left" w:pos="0" w:leader="none"/>
        </w:tabs>
        <w:spacing w:before="0" w:after="200"/>
        <w:ind w:hanging="283" w:left="709"/>
        <w:rPr/>
      </w:pPr>
      <w:r>
        <w:rPr>
          <w:rStyle w:val="Strong"/>
        </w:rPr>
        <w:t>Social cooperation requires rules.</w:t>
      </w:r>
      <w:r>
        <w:rPr/>
        <w:t xml:space="preserve"> Interaction creates benefits, conflicts, dependencies, coordination problems, and opportunities for exploitation.</w:t>
      </w:r>
    </w:p>
    <w:p>
      <w:pPr>
        <w:pStyle w:val="BodyText"/>
        <w:numPr>
          <w:ilvl w:val="0"/>
          <w:numId w:val="101"/>
        </w:numPr>
        <w:tabs>
          <w:tab w:val="clear" w:pos="720"/>
          <w:tab w:val="left" w:pos="0" w:leader="none"/>
        </w:tabs>
        <w:spacing w:before="0" w:after="200"/>
        <w:ind w:hanging="283" w:left="709"/>
        <w:rPr/>
      </w:pPr>
      <w:r>
        <w:rPr>
          <w:rStyle w:val="Strong"/>
        </w:rPr>
        <w:t>Rules affecting persons require justification.</w:t>
      </w:r>
      <w:r>
        <w:rPr/>
        <w:t xml:space="preserve"> Authority should not rest solely on force, tradition, inheritance, or the preferences of those who possess power.</w:t>
      </w:r>
    </w:p>
    <w:p>
      <w:pPr>
        <w:pStyle w:val="BodyText"/>
        <w:numPr>
          <w:ilvl w:val="0"/>
          <w:numId w:val="101"/>
        </w:numPr>
        <w:tabs>
          <w:tab w:val="clear" w:pos="720"/>
          <w:tab w:val="left" w:pos="0" w:leader="none"/>
        </w:tabs>
        <w:spacing w:before="0" w:after="200"/>
        <w:ind w:hanging="283" w:left="709"/>
        <w:rPr/>
      </w:pPr>
      <w:r>
        <w:rPr>
          <w:rStyle w:val="Strong"/>
        </w:rPr>
        <w:t>Agreement can provide a basis of legitimacy.</w:t>
      </w:r>
      <w:r>
        <w:rPr/>
        <w:t xml:space="preserve"> A rule gains normative authority when it can be connected to the valid consent or rational endorsement of those subject to it.</w:t>
      </w:r>
    </w:p>
    <w:p>
      <w:pPr>
        <w:pStyle w:val="BodyText"/>
        <w:numPr>
          <w:ilvl w:val="0"/>
          <w:numId w:val="101"/>
        </w:numPr>
        <w:tabs>
          <w:tab w:val="clear" w:pos="720"/>
          <w:tab w:val="left" w:pos="0" w:leader="none"/>
        </w:tabs>
        <w:spacing w:before="0" w:after="200"/>
        <w:ind w:hanging="283" w:left="709"/>
        <w:rPr/>
      </w:pPr>
      <w:r>
        <w:rPr>
          <w:rStyle w:val="Strong"/>
        </w:rPr>
        <w:t>The social contract is often hypothetical.</w:t>
      </w:r>
      <w:r>
        <w:rPr/>
        <w:t xml:space="preserve"> Most social-contract theories do not claim that every society was created through a single historical agreement. The contract is commonly a model for asking what suitably situated persons would agree to.</w:t>
      </w:r>
    </w:p>
    <w:p>
      <w:pPr>
        <w:pStyle w:val="BodyText"/>
        <w:numPr>
          <w:ilvl w:val="0"/>
          <w:numId w:val="101"/>
        </w:numPr>
        <w:tabs>
          <w:tab w:val="clear" w:pos="720"/>
          <w:tab w:val="left" w:pos="0" w:leader="none"/>
        </w:tabs>
        <w:spacing w:before="0" w:after="200"/>
        <w:ind w:hanging="283" w:left="709"/>
        <w:rPr/>
      </w:pPr>
      <w:r>
        <w:rPr>
          <w:rStyle w:val="Strong"/>
        </w:rPr>
        <w:t>The conditions of agreement matter.</w:t>
      </w:r>
      <w:r>
        <w:rPr/>
        <w:t xml:space="preserve"> Coercion, deception, severe dependency, unequal bargaining power, and lack of alternatives can undermine the legitimacy of an apparent contract.</w:t>
      </w:r>
    </w:p>
    <w:p>
      <w:pPr>
        <w:pStyle w:val="BodyText"/>
        <w:numPr>
          <w:ilvl w:val="0"/>
          <w:numId w:val="101"/>
        </w:numPr>
        <w:tabs>
          <w:tab w:val="clear" w:pos="720"/>
          <w:tab w:val="left" w:pos="0" w:leader="none"/>
        </w:tabs>
        <w:spacing w:before="0" w:after="200"/>
        <w:ind w:hanging="283" w:left="709"/>
        <w:rPr/>
      </w:pPr>
      <w:r>
        <w:rPr>
          <w:rStyle w:val="Strong"/>
        </w:rPr>
        <w:t>Parties are commonly modeled as free and equal.</w:t>
      </w:r>
      <w:r>
        <w:rPr/>
        <w:t xml:space="preserve"> The contract should not allow arbitrary status, inherited privilege, or brute power to determine the terms of cooperation.</w:t>
      </w:r>
    </w:p>
    <w:p>
      <w:pPr>
        <w:pStyle w:val="BodyText"/>
        <w:numPr>
          <w:ilvl w:val="0"/>
          <w:numId w:val="101"/>
        </w:numPr>
        <w:tabs>
          <w:tab w:val="clear" w:pos="720"/>
          <w:tab w:val="left" w:pos="0" w:leader="none"/>
        </w:tabs>
        <w:spacing w:before="0" w:after="200"/>
        <w:ind w:hanging="283" w:left="709"/>
        <w:rPr/>
      </w:pPr>
      <w:r>
        <w:rPr>
          <w:rStyle w:val="Strong"/>
        </w:rPr>
        <w:t>The parties are assumed to possess some form of rational agency.</w:t>
      </w:r>
      <w:r>
        <w:rPr/>
        <w:t xml:space="preserve"> They can identify interests, understand proposed rules, compare alternatives, and recognize reasons for compliance.</w:t>
      </w:r>
    </w:p>
    <w:p>
      <w:pPr>
        <w:pStyle w:val="BodyText"/>
        <w:numPr>
          <w:ilvl w:val="0"/>
          <w:numId w:val="101"/>
        </w:numPr>
        <w:tabs>
          <w:tab w:val="clear" w:pos="720"/>
          <w:tab w:val="left" w:pos="0" w:leader="none"/>
        </w:tabs>
        <w:spacing w:before="0" w:after="200"/>
        <w:ind w:hanging="283" w:left="709"/>
        <w:rPr/>
      </w:pPr>
      <w:r>
        <w:rPr>
          <w:rStyle w:val="Strong"/>
        </w:rPr>
        <w:t>The baseline affects the bargain.</w:t>
      </w:r>
      <w:r>
        <w:rPr/>
        <w:t xml:space="preserve"> The conditions from which parties negotiate—the state of nature, current institutions, equal standing, or some other baseline—strongly influence what agreement appears rational.</w:t>
      </w:r>
    </w:p>
    <w:p>
      <w:pPr>
        <w:pStyle w:val="BodyText"/>
        <w:numPr>
          <w:ilvl w:val="0"/>
          <w:numId w:val="101"/>
        </w:numPr>
        <w:tabs>
          <w:tab w:val="clear" w:pos="720"/>
          <w:tab w:val="left" w:pos="0" w:leader="none"/>
        </w:tabs>
        <w:spacing w:before="0" w:after="200"/>
        <w:ind w:hanging="283" w:left="709"/>
        <w:rPr/>
      </w:pPr>
      <w:r>
        <w:rPr>
          <w:rStyle w:val="Strong"/>
        </w:rPr>
        <w:t>Mutual advantage can motivate restraint.</w:t>
      </w:r>
      <w:r>
        <w:rPr/>
        <w:t xml:space="preserve"> In contractarian accounts, agents accept constraints because stable cooperation provides greater expected benefit than unrestrained individual maximization.</w:t>
      </w:r>
    </w:p>
    <w:p>
      <w:pPr>
        <w:pStyle w:val="BodyText"/>
        <w:numPr>
          <w:ilvl w:val="0"/>
          <w:numId w:val="101"/>
        </w:numPr>
        <w:tabs>
          <w:tab w:val="clear" w:pos="720"/>
          <w:tab w:val="left" w:pos="0" w:leader="none"/>
        </w:tabs>
        <w:spacing w:before="0" w:after="200"/>
        <w:ind w:hanging="283" w:left="709"/>
        <w:rPr/>
      </w:pPr>
      <w:r>
        <w:rPr>
          <w:rStyle w:val="Strong"/>
        </w:rPr>
        <w:t>Fairness may require informational restrictions.</w:t>
      </w:r>
      <w:r>
        <w:rPr/>
        <w:t xml:space="preserve"> Rawls’s veil of ignorance prevents parties from tailoring principles to their known race, class, gender, talents, social position, or particular conception of the good.</w:t>
      </w:r>
    </w:p>
    <w:p>
      <w:pPr>
        <w:pStyle w:val="BodyText"/>
        <w:numPr>
          <w:ilvl w:val="0"/>
          <w:numId w:val="101"/>
        </w:numPr>
        <w:tabs>
          <w:tab w:val="clear" w:pos="720"/>
          <w:tab w:val="left" w:pos="0" w:leader="none"/>
        </w:tabs>
        <w:spacing w:before="0" w:after="200"/>
        <w:ind w:hanging="283" w:left="709"/>
        <w:rPr/>
      </w:pPr>
      <w:r>
        <w:rPr>
          <w:rStyle w:val="Strong"/>
        </w:rPr>
        <w:t>Public justification is central.</w:t>
      </w:r>
      <w:r>
        <w:rPr/>
        <w:t xml:space="preserve"> Rules should be explainable to those whose freedom, opportunities, or obligations they govern.</w:t>
      </w:r>
    </w:p>
    <w:p>
      <w:pPr>
        <w:pStyle w:val="BodyText"/>
        <w:numPr>
          <w:ilvl w:val="0"/>
          <w:numId w:val="101"/>
        </w:numPr>
        <w:tabs>
          <w:tab w:val="clear" w:pos="720"/>
          <w:tab w:val="left" w:pos="0" w:leader="none"/>
        </w:tabs>
        <w:spacing w:before="0" w:after="200"/>
        <w:ind w:hanging="283" w:left="709"/>
        <w:rPr/>
      </w:pPr>
      <w:r>
        <w:rPr>
          <w:rStyle w:val="Strong"/>
        </w:rPr>
        <w:t>Agreement does not necessarily mean preference aggregation.</w:t>
      </w:r>
      <w:r>
        <w:rPr/>
        <w:t xml:space="preserve"> Rousseau’s general will and Scanlon’s reasonable-rejection test are not simple majority votes or sums of individual preferences.</w:t>
      </w:r>
    </w:p>
    <w:p>
      <w:pPr>
        <w:pStyle w:val="BodyText"/>
        <w:numPr>
          <w:ilvl w:val="0"/>
          <w:numId w:val="101"/>
        </w:numPr>
        <w:tabs>
          <w:tab w:val="clear" w:pos="720"/>
          <w:tab w:val="left" w:pos="0" w:leader="none"/>
        </w:tabs>
        <w:spacing w:before="0" w:after="200"/>
        <w:ind w:hanging="283" w:left="709"/>
        <w:rPr/>
      </w:pPr>
      <w:r>
        <w:rPr>
          <w:rStyle w:val="Strong"/>
        </w:rPr>
        <w:t>Reciprocity supports stable cooperation.</w:t>
      </w:r>
      <w:r>
        <w:rPr/>
        <w:t xml:space="preserve"> Participants should receive fair benefits from a system whose burdens they are expected to bear.</w:t>
      </w:r>
    </w:p>
    <w:p>
      <w:pPr>
        <w:pStyle w:val="BodyText"/>
        <w:numPr>
          <w:ilvl w:val="0"/>
          <w:numId w:val="101"/>
        </w:numPr>
        <w:tabs>
          <w:tab w:val="clear" w:pos="720"/>
          <w:tab w:val="left" w:pos="0" w:leader="none"/>
        </w:tabs>
        <w:spacing w:before="0" w:after="200"/>
        <w:ind w:hanging="283" w:left="709"/>
        <w:rPr/>
      </w:pPr>
      <w:r>
        <w:rPr>
          <w:rStyle w:val="Strong"/>
        </w:rPr>
        <w:t>Compliance requires assurance.</w:t>
      </w:r>
      <w:r>
        <w:rPr/>
        <w:t xml:space="preserve"> Agents are more willing to comply when they have reason to believe that others will also comply and that violations will be addressed.</w:t>
      </w:r>
    </w:p>
    <w:p>
      <w:pPr>
        <w:pStyle w:val="BodyText"/>
        <w:numPr>
          <w:ilvl w:val="0"/>
          <w:numId w:val="101"/>
        </w:numPr>
        <w:tabs>
          <w:tab w:val="clear" w:pos="720"/>
          <w:tab w:val="left" w:pos="0" w:leader="none"/>
        </w:tabs>
        <w:spacing w:before="0" w:after="200"/>
        <w:ind w:hanging="283" w:left="709"/>
        <w:rPr/>
      </w:pPr>
      <w:r>
        <w:rPr>
          <w:rStyle w:val="Strong"/>
        </w:rPr>
        <w:t>Institutions are necessary for complex agreements.</w:t>
      </w:r>
      <w:r>
        <w:rPr/>
        <w:t xml:space="preserve"> Laws, procedures, monitoring, adjudication, enforcement, and dispute resolution stabilize expectations.</w:t>
      </w:r>
    </w:p>
    <w:p>
      <w:pPr>
        <w:pStyle w:val="BodyText"/>
        <w:numPr>
          <w:ilvl w:val="0"/>
          <w:numId w:val="101"/>
        </w:numPr>
        <w:tabs>
          <w:tab w:val="clear" w:pos="720"/>
          <w:tab w:val="left" w:pos="0" w:leader="none"/>
        </w:tabs>
        <w:spacing w:before="0" w:after="200"/>
        <w:ind w:hanging="283" w:left="709"/>
        <w:rPr/>
      </w:pPr>
      <w:r>
        <w:rPr>
          <w:rStyle w:val="Strong"/>
        </w:rPr>
        <w:t>Political authority is conditional.</w:t>
      </w:r>
      <w:r>
        <w:rPr/>
        <w:t xml:space="preserve"> Its legitimacy depends on the theory: maintenance of peace for Hobbes, protection of rights for Locke, conformity to the general will for Rousseau, or public justification under fair terms for later theories.</w:t>
      </w:r>
    </w:p>
    <w:p>
      <w:pPr>
        <w:pStyle w:val="BodyText"/>
        <w:numPr>
          <w:ilvl w:val="0"/>
          <w:numId w:val="101"/>
        </w:numPr>
        <w:tabs>
          <w:tab w:val="clear" w:pos="720"/>
          <w:tab w:val="left" w:pos="0" w:leader="none"/>
        </w:tabs>
        <w:spacing w:before="0" w:after="200"/>
        <w:ind w:hanging="283" w:left="709"/>
        <w:rPr/>
      </w:pPr>
      <w:r>
        <w:rPr>
          <w:rStyle w:val="Strong"/>
        </w:rPr>
        <w:t>Pluralism must be managed.</w:t>
      </w:r>
      <w:r>
        <w:rPr/>
        <w:t xml:space="preserve"> Persons may hold conflicting religious, moral, cultural, and political views while still endorsing common institutional principles.</w:t>
      </w:r>
    </w:p>
    <w:p>
      <w:pPr>
        <w:pStyle w:val="BodyText"/>
        <w:numPr>
          <w:ilvl w:val="0"/>
          <w:numId w:val="101"/>
        </w:numPr>
        <w:tabs>
          <w:tab w:val="clear" w:pos="720"/>
          <w:tab w:val="left" w:pos="0" w:leader="none"/>
        </w:tabs>
        <w:spacing w:before="0" w:after="200"/>
        <w:ind w:hanging="283" w:left="709"/>
        <w:rPr/>
      </w:pPr>
      <w:r>
        <w:rPr>
          <w:rStyle w:val="Strong"/>
        </w:rPr>
        <w:t>A legitimate agreement must address dissent.</w:t>
      </w:r>
      <w:r>
        <w:rPr/>
        <w:t xml:space="preserve"> Exit, voice, appeal, amendment, civil disobedience, and resistance become important when parties believe the contract has been breached.</w:t>
      </w:r>
    </w:p>
    <w:p>
      <w:pPr>
        <w:pStyle w:val="BodyText"/>
        <w:numPr>
          <w:ilvl w:val="0"/>
          <w:numId w:val="101"/>
        </w:numPr>
        <w:tabs>
          <w:tab w:val="clear" w:pos="720"/>
          <w:tab w:val="left" w:pos="0" w:leader="none"/>
        </w:tabs>
        <w:spacing w:before="0" w:after="200"/>
        <w:ind w:hanging="283" w:left="709"/>
        <w:rPr/>
      </w:pPr>
      <w:r>
        <w:rPr>
          <w:rStyle w:val="Strong"/>
        </w:rPr>
        <w:t>Rules must remain stable enough to guide conduct.</w:t>
      </w:r>
      <w:r>
        <w:rPr/>
        <w:t xml:space="preserve"> An agreement that changes unpredictably cannot create reliable expectations or sustained cooperation.</w:t>
      </w:r>
    </w:p>
    <w:p>
      <w:pPr>
        <w:pStyle w:val="BodyText"/>
        <w:numPr>
          <w:ilvl w:val="0"/>
          <w:numId w:val="101"/>
        </w:numPr>
        <w:tabs>
          <w:tab w:val="clear" w:pos="720"/>
          <w:tab w:val="left" w:pos="0" w:leader="none"/>
        </w:tabs>
        <w:spacing w:before="0" w:after="200"/>
        <w:ind w:hanging="283" w:left="709"/>
        <w:rPr/>
      </w:pPr>
      <w:r>
        <w:rPr>
          <w:rStyle w:val="Strong"/>
        </w:rPr>
        <w:t>The boundaries of membership matter.</w:t>
      </w:r>
      <w:r>
        <w:rPr/>
        <w:t xml:space="preserve"> Every contract must identify who is included as a party, who is represented, and who is affected without being represented.</w:t>
      </w:r>
    </w:p>
    <w:p>
      <w:pPr>
        <w:pStyle w:val="BodyText"/>
        <w:numPr>
          <w:ilvl w:val="0"/>
          <w:numId w:val="101"/>
        </w:numPr>
        <w:tabs>
          <w:tab w:val="clear" w:pos="720"/>
          <w:tab w:val="left" w:pos="0" w:leader="none"/>
        </w:tabs>
        <w:spacing w:before="0" w:after="200"/>
        <w:ind w:hanging="283" w:left="709"/>
        <w:rPr/>
      </w:pPr>
      <w:r>
        <w:rPr>
          <w:rStyle w:val="Strong"/>
        </w:rPr>
        <w:t>Hypothetical consent does not automatically equal actual consent.</w:t>
      </w:r>
      <w:r>
        <w:rPr/>
        <w:t xml:space="preserve"> A theory must explain why the imagined agreement has authority over actual persons who never expressly accepted it.</w:t>
      </w:r>
    </w:p>
    <w:p>
      <w:pPr>
        <w:pStyle w:val="Heading4"/>
        <w:ind w:hanging="0" w:left="0"/>
        <w:rPr>
          <w:rFonts w:ascii="Aptos" w:hAnsi="Aptos"/>
          <w:color w:val="auto"/>
        </w:rPr>
      </w:pPr>
      <w:r>
        <w:rPr/>
        <w:t>Relationship to This Framework</w:t>
      </w:r>
    </w:p>
    <w:p>
      <w:pPr>
        <w:pStyle w:val="BodyText"/>
        <w:spacing w:before="0" w:after="200"/>
        <w:rPr/>
      </w:pPr>
      <w:r>
        <w:rPr/>
        <w:t>Contractarianism has a strong structural relationship to this framework. The framework represents Objects, Associations, roles, authority, constraints, information, institutions, and future possibilities. A social contract can therefore be modeled as a structured Association among parties that establishes rights, duties, powers, procedures, and expectations.</w:t>
      </w:r>
    </w:p>
    <w:p>
      <w:pPr>
        <w:pStyle w:val="BodyText"/>
        <w:spacing w:before="0" w:after="200"/>
        <w:rPr/>
      </w:pPr>
      <w:r>
        <w:rPr/>
        <w:t>The framework’s World Context Transition can also compare the conditions before and after adoption of a proposed contract or institution. It can evaluate:</w:t>
      </w:r>
    </w:p>
    <w:p>
      <w:pPr>
        <w:pStyle w:val="BodyText"/>
        <w:numPr>
          <w:ilvl w:val="0"/>
          <w:numId w:val="102"/>
        </w:numPr>
        <w:tabs>
          <w:tab w:val="clear" w:pos="720"/>
          <w:tab w:val="left" w:pos="0" w:leader="none"/>
        </w:tabs>
        <w:spacing w:before="0" w:after="200"/>
        <w:ind w:hanging="283" w:left="709"/>
        <w:rPr/>
      </w:pPr>
      <w:r>
        <w:rPr/>
        <w:t>Improvements in security and coordination;</w:t>
      </w:r>
    </w:p>
    <w:p>
      <w:pPr>
        <w:pStyle w:val="BodyText"/>
        <w:numPr>
          <w:ilvl w:val="0"/>
          <w:numId w:val="102"/>
        </w:numPr>
        <w:tabs>
          <w:tab w:val="clear" w:pos="720"/>
          <w:tab w:val="left" w:pos="0" w:leader="none"/>
        </w:tabs>
        <w:spacing w:before="0" w:after="200"/>
        <w:ind w:hanging="283" w:left="709"/>
        <w:rPr/>
      </w:pPr>
      <w:r>
        <w:rPr/>
        <w:t>Distribution of benefits and burdens;</w:t>
      </w:r>
    </w:p>
    <w:p>
      <w:pPr>
        <w:pStyle w:val="BodyText"/>
        <w:numPr>
          <w:ilvl w:val="0"/>
          <w:numId w:val="102"/>
        </w:numPr>
        <w:tabs>
          <w:tab w:val="clear" w:pos="720"/>
          <w:tab w:val="left" w:pos="0" w:leader="none"/>
        </w:tabs>
        <w:spacing w:before="0" w:after="200"/>
        <w:ind w:hanging="283" w:left="709"/>
        <w:rPr/>
      </w:pPr>
      <w:r>
        <w:rPr/>
        <w:t>Changes in authority and freedom;</w:t>
      </w:r>
    </w:p>
    <w:p>
      <w:pPr>
        <w:pStyle w:val="BodyText"/>
        <w:numPr>
          <w:ilvl w:val="0"/>
          <w:numId w:val="102"/>
        </w:numPr>
        <w:tabs>
          <w:tab w:val="clear" w:pos="720"/>
          <w:tab w:val="left" w:pos="0" w:leader="none"/>
        </w:tabs>
        <w:spacing w:before="0" w:after="200"/>
        <w:ind w:hanging="283" w:left="709"/>
        <w:rPr/>
      </w:pPr>
      <w:r>
        <w:rPr/>
        <w:t>Protection or loss of future options;</w:t>
      </w:r>
    </w:p>
    <w:p>
      <w:pPr>
        <w:pStyle w:val="BodyText"/>
        <w:numPr>
          <w:ilvl w:val="0"/>
          <w:numId w:val="102"/>
        </w:numPr>
        <w:tabs>
          <w:tab w:val="clear" w:pos="720"/>
          <w:tab w:val="left" w:pos="0" w:leader="none"/>
        </w:tabs>
        <w:spacing w:before="0" w:after="200"/>
        <w:ind w:hanging="283" w:left="709"/>
        <w:rPr/>
      </w:pPr>
      <w:r>
        <w:rPr/>
        <w:t>Effects on trust and compliance;</w:t>
      </w:r>
    </w:p>
    <w:p>
      <w:pPr>
        <w:pStyle w:val="BodyText"/>
        <w:numPr>
          <w:ilvl w:val="0"/>
          <w:numId w:val="102"/>
        </w:numPr>
        <w:tabs>
          <w:tab w:val="clear" w:pos="720"/>
          <w:tab w:val="left" w:pos="0" w:leader="none"/>
        </w:tabs>
        <w:spacing w:before="0" w:after="200"/>
        <w:ind w:hanging="283" w:left="709"/>
        <w:rPr/>
      </w:pPr>
      <w:r>
        <w:rPr/>
        <w:t>Creation of enforcement institutions;</w:t>
      </w:r>
    </w:p>
    <w:p>
      <w:pPr>
        <w:pStyle w:val="BodyText"/>
        <w:numPr>
          <w:ilvl w:val="0"/>
          <w:numId w:val="102"/>
        </w:numPr>
        <w:tabs>
          <w:tab w:val="clear" w:pos="720"/>
          <w:tab w:val="left" w:pos="0" w:leader="none"/>
        </w:tabs>
        <w:spacing w:before="0" w:after="200"/>
        <w:ind w:hanging="283" w:left="709"/>
        <w:rPr/>
      </w:pPr>
      <w:r>
        <w:rPr/>
        <w:t>Risks of exploitation or exclusion;</w:t>
      </w:r>
    </w:p>
    <w:p>
      <w:pPr>
        <w:pStyle w:val="BodyText"/>
        <w:numPr>
          <w:ilvl w:val="0"/>
          <w:numId w:val="102"/>
        </w:numPr>
        <w:tabs>
          <w:tab w:val="clear" w:pos="720"/>
          <w:tab w:val="left" w:pos="0" w:leader="none"/>
        </w:tabs>
        <w:spacing w:before="0" w:after="200"/>
        <w:ind w:hanging="283" w:left="709"/>
        <w:rPr/>
      </w:pPr>
      <w:r>
        <w:rPr/>
        <w:t>Effects on entities outside the agreement; and</w:t>
      </w:r>
    </w:p>
    <w:p>
      <w:pPr>
        <w:pStyle w:val="BodyText"/>
        <w:numPr>
          <w:ilvl w:val="0"/>
          <w:numId w:val="102"/>
        </w:numPr>
        <w:tabs>
          <w:tab w:val="clear" w:pos="720"/>
          <w:tab w:val="left" w:pos="0" w:leader="none"/>
        </w:tabs>
        <w:spacing w:before="0" w:after="200"/>
        <w:ind w:hanging="283" w:left="709"/>
        <w:rPr/>
      </w:pPr>
      <w:r>
        <w:rPr/>
        <w:t>Long-term institutional stability.</w:t>
      </w:r>
    </w:p>
    <w:p>
      <w:pPr>
        <w:pStyle w:val="BodyText"/>
        <w:spacing w:before="0" w:after="200"/>
        <w:rPr/>
      </w:pPr>
      <w:r>
        <w:rPr/>
        <w:t>The Foundational Axiom provides a reason for supporting agreements that facilitate compatible Long-Term Flourishing. Stable social cooperation can protect entities, reduce destructive conflict, enable specialization, preserve trust, and expand beneficial future state space.</w:t>
      </w:r>
    </w:p>
    <w:p>
      <w:pPr>
        <w:pStyle w:val="BodyText"/>
        <w:spacing w:before="0" w:after="200"/>
        <w:rPr/>
      </w:pPr>
      <w:r>
        <w:rPr/>
        <w:t>The framework’s treatment of authority and legitimacy also overlaps with social-contract theory. A role does not automatically create valid authority. The framework can ask whether authority was established through consent, justified procedure, institutional necessity, fair representation, or another legitimate source.</w:t>
      </w:r>
    </w:p>
    <w:p>
      <w:pPr>
        <w:pStyle w:val="BodyText"/>
        <w:spacing w:before="0" w:after="200"/>
        <w:rPr/>
      </w:pPr>
      <w:r>
        <w:rPr/>
        <w:t>Distributed Policy Effects are particularly important. A well-designed agreement can establish expectations of reciprocity and compliance. An imposed or routinely violated agreement may teach participants that cooperation is naïve, enforcement is selective, or power determines outcomes.</w:t>
      </w:r>
    </w:p>
    <w:p>
      <w:pPr>
        <w:pStyle w:val="BodyText"/>
        <w:spacing w:before="0" w:after="200"/>
        <w:rPr/>
      </w:pPr>
      <w:r>
        <w:rPr/>
        <w:t>This framework is not itself contractarian, however. Its Foundational Axiom is not derived solely from actual or hypothetical agreement. An action may be unethical even if all powerful contracting parties approve it, particularly when the agreement harms vulnerable nonparties or excludes entities unable to bargain.</w:t>
      </w:r>
    </w:p>
    <w:p>
      <w:pPr>
        <w:pStyle w:val="BodyText"/>
        <w:spacing w:before="0" w:after="200"/>
        <w:rPr/>
      </w:pPr>
      <w:r>
        <w:rPr/>
        <w:t>The framework may also recognize morally relevant entities that cannot participate in a contract, including children, persons with limited decision-making capacity, nonhuman organisms, ecosystems, future generations, and possibly artificial or collective entities. Their moral significance cannot depend entirely on whether they can offer reciprocal benefits.</w:t>
      </w:r>
    </w:p>
    <w:p>
      <w:pPr>
        <w:pStyle w:val="BodyText"/>
        <w:spacing w:before="0" w:after="200"/>
        <w:rPr/>
      </w:pPr>
      <w:r>
        <w:rPr/>
        <w:t>Agreement is therefore one important source of obligation and legitimacy within the framework, but it is not the exclusive source of moral value.</w:t>
      </w:r>
    </w:p>
    <w:p>
      <w:pPr>
        <w:pStyle w:val="Heading4"/>
        <w:ind w:hanging="0" w:left="0"/>
        <w:rPr>
          <w:rFonts w:ascii="Aptos" w:hAnsi="Aptos"/>
          <w:color w:val="auto"/>
        </w:rPr>
      </w:pPr>
      <w:r>
        <w:rPr/>
        <w:t>Concepts Adopted or Adapted by This Framework</w:t>
      </w:r>
    </w:p>
    <w:tbl>
      <w:tblPr>
        <w:tblW w:w="8640" w:type="dxa"/>
        <w:jc w:val="left"/>
        <w:tblInd w:w="28" w:type="dxa"/>
        <w:tblLayout w:type="fixed"/>
        <w:tblCellMar>
          <w:top w:w="28" w:type="dxa"/>
          <w:left w:w="28" w:type="dxa"/>
          <w:bottom w:w="28" w:type="dxa"/>
          <w:right w:w="28" w:type="dxa"/>
        </w:tblCellMar>
      </w:tblPr>
      <w:tblGrid>
        <w:gridCol w:w="2172"/>
        <w:gridCol w:w="6468"/>
      </w:tblGrid>
      <w:tr>
        <w:trPr>
          <w:tblHeader w:val="true"/>
        </w:trPr>
        <w:tc>
          <w:tcPr>
            <w:tcW w:w="2172" w:type="dxa"/>
            <w:tcBorders/>
            <w:vAlign w:val="center"/>
          </w:tcPr>
          <w:p>
            <w:pPr>
              <w:pStyle w:val="TableHeading"/>
              <w:suppressLineNumbers/>
              <w:spacing w:before="0" w:after="200"/>
              <w:jc w:val="center"/>
              <w:rPr/>
            </w:pPr>
            <w:r>
              <w:rPr/>
              <w:t>Social-contract concept</w:t>
            </w:r>
          </w:p>
        </w:tc>
        <w:tc>
          <w:tcPr>
            <w:tcW w:w="6468" w:type="dxa"/>
            <w:tcBorders/>
            <w:vAlign w:val="center"/>
          </w:tcPr>
          <w:p>
            <w:pPr>
              <w:pStyle w:val="TableHeading"/>
              <w:suppressLineNumbers/>
              <w:spacing w:before="0" w:after="200"/>
              <w:jc w:val="center"/>
              <w:rPr/>
            </w:pPr>
            <w:r>
              <w:rPr/>
              <w:t>Adoption or adaptation within this framework</w:t>
            </w:r>
          </w:p>
        </w:tc>
      </w:tr>
      <w:tr>
        <w:trPr/>
        <w:tc>
          <w:tcPr>
            <w:tcW w:w="2172" w:type="dxa"/>
            <w:tcBorders/>
            <w:vAlign w:val="center"/>
          </w:tcPr>
          <w:p>
            <w:pPr>
              <w:pStyle w:val="TableContents"/>
              <w:widowControl w:val="false"/>
              <w:suppressLineNumbers/>
              <w:spacing w:before="0" w:after="200"/>
              <w:rPr/>
            </w:pPr>
            <w:r>
              <w:rPr>
                <w:rStyle w:val="Strong"/>
              </w:rPr>
              <w:t>State-of-nature baseline</w:t>
            </w:r>
          </w:p>
        </w:tc>
        <w:tc>
          <w:tcPr>
            <w:tcW w:w="6468" w:type="dxa"/>
            <w:tcBorders/>
            <w:vAlign w:val="center"/>
          </w:tcPr>
          <w:p>
            <w:pPr>
              <w:pStyle w:val="TableContents"/>
              <w:widowControl w:val="false"/>
              <w:suppressLineNumbers/>
              <w:spacing w:before="0" w:after="200"/>
              <w:rPr/>
            </w:pPr>
            <w:r>
              <w:rPr/>
              <w:t>Adaptable as a counterfactual World Context in which the proposed rule, institution, or authority is absent.</w:t>
            </w:r>
          </w:p>
        </w:tc>
      </w:tr>
      <w:tr>
        <w:trPr/>
        <w:tc>
          <w:tcPr>
            <w:tcW w:w="2172" w:type="dxa"/>
            <w:tcBorders/>
            <w:vAlign w:val="center"/>
          </w:tcPr>
          <w:p>
            <w:pPr>
              <w:pStyle w:val="TableContents"/>
              <w:widowControl w:val="false"/>
              <w:suppressLineNumbers/>
              <w:spacing w:before="0" w:after="200"/>
              <w:rPr/>
            </w:pPr>
            <w:r>
              <w:rPr>
                <w:rStyle w:val="Strong"/>
              </w:rPr>
              <w:t>Consent</w:t>
            </w:r>
          </w:p>
        </w:tc>
        <w:tc>
          <w:tcPr>
            <w:tcW w:w="6468" w:type="dxa"/>
            <w:tcBorders/>
            <w:vAlign w:val="center"/>
          </w:tcPr>
          <w:p>
            <w:pPr>
              <w:pStyle w:val="TableContents"/>
              <w:widowControl w:val="false"/>
              <w:suppressLineNumbers/>
              <w:spacing w:before="0" w:after="200"/>
              <w:rPr/>
            </w:pPr>
            <w:r>
              <w:rPr/>
              <w:t>Representable as a voluntary change in Associations, rights, duties, permissions, and expectations.</w:t>
            </w:r>
          </w:p>
        </w:tc>
      </w:tr>
      <w:tr>
        <w:trPr/>
        <w:tc>
          <w:tcPr>
            <w:tcW w:w="2172" w:type="dxa"/>
            <w:tcBorders/>
            <w:vAlign w:val="center"/>
          </w:tcPr>
          <w:p>
            <w:pPr>
              <w:pStyle w:val="TableContents"/>
              <w:widowControl w:val="false"/>
              <w:suppressLineNumbers/>
              <w:spacing w:before="0" w:after="200"/>
              <w:rPr/>
            </w:pPr>
            <w:r>
              <w:rPr>
                <w:rStyle w:val="Strong"/>
              </w:rPr>
              <w:t>Hypothetical consent</w:t>
            </w:r>
          </w:p>
        </w:tc>
        <w:tc>
          <w:tcPr>
            <w:tcW w:w="6468" w:type="dxa"/>
            <w:tcBorders/>
            <w:vAlign w:val="center"/>
          </w:tcPr>
          <w:p>
            <w:pPr>
              <w:pStyle w:val="TableContents"/>
              <w:widowControl w:val="false"/>
              <w:suppressLineNumbers/>
              <w:spacing w:before="0" w:after="200"/>
              <w:rPr/>
            </w:pPr>
            <w:r>
              <w:rPr/>
              <w:t>Adaptable as a counterfactual test of what agents would choose under specified informational and bargaining conditions.</w:t>
            </w:r>
          </w:p>
        </w:tc>
      </w:tr>
      <w:tr>
        <w:trPr/>
        <w:tc>
          <w:tcPr>
            <w:tcW w:w="2172" w:type="dxa"/>
            <w:tcBorders/>
            <w:vAlign w:val="center"/>
          </w:tcPr>
          <w:p>
            <w:pPr>
              <w:pStyle w:val="TableContents"/>
              <w:widowControl w:val="false"/>
              <w:suppressLineNumbers/>
              <w:spacing w:before="0" w:after="200"/>
              <w:rPr/>
            </w:pPr>
            <w:r>
              <w:rPr>
                <w:rStyle w:val="Strong"/>
              </w:rPr>
              <w:t>Mutual advantage</w:t>
            </w:r>
          </w:p>
        </w:tc>
        <w:tc>
          <w:tcPr>
            <w:tcW w:w="6468" w:type="dxa"/>
            <w:tcBorders/>
            <w:vAlign w:val="center"/>
          </w:tcPr>
          <w:p>
            <w:pPr>
              <w:pStyle w:val="TableContents"/>
              <w:widowControl w:val="false"/>
              <w:suppressLineNumbers/>
              <w:spacing w:before="0" w:after="200"/>
              <w:rPr/>
            </w:pPr>
            <w:r>
              <w:rPr/>
              <w:t>Representable through the distribution of expected benefits, burdens, risks, and opportunities among cooperating entities.</w:t>
            </w:r>
          </w:p>
        </w:tc>
      </w:tr>
      <w:tr>
        <w:trPr/>
        <w:tc>
          <w:tcPr>
            <w:tcW w:w="2172" w:type="dxa"/>
            <w:tcBorders/>
            <w:vAlign w:val="center"/>
          </w:tcPr>
          <w:p>
            <w:pPr>
              <w:pStyle w:val="TableContents"/>
              <w:widowControl w:val="false"/>
              <w:suppressLineNumbers/>
              <w:spacing w:before="0" w:after="200"/>
              <w:rPr/>
            </w:pPr>
            <w:r>
              <w:rPr>
                <w:rStyle w:val="Strong"/>
              </w:rPr>
              <w:t>Reciprocity</w:t>
            </w:r>
          </w:p>
        </w:tc>
        <w:tc>
          <w:tcPr>
            <w:tcW w:w="6468" w:type="dxa"/>
            <w:tcBorders/>
            <w:vAlign w:val="center"/>
          </w:tcPr>
          <w:p>
            <w:pPr>
              <w:pStyle w:val="TableContents"/>
              <w:widowControl w:val="false"/>
              <w:suppressLineNumbers/>
              <w:spacing w:before="0" w:after="200"/>
              <w:rPr/>
            </w:pPr>
            <w:r>
              <w:rPr/>
              <w:t>Adaptable as an ongoing relationship between contribution, compliance, protection, and benefit.</w:t>
            </w:r>
          </w:p>
        </w:tc>
      </w:tr>
      <w:tr>
        <w:trPr/>
        <w:tc>
          <w:tcPr>
            <w:tcW w:w="2172" w:type="dxa"/>
            <w:tcBorders/>
            <w:vAlign w:val="center"/>
          </w:tcPr>
          <w:p>
            <w:pPr>
              <w:pStyle w:val="TableContents"/>
              <w:widowControl w:val="false"/>
              <w:suppressLineNumbers/>
              <w:spacing w:before="0" w:after="200"/>
              <w:rPr/>
            </w:pPr>
            <w:r>
              <w:rPr>
                <w:rStyle w:val="Strong"/>
              </w:rPr>
              <w:t>Original position</w:t>
            </w:r>
          </w:p>
        </w:tc>
        <w:tc>
          <w:tcPr>
            <w:tcW w:w="6468" w:type="dxa"/>
            <w:tcBorders/>
            <w:vAlign w:val="center"/>
          </w:tcPr>
          <w:p>
            <w:pPr>
              <w:pStyle w:val="TableContents"/>
              <w:widowControl w:val="false"/>
              <w:suppressLineNumbers/>
              <w:spacing w:before="0" w:after="200"/>
              <w:rPr/>
            </w:pPr>
            <w:r>
              <w:rPr/>
              <w:t>Adaptable as a fairness simulation in which decision-makers lack knowledge of which social position they will occupy.</w:t>
            </w:r>
          </w:p>
        </w:tc>
      </w:tr>
      <w:tr>
        <w:trPr/>
        <w:tc>
          <w:tcPr>
            <w:tcW w:w="2172" w:type="dxa"/>
            <w:tcBorders/>
            <w:vAlign w:val="center"/>
          </w:tcPr>
          <w:p>
            <w:pPr>
              <w:pStyle w:val="TableContents"/>
              <w:widowControl w:val="false"/>
              <w:suppressLineNumbers/>
              <w:spacing w:before="0" w:after="200"/>
              <w:rPr/>
            </w:pPr>
            <w:r>
              <w:rPr>
                <w:rStyle w:val="Strong"/>
              </w:rPr>
              <w:t>Veil of ignorance</w:t>
            </w:r>
          </w:p>
        </w:tc>
        <w:tc>
          <w:tcPr>
            <w:tcW w:w="6468" w:type="dxa"/>
            <w:tcBorders/>
            <w:vAlign w:val="center"/>
          </w:tcPr>
          <w:p>
            <w:pPr>
              <w:pStyle w:val="TableContents"/>
              <w:widowControl w:val="false"/>
              <w:suppressLineNumbers/>
              <w:spacing w:before="0" w:after="200"/>
              <w:rPr/>
            </w:pPr>
            <w:r>
              <w:rPr/>
              <w:t>Implementable by masking morally arbitrary attributes when testing institutional principles.</w:t>
            </w:r>
          </w:p>
        </w:tc>
      </w:tr>
      <w:tr>
        <w:trPr/>
        <w:tc>
          <w:tcPr>
            <w:tcW w:w="2172" w:type="dxa"/>
            <w:tcBorders/>
            <w:vAlign w:val="center"/>
          </w:tcPr>
          <w:p>
            <w:pPr>
              <w:pStyle w:val="TableContents"/>
              <w:widowControl w:val="false"/>
              <w:suppressLineNumbers/>
              <w:spacing w:before="0" w:after="200"/>
              <w:rPr/>
            </w:pPr>
            <w:r>
              <w:rPr>
                <w:rStyle w:val="Strong"/>
              </w:rPr>
              <w:t>General will</w:t>
            </w:r>
          </w:p>
        </w:tc>
        <w:tc>
          <w:tcPr>
            <w:tcW w:w="6468" w:type="dxa"/>
            <w:tcBorders/>
            <w:vAlign w:val="center"/>
          </w:tcPr>
          <w:p>
            <w:pPr>
              <w:pStyle w:val="TableContents"/>
              <w:widowControl w:val="false"/>
              <w:suppressLineNumbers/>
              <w:spacing w:before="0" w:after="200"/>
              <w:rPr/>
            </w:pPr>
            <w:r>
              <w:rPr/>
              <w:t>Adaptable as a collective objective directed toward common conditions of cooperation rather than the aggregate preferences of powerful factions.</w:t>
            </w:r>
          </w:p>
        </w:tc>
      </w:tr>
      <w:tr>
        <w:trPr/>
        <w:tc>
          <w:tcPr>
            <w:tcW w:w="2172" w:type="dxa"/>
            <w:tcBorders/>
            <w:vAlign w:val="center"/>
          </w:tcPr>
          <w:p>
            <w:pPr>
              <w:pStyle w:val="TableContents"/>
              <w:widowControl w:val="false"/>
              <w:suppressLineNumbers/>
              <w:spacing w:before="0" w:after="200"/>
              <w:rPr/>
            </w:pPr>
            <w:r>
              <w:rPr>
                <w:rStyle w:val="Strong"/>
              </w:rPr>
              <w:t>Reasonable rejectability</w:t>
            </w:r>
          </w:p>
        </w:tc>
        <w:tc>
          <w:tcPr>
            <w:tcW w:w="6468" w:type="dxa"/>
            <w:tcBorders/>
            <w:vAlign w:val="center"/>
          </w:tcPr>
          <w:p>
            <w:pPr>
              <w:pStyle w:val="TableContents"/>
              <w:widowControl w:val="false"/>
              <w:suppressLineNumbers/>
              <w:spacing w:before="0" w:after="200"/>
              <w:rPr/>
            </w:pPr>
            <w:r>
              <w:rPr/>
              <w:t>Adaptable as a test of whether any affected entity has a sufficiently strong reason to reject the proposed principle.</w:t>
            </w:r>
          </w:p>
        </w:tc>
      </w:tr>
      <w:tr>
        <w:trPr/>
        <w:tc>
          <w:tcPr>
            <w:tcW w:w="2172" w:type="dxa"/>
            <w:tcBorders/>
            <w:vAlign w:val="center"/>
          </w:tcPr>
          <w:p>
            <w:pPr>
              <w:pStyle w:val="TableContents"/>
              <w:widowControl w:val="false"/>
              <w:suppressLineNumbers/>
              <w:spacing w:before="0" w:after="200"/>
              <w:rPr/>
            </w:pPr>
            <w:r>
              <w:rPr>
                <w:rStyle w:val="Strong"/>
              </w:rPr>
              <w:t>Constrained maximization</w:t>
            </w:r>
          </w:p>
        </w:tc>
        <w:tc>
          <w:tcPr>
            <w:tcW w:w="6468" w:type="dxa"/>
            <w:tcBorders/>
            <w:vAlign w:val="center"/>
          </w:tcPr>
          <w:p>
            <w:pPr>
              <w:pStyle w:val="TableContents"/>
              <w:widowControl w:val="false"/>
              <w:suppressLineNumbers/>
              <w:spacing w:before="0" w:after="200"/>
              <w:rPr/>
            </w:pPr>
            <w:r>
              <w:rPr/>
              <w:t>Representable as a stable policy of complying with mutually beneficial rules rather than maximizing advantage in each isolated interaction.</w:t>
            </w:r>
          </w:p>
        </w:tc>
      </w:tr>
      <w:tr>
        <w:trPr/>
        <w:tc>
          <w:tcPr>
            <w:tcW w:w="2172" w:type="dxa"/>
            <w:tcBorders/>
            <w:vAlign w:val="center"/>
          </w:tcPr>
          <w:p>
            <w:pPr>
              <w:pStyle w:val="TableContents"/>
              <w:widowControl w:val="false"/>
              <w:suppressLineNumbers/>
              <w:spacing w:before="0" w:after="200"/>
              <w:rPr/>
            </w:pPr>
            <w:r>
              <w:rPr>
                <w:rStyle w:val="Strong"/>
              </w:rPr>
              <w:t>Public justification</w:t>
            </w:r>
          </w:p>
        </w:tc>
        <w:tc>
          <w:tcPr>
            <w:tcW w:w="6468" w:type="dxa"/>
            <w:tcBorders/>
            <w:vAlign w:val="center"/>
          </w:tcPr>
          <w:p>
            <w:pPr>
              <w:pStyle w:val="TableContents"/>
              <w:widowControl w:val="false"/>
              <w:suppressLineNumbers/>
              <w:spacing w:before="0" w:after="200"/>
              <w:rPr/>
            </w:pPr>
            <w:r>
              <w:rPr/>
              <w:t>Reflected in explainability requirements and the need to disclose assumptions, evidence, authority, and expected effects.</w:t>
            </w:r>
          </w:p>
        </w:tc>
      </w:tr>
      <w:tr>
        <w:trPr/>
        <w:tc>
          <w:tcPr>
            <w:tcW w:w="2172" w:type="dxa"/>
            <w:tcBorders/>
            <w:vAlign w:val="center"/>
          </w:tcPr>
          <w:p>
            <w:pPr>
              <w:pStyle w:val="TableContents"/>
              <w:widowControl w:val="false"/>
              <w:suppressLineNumbers/>
              <w:spacing w:before="0" w:after="200"/>
              <w:rPr/>
            </w:pPr>
            <w:r>
              <w:rPr>
                <w:rStyle w:val="Strong"/>
              </w:rPr>
              <w:t>Legitimate authority</w:t>
            </w:r>
          </w:p>
        </w:tc>
        <w:tc>
          <w:tcPr>
            <w:tcW w:w="6468" w:type="dxa"/>
            <w:tcBorders/>
            <w:vAlign w:val="center"/>
          </w:tcPr>
          <w:p>
            <w:pPr>
              <w:pStyle w:val="TableContents"/>
              <w:widowControl w:val="false"/>
              <w:suppressLineNumbers/>
              <w:spacing w:before="0" w:after="200"/>
              <w:rPr/>
            </w:pPr>
            <w:r>
              <w:rPr/>
              <w:t>Representable through roles, consent, institutional procedures, jurisdiction, and constraints on the exercise of power.</w:t>
            </w:r>
          </w:p>
        </w:tc>
      </w:tr>
      <w:tr>
        <w:trPr/>
        <w:tc>
          <w:tcPr>
            <w:tcW w:w="2172" w:type="dxa"/>
            <w:tcBorders/>
            <w:vAlign w:val="center"/>
          </w:tcPr>
          <w:p>
            <w:pPr>
              <w:pStyle w:val="TableContents"/>
              <w:widowControl w:val="false"/>
              <w:suppressLineNumbers/>
              <w:spacing w:before="0" w:after="200"/>
              <w:rPr/>
            </w:pPr>
            <w:r>
              <w:rPr>
                <w:rStyle w:val="Strong"/>
              </w:rPr>
              <w:t>Basic structure</w:t>
            </w:r>
          </w:p>
        </w:tc>
        <w:tc>
          <w:tcPr>
            <w:tcW w:w="6468" w:type="dxa"/>
            <w:tcBorders/>
            <w:vAlign w:val="center"/>
          </w:tcPr>
          <w:p>
            <w:pPr>
              <w:pStyle w:val="TableContents"/>
              <w:widowControl w:val="false"/>
              <w:suppressLineNumbers/>
              <w:spacing w:before="0" w:after="200"/>
              <w:rPr/>
            </w:pPr>
            <w:r>
              <w:rPr/>
              <w:t>Adaptable as the network of institutions that allocates rights, opportunities, resources, burdens, and authority.</w:t>
            </w:r>
          </w:p>
        </w:tc>
      </w:tr>
      <w:tr>
        <w:trPr/>
        <w:tc>
          <w:tcPr>
            <w:tcW w:w="2172" w:type="dxa"/>
            <w:tcBorders/>
            <w:vAlign w:val="center"/>
          </w:tcPr>
          <w:p>
            <w:pPr>
              <w:pStyle w:val="TableContents"/>
              <w:widowControl w:val="false"/>
              <w:suppressLineNumbers/>
              <w:spacing w:before="0" w:after="200"/>
              <w:rPr/>
            </w:pPr>
            <w:r>
              <w:rPr>
                <w:rStyle w:val="Strong"/>
              </w:rPr>
              <w:t>Assurance</w:t>
            </w:r>
          </w:p>
        </w:tc>
        <w:tc>
          <w:tcPr>
            <w:tcW w:w="6468" w:type="dxa"/>
            <w:tcBorders/>
            <w:vAlign w:val="center"/>
          </w:tcPr>
          <w:p>
            <w:pPr>
              <w:pStyle w:val="TableContents"/>
              <w:widowControl w:val="false"/>
              <w:suppressLineNumbers/>
              <w:spacing w:before="0" w:after="200"/>
              <w:rPr/>
            </w:pPr>
            <w:r>
              <w:rPr/>
              <w:t>Representable through expectations of compliance, monitoring, enforcement, reputation, and institutional reliability.</w:t>
            </w:r>
          </w:p>
        </w:tc>
      </w:tr>
      <w:tr>
        <w:trPr/>
        <w:tc>
          <w:tcPr>
            <w:tcW w:w="2172" w:type="dxa"/>
            <w:tcBorders/>
            <w:vAlign w:val="center"/>
          </w:tcPr>
          <w:p>
            <w:pPr>
              <w:pStyle w:val="TableContents"/>
              <w:widowControl w:val="false"/>
              <w:suppressLineNumbers/>
              <w:spacing w:before="0" w:after="200"/>
              <w:rPr/>
            </w:pPr>
            <w:r>
              <w:rPr>
                <w:rStyle w:val="Strong"/>
              </w:rPr>
              <w:t>Exit and voice</w:t>
            </w:r>
          </w:p>
        </w:tc>
        <w:tc>
          <w:tcPr>
            <w:tcW w:w="6468" w:type="dxa"/>
            <w:tcBorders/>
            <w:vAlign w:val="center"/>
          </w:tcPr>
          <w:p>
            <w:pPr>
              <w:pStyle w:val="TableContents"/>
              <w:widowControl w:val="false"/>
              <w:suppressLineNumbers/>
              <w:spacing w:before="0" w:after="200"/>
              <w:rPr/>
            </w:pPr>
            <w:r>
              <w:rPr/>
              <w:t>Reflected in preservation of alternatives, participation, appeal, dissent, and the ability to seek revision.</w:t>
            </w:r>
          </w:p>
        </w:tc>
      </w:tr>
      <w:tr>
        <w:trPr/>
        <w:tc>
          <w:tcPr>
            <w:tcW w:w="2172" w:type="dxa"/>
            <w:tcBorders/>
            <w:vAlign w:val="center"/>
          </w:tcPr>
          <w:p>
            <w:pPr>
              <w:pStyle w:val="TableContents"/>
              <w:widowControl w:val="false"/>
              <w:suppressLineNumbers/>
              <w:spacing w:before="0" w:after="200"/>
              <w:rPr/>
            </w:pPr>
            <w:r>
              <w:rPr>
                <w:rStyle w:val="Strong"/>
              </w:rPr>
              <w:t>Breach and remedy</w:t>
            </w:r>
          </w:p>
        </w:tc>
        <w:tc>
          <w:tcPr>
            <w:tcW w:w="6468" w:type="dxa"/>
            <w:tcBorders/>
            <w:vAlign w:val="center"/>
          </w:tcPr>
          <w:p>
            <w:pPr>
              <w:pStyle w:val="TableContents"/>
              <w:widowControl w:val="false"/>
              <w:suppressLineNumbers/>
              <w:spacing w:before="0" w:after="200"/>
              <w:rPr/>
            </w:pPr>
            <w:r>
              <w:rPr/>
              <w:t>Representable as a violation of an Association that activates enforcement, restitution, repair, or renegotiation.</w:t>
            </w:r>
          </w:p>
        </w:tc>
      </w:tr>
      <w:tr>
        <w:trPr/>
        <w:tc>
          <w:tcPr>
            <w:tcW w:w="2172" w:type="dxa"/>
            <w:tcBorders/>
            <w:vAlign w:val="center"/>
          </w:tcPr>
          <w:p>
            <w:pPr>
              <w:pStyle w:val="TableContents"/>
              <w:widowControl w:val="false"/>
              <w:suppressLineNumbers/>
              <w:spacing w:before="0" w:after="200"/>
              <w:rPr/>
            </w:pPr>
            <w:r>
              <w:rPr>
                <w:rStyle w:val="Strong"/>
              </w:rPr>
              <w:t>Reflective equilibrium</w:t>
            </w:r>
          </w:p>
        </w:tc>
        <w:tc>
          <w:tcPr>
            <w:tcW w:w="6468" w:type="dxa"/>
            <w:tcBorders/>
            <w:vAlign w:val="center"/>
          </w:tcPr>
          <w:p>
            <w:pPr>
              <w:pStyle w:val="TableContents"/>
              <w:widowControl w:val="false"/>
              <w:suppressLineNumbers/>
              <w:spacing w:before="0" w:after="200"/>
              <w:rPr/>
            </w:pPr>
            <w:r>
              <w:rPr/>
              <w:t>Adaptable as iterative revision between general principles and judgments about particular World Context Transitions.</w:t>
            </w:r>
          </w:p>
        </w:tc>
      </w:tr>
      <w:tr>
        <w:trPr/>
        <w:tc>
          <w:tcPr>
            <w:tcW w:w="2172" w:type="dxa"/>
            <w:tcBorders/>
            <w:vAlign w:val="center"/>
          </w:tcPr>
          <w:p>
            <w:pPr>
              <w:pStyle w:val="TableContents"/>
              <w:widowControl w:val="false"/>
              <w:suppressLineNumbers/>
              <w:spacing w:before="0" w:after="200"/>
              <w:rPr/>
            </w:pPr>
            <w:r>
              <w:rPr>
                <w:rStyle w:val="Strong"/>
              </w:rPr>
              <w:t>Overlapping consensus</w:t>
            </w:r>
          </w:p>
        </w:tc>
        <w:tc>
          <w:tcPr>
            <w:tcW w:w="6468" w:type="dxa"/>
            <w:tcBorders/>
            <w:vAlign w:val="center"/>
          </w:tcPr>
          <w:p>
            <w:pPr>
              <w:pStyle w:val="TableContents"/>
              <w:widowControl w:val="false"/>
              <w:suppressLineNumbers/>
              <w:spacing w:before="0" w:after="200"/>
              <w:rPr/>
            </w:pPr>
            <w:r>
              <w:rPr/>
              <w:t>Adaptable as agreement on shared institutional rules among entities holding different comprehensive moral views.</w:t>
            </w:r>
          </w:p>
        </w:tc>
      </w:tr>
      <w:tr>
        <w:trPr/>
        <w:tc>
          <w:tcPr>
            <w:tcW w:w="2172" w:type="dxa"/>
            <w:tcBorders/>
            <w:vAlign w:val="center"/>
          </w:tcPr>
          <w:p>
            <w:pPr>
              <w:pStyle w:val="TableContents"/>
              <w:widowControl w:val="false"/>
              <w:suppressLineNumbers/>
              <w:spacing w:before="0" w:after="200"/>
              <w:rPr/>
            </w:pPr>
            <w:r>
              <w:rPr>
                <w:rStyle w:val="Strong"/>
              </w:rPr>
              <w:t>Membership</w:t>
            </w:r>
          </w:p>
        </w:tc>
        <w:tc>
          <w:tcPr>
            <w:tcW w:w="6468" w:type="dxa"/>
            <w:tcBorders/>
            <w:vAlign w:val="center"/>
          </w:tcPr>
          <w:p>
            <w:pPr>
              <w:pStyle w:val="TableContents"/>
              <w:widowControl w:val="false"/>
              <w:suppressLineNumbers/>
              <w:spacing w:before="0" w:after="200"/>
              <w:rPr/>
            </w:pPr>
            <w:r>
              <w:rPr/>
              <w:t>Representable through explicit criteria identifying parties, beneficiaries, represented nonparties, and excluded entities.</w:t>
            </w:r>
          </w:p>
        </w:tc>
      </w:tr>
    </w:tbl>
    <w:p>
      <w:pPr>
        <w:pStyle w:val="Heading4"/>
        <w:ind w:hanging="0" w:left="0"/>
        <w:rPr>
          <w:rFonts w:ascii="Aptos" w:hAnsi="Aptos"/>
          <w:color w:val="auto"/>
        </w:rPr>
      </w:pPr>
      <w:r>
        <w:rPr/>
        <w:t>Similarities</w:t>
      </w:r>
    </w:p>
    <w:p>
      <w:pPr>
        <w:pStyle w:val="BodyText"/>
        <w:spacing w:before="0" w:after="200"/>
        <w:rPr/>
      </w:pPr>
      <w:r>
        <w:rPr/>
        <w:t>Contractarianism and this framework share several important commitments:</w:t>
      </w:r>
    </w:p>
    <w:p>
      <w:pPr>
        <w:pStyle w:val="BodyText"/>
        <w:numPr>
          <w:ilvl w:val="0"/>
          <w:numId w:val="103"/>
        </w:numPr>
        <w:tabs>
          <w:tab w:val="clear" w:pos="720"/>
          <w:tab w:val="left" w:pos="0" w:leader="none"/>
        </w:tabs>
        <w:spacing w:before="0" w:after="200"/>
        <w:ind w:hanging="283" w:left="709"/>
        <w:rPr/>
      </w:pPr>
      <w:r>
        <w:rPr/>
        <w:t>Both recognize that moral agents act within relationships and institutions.</w:t>
      </w:r>
    </w:p>
    <w:p>
      <w:pPr>
        <w:pStyle w:val="BodyText"/>
        <w:numPr>
          <w:ilvl w:val="0"/>
          <w:numId w:val="103"/>
        </w:numPr>
        <w:tabs>
          <w:tab w:val="clear" w:pos="720"/>
          <w:tab w:val="left" w:pos="0" w:leader="none"/>
        </w:tabs>
        <w:spacing w:before="0" w:after="200"/>
        <w:ind w:hanging="283" w:left="709"/>
        <w:rPr/>
      </w:pPr>
      <w:r>
        <w:rPr/>
        <w:t>Both examine how rules structure cooperation over time.</w:t>
      </w:r>
    </w:p>
    <w:p>
      <w:pPr>
        <w:pStyle w:val="BodyText"/>
        <w:numPr>
          <w:ilvl w:val="0"/>
          <w:numId w:val="103"/>
        </w:numPr>
        <w:tabs>
          <w:tab w:val="clear" w:pos="720"/>
          <w:tab w:val="left" w:pos="0" w:leader="none"/>
        </w:tabs>
        <w:spacing w:before="0" w:after="200"/>
        <w:ind w:hanging="283" w:left="709"/>
        <w:rPr/>
      </w:pPr>
      <w:r>
        <w:rPr/>
        <w:t>Both distinguish legitimate authority from mere possession of power.</w:t>
      </w:r>
    </w:p>
    <w:p>
      <w:pPr>
        <w:pStyle w:val="BodyText"/>
        <w:numPr>
          <w:ilvl w:val="0"/>
          <w:numId w:val="103"/>
        </w:numPr>
        <w:tabs>
          <w:tab w:val="clear" w:pos="720"/>
          <w:tab w:val="left" w:pos="0" w:leader="none"/>
        </w:tabs>
        <w:spacing w:before="0" w:after="200"/>
        <w:ind w:hanging="283" w:left="709"/>
        <w:rPr/>
      </w:pPr>
      <w:r>
        <w:rPr/>
        <w:t>Both recognize consent, voluntariness, and information as ethically relevant.</w:t>
      </w:r>
    </w:p>
    <w:p>
      <w:pPr>
        <w:pStyle w:val="BodyText"/>
        <w:numPr>
          <w:ilvl w:val="0"/>
          <w:numId w:val="103"/>
        </w:numPr>
        <w:tabs>
          <w:tab w:val="clear" w:pos="720"/>
          <w:tab w:val="left" w:pos="0" w:leader="none"/>
        </w:tabs>
        <w:spacing w:before="0" w:after="200"/>
        <w:ind w:hanging="283" w:left="709"/>
        <w:rPr/>
      </w:pPr>
      <w:r>
        <w:rPr/>
        <w:t>Both can model reciprocal duties and role-based obligations.</w:t>
      </w:r>
    </w:p>
    <w:p>
      <w:pPr>
        <w:pStyle w:val="BodyText"/>
        <w:numPr>
          <w:ilvl w:val="0"/>
          <w:numId w:val="103"/>
        </w:numPr>
        <w:tabs>
          <w:tab w:val="clear" w:pos="720"/>
          <w:tab w:val="left" w:pos="0" w:leader="none"/>
        </w:tabs>
        <w:spacing w:before="0" w:after="200"/>
        <w:ind w:hanging="283" w:left="709"/>
        <w:rPr/>
      </w:pPr>
      <w:r>
        <w:rPr/>
        <w:t>Both consider the distribution of benefits and burdens.</w:t>
      </w:r>
    </w:p>
    <w:p>
      <w:pPr>
        <w:pStyle w:val="BodyText"/>
        <w:numPr>
          <w:ilvl w:val="0"/>
          <w:numId w:val="103"/>
        </w:numPr>
        <w:tabs>
          <w:tab w:val="clear" w:pos="720"/>
          <w:tab w:val="left" w:pos="0" w:leader="none"/>
        </w:tabs>
        <w:spacing w:before="0" w:after="200"/>
        <w:ind w:hanging="283" w:left="709"/>
        <w:rPr/>
      </w:pPr>
      <w:r>
        <w:rPr/>
        <w:t>Both recognize that stable cooperation depends on trust and expectations of compliance.</w:t>
      </w:r>
    </w:p>
    <w:p>
      <w:pPr>
        <w:pStyle w:val="BodyText"/>
        <w:numPr>
          <w:ilvl w:val="0"/>
          <w:numId w:val="103"/>
        </w:numPr>
        <w:tabs>
          <w:tab w:val="clear" w:pos="720"/>
          <w:tab w:val="left" w:pos="0" w:leader="none"/>
        </w:tabs>
        <w:spacing w:before="0" w:after="200"/>
        <w:ind w:hanging="283" w:left="709"/>
        <w:rPr/>
      </w:pPr>
      <w:r>
        <w:rPr/>
        <w:t>Both support explicit and publicly explainable rules.</w:t>
      </w:r>
    </w:p>
    <w:p>
      <w:pPr>
        <w:pStyle w:val="BodyText"/>
        <w:numPr>
          <w:ilvl w:val="0"/>
          <w:numId w:val="103"/>
        </w:numPr>
        <w:tabs>
          <w:tab w:val="clear" w:pos="720"/>
          <w:tab w:val="left" w:pos="0" w:leader="none"/>
        </w:tabs>
        <w:spacing w:before="0" w:after="200"/>
        <w:ind w:hanging="283" w:left="709"/>
        <w:rPr/>
      </w:pPr>
      <w:r>
        <w:rPr/>
        <w:t>Both can compare existing arrangements with counterfactual alternatives.</w:t>
      </w:r>
    </w:p>
    <w:p>
      <w:pPr>
        <w:pStyle w:val="BodyText"/>
        <w:numPr>
          <w:ilvl w:val="0"/>
          <w:numId w:val="103"/>
        </w:numPr>
        <w:tabs>
          <w:tab w:val="clear" w:pos="720"/>
          <w:tab w:val="left" w:pos="0" w:leader="none"/>
        </w:tabs>
        <w:spacing w:before="0" w:after="200"/>
        <w:ind w:hanging="283" w:left="709"/>
        <w:rPr/>
      </w:pPr>
      <w:r>
        <w:rPr/>
        <w:t>Both recognize that institutions alter the future policies of participating agents.</w:t>
      </w:r>
    </w:p>
    <w:p>
      <w:pPr>
        <w:pStyle w:val="BodyText"/>
        <w:numPr>
          <w:ilvl w:val="0"/>
          <w:numId w:val="103"/>
        </w:numPr>
        <w:tabs>
          <w:tab w:val="clear" w:pos="720"/>
          <w:tab w:val="left" w:pos="0" w:leader="none"/>
        </w:tabs>
        <w:spacing w:before="0" w:after="200"/>
        <w:ind w:hanging="283" w:left="709"/>
        <w:rPr/>
      </w:pPr>
      <w:r>
        <w:rPr/>
        <w:t>Both can examine how unequal power affects agreements.</w:t>
      </w:r>
    </w:p>
    <w:p>
      <w:pPr>
        <w:pStyle w:val="BodyText"/>
        <w:numPr>
          <w:ilvl w:val="0"/>
          <w:numId w:val="103"/>
        </w:numPr>
        <w:tabs>
          <w:tab w:val="clear" w:pos="720"/>
          <w:tab w:val="left" w:pos="0" w:leader="none"/>
        </w:tabs>
        <w:spacing w:before="0" w:after="200"/>
        <w:ind w:hanging="283" w:left="709"/>
        <w:rPr/>
      </w:pPr>
      <w:r>
        <w:rPr/>
        <w:t>Both support mechanisms for dispute resolution and corrective action.</w:t>
      </w:r>
    </w:p>
    <w:p>
      <w:pPr>
        <w:pStyle w:val="BodyText"/>
        <w:numPr>
          <w:ilvl w:val="0"/>
          <w:numId w:val="103"/>
        </w:numPr>
        <w:tabs>
          <w:tab w:val="clear" w:pos="720"/>
          <w:tab w:val="left" w:pos="0" w:leader="none"/>
        </w:tabs>
        <w:spacing w:before="0" w:after="200"/>
        <w:ind w:hanging="283" w:left="709"/>
        <w:rPr/>
      </w:pPr>
      <w:r>
        <w:rPr/>
        <w:t>Both recognize the importance of long-term stability rather than isolated transactions.</w:t>
      </w:r>
    </w:p>
    <w:p>
      <w:pPr>
        <w:pStyle w:val="BodyText"/>
        <w:numPr>
          <w:ilvl w:val="0"/>
          <w:numId w:val="103"/>
        </w:numPr>
        <w:tabs>
          <w:tab w:val="clear" w:pos="720"/>
          <w:tab w:val="left" w:pos="0" w:leader="none"/>
        </w:tabs>
        <w:spacing w:before="0" w:after="200"/>
        <w:ind w:hanging="283" w:left="709"/>
        <w:rPr/>
      </w:pPr>
      <w:r>
        <w:rPr/>
        <w:t>Both can represent plural objectives within a shared institutional structure.</w:t>
      </w:r>
    </w:p>
    <w:p>
      <w:pPr>
        <w:pStyle w:val="BodyText"/>
        <w:numPr>
          <w:ilvl w:val="0"/>
          <w:numId w:val="103"/>
        </w:numPr>
        <w:tabs>
          <w:tab w:val="clear" w:pos="720"/>
          <w:tab w:val="left" w:pos="0" w:leader="none"/>
        </w:tabs>
        <w:spacing w:before="0" w:after="200"/>
        <w:ind w:hanging="283" w:left="709"/>
        <w:rPr/>
      </w:pPr>
      <w:r>
        <w:rPr/>
        <w:t>Both distinguish the interests of individual actors from the conditions necessary for sustainable cooperation.</w:t>
      </w:r>
    </w:p>
    <w:p>
      <w:pPr>
        <w:pStyle w:val="BodyText"/>
        <w:numPr>
          <w:ilvl w:val="0"/>
          <w:numId w:val="103"/>
        </w:numPr>
        <w:tabs>
          <w:tab w:val="clear" w:pos="720"/>
          <w:tab w:val="left" w:pos="0" w:leader="none"/>
        </w:tabs>
        <w:spacing w:before="0" w:after="200"/>
        <w:ind w:hanging="283" w:left="709"/>
        <w:rPr/>
      </w:pPr>
      <w:r>
        <w:rPr/>
        <w:t>Both recognize that legitimacy can change when an institution violates the purpose for which its authority was established.</w:t>
      </w:r>
    </w:p>
    <w:p>
      <w:pPr>
        <w:pStyle w:val="Heading4"/>
        <w:ind w:hanging="0" w:left="0"/>
        <w:rPr>
          <w:rFonts w:ascii="Aptos" w:hAnsi="Aptos"/>
          <w:color w:val="auto"/>
        </w:rPr>
      </w:pPr>
      <w:bookmarkStart w:id="17" w:name="__RefHeading___Toc23490_3508477456"/>
      <w:bookmarkEnd w:id="17"/>
      <w:r>
        <w:rPr/>
        <w:t>Differences</w:t>
      </w:r>
    </w:p>
    <w:tbl>
      <w:tblPr>
        <w:tblW w:w="8640" w:type="dxa"/>
        <w:jc w:val="left"/>
        <w:tblInd w:w="28" w:type="dxa"/>
        <w:tblLayout w:type="fixed"/>
        <w:tblCellMar>
          <w:top w:w="28" w:type="dxa"/>
          <w:left w:w="28" w:type="dxa"/>
          <w:bottom w:w="28" w:type="dxa"/>
          <w:right w:w="28" w:type="dxa"/>
        </w:tblCellMar>
      </w:tblPr>
      <w:tblGrid>
        <w:gridCol w:w="1760"/>
        <w:gridCol w:w="3392"/>
        <w:gridCol w:w="3488"/>
      </w:tblGrid>
      <w:tr>
        <w:trPr>
          <w:tblHeader w:val="true"/>
        </w:trPr>
        <w:tc>
          <w:tcPr>
            <w:tcW w:w="1760" w:type="dxa"/>
            <w:tcBorders/>
            <w:vAlign w:val="center"/>
          </w:tcPr>
          <w:p>
            <w:pPr>
              <w:pStyle w:val="TableHeading"/>
              <w:suppressLineNumbers/>
              <w:spacing w:before="0" w:after="200"/>
              <w:jc w:val="center"/>
              <w:rPr/>
            </w:pPr>
            <w:r>
              <w:rPr/>
              <w:t>Dimension</w:t>
            </w:r>
          </w:p>
        </w:tc>
        <w:tc>
          <w:tcPr>
            <w:tcW w:w="3392" w:type="dxa"/>
            <w:tcBorders/>
            <w:vAlign w:val="center"/>
          </w:tcPr>
          <w:p>
            <w:pPr>
              <w:pStyle w:val="TableHeading"/>
              <w:suppressLineNumbers/>
              <w:spacing w:before="0" w:after="200"/>
              <w:jc w:val="center"/>
              <w:rPr/>
            </w:pPr>
            <w:r>
              <w:rPr/>
              <w:t>Contractarianism / Social Contract Theory</w:t>
            </w:r>
          </w:p>
        </w:tc>
        <w:tc>
          <w:tcPr>
            <w:tcW w:w="3488" w:type="dxa"/>
            <w:tcBorders/>
            <w:vAlign w:val="center"/>
          </w:tcPr>
          <w:p>
            <w:pPr>
              <w:pStyle w:val="TableHeading"/>
              <w:suppressLineNumbers/>
              <w:spacing w:before="0" w:after="200"/>
              <w:jc w:val="center"/>
              <w:rPr/>
            </w:pPr>
            <w:r>
              <w:rPr/>
              <w:t>This framework</w:t>
            </w:r>
          </w:p>
        </w:tc>
      </w:tr>
      <w:tr>
        <w:trPr/>
        <w:tc>
          <w:tcPr>
            <w:tcW w:w="1760" w:type="dxa"/>
            <w:tcBorders/>
            <w:vAlign w:val="center"/>
          </w:tcPr>
          <w:p>
            <w:pPr>
              <w:pStyle w:val="TableContents"/>
              <w:widowControl w:val="false"/>
              <w:suppressLineNumbers/>
              <w:spacing w:before="0" w:after="200"/>
              <w:rPr/>
            </w:pPr>
            <w:r>
              <w:rPr>
                <w:rStyle w:val="Strong"/>
              </w:rPr>
              <w:t>Primary normative question</w:t>
            </w:r>
          </w:p>
        </w:tc>
        <w:tc>
          <w:tcPr>
            <w:tcW w:w="3392" w:type="dxa"/>
            <w:tcBorders/>
            <w:vAlign w:val="center"/>
          </w:tcPr>
          <w:p>
            <w:pPr>
              <w:pStyle w:val="TableContents"/>
              <w:widowControl w:val="false"/>
              <w:suppressLineNumbers/>
              <w:spacing w:before="0" w:after="200"/>
              <w:rPr/>
            </w:pPr>
            <w:r>
              <w:rPr/>
              <w:t>What rules or institutions would relevant persons agree to or have reason to endorse?</w:t>
            </w:r>
          </w:p>
        </w:tc>
        <w:tc>
          <w:tcPr>
            <w:tcW w:w="3488" w:type="dxa"/>
            <w:tcBorders/>
            <w:vAlign w:val="center"/>
          </w:tcPr>
          <w:p>
            <w:pPr>
              <w:pStyle w:val="TableContents"/>
              <w:widowControl w:val="false"/>
              <w:suppressLineNumbers/>
              <w:spacing w:before="0" w:after="200"/>
              <w:rPr/>
            </w:pPr>
            <w:r>
              <w:rPr/>
              <w:t>What World Context Transition best satisfies the Foundational Axiom?</w:t>
            </w:r>
          </w:p>
        </w:tc>
      </w:tr>
      <w:tr>
        <w:trPr/>
        <w:tc>
          <w:tcPr>
            <w:tcW w:w="1760" w:type="dxa"/>
            <w:tcBorders/>
            <w:vAlign w:val="center"/>
          </w:tcPr>
          <w:p>
            <w:pPr>
              <w:pStyle w:val="TableContents"/>
              <w:widowControl w:val="false"/>
              <w:suppressLineNumbers/>
              <w:spacing w:before="0" w:after="200"/>
              <w:rPr/>
            </w:pPr>
            <w:r>
              <w:rPr>
                <w:rStyle w:val="Strong"/>
              </w:rPr>
              <w:t>Source of obligation</w:t>
            </w:r>
          </w:p>
        </w:tc>
        <w:tc>
          <w:tcPr>
            <w:tcW w:w="3392" w:type="dxa"/>
            <w:tcBorders/>
            <w:vAlign w:val="center"/>
          </w:tcPr>
          <w:p>
            <w:pPr>
              <w:pStyle w:val="TableContents"/>
              <w:widowControl w:val="false"/>
              <w:suppressLineNumbers/>
              <w:spacing w:before="0" w:after="200"/>
              <w:rPr/>
            </w:pPr>
            <w:r>
              <w:rPr/>
              <w:t>Agreement, rational endorsement, reciprocity, or reasonable non-rejectability</w:t>
            </w:r>
          </w:p>
        </w:tc>
        <w:tc>
          <w:tcPr>
            <w:tcW w:w="3488" w:type="dxa"/>
            <w:tcBorders/>
            <w:vAlign w:val="center"/>
          </w:tcPr>
          <w:p>
            <w:pPr>
              <w:pStyle w:val="TableContents"/>
              <w:widowControl w:val="false"/>
              <w:suppressLineNumbers/>
              <w:spacing w:before="0" w:after="200"/>
              <w:rPr/>
            </w:pPr>
            <w:r>
              <w:rPr/>
              <w:t>Effects on compatible Long-Term Flourishing, supplemented by relationships, constraints, authority, and responsibility</w:t>
            </w:r>
          </w:p>
        </w:tc>
      </w:tr>
      <w:tr>
        <w:trPr/>
        <w:tc>
          <w:tcPr>
            <w:tcW w:w="1760" w:type="dxa"/>
            <w:tcBorders/>
            <w:vAlign w:val="center"/>
          </w:tcPr>
          <w:p>
            <w:pPr>
              <w:pStyle w:val="TableContents"/>
              <w:widowControl w:val="false"/>
              <w:suppressLineNumbers/>
              <w:spacing w:before="0" w:after="200"/>
              <w:rPr/>
            </w:pPr>
            <w:r>
              <w:rPr>
                <w:rStyle w:val="Strong"/>
              </w:rPr>
              <w:t>Primary unit</w:t>
            </w:r>
          </w:p>
        </w:tc>
        <w:tc>
          <w:tcPr>
            <w:tcW w:w="3392" w:type="dxa"/>
            <w:tcBorders/>
            <w:vAlign w:val="center"/>
          </w:tcPr>
          <w:p>
            <w:pPr>
              <w:pStyle w:val="TableContents"/>
              <w:widowControl w:val="false"/>
              <w:suppressLineNumbers/>
              <w:spacing w:before="0" w:after="200"/>
              <w:rPr/>
            </w:pPr>
            <w:r>
              <w:rPr/>
              <w:t>Parties to a contract and the principles governing their cooperation</w:t>
            </w:r>
          </w:p>
        </w:tc>
        <w:tc>
          <w:tcPr>
            <w:tcW w:w="3488" w:type="dxa"/>
            <w:tcBorders/>
            <w:vAlign w:val="center"/>
          </w:tcPr>
          <w:p>
            <w:pPr>
              <w:pStyle w:val="TableContents"/>
              <w:widowControl w:val="false"/>
              <w:suppressLineNumbers/>
              <w:spacing w:before="0" w:after="200"/>
              <w:rPr/>
            </w:pPr>
            <w:r>
              <w:rPr/>
              <w:t>All relevant Objects, Associations, institutions, and future possibilities</w:t>
            </w:r>
          </w:p>
        </w:tc>
      </w:tr>
      <w:tr>
        <w:trPr/>
        <w:tc>
          <w:tcPr>
            <w:tcW w:w="1760" w:type="dxa"/>
            <w:tcBorders/>
            <w:vAlign w:val="center"/>
          </w:tcPr>
          <w:p>
            <w:pPr>
              <w:pStyle w:val="TableContents"/>
              <w:widowControl w:val="false"/>
              <w:suppressLineNumbers/>
              <w:spacing w:before="0" w:after="200"/>
              <w:rPr/>
            </w:pPr>
            <w:r>
              <w:rPr>
                <w:rStyle w:val="Strong"/>
              </w:rPr>
              <w:t>Moral standing</w:t>
            </w:r>
          </w:p>
        </w:tc>
        <w:tc>
          <w:tcPr>
            <w:tcW w:w="3392" w:type="dxa"/>
            <w:tcBorders/>
            <w:vAlign w:val="center"/>
          </w:tcPr>
          <w:p>
            <w:pPr>
              <w:pStyle w:val="TableContents"/>
              <w:widowControl w:val="false"/>
              <w:suppressLineNumbers/>
              <w:spacing w:before="0" w:after="200"/>
              <w:rPr/>
            </w:pPr>
            <w:r>
              <w:rPr/>
              <w:t>Often begins with rational agents capable of bargaining or justification</w:t>
            </w:r>
          </w:p>
        </w:tc>
        <w:tc>
          <w:tcPr>
            <w:tcW w:w="3488" w:type="dxa"/>
            <w:tcBorders/>
            <w:vAlign w:val="center"/>
          </w:tcPr>
          <w:p>
            <w:pPr>
              <w:pStyle w:val="TableContents"/>
              <w:widowControl w:val="false"/>
              <w:suppressLineNumbers/>
              <w:spacing w:before="0" w:after="200"/>
              <w:rPr/>
            </w:pPr>
            <w:r>
              <w:rPr/>
              <w:t>Potentially includes entities unable to consent, bargain, or reciprocate</w:t>
            </w:r>
          </w:p>
        </w:tc>
      </w:tr>
      <w:tr>
        <w:trPr/>
        <w:tc>
          <w:tcPr>
            <w:tcW w:w="1760" w:type="dxa"/>
            <w:tcBorders/>
            <w:vAlign w:val="center"/>
          </w:tcPr>
          <w:p>
            <w:pPr>
              <w:pStyle w:val="TableContents"/>
              <w:widowControl w:val="false"/>
              <w:suppressLineNumbers/>
              <w:spacing w:before="0" w:after="200"/>
              <w:rPr/>
            </w:pPr>
            <w:r>
              <w:rPr>
                <w:rStyle w:val="Strong"/>
              </w:rPr>
              <w:t>Role of consent</w:t>
            </w:r>
          </w:p>
        </w:tc>
        <w:tc>
          <w:tcPr>
            <w:tcW w:w="3392" w:type="dxa"/>
            <w:tcBorders/>
            <w:vAlign w:val="center"/>
          </w:tcPr>
          <w:p>
            <w:pPr>
              <w:pStyle w:val="TableContents"/>
              <w:widowControl w:val="false"/>
              <w:suppressLineNumbers/>
              <w:spacing w:before="0" w:after="200"/>
              <w:rPr/>
            </w:pPr>
            <w:r>
              <w:rPr/>
              <w:t>Frequently foundational to legitimacy</w:t>
            </w:r>
          </w:p>
        </w:tc>
        <w:tc>
          <w:tcPr>
            <w:tcW w:w="3488" w:type="dxa"/>
            <w:tcBorders/>
            <w:vAlign w:val="center"/>
          </w:tcPr>
          <w:p>
            <w:pPr>
              <w:pStyle w:val="TableContents"/>
              <w:widowControl w:val="false"/>
              <w:suppressLineNumbers/>
              <w:spacing w:before="0" w:after="200"/>
              <w:rPr/>
            </w:pPr>
            <w:r>
              <w:rPr/>
              <w:t>Important but not always sufficient or necessary for moral standing</w:t>
            </w:r>
          </w:p>
        </w:tc>
      </w:tr>
      <w:tr>
        <w:trPr/>
        <w:tc>
          <w:tcPr>
            <w:tcW w:w="1760" w:type="dxa"/>
            <w:tcBorders/>
            <w:vAlign w:val="center"/>
          </w:tcPr>
          <w:p>
            <w:pPr>
              <w:pStyle w:val="TableContents"/>
              <w:widowControl w:val="false"/>
              <w:suppressLineNumbers/>
              <w:spacing w:before="0" w:after="200"/>
              <w:rPr/>
            </w:pPr>
            <w:r>
              <w:rPr>
                <w:rStyle w:val="Strong"/>
              </w:rPr>
              <w:t>Baseline</w:t>
            </w:r>
          </w:p>
        </w:tc>
        <w:tc>
          <w:tcPr>
            <w:tcW w:w="3392" w:type="dxa"/>
            <w:tcBorders/>
            <w:vAlign w:val="center"/>
          </w:tcPr>
          <w:p>
            <w:pPr>
              <w:pStyle w:val="TableContents"/>
              <w:widowControl w:val="false"/>
              <w:suppressLineNumbers/>
              <w:spacing w:before="0" w:after="200"/>
              <w:rPr/>
            </w:pPr>
            <w:r>
              <w:rPr/>
              <w:t>State of nature, status quo, equal standing, or original position</w:t>
            </w:r>
          </w:p>
        </w:tc>
        <w:tc>
          <w:tcPr>
            <w:tcW w:w="3488" w:type="dxa"/>
            <w:tcBorders/>
            <w:vAlign w:val="center"/>
          </w:tcPr>
          <w:p>
            <w:pPr>
              <w:pStyle w:val="TableContents"/>
              <w:widowControl w:val="false"/>
              <w:suppressLineNumbers/>
              <w:spacing w:before="0" w:after="200"/>
              <w:rPr/>
            </w:pPr>
            <w:r>
              <w:rPr/>
              <w:t>Explicit initial World Context selected for the Assessed Action</w:t>
            </w:r>
          </w:p>
        </w:tc>
      </w:tr>
      <w:tr>
        <w:trPr/>
        <w:tc>
          <w:tcPr>
            <w:tcW w:w="1760" w:type="dxa"/>
            <w:tcBorders/>
            <w:vAlign w:val="center"/>
          </w:tcPr>
          <w:p>
            <w:pPr>
              <w:pStyle w:val="TableContents"/>
              <w:widowControl w:val="false"/>
              <w:suppressLineNumbers/>
              <w:spacing w:before="0" w:after="200"/>
              <w:rPr/>
            </w:pPr>
            <w:r>
              <w:rPr>
                <w:rStyle w:val="Strong"/>
              </w:rPr>
              <w:t>Motivation</w:t>
            </w:r>
          </w:p>
        </w:tc>
        <w:tc>
          <w:tcPr>
            <w:tcW w:w="3392" w:type="dxa"/>
            <w:tcBorders/>
            <w:vAlign w:val="center"/>
          </w:tcPr>
          <w:p>
            <w:pPr>
              <w:pStyle w:val="TableContents"/>
              <w:widowControl w:val="false"/>
              <w:suppressLineNumbers/>
              <w:spacing w:before="0" w:after="200"/>
              <w:rPr/>
            </w:pPr>
            <w:r>
              <w:rPr/>
              <w:t>May rely on self-interest, mutual advantage, fairness, or respect for others</w:t>
            </w:r>
          </w:p>
        </w:tc>
        <w:tc>
          <w:tcPr>
            <w:tcW w:w="3488" w:type="dxa"/>
            <w:tcBorders/>
            <w:vAlign w:val="center"/>
          </w:tcPr>
          <w:p>
            <w:pPr>
              <w:pStyle w:val="TableContents"/>
              <w:widowControl w:val="false"/>
              <w:suppressLineNumbers/>
              <w:spacing w:before="0" w:after="200"/>
              <w:rPr/>
            </w:pPr>
            <w:r>
              <w:rPr/>
              <w:t>Does not assume a single motivational structure</w:t>
            </w:r>
          </w:p>
        </w:tc>
      </w:tr>
      <w:tr>
        <w:trPr/>
        <w:tc>
          <w:tcPr>
            <w:tcW w:w="1760" w:type="dxa"/>
            <w:tcBorders/>
            <w:vAlign w:val="center"/>
          </w:tcPr>
          <w:p>
            <w:pPr>
              <w:pStyle w:val="TableContents"/>
              <w:widowControl w:val="false"/>
              <w:suppressLineNumbers/>
              <w:spacing w:before="0" w:after="200"/>
              <w:rPr/>
            </w:pPr>
            <w:r>
              <w:rPr>
                <w:rStyle w:val="Strong"/>
              </w:rPr>
              <w:t>Decision test</w:t>
            </w:r>
          </w:p>
        </w:tc>
        <w:tc>
          <w:tcPr>
            <w:tcW w:w="3392" w:type="dxa"/>
            <w:tcBorders/>
            <w:vAlign w:val="center"/>
          </w:tcPr>
          <w:p>
            <w:pPr>
              <w:pStyle w:val="TableContents"/>
              <w:widowControl w:val="false"/>
              <w:suppressLineNumbers/>
              <w:spacing w:before="0" w:after="200"/>
              <w:rPr/>
            </w:pPr>
            <w:r>
              <w:rPr/>
              <w:t>Actual agreement, hypothetical agreement, fair choice, or reasonable rejectability</w:t>
            </w:r>
          </w:p>
        </w:tc>
        <w:tc>
          <w:tcPr>
            <w:tcW w:w="3488" w:type="dxa"/>
            <w:tcBorders/>
            <w:vAlign w:val="center"/>
          </w:tcPr>
          <w:p>
            <w:pPr>
              <w:pStyle w:val="TableContents"/>
              <w:widowControl w:val="false"/>
              <w:suppressLineNumbers/>
              <w:spacing w:before="0" w:after="200"/>
              <w:rPr/>
            </w:pPr>
            <w:r>
              <w:rPr/>
              <w:t>Comparative assessment of predicted transitions under evidence and uncertainty</w:t>
            </w:r>
          </w:p>
        </w:tc>
      </w:tr>
      <w:tr>
        <w:trPr/>
        <w:tc>
          <w:tcPr>
            <w:tcW w:w="1760" w:type="dxa"/>
            <w:tcBorders/>
            <w:vAlign w:val="center"/>
          </w:tcPr>
          <w:p>
            <w:pPr>
              <w:pStyle w:val="TableContents"/>
              <w:widowControl w:val="false"/>
              <w:suppressLineNumbers/>
              <w:spacing w:before="0" w:after="200"/>
              <w:rPr/>
            </w:pPr>
            <w:r>
              <w:rPr>
                <w:rStyle w:val="Strong"/>
              </w:rPr>
              <w:t>Aggregation</w:t>
            </w:r>
          </w:p>
        </w:tc>
        <w:tc>
          <w:tcPr>
            <w:tcW w:w="3392" w:type="dxa"/>
            <w:tcBorders/>
            <w:vAlign w:val="center"/>
          </w:tcPr>
          <w:p>
            <w:pPr>
              <w:pStyle w:val="TableContents"/>
              <w:widowControl w:val="false"/>
              <w:suppressLineNumbers/>
              <w:spacing w:before="0" w:after="200"/>
              <w:rPr/>
            </w:pPr>
            <w:r>
              <w:rPr/>
              <w:t>Varies by theory; contractualism often resists interpersonal aggregation</w:t>
            </w:r>
          </w:p>
        </w:tc>
        <w:tc>
          <w:tcPr>
            <w:tcW w:w="3488" w:type="dxa"/>
            <w:tcBorders/>
            <w:vAlign w:val="center"/>
          </w:tcPr>
          <w:p>
            <w:pPr>
              <w:pStyle w:val="TableContents"/>
              <w:widowControl w:val="false"/>
              <w:suppressLineNumbers/>
              <w:spacing w:before="0" w:after="200"/>
              <w:rPr/>
            </w:pPr>
            <w:r>
              <w:rPr/>
              <w:t>Aggregate metrics inform but do not replace the complete transition</w:t>
            </w:r>
          </w:p>
        </w:tc>
      </w:tr>
      <w:tr>
        <w:trPr/>
        <w:tc>
          <w:tcPr>
            <w:tcW w:w="1760" w:type="dxa"/>
            <w:tcBorders/>
            <w:vAlign w:val="center"/>
          </w:tcPr>
          <w:p>
            <w:pPr>
              <w:pStyle w:val="TableContents"/>
              <w:widowControl w:val="false"/>
              <w:suppressLineNumbers/>
              <w:spacing w:before="0" w:after="200"/>
              <w:rPr/>
            </w:pPr>
            <w:r>
              <w:rPr>
                <w:rStyle w:val="Strong"/>
              </w:rPr>
              <w:t>Nonparties</w:t>
            </w:r>
          </w:p>
        </w:tc>
        <w:tc>
          <w:tcPr>
            <w:tcW w:w="3392" w:type="dxa"/>
            <w:tcBorders/>
            <w:vAlign w:val="center"/>
          </w:tcPr>
          <w:p>
            <w:pPr>
              <w:pStyle w:val="TableContents"/>
              <w:widowControl w:val="false"/>
              <w:suppressLineNumbers/>
              <w:spacing w:before="0" w:after="200"/>
              <w:rPr/>
            </w:pPr>
            <w:r>
              <w:rPr/>
              <w:t>May be excluded unless represented within the contract procedure</w:t>
            </w:r>
          </w:p>
        </w:tc>
        <w:tc>
          <w:tcPr>
            <w:tcW w:w="3488" w:type="dxa"/>
            <w:tcBorders/>
            <w:vAlign w:val="center"/>
          </w:tcPr>
          <w:p>
            <w:pPr>
              <w:pStyle w:val="TableContents"/>
              <w:widowControl w:val="false"/>
              <w:suppressLineNumbers/>
              <w:spacing w:before="0" w:after="200"/>
              <w:rPr/>
            </w:pPr>
            <w:r>
              <w:rPr/>
              <w:t>Remain relevant when materially affected by the action</w:t>
            </w:r>
          </w:p>
        </w:tc>
      </w:tr>
      <w:tr>
        <w:trPr/>
        <w:tc>
          <w:tcPr>
            <w:tcW w:w="1760" w:type="dxa"/>
            <w:tcBorders/>
            <w:vAlign w:val="center"/>
          </w:tcPr>
          <w:p>
            <w:pPr>
              <w:pStyle w:val="TableContents"/>
              <w:widowControl w:val="false"/>
              <w:suppressLineNumbers/>
              <w:spacing w:before="0" w:after="200"/>
              <w:rPr/>
            </w:pPr>
            <w:r>
              <w:rPr>
                <w:rStyle w:val="Strong"/>
              </w:rPr>
              <w:t>Legitimacy</w:t>
            </w:r>
          </w:p>
        </w:tc>
        <w:tc>
          <w:tcPr>
            <w:tcW w:w="3392" w:type="dxa"/>
            <w:tcBorders/>
            <w:vAlign w:val="center"/>
          </w:tcPr>
          <w:p>
            <w:pPr>
              <w:pStyle w:val="TableContents"/>
              <w:widowControl w:val="false"/>
              <w:suppressLineNumbers/>
              <w:spacing w:before="0" w:after="200"/>
              <w:rPr/>
            </w:pPr>
            <w:r>
              <w:rPr/>
              <w:t>Derived through justified agreement or public reason</w:t>
            </w:r>
          </w:p>
        </w:tc>
        <w:tc>
          <w:tcPr>
            <w:tcW w:w="3488" w:type="dxa"/>
            <w:tcBorders/>
            <w:vAlign w:val="center"/>
          </w:tcPr>
          <w:p>
            <w:pPr>
              <w:pStyle w:val="TableContents"/>
              <w:widowControl w:val="false"/>
              <w:suppressLineNumbers/>
              <w:spacing w:before="0" w:after="200"/>
              <w:rPr/>
            </w:pPr>
            <w:r>
              <w:rPr/>
              <w:t>Evaluated through consent, authority, effects, constraints, and compatibility of flourishing</w:t>
            </w:r>
          </w:p>
        </w:tc>
      </w:tr>
      <w:tr>
        <w:trPr/>
        <w:tc>
          <w:tcPr>
            <w:tcW w:w="1760" w:type="dxa"/>
            <w:tcBorders/>
            <w:vAlign w:val="center"/>
          </w:tcPr>
          <w:p>
            <w:pPr>
              <w:pStyle w:val="TableContents"/>
              <w:widowControl w:val="false"/>
              <w:suppressLineNumbers/>
              <w:spacing w:before="0" w:after="200"/>
              <w:rPr/>
            </w:pPr>
            <w:r>
              <w:rPr>
                <w:rStyle w:val="Strong"/>
              </w:rPr>
              <w:t>Institutional focus</w:t>
            </w:r>
          </w:p>
        </w:tc>
        <w:tc>
          <w:tcPr>
            <w:tcW w:w="3392" w:type="dxa"/>
            <w:tcBorders/>
            <w:vAlign w:val="center"/>
          </w:tcPr>
          <w:p>
            <w:pPr>
              <w:pStyle w:val="TableContents"/>
              <w:widowControl w:val="false"/>
              <w:suppressLineNumbers/>
              <w:spacing w:before="0" w:after="200"/>
              <w:rPr/>
            </w:pPr>
            <w:r>
              <w:rPr/>
              <w:t>Often centered on political society or interpersonal rules</w:t>
            </w:r>
          </w:p>
        </w:tc>
        <w:tc>
          <w:tcPr>
            <w:tcW w:w="3488" w:type="dxa"/>
            <w:tcBorders/>
            <w:vAlign w:val="center"/>
          </w:tcPr>
          <w:p>
            <w:pPr>
              <w:pStyle w:val="TableContents"/>
              <w:widowControl w:val="false"/>
              <w:suppressLineNumbers/>
              <w:spacing w:before="0" w:after="200"/>
              <w:rPr/>
            </w:pPr>
            <w:r>
              <w:rPr/>
              <w:t>Applies to any action, institution, artificial system, or relevant context</w:t>
            </w:r>
          </w:p>
        </w:tc>
      </w:tr>
      <w:tr>
        <w:trPr/>
        <w:tc>
          <w:tcPr>
            <w:tcW w:w="1760" w:type="dxa"/>
            <w:tcBorders/>
            <w:vAlign w:val="center"/>
          </w:tcPr>
          <w:p>
            <w:pPr>
              <w:pStyle w:val="TableContents"/>
              <w:widowControl w:val="false"/>
              <w:suppressLineNumbers/>
              <w:spacing w:before="0" w:after="200"/>
              <w:rPr/>
            </w:pPr>
            <w:r>
              <w:rPr>
                <w:rStyle w:val="Strong"/>
              </w:rPr>
              <w:t>Stability</w:t>
            </w:r>
          </w:p>
        </w:tc>
        <w:tc>
          <w:tcPr>
            <w:tcW w:w="3392" w:type="dxa"/>
            <w:tcBorders/>
            <w:vAlign w:val="center"/>
          </w:tcPr>
          <w:p>
            <w:pPr>
              <w:pStyle w:val="TableContents"/>
              <w:widowControl w:val="false"/>
              <w:suppressLineNumbers/>
              <w:spacing w:before="0" w:after="200"/>
              <w:rPr/>
            </w:pPr>
            <w:r>
              <w:rPr/>
              <w:t>Depends on compliance, reciprocity, enforcement, and perceived fairness</w:t>
            </w:r>
          </w:p>
        </w:tc>
        <w:tc>
          <w:tcPr>
            <w:tcW w:w="3488" w:type="dxa"/>
            <w:tcBorders/>
            <w:vAlign w:val="center"/>
          </w:tcPr>
          <w:p>
            <w:pPr>
              <w:pStyle w:val="TableContents"/>
              <w:widowControl w:val="false"/>
              <w:suppressLineNumbers/>
              <w:spacing w:before="0" w:after="200"/>
              <w:rPr/>
            </w:pPr>
            <w:r>
              <w:rPr/>
              <w:t>Also includes ecological, technological, informational, and long-term systemic stability</w:t>
            </w:r>
          </w:p>
        </w:tc>
      </w:tr>
      <w:tr>
        <w:trPr/>
        <w:tc>
          <w:tcPr>
            <w:tcW w:w="1760" w:type="dxa"/>
            <w:tcBorders/>
            <w:vAlign w:val="center"/>
          </w:tcPr>
          <w:p>
            <w:pPr>
              <w:pStyle w:val="TableContents"/>
              <w:widowControl w:val="false"/>
              <w:suppressLineNumbers/>
              <w:spacing w:before="0" w:after="200"/>
              <w:rPr/>
            </w:pPr>
            <w:r>
              <w:rPr>
                <w:rStyle w:val="Strong"/>
              </w:rPr>
              <w:t>Idealization</w:t>
            </w:r>
          </w:p>
        </w:tc>
        <w:tc>
          <w:tcPr>
            <w:tcW w:w="3392" w:type="dxa"/>
            <w:tcBorders/>
            <w:vAlign w:val="center"/>
          </w:tcPr>
          <w:p>
            <w:pPr>
              <w:pStyle w:val="TableContents"/>
              <w:widowControl w:val="false"/>
              <w:suppressLineNumbers/>
              <w:spacing w:before="0" w:after="200"/>
              <w:rPr/>
            </w:pPr>
            <w:r>
              <w:rPr/>
              <w:t>Frequently uses hypothetical idealized parties</w:t>
            </w:r>
          </w:p>
        </w:tc>
        <w:tc>
          <w:tcPr>
            <w:tcW w:w="3488" w:type="dxa"/>
            <w:tcBorders/>
            <w:vAlign w:val="center"/>
          </w:tcPr>
          <w:p>
            <w:pPr>
              <w:pStyle w:val="TableContents"/>
              <w:widowControl w:val="false"/>
              <w:suppressLineNumbers/>
              <w:spacing w:before="0" w:after="200"/>
              <w:rPr/>
            </w:pPr>
            <w:r>
              <w:rPr/>
              <w:t>Can use counterfactual models but remains tied to the evidence in the actual Situational Context</w:t>
            </w:r>
          </w:p>
        </w:tc>
      </w:tr>
      <w:tr>
        <w:trPr/>
        <w:tc>
          <w:tcPr>
            <w:tcW w:w="1760" w:type="dxa"/>
            <w:tcBorders/>
            <w:vAlign w:val="center"/>
          </w:tcPr>
          <w:p>
            <w:pPr>
              <w:pStyle w:val="TableContents"/>
              <w:widowControl w:val="false"/>
              <w:suppressLineNumbers/>
              <w:spacing w:before="0" w:after="200"/>
              <w:rPr/>
            </w:pPr>
            <w:r>
              <w:rPr>
                <w:rStyle w:val="Strong"/>
              </w:rPr>
              <w:t>Failure mode</w:t>
            </w:r>
          </w:p>
        </w:tc>
        <w:tc>
          <w:tcPr>
            <w:tcW w:w="3392" w:type="dxa"/>
            <w:tcBorders/>
            <w:vAlign w:val="center"/>
          </w:tcPr>
          <w:p>
            <w:pPr>
              <w:pStyle w:val="TableContents"/>
              <w:widowControl w:val="false"/>
              <w:suppressLineNumbers/>
              <w:spacing w:before="0" w:after="200"/>
              <w:rPr/>
            </w:pPr>
            <w:r>
              <w:rPr/>
              <w:t>Unfair bargaining, unreasonable rejection, breach, illegitimate authority, or unstable compliance</w:t>
            </w:r>
          </w:p>
        </w:tc>
        <w:tc>
          <w:tcPr>
            <w:tcW w:w="3488" w:type="dxa"/>
            <w:tcBorders/>
            <w:vAlign w:val="center"/>
          </w:tcPr>
          <w:p>
            <w:pPr>
              <w:pStyle w:val="TableContents"/>
              <w:widowControl w:val="false"/>
              <w:suppressLineNumbers/>
              <w:spacing w:before="0" w:after="200"/>
              <w:rPr/>
            </w:pPr>
            <w:r>
              <w:rPr/>
              <w:t>An unjustified transition that diminishes relevant Long-Term Flourishing</w:t>
            </w:r>
          </w:p>
        </w:tc>
      </w:tr>
      <w:tr>
        <w:trPr/>
        <w:tc>
          <w:tcPr>
            <w:tcW w:w="1760" w:type="dxa"/>
            <w:tcBorders/>
            <w:vAlign w:val="center"/>
          </w:tcPr>
          <w:p>
            <w:pPr>
              <w:pStyle w:val="TableContents"/>
              <w:widowControl w:val="false"/>
              <w:suppressLineNumbers/>
              <w:spacing w:before="0" w:after="200"/>
              <w:rPr/>
            </w:pPr>
            <w:r>
              <w:rPr>
                <w:rStyle w:val="Strong"/>
              </w:rPr>
              <w:t>Moral remainder</w:t>
            </w:r>
          </w:p>
        </w:tc>
        <w:tc>
          <w:tcPr>
            <w:tcW w:w="3392" w:type="dxa"/>
            <w:tcBorders/>
            <w:vAlign w:val="center"/>
          </w:tcPr>
          <w:p>
            <w:pPr>
              <w:pStyle w:val="TableContents"/>
              <w:widowControl w:val="false"/>
              <w:suppressLineNumbers/>
              <w:spacing w:before="0" w:after="200"/>
              <w:rPr/>
            </w:pPr>
            <w:r>
              <w:rPr/>
              <w:t>Agreement may settle the governing principle</w:t>
            </w:r>
          </w:p>
        </w:tc>
        <w:tc>
          <w:tcPr>
            <w:tcW w:w="3488" w:type="dxa"/>
            <w:tcBorders/>
            <w:vAlign w:val="center"/>
          </w:tcPr>
          <w:p>
            <w:pPr>
              <w:pStyle w:val="TableContents"/>
              <w:widowControl w:val="false"/>
              <w:suppressLineNumbers/>
              <w:spacing w:before="0" w:after="200"/>
              <w:rPr/>
            </w:pPr>
            <w:r>
              <w:rPr/>
              <w:t>An agreement can remain ethically defective because of its effects on nonparties or the wider World Context</w:t>
            </w:r>
          </w:p>
        </w:tc>
      </w:tr>
    </w:tbl>
    <w:p>
      <w:pPr>
        <w:pStyle w:val="Heading4"/>
        <w:ind w:hanging="0" w:left="0"/>
        <w:rPr>
          <w:rFonts w:ascii="Aptos" w:hAnsi="Aptos"/>
          <w:color w:val="auto"/>
        </w:rPr>
      </w:pPr>
      <w:r>
        <w:rPr/>
        <w:t>Potential Integration Opportunities</w:t>
      </w:r>
    </w:p>
    <w:p>
      <w:pPr>
        <w:pStyle w:val="BodyText"/>
        <w:spacing w:before="0" w:after="200"/>
        <w:rPr/>
      </w:pPr>
      <w:r>
        <w:rPr/>
        <w:t>The framework could integrate social-contract reasoning more explicitly through the following extensions:</w:t>
      </w:r>
    </w:p>
    <w:p>
      <w:pPr>
        <w:pStyle w:val="BodyText"/>
        <w:numPr>
          <w:ilvl w:val="0"/>
          <w:numId w:val="104"/>
        </w:numPr>
        <w:tabs>
          <w:tab w:val="clear" w:pos="720"/>
          <w:tab w:val="left" w:pos="0" w:leader="none"/>
        </w:tabs>
        <w:spacing w:before="0" w:after="200"/>
        <w:ind w:hanging="283" w:left="709"/>
        <w:rPr/>
      </w:pPr>
      <w:r>
        <w:rPr>
          <w:rStyle w:val="Strong"/>
        </w:rPr>
        <w:t>Add a formal agreement ontology.</w:t>
      </w:r>
      <w:r>
        <w:rPr/>
        <w:t xml:space="preserve"> Each contract or institutional arrangement could identify:</w:t>
      </w:r>
    </w:p>
    <w:p>
      <w:pPr>
        <w:pStyle w:val="BodyText"/>
        <w:numPr>
          <w:ilvl w:val="1"/>
          <w:numId w:val="104"/>
        </w:numPr>
        <w:tabs>
          <w:tab w:val="clear" w:pos="720"/>
          <w:tab w:val="left" w:pos="0" w:leader="none"/>
        </w:tabs>
        <w:spacing w:before="0" w:after="200"/>
        <w:ind w:hanging="283" w:left="1418"/>
        <w:rPr/>
      </w:pPr>
      <w:r>
        <w:rPr/>
        <w:t>Parties;</w:t>
      </w:r>
    </w:p>
    <w:p>
      <w:pPr>
        <w:pStyle w:val="BodyText"/>
        <w:numPr>
          <w:ilvl w:val="1"/>
          <w:numId w:val="104"/>
        </w:numPr>
        <w:tabs>
          <w:tab w:val="clear" w:pos="720"/>
          <w:tab w:val="left" w:pos="0" w:leader="none"/>
        </w:tabs>
        <w:spacing w:before="0" w:after="200"/>
        <w:ind w:hanging="283" w:left="1418"/>
        <w:rPr/>
      </w:pPr>
      <w:r>
        <w:rPr/>
        <w:t>Represented nonparties;</w:t>
      </w:r>
    </w:p>
    <w:p>
      <w:pPr>
        <w:pStyle w:val="BodyText"/>
        <w:numPr>
          <w:ilvl w:val="1"/>
          <w:numId w:val="104"/>
        </w:numPr>
        <w:tabs>
          <w:tab w:val="clear" w:pos="720"/>
          <w:tab w:val="left" w:pos="0" w:leader="none"/>
        </w:tabs>
        <w:spacing w:before="0" w:after="200"/>
        <w:ind w:hanging="283" w:left="1418"/>
        <w:rPr/>
      </w:pPr>
      <w:r>
        <w:rPr/>
        <w:t>Affected outsiders;</w:t>
      </w:r>
    </w:p>
    <w:p>
      <w:pPr>
        <w:pStyle w:val="BodyText"/>
        <w:numPr>
          <w:ilvl w:val="1"/>
          <w:numId w:val="104"/>
        </w:numPr>
        <w:tabs>
          <w:tab w:val="clear" w:pos="720"/>
          <w:tab w:val="left" w:pos="0" w:leader="none"/>
        </w:tabs>
        <w:spacing w:before="0" w:after="200"/>
        <w:ind w:hanging="283" w:left="1418"/>
        <w:rPr/>
      </w:pPr>
      <w:r>
        <w:rPr/>
        <w:t>Rights and duties;</w:t>
      </w:r>
    </w:p>
    <w:p>
      <w:pPr>
        <w:pStyle w:val="BodyText"/>
        <w:numPr>
          <w:ilvl w:val="1"/>
          <w:numId w:val="104"/>
        </w:numPr>
        <w:tabs>
          <w:tab w:val="clear" w:pos="720"/>
          <w:tab w:val="left" w:pos="0" w:leader="none"/>
        </w:tabs>
        <w:spacing w:before="0" w:after="200"/>
        <w:ind w:hanging="283" w:left="1418"/>
        <w:rPr/>
      </w:pPr>
      <w:r>
        <w:rPr/>
        <w:t>Powers and immunities;</w:t>
      </w:r>
    </w:p>
    <w:p>
      <w:pPr>
        <w:pStyle w:val="BodyText"/>
        <w:numPr>
          <w:ilvl w:val="1"/>
          <w:numId w:val="104"/>
        </w:numPr>
        <w:tabs>
          <w:tab w:val="clear" w:pos="720"/>
          <w:tab w:val="left" w:pos="0" w:leader="none"/>
        </w:tabs>
        <w:spacing w:before="0" w:after="200"/>
        <w:ind w:hanging="283" w:left="1418"/>
        <w:rPr/>
      </w:pPr>
      <w:r>
        <w:rPr/>
        <w:t>Benefits and burdens;</w:t>
      </w:r>
    </w:p>
    <w:p>
      <w:pPr>
        <w:pStyle w:val="BodyText"/>
        <w:numPr>
          <w:ilvl w:val="1"/>
          <w:numId w:val="104"/>
        </w:numPr>
        <w:tabs>
          <w:tab w:val="clear" w:pos="720"/>
          <w:tab w:val="left" w:pos="0" w:leader="none"/>
        </w:tabs>
        <w:spacing w:before="0" w:after="200"/>
        <w:ind w:hanging="283" w:left="1418"/>
        <w:rPr/>
      </w:pPr>
      <w:r>
        <w:rPr/>
        <w:t>Duration;</w:t>
      </w:r>
    </w:p>
    <w:p>
      <w:pPr>
        <w:pStyle w:val="BodyText"/>
        <w:numPr>
          <w:ilvl w:val="1"/>
          <w:numId w:val="104"/>
        </w:numPr>
        <w:tabs>
          <w:tab w:val="clear" w:pos="720"/>
          <w:tab w:val="left" w:pos="0" w:leader="none"/>
        </w:tabs>
        <w:spacing w:before="0" w:after="200"/>
        <w:ind w:hanging="283" w:left="1418"/>
        <w:rPr/>
      </w:pPr>
      <w:r>
        <w:rPr/>
        <w:t>Jurisdiction;</w:t>
      </w:r>
    </w:p>
    <w:p>
      <w:pPr>
        <w:pStyle w:val="BodyText"/>
        <w:numPr>
          <w:ilvl w:val="1"/>
          <w:numId w:val="104"/>
        </w:numPr>
        <w:tabs>
          <w:tab w:val="clear" w:pos="720"/>
          <w:tab w:val="left" w:pos="0" w:leader="none"/>
        </w:tabs>
        <w:spacing w:before="0" w:after="200"/>
        <w:ind w:hanging="283" w:left="1418"/>
        <w:rPr/>
      </w:pPr>
      <w:r>
        <w:rPr/>
        <w:t>Enforcement procedures;</w:t>
      </w:r>
    </w:p>
    <w:p>
      <w:pPr>
        <w:pStyle w:val="BodyText"/>
        <w:numPr>
          <w:ilvl w:val="1"/>
          <w:numId w:val="104"/>
        </w:numPr>
        <w:tabs>
          <w:tab w:val="clear" w:pos="720"/>
          <w:tab w:val="left" w:pos="0" w:leader="none"/>
        </w:tabs>
        <w:spacing w:before="0" w:after="200"/>
        <w:ind w:hanging="283" w:left="1418"/>
        <w:rPr/>
      </w:pPr>
      <w:r>
        <w:rPr/>
        <w:t>Exit conditions;</w:t>
      </w:r>
    </w:p>
    <w:p>
      <w:pPr>
        <w:pStyle w:val="BodyText"/>
        <w:numPr>
          <w:ilvl w:val="1"/>
          <w:numId w:val="104"/>
        </w:numPr>
        <w:tabs>
          <w:tab w:val="clear" w:pos="720"/>
          <w:tab w:val="left" w:pos="0" w:leader="none"/>
        </w:tabs>
        <w:spacing w:before="0" w:after="200"/>
        <w:ind w:hanging="283" w:left="1418"/>
        <w:rPr/>
      </w:pPr>
      <w:r>
        <w:rPr/>
        <w:t>Amendment procedures; and</w:t>
      </w:r>
    </w:p>
    <w:p>
      <w:pPr>
        <w:pStyle w:val="BodyText"/>
        <w:numPr>
          <w:ilvl w:val="1"/>
          <w:numId w:val="104"/>
        </w:numPr>
        <w:tabs>
          <w:tab w:val="clear" w:pos="720"/>
          <w:tab w:val="left" w:pos="0" w:leader="none"/>
        </w:tabs>
        <w:spacing w:before="0" w:after="200"/>
        <w:ind w:hanging="283" w:left="1418"/>
        <w:rPr/>
      </w:pPr>
      <w:r>
        <w:rPr/>
        <w:t>Remedies for breach.</w:t>
      </w:r>
    </w:p>
    <w:p>
      <w:pPr>
        <w:pStyle w:val="BodyText"/>
        <w:numPr>
          <w:ilvl w:val="0"/>
          <w:numId w:val="104"/>
        </w:numPr>
        <w:tabs>
          <w:tab w:val="clear" w:pos="720"/>
          <w:tab w:val="left" w:pos="0" w:leader="none"/>
        </w:tabs>
        <w:spacing w:before="0" w:after="200"/>
        <w:ind w:hanging="283" w:left="709"/>
        <w:rPr/>
      </w:pPr>
      <w:r>
        <w:rPr>
          <w:rStyle w:val="Strong"/>
        </w:rPr>
        <w:t>Distinguish forms of consent.</w:t>
      </w:r>
      <w:r>
        <w:rPr/>
        <w:t xml:space="preserve"> The system should separately represent express consent, informed consent, tacit consent, hypothetical consent, presumed consent, and coerced acquiescence.</w:t>
      </w:r>
    </w:p>
    <w:p>
      <w:pPr>
        <w:pStyle w:val="BodyText"/>
        <w:numPr>
          <w:ilvl w:val="0"/>
          <w:numId w:val="104"/>
        </w:numPr>
        <w:tabs>
          <w:tab w:val="clear" w:pos="720"/>
          <w:tab w:val="left" w:pos="0" w:leader="none"/>
        </w:tabs>
        <w:spacing w:before="0" w:after="200"/>
        <w:ind w:hanging="283" w:left="709"/>
        <w:rPr/>
      </w:pPr>
      <w:r>
        <w:rPr>
          <w:rStyle w:val="Strong"/>
        </w:rPr>
        <w:t>Add a voluntariness assessment.</w:t>
      </w:r>
      <w:r>
        <w:rPr/>
        <w:t xml:space="preserve"> Consent should be tested for adequate information, competence, freedom from coercion, viable alternatives, power imbalance, and ability to withdraw.</w:t>
      </w:r>
    </w:p>
    <w:p>
      <w:pPr>
        <w:pStyle w:val="BodyText"/>
        <w:numPr>
          <w:ilvl w:val="0"/>
          <w:numId w:val="104"/>
        </w:numPr>
        <w:tabs>
          <w:tab w:val="clear" w:pos="720"/>
          <w:tab w:val="left" w:pos="0" w:leader="none"/>
        </w:tabs>
        <w:spacing w:before="0" w:after="200"/>
        <w:ind w:hanging="283" w:left="709"/>
        <w:rPr/>
      </w:pPr>
      <w:r>
        <w:rPr>
          <w:rStyle w:val="Strong"/>
        </w:rPr>
        <w:t>Model the no-agreement baseline.</w:t>
      </w:r>
      <w:r>
        <w:rPr/>
        <w:t xml:space="preserve"> Every proposed agreement should be compared with a clearly specified World Context in which the agreement does not exist.</w:t>
      </w:r>
    </w:p>
    <w:p>
      <w:pPr>
        <w:pStyle w:val="BodyText"/>
        <w:numPr>
          <w:ilvl w:val="0"/>
          <w:numId w:val="104"/>
        </w:numPr>
        <w:tabs>
          <w:tab w:val="clear" w:pos="720"/>
          <w:tab w:val="left" w:pos="0" w:leader="none"/>
        </w:tabs>
        <w:spacing w:before="0" w:after="200"/>
        <w:ind w:hanging="283" w:left="709"/>
        <w:rPr/>
      </w:pPr>
      <w:r>
        <w:rPr>
          <w:rStyle w:val="Strong"/>
        </w:rPr>
        <w:t>Audit baseline fairness.</w:t>
      </w:r>
      <w:r>
        <w:rPr/>
        <w:t xml:space="preserve"> A contract should not be treated as fair merely because every party benefits relative to an unjust or coercive starting position.</w:t>
      </w:r>
    </w:p>
    <w:p>
      <w:pPr>
        <w:pStyle w:val="BodyText"/>
        <w:numPr>
          <w:ilvl w:val="0"/>
          <w:numId w:val="104"/>
        </w:numPr>
        <w:tabs>
          <w:tab w:val="clear" w:pos="720"/>
          <w:tab w:val="left" w:pos="0" w:leader="none"/>
        </w:tabs>
        <w:spacing w:before="0" w:after="200"/>
        <w:ind w:hanging="283" w:left="709"/>
        <w:rPr/>
      </w:pPr>
      <w:r>
        <w:rPr>
          <w:rStyle w:val="Strong"/>
        </w:rPr>
        <w:t>Add a mutual-advantage test.</w:t>
      </w:r>
      <w:r>
        <w:rPr/>
        <w:t xml:space="preserve"> The framework could identify whether every party benefits, whether some parties merely avoid threatened harm, and whether gains are distributed proportionately.</w:t>
      </w:r>
    </w:p>
    <w:p>
      <w:pPr>
        <w:pStyle w:val="BodyText"/>
        <w:numPr>
          <w:ilvl w:val="0"/>
          <w:numId w:val="104"/>
        </w:numPr>
        <w:tabs>
          <w:tab w:val="clear" w:pos="720"/>
          <w:tab w:val="left" w:pos="0" w:leader="none"/>
        </w:tabs>
        <w:spacing w:before="0" w:after="200"/>
        <w:ind w:hanging="283" w:left="709"/>
        <w:rPr/>
      </w:pPr>
      <w:r>
        <w:rPr>
          <w:rStyle w:val="Strong"/>
        </w:rPr>
        <w:t>Implement a veil-of-ignorance simulation.</w:t>
      </w:r>
      <w:r>
        <w:rPr/>
        <w:t xml:space="preserve"> Decision-makers could reassess institutional rules without knowing which affected position they would occupy.</w:t>
      </w:r>
    </w:p>
    <w:p>
      <w:pPr>
        <w:pStyle w:val="BodyText"/>
        <w:numPr>
          <w:ilvl w:val="0"/>
          <w:numId w:val="104"/>
        </w:numPr>
        <w:tabs>
          <w:tab w:val="clear" w:pos="720"/>
          <w:tab w:val="left" w:pos="0" w:leader="none"/>
        </w:tabs>
        <w:spacing w:before="0" w:after="200"/>
        <w:ind w:hanging="283" w:left="709"/>
        <w:rPr/>
      </w:pPr>
      <w:r>
        <w:rPr>
          <w:rStyle w:val="Strong"/>
        </w:rPr>
        <w:t>Add a reasonable-rejection test.</w:t>
      </w:r>
      <w:r>
        <w:rPr/>
        <w:t xml:space="preserve"> The system should identify the strongest individual objections rather than relying solely on aggregate benefit.</w:t>
      </w:r>
    </w:p>
    <w:p>
      <w:pPr>
        <w:pStyle w:val="BodyText"/>
        <w:numPr>
          <w:ilvl w:val="0"/>
          <w:numId w:val="104"/>
        </w:numPr>
        <w:tabs>
          <w:tab w:val="clear" w:pos="720"/>
          <w:tab w:val="left" w:pos="0" w:leader="none"/>
        </w:tabs>
        <w:spacing w:before="0" w:after="200"/>
        <w:ind w:hanging="283" w:left="709"/>
        <w:rPr/>
      </w:pPr>
      <w:r>
        <w:rPr>
          <w:rStyle w:val="Strong"/>
        </w:rPr>
        <w:t>Separate unanimous acceptability from majority preference.</w:t>
      </w:r>
      <w:r>
        <w:rPr/>
        <w:t xml:space="preserve"> A policy favored by most parties may still impose an unreasonable burden on a minority.</w:t>
      </w:r>
    </w:p>
    <w:p>
      <w:pPr>
        <w:pStyle w:val="BodyText"/>
        <w:numPr>
          <w:ilvl w:val="0"/>
          <w:numId w:val="104"/>
        </w:numPr>
        <w:tabs>
          <w:tab w:val="clear" w:pos="720"/>
          <w:tab w:val="left" w:pos="0" w:leader="none"/>
        </w:tabs>
        <w:spacing w:before="0" w:after="200"/>
        <w:ind w:hanging="283" w:left="709"/>
        <w:rPr/>
      </w:pPr>
      <w:r>
        <w:rPr>
          <w:rStyle w:val="Strong"/>
        </w:rPr>
        <w:t>Represent bargaining power explicitly.</w:t>
      </w:r>
      <w:r>
        <w:rPr/>
        <w:t xml:space="preserve"> Wealth, information, authority, dependency, urgency, monopoly, and ability to exit should be included in the assessment.</w:t>
      </w:r>
    </w:p>
    <w:p>
      <w:pPr>
        <w:pStyle w:val="BodyText"/>
        <w:numPr>
          <w:ilvl w:val="0"/>
          <w:numId w:val="104"/>
        </w:numPr>
        <w:tabs>
          <w:tab w:val="clear" w:pos="720"/>
          <w:tab w:val="left" w:pos="0" w:leader="none"/>
        </w:tabs>
        <w:spacing w:before="0" w:after="200"/>
        <w:ind w:hanging="283" w:left="709"/>
        <w:rPr/>
      </w:pPr>
      <w:r>
        <w:rPr>
          <w:rStyle w:val="Strong"/>
        </w:rPr>
        <w:t>Add nonparty impact review.</w:t>
      </w:r>
      <w:r>
        <w:rPr/>
        <w:t xml:space="preserve"> Agreements should be tested for harms transferred to entities that did not participate in or benefit from the bargain.</w:t>
      </w:r>
    </w:p>
    <w:p>
      <w:pPr>
        <w:pStyle w:val="BodyText"/>
        <w:numPr>
          <w:ilvl w:val="0"/>
          <w:numId w:val="104"/>
        </w:numPr>
        <w:tabs>
          <w:tab w:val="clear" w:pos="720"/>
          <w:tab w:val="left" w:pos="0" w:leader="none"/>
        </w:tabs>
        <w:spacing w:before="0" w:after="200"/>
        <w:ind w:hanging="283" w:left="709"/>
        <w:rPr/>
      </w:pPr>
      <w:r>
        <w:rPr>
          <w:rStyle w:val="Strong"/>
        </w:rPr>
        <w:t>Create representation mechanisms.</w:t>
      </w:r>
      <w:r>
        <w:rPr/>
        <w:t xml:space="preserve"> Children, future generations, nonhuman entities, and others unable to bargain should receive designated representation or protected minimums.</w:t>
      </w:r>
    </w:p>
    <w:p>
      <w:pPr>
        <w:pStyle w:val="BodyText"/>
        <w:numPr>
          <w:ilvl w:val="0"/>
          <w:numId w:val="104"/>
        </w:numPr>
        <w:tabs>
          <w:tab w:val="clear" w:pos="720"/>
          <w:tab w:val="left" w:pos="0" w:leader="none"/>
        </w:tabs>
        <w:spacing w:before="0" w:after="200"/>
        <w:ind w:hanging="283" w:left="709"/>
        <w:rPr/>
      </w:pPr>
      <w:r>
        <w:rPr>
          <w:rStyle w:val="Strong"/>
        </w:rPr>
        <w:t>Add public-justification requirements.</w:t>
      </w:r>
      <w:r>
        <w:rPr/>
        <w:t xml:space="preserve"> Rules should be stated in terms that affected entities can access, understand, contest, and evaluate.</w:t>
      </w:r>
    </w:p>
    <w:p>
      <w:pPr>
        <w:pStyle w:val="BodyText"/>
        <w:numPr>
          <w:ilvl w:val="0"/>
          <w:numId w:val="104"/>
        </w:numPr>
        <w:tabs>
          <w:tab w:val="clear" w:pos="720"/>
          <w:tab w:val="left" w:pos="0" w:leader="none"/>
        </w:tabs>
        <w:spacing w:before="0" w:after="200"/>
        <w:ind w:hanging="283" w:left="709"/>
        <w:rPr/>
      </w:pPr>
      <w:r>
        <w:rPr>
          <w:rStyle w:val="Strong"/>
        </w:rPr>
        <w:t>Model assurance and compliance.</w:t>
      </w:r>
      <w:r>
        <w:rPr/>
        <w:t xml:space="preserve"> The framework could assess whether parties have sufficient reason to expect reciprocal compliance and fair enforcement.</w:t>
      </w:r>
    </w:p>
    <w:p>
      <w:pPr>
        <w:pStyle w:val="BodyText"/>
        <w:numPr>
          <w:ilvl w:val="0"/>
          <w:numId w:val="104"/>
        </w:numPr>
        <w:tabs>
          <w:tab w:val="clear" w:pos="720"/>
          <w:tab w:val="left" w:pos="0" w:leader="none"/>
        </w:tabs>
        <w:spacing w:before="0" w:after="200"/>
        <w:ind w:hanging="283" w:left="709"/>
        <w:rPr/>
      </w:pPr>
      <w:r>
        <w:rPr>
          <w:rStyle w:val="Strong"/>
        </w:rPr>
        <w:t>Evaluate enforcement legitimacy.</w:t>
      </w:r>
      <w:r>
        <w:rPr/>
        <w:t xml:space="preserve"> Sanctions should be authorized, proportionate, consistently applied, and subject to review.</w:t>
      </w:r>
    </w:p>
    <w:p>
      <w:pPr>
        <w:pStyle w:val="BodyText"/>
        <w:numPr>
          <w:ilvl w:val="0"/>
          <w:numId w:val="104"/>
        </w:numPr>
        <w:tabs>
          <w:tab w:val="clear" w:pos="720"/>
          <w:tab w:val="left" w:pos="0" w:leader="none"/>
        </w:tabs>
        <w:spacing w:before="0" w:after="200"/>
        <w:ind w:hanging="283" w:left="709"/>
        <w:rPr/>
      </w:pPr>
      <w:r>
        <w:rPr>
          <w:rStyle w:val="Strong"/>
        </w:rPr>
        <w:t>Add breach-and-remedy procedures.</w:t>
      </w:r>
      <w:r>
        <w:rPr/>
        <w:t xml:space="preserve"> Violations should activate specified processes for investigation, restitution, compensation, institutional repair, or renegotiation.</w:t>
      </w:r>
    </w:p>
    <w:p>
      <w:pPr>
        <w:pStyle w:val="BodyText"/>
        <w:numPr>
          <w:ilvl w:val="0"/>
          <w:numId w:val="104"/>
        </w:numPr>
        <w:tabs>
          <w:tab w:val="clear" w:pos="720"/>
          <w:tab w:val="left" w:pos="0" w:leader="none"/>
        </w:tabs>
        <w:spacing w:before="0" w:after="200"/>
        <w:ind w:hanging="283" w:left="709"/>
        <w:rPr/>
      </w:pPr>
      <w:r>
        <w:rPr>
          <w:rStyle w:val="Strong"/>
        </w:rPr>
        <w:t>Protect exit and voice.</w:t>
      </w:r>
      <w:r>
        <w:rPr/>
        <w:t xml:space="preserve"> Long-term agreements should include meaningful mechanisms for dissent, appeal, withdrawal, amendment, and transfer of obligations.</w:t>
      </w:r>
    </w:p>
    <w:p>
      <w:pPr>
        <w:pStyle w:val="BodyText"/>
        <w:numPr>
          <w:ilvl w:val="0"/>
          <w:numId w:val="104"/>
        </w:numPr>
        <w:tabs>
          <w:tab w:val="clear" w:pos="720"/>
          <w:tab w:val="left" w:pos="0" w:leader="none"/>
        </w:tabs>
        <w:spacing w:before="0" w:after="200"/>
        <w:ind w:hanging="283" w:left="709"/>
        <w:rPr/>
      </w:pPr>
      <w:r>
        <w:rPr>
          <w:rStyle w:val="Strong"/>
        </w:rPr>
        <w:t>Add renegotiation triggers.</w:t>
      </w:r>
      <w:r>
        <w:rPr/>
        <w:t xml:space="preserve"> Material changes in evidence, capability, risk, membership, or burden distribution should reopen the agreement.</w:t>
      </w:r>
    </w:p>
    <w:p>
      <w:pPr>
        <w:pStyle w:val="BodyText"/>
        <w:numPr>
          <w:ilvl w:val="0"/>
          <w:numId w:val="104"/>
        </w:numPr>
        <w:tabs>
          <w:tab w:val="clear" w:pos="720"/>
          <w:tab w:val="left" w:pos="0" w:leader="none"/>
        </w:tabs>
        <w:spacing w:before="0" w:after="200"/>
        <w:ind w:hanging="283" w:left="709"/>
        <w:rPr/>
      </w:pPr>
      <w:r>
        <w:rPr>
          <w:rStyle w:val="Strong"/>
        </w:rPr>
        <w:t>Evaluate the basic structure.</w:t>
      </w:r>
      <w:r>
        <w:rPr/>
        <w:t xml:space="preserve"> Individual contracts should be assessed within the wider institutions that determine bargaining power, opportunity, and dependency.</w:t>
      </w:r>
    </w:p>
    <w:p>
      <w:pPr>
        <w:pStyle w:val="BodyText"/>
        <w:numPr>
          <w:ilvl w:val="0"/>
          <w:numId w:val="104"/>
        </w:numPr>
        <w:tabs>
          <w:tab w:val="clear" w:pos="720"/>
          <w:tab w:val="left" w:pos="0" w:leader="none"/>
        </w:tabs>
        <w:spacing w:before="0" w:after="200"/>
        <w:ind w:hanging="283" w:left="709"/>
        <w:rPr/>
      </w:pPr>
      <w:r>
        <w:rPr>
          <w:rStyle w:val="Strong"/>
        </w:rPr>
        <w:t>Model overlapping consensus.</w:t>
      </w:r>
      <w:r>
        <w:rPr/>
        <w:t xml:space="preserve"> Shared rules could be supported by different moral, religious, cultural, or political reasons without requiring complete ideological agreement.</w:t>
      </w:r>
    </w:p>
    <w:p>
      <w:pPr>
        <w:pStyle w:val="BodyText"/>
        <w:numPr>
          <w:ilvl w:val="0"/>
          <w:numId w:val="104"/>
        </w:numPr>
        <w:tabs>
          <w:tab w:val="clear" w:pos="720"/>
          <w:tab w:val="left" w:pos="0" w:leader="none"/>
        </w:tabs>
        <w:spacing w:before="0" w:after="200"/>
        <w:ind w:hanging="283" w:left="709"/>
        <w:rPr/>
      </w:pPr>
      <w:r>
        <w:rPr>
          <w:rStyle w:val="Strong"/>
        </w:rPr>
        <w:t>Add anti-domination safeguards.</w:t>
      </w:r>
      <w:r>
        <w:rPr/>
        <w:t xml:space="preserve"> Even mutually beneficial agreements should be reviewed for arbitrary power, dependency, inability to exit, and control over essential resources.</w:t>
      </w:r>
    </w:p>
    <w:p>
      <w:pPr>
        <w:pStyle w:val="BodyText"/>
        <w:numPr>
          <w:ilvl w:val="0"/>
          <w:numId w:val="104"/>
        </w:numPr>
        <w:tabs>
          <w:tab w:val="clear" w:pos="720"/>
          <w:tab w:val="left" w:pos="0" w:leader="none"/>
        </w:tabs>
        <w:spacing w:before="0" w:after="200"/>
        <w:ind w:hanging="283" w:left="709"/>
        <w:rPr/>
      </w:pPr>
      <w:r>
        <w:rPr>
          <w:rStyle w:val="Strong"/>
        </w:rPr>
        <w:t>Represent emergency authority.</w:t>
      </w:r>
      <w:r>
        <w:rPr/>
        <w:t xml:space="preserve"> Temporary expansions of power should include necessity, duration, oversight, renewal, and termination conditions.</w:t>
      </w:r>
    </w:p>
    <w:p>
      <w:pPr>
        <w:pStyle w:val="BodyText"/>
        <w:numPr>
          <w:ilvl w:val="0"/>
          <w:numId w:val="104"/>
        </w:numPr>
        <w:tabs>
          <w:tab w:val="clear" w:pos="720"/>
          <w:tab w:val="left" w:pos="0" w:leader="none"/>
        </w:tabs>
        <w:spacing w:before="0" w:after="200"/>
        <w:ind w:hanging="283" w:left="709"/>
        <w:rPr/>
      </w:pPr>
      <w:r>
        <w:rPr>
          <w:rStyle w:val="Strong"/>
        </w:rPr>
        <w:t>Add succession and intergenerational review.</w:t>
      </w:r>
      <w:r>
        <w:rPr/>
        <w:t xml:space="preserve"> Long-term contracts should specify whether and why later entities inherit obligations they did not personally accept.</w:t>
      </w:r>
    </w:p>
    <w:p>
      <w:pPr>
        <w:pStyle w:val="BodyText"/>
        <w:numPr>
          <w:ilvl w:val="0"/>
          <w:numId w:val="104"/>
        </w:numPr>
        <w:tabs>
          <w:tab w:val="clear" w:pos="720"/>
          <w:tab w:val="left" w:pos="0" w:leader="none"/>
        </w:tabs>
        <w:spacing w:before="0" w:after="200"/>
        <w:ind w:hanging="283" w:left="709"/>
        <w:rPr/>
      </w:pPr>
      <w:r>
        <w:rPr>
          <w:rStyle w:val="Strong"/>
        </w:rPr>
        <w:t>Evaluate artificial-agent agreements.</w:t>
      </w:r>
      <w:r>
        <w:rPr/>
        <w:t xml:space="preserve"> Contracts involving artificial systems should identify who can authorize the system, what constitutes consent, how commitments persist through updates, and who bears responsibility for breach.</w:t>
      </w:r>
    </w:p>
    <w:p>
      <w:pPr>
        <w:pStyle w:val="BodyText"/>
        <w:numPr>
          <w:ilvl w:val="0"/>
          <w:numId w:val="104"/>
        </w:numPr>
        <w:tabs>
          <w:tab w:val="clear" w:pos="720"/>
          <w:tab w:val="left" w:pos="0" w:leader="none"/>
        </w:tabs>
        <w:spacing w:before="0" w:after="200"/>
        <w:ind w:hanging="283" w:left="709"/>
        <w:rPr/>
      </w:pPr>
      <w:r>
        <w:rPr>
          <w:rStyle w:val="Strong"/>
        </w:rPr>
        <w:t>Produce a separate social-contract finding.</w:t>
      </w:r>
      <w:r>
        <w:rPr/>
        <w:t xml:space="preserve"> Each relevant assessment could report:</w:t>
      </w:r>
    </w:p>
    <w:p>
      <w:pPr>
        <w:pStyle w:val="BodyText"/>
        <w:numPr>
          <w:ilvl w:val="0"/>
          <w:numId w:val="105"/>
        </w:numPr>
        <w:tabs>
          <w:tab w:val="clear" w:pos="720"/>
          <w:tab w:val="left" w:pos="0" w:leader="none"/>
        </w:tabs>
        <w:spacing w:before="0" w:after="200"/>
        <w:ind w:hanging="283" w:left="709"/>
        <w:rPr/>
      </w:pPr>
      <w:r>
        <w:rPr/>
        <w:t>Who is included and excluded;</w:t>
      </w:r>
    </w:p>
    <w:p>
      <w:pPr>
        <w:pStyle w:val="BodyText"/>
        <w:numPr>
          <w:ilvl w:val="0"/>
          <w:numId w:val="105"/>
        </w:numPr>
        <w:tabs>
          <w:tab w:val="clear" w:pos="720"/>
          <w:tab w:val="left" w:pos="0" w:leader="none"/>
        </w:tabs>
        <w:spacing w:before="0" w:after="200"/>
        <w:ind w:hanging="283" w:left="709"/>
        <w:rPr/>
      </w:pPr>
      <w:r>
        <w:rPr/>
        <w:t>What form of consent applies;</w:t>
      </w:r>
    </w:p>
    <w:p>
      <w:pPr>
        <w:pStyle w:val="BodyText"/>
        <w:numPr>
          <w:ilvl w:val="0"/>
          <w:numId w:val="105"/>
        </w:numPr>
        <w:tabs>
          <w:tab w:val="clear" w:pos="720"/>
          <w:tab w:val="left" w:pos="0" w:leader="none"/>
        </w:tabs>
        <w:spacing w:before="0" w:after="200"/>
        <w:ind w:hanging="283" w:left="709"/>
        <w:rPr/>
      </w:pPr>
      <w:r>
        <w:rPr/>
        <w:t>Whether bargaining conditions are fair;</w:t>
      </w:r>
    </w:p>
    <w:p>
      <w:pPr>
        <w:pStyle w:val="BodyText"/>
        <w:numPr>
          <w:ilvl w:val="0"/>
          <w:numId w:val="105"/>
        </w:numPr>
        <w:tabs>
          <w:tab w:val="clear" w:pos="720"/>
          <w:tab w:val="left" w:pos="0" w:leader="none"/>
        </w:tabs>
        <w:spacing w:before="0" w:after="200"/>
        <w:ind w:hanging="283" w:left="709"/>
        <w:rPr/>
      </w:pPr>
      <w:r>
        <w:rPr/>
        <w:t>Whether each party benefits;</w:t>
      </w:r>
    </w:p>
    <w:p>
      <w:pPr>
        <w:pStyle w:val="BodyText"/>
        <w:numPr>
          <w:ilvl w:val="0"/>
          <w:numId w:val="105"/>
        </w:numPr>
        <w:tabs>
          <w:tab w:val="clear" w:pos="720"/>
          <w:tab w:val="left" w:pos="0" w:leader="none"/>
        </w:tabs>
        <w:spacing w:before="0" w:after="200"/>
        <w:ind w:hanging="283" w:left="709"/>
        <w:rPr/>
      </w:pPr>
      <w:r>
        <w:rPr/>
        <w:t>The strongest grounds for rejection;</w:t>
      </w:r>
    </w:p>
    <w:p>
      <w:pPr>
        <w:pStyle w:val="BodyText"/>
        <w:numPr>
          <w:ilvl w:val="0"/>
          <w:numId w:val="105"/>
        </w:numPr>
        <w:tabs>
          <w:tab w:val="clear" w:pos="720"/>
          <w:tab w:val="left" w:pos="0" w:leader="none"/>
        </w:tabs>
        <w:spacing w:before="0" w:after="200"/>
        <w:ind w:hanging="283" w:left="709"/>
        <w:rPr/>
      </w:pPr>
      <w:r>
        <w:rPr/>
        <w:t>Effects on nonparties;</w:t>
      </w:r>
    </w:p>
    <w:p>
      <w:pPr>
        <w:pStyle w:val="BodyText"/>
        <w:numPr>
          <w:ilvl w:val="0"/>
          <w:numId w:val="105"/>
        </w:numPr>
        <w:tabs>
          <w:tab w:val="clear" w:pos="720"/>
          <w:tab w:val="left" w:pos="0" w:leader="none"/>
        </w:tabs>
        <w:spacing w:before="0" w:after="200"/>
        <w:ind w:hanging="283" w:left="709"/>
        <w:rPr/>
      </w:pPr>
      <w:r>
        <w:rPr/>
        <w:t>Authority and enforcement;</w:t>
      </w:r>
    </w:p>
    <w:p>
      <w:pPr>
        <w:pStyle w:val="BodyText"/>
        <w:numPr>
          <w:ilvl w:val="0"/>
          <w:numId w:val="105"/>
        </w:numPr>
        <w:tabs>
          <w:tab w:val="clear" w:pos="720"/>
          <w:tab w:val="left" w:pos="0" w:leader="none"/>
        </w:tabs>
        <w:spacing w:before="0" w:after="200"/>
        <w:ind w:hanging="283" w:left="709"/>
        <w:rPr/>
      </w:pPr>
      <w:r>
        <w:rPr/>
        <w:t>Exit, appeal, and amendment procedures;</w:t>
      </w:r>
    </w:p>
    <w:p>
      <w:pPr>
        <w:pStyle w:val="BodyText"/>
        <w:numPr>
          <w:ilvl w:val="0"/>
          <w:numId w:val="105"/>
        </w:numPr>
        <w:tabs>
          <w:tab w:val="clear" w:pos="720"/>
          <w:tab w:val="left" w:pos="0" w:leader="none"/>
        </w:tabs>
        <w:spacing w:before="0" w:after="200"/>
        <w:ind w:hanging="283" w:left="709"/>
        <w:rPr/>
      </w:pPr>
      <w:r>
        <w:rPr/>
        <w:t>Expected compliance and trust effects; and</w:t>
      </w:r>
    </w:p>
    <w:p>
      <w:pPr>
        <w:pStyle w:val="BodyText"/>
        <w:numPr>
          <w:ilvl w:val="0"/>
          <w:numId w:val="105"/>
        </w:numPr>
        <w:tabs>
          <w:tab w:val="clear" w:pos="720"/>
          <w:tab w:val="left" w:pos="0" w:leader="none"/>
        </w:tabs>
        <w:spacing w:before="0" w:after="200"/>
        <w:ind w:hanging="283" w:left="709"/>
        <w:rPr/>
      </w:pPr>
      <w:r>
        <w:rPr/>
        <w:t>Whether the agreement remains compatible with Long-Term Flourishing.</w:t>
      </w:r>
    </w:p>
    <w:p>
      <w:pPr>
        <w:pStyle w:val="BodyText"/>
        <w:numPr>
          <w:ilvl w:val="0"/>
          <w:numId w:val="106"/>
        </w:numPr>
        <w:tabs>
          <w:tab w:val="clear" w:pos="720"/>
          <w:tab w:val="left" w:pos="0" w:leader="none"/>
        </w:tabs>
        <w:spacing w:before="0" w:after="200"/>
        <w:ind w:hanging="283" w:left="709"/>
        <w:rPr/>
      </w:pPr>
      <w:r>
        <w:rPr>
          <w:rStyle w:val="Strong"/>
        </w:rPr>
        <w:t>Use a dual conclusion.</w:t>
      </w:r>
      <w:r>
        <w:rPr/>
        <w:t xml:space="preserve"> An assessment should separately determine:</w:t>
      </w:r>
    </w:p>
    <w:p>
      <w:pPr>
        <w:pStyle w:val="BodyText"/>
        <w:numPr>
          <w:ilvl w:val="0"/>
          <w:numId w:val="107"/>
        </w:numPr>
        <w:tabs>
          <w:tab w:val="clear" w:pos="720"/>
          <w:tab w:val="left" w:pos="0" w:leader="none"/>
        </w:tabs>
        <w:spacing w:before="0" w:after="200"/>
        <w:ind w:hanging="283" w:left="709"/>
        <w:rPr/>
      </w:pPr>
      <w:r>
        <w:rPr/>
        <w:t>Whether a rule or institution is acceptable under the selected social-contract test; and</w:t>
      </w:r>
    </w:p>
    <w:p>
      <w:pPr>
        <w:pStyle w:val="BodyText"/>
        <w:numPr>
          <w:ilvl w:val="0"/>
          <w:numId w:val="107"/>
        </w:numPr>
        <w:tabs>
          <w:tab w:val="clear" w:pos="720"/>
          <w:tab w:val="left" w:pos="0" w:leader="none"/>
        </w:tabs>
        <w:spacing w:before="0" w:after="200"/>
        <w:ind w:hanging="283" w:left="709"/>
        <w:rPr/>
      </w:pPr>
      <w:r>
        <w:rPr/>
        <w:t>Whether its complete World Context Transition satisfies the Foundational Axiom.</w:t>
      </w:r>
    </w:p>
    <w:p>
      <w:pPr>
        <w:pStyle w:val="BodyText"/>
        <w:spacing w:before="0" w:after="200"/>
        <w:rPr/>
      </w:pPr>
      <w:r>
        <w:rPr/>
        <w:t>This integration would preserve the social-contract emphasis on consent, reciprocity, legitimacy, and public justification while preventing agreement among powerful parties from exhausting the ethical analysis. A contract would be treated as morally significant but not morally self-validating: its legitimacy would also depend on the fairness of its formation, the treatment of nonparties, the availability of revision, and its compatibility with the Long-Term Flourishing of all relevant entities.</w:t>
      </w:r>
    </w:p>
    <w:p>
      <w:pPr>
        <w:pStyle w:val="Normal"/>
        <w:widowControl/>
        <w:bidi w:val="0"/>
        <w:spacing w:lineRule="auto" w:line="276"/>
        <w:jc w:val="left"/>
        <w:rPr/>
      </w:pPr>
      <w:r>
        <w:rPr/>
      </w:r>
    </w:p>
    <w:p>
      <w:pPr>
        <w:pStyle w:val="Heading3"/>
        <w:ind w:hanging="0" w:left="0"/>
        <w:rPr/>
      </w:pPr>
      <w:r>
        <w:rPr/>
        <w:t>Natural Law</w:t>
      </w:r>
    </w:p>
    <w:p>
      <w:pPr>
        <w:pStyle w:val="BodyText"/>
        <w:spacing w:before="0" w:after="200"/>
        <w:rPr/>
      </w:pPr>
      <w:r>
        <w:rPr/>
        <w:t>Natural Law is a family of ethical, political, and legal theories holding that objective principles of right action can be identified through reasoned reflection on nature, human capacities, basic forms of good, and the conditions of individual and communal flourishing. “Natural” in this context does not mean merely instinctive, biologically common, or scientifically inevitable. It refers to an intelligible moral order that is not created solely by preference, convention, governmental enactment, or institutional power.</w:t>
      </w:r>
    </w:p>
    <w:p>
      <w:pPr>
        <w:pStyle w:val="BodyText"/>
        <w:spacing w:before="0" w:after="200"/>
        <w:rPr/>
      </w:pPr>
      <w:r>
        <w:rPr/>
        <w:t xml:space="preserve">Classical Natural Law is closely associated with theological accounts of creation and purpose, especially in Thomas Aquinas. Natural Law need not be presented exclusively as a religious theory, however. Cicero, Grotius, and contemporary theorists such as John Finnis defend versions in which reason can identify moral goods and practical principles that are accessible across differing religious commitments. </w:t>
      </w:r>
      <w:hyperlink r:id="rId182">
        <w:r>
          <w:rPr>
            <w:rStyle w:val="Hyperlink"/>
          </w:rPr>
          <w:t>Stanford Encyclopedia of Philosophy</w:t>
        </w:r>
      </w:hyperlink>
    </w:p>
    <w:p>
      <w:pPr>
        <w:pStyle w:val="Heading4"/>
        <w:ind w:hanging="0" w:left="0"/>
        <w:rPr>
          <w:rFonts w:ascii="Aptos" w:hAnsi="Aptos"/>
          <w:color w:val="auto"/>
        </w:rPr>
      </w:pPr>
      <w:r>
        <w:rPr/>
        <w:t>Primary Expert(s)</w:t>
      </w:r>
    </w:p>
    <w:tbl>
      <w:tblPr>
        <w:tblW w:w="8640" w:type="dxa"/>
        <w:jc w:val="left"/>
        <w:tblInd w:w="28" w:type="dxa"/>
        <w:tblLayout w:type="fixed"/>
        <w:tblCellMar>
          <w:top w:w="28" w:type="dxa"/>
          <w:left w:w="28" w:type="dxa"/>
          <w:bottom w:w="28" w:type="dxa"/>
          <w:right w:w="28" w:type="dxa"/>
        </w:tblCellMar>
      </w:tblPr>
      <w:tblGrid>
        <w:gridCol w:w="1170"/>
        <w:gridCol w:w="765"/>
        <w:gridCol w:w="2016"/>
        <w:gridCol w:w="4689"/>
      </w:tblGrid>
      <w:tr>
        <w:trPr>
          <w:tblHeader w:val="true"/>
        </w:trPr>
        <w:tc>
          <w:tcPr>
            <w:tcW w:w="1170" w:type="dxa"/>
            <w:tcBorders/>
            <w:vAlign w:val="center"/>
          </w:tcPr>
          <w:p>
            <w:pPr>
              <w:pStyle w:val="TableHeading"/>
              <w:suppressLineNumbers/>
              <w:spacing w:before="0" w:after="200"/>
              <w:jc w:val="center"/>
              <w:rPr/>
            </w:pPr>
            <w:r>
              <w:rPr/>
              <w:t>Expert</w:t>
            </w:r>
          </w:p>
        </w:tc>
        <w:tc>
          <w:tcPr>
            <w:tcW w:w="765" w:type="dxa"/>
            <w:tcBorders/>
            <w:vAlign w:val="center"/>
          </w:tcPr>
          <w:p>
            <w:pPr>
              <w:pStyle w:val="TableHeading"/>
              <w:spacing w:before="0" w:after="200"/>
              <w:jc w:val="right"/>
              <w:rPr/>
            </w:pPr>
            <w:r>
              <w:rPr/>
              <w:t>Years</w:t>
            </w:r>
          </w:p>
        </w:tc>
        <w:tc>
          <w:tcPr>
            <w:tcW w:w="2016" w:type="dxa"/>
            <w:tcBorders/>
            <w:vAlign w:val="center"/>
          </w:tcPr>
          <w:p>
            <w:pPr>
              <w:pStyle w:val="TableHeading"/>
              <w:suppressLineNumbers/>
              <w:spacing w:before="0" w:after="200"/>
              <w:jc w:val="center"/>
              <w:rPr/>
            </w:pPr>
            <w:r>
              <w:rPr/>
              <w:t>Associated institution or setting</w:t>
            </w:r>
          </w:p>
        </w:tc>
        <w:tc>
          <w:tcPr>
            <w:tcW w:w="4689" w:type="dxa"/>
            <w:tcBorders/>
            <w:vAlign w:val="center"/>
          </w:tcPr>
          <w:p>
            <w:pPr>
              <w:pStyle w:val="TableHeading"/>
              <w:suppressLineNumbers/>
              <w:spacing w:before="0" w:after="200"/>
              <w:jc w:val="center"/>
              <w:rPr/>
            </w:pPr>
            <w:r>
              <w:rPr/>
              <w:t>Principal contribution</w:t>
            </w:r>
          </w:p>
        </w:tc>
      </w:tr>
      <w:tr>
        <w:trPr/>
        <w:tc>
          <w:tcPr>
            <w:tcW w:w="1170" w:type="dxa"/>
            <w:tcBorders/>
            <w:vAlign w:val="center"/>
          </w:tcPr>
          <w:p>
            <w:pPr>
              <w:pStyle w:val="TableContents"/>
              <w:widowControl w:val="false"/>
              <w:suppressLineNumbers/>
              <w:spacing w:before="0" w:after="200"/>
              <w:rPr/>
            </w:pPr>
            <w:r>
              <w:rPr>
                <w:rStyle w:val="Strong"/>
              </w:rPr>
              <w:t>Aristotle</w:t>
            </w:r>
          </w:p>
        </w:tc>
        <w:tc>
          <w:tcPr>
            <w:tcW w:w="765" w:type="dxa"/>
            <w:tcBorders/>
            <w:vAlign w:val="center"/>
          </w:tcPr>
          <w:p>
            <w:pPr>
              <w:pStyle w:val="TableContents"/>
              <w:spacing w:before="0" w:after="200"/>
              <w:jc w:val="right"/>
              <w:rPr/>
            </w:pPr>
            <w:r>
              <w:rPr/>
              <w:t>384–322 BCE</w:t>
            </w:r>
          </w:p>
        </w:tc>
        <w:tc>
          <w:tcPr>
            <w:tcW w:w="2016" w:type="dxa"/>
            <w:tcBorders/>
            <w:vAlign w:val="center"/>
          </w:tcPr>
          <w:p>
            <w:pPr>
              <w:pStyle w:val="TableContents"/>
              <w:widowControl w:val="false"/>
              <w:suppressLineNumbers/>
              <w:spacing w:before="0" w:after="200"/>
              <w:rPr/>
            </w:pPr>
            <w:r>
              <w:rPr/>
              <w:t>Plato’s Academy; founder of the Lyceum in Athens</w:t>
            </w:r>
          </w:p>
        </w:tc>
        <w:tc>
          <w:tcPr>
            <w:tcW w:w="4689" w:type="dxa"/>
            <w:tcBorders/>
            <w:vAlign w:val="center"/>
          </w:tcPr>
          <w:p>
            <w:pPr>
              <w:pStyle w:val="TableContents"/>
              <w:widowControl w:val="false"/>
              <w:suppressLineNumbers/>
              <w:spacing w:before="0" w:after="200"/>
              <w:rPr/>
            </w:pPr>
            <w:r>
              <w:rPr/>
              <w:t>An important precursor rather than a fully developed Natural Law theorist. His accounts of nature, teleology, virtue, practical wisdom, human function, political community, and natural justice supplied concepts later incorporated into Natural Law traditions.</w:t>
            </w:r>
          </w:p>
        </w:tc>
      </w:tr>
      <w:tr>
        <w:trPr/>
        <w:tc>
          <w:tcPr>
            <w:tcW w:w="1170" w:type="dxa"/>
            <w:tcBorders/>
            <w:vAlign w:val="center"/>
          </w:tcPr>
          <w:p>
            <w:pPr>
              <w:pStyle w:val="TableContents"/>
              <w:widowControl w:val="false"/>
              <w:suppressLineNumbers/>
              <w:spacing w:before="0" w:after="200"/>
              <w:rPr/>
            </w:pPr>
            <w:r>
              <w:rPr>
                <w:rStyle w:val="Strong"/>
              </w:rPr>
              <w:t>Marcus Tullius Cicero</w:t>
            </w:r>
          </w:p>
        </w:tc>
        <w:tc>
          <w:tcPr>
            <w:tcW w:w="765" w:type="dxa"/>
            <w:tcBorders/>
            <w:vAlign w:val="center"/>
          </w:tcPr>
          <w:p>
            <w:pPr>
              <w:pStyle w:val="TableContents"/>
              <w:spacing w:before="0" w:after="200"/>
              <w:jc w:val="right"/>
              <w:rPr/>
            </w:pPr>
            <w:r>
              <w:rPr/>
              <w:t>106–43 BCE</w:t>
            </w:r>
          </w:p>
        </w:tc>
        <w:tc>
          <w:tcPr>
            <w:tcW w:w="2016" w:type="dxa"/>
            <w:tcBorders/>
            <w:vAlign w:val="center"/>
          </w:tcPr>
          <w:p>
            <w:pPr>
              <w:pStyle w:val="TableContents"/>
              <w:widowControl w:val="false"/>
              <w:suppressLineNumbers/>
              <w:spacing w:before="0" w:after="200"/>
              <w:rPr/>
            </w:pPr>
            <w:r>
              <w:rPr/>
              <w:t>Roman Senate and the political and legal institutions of the Roman Republic</w:t>
            </w:r>
          </w:p>
        </w:tc>
        <w:tc>
          <w:tcPr>
            <w:tcW w:w="4689" w:type="dxa"/>
            <w:tcBorders/>
            <w:vAlign w:val="center"/>
          </w:tcPr>
          <w:p>
            <w:pPr>
              <w:pStyle w:val="TableContents"/>
              <w:widowControl w:val="false"/>
              <w:suppressLineNumbers/>
              <w:spacing w:before="0" w:after="200"/>
              <w:rPr/>
            </w:pPr>
            <w:r>
              <w:rPr/>
              <w:t xml:space="preserve">Articulated an influential account of universal law grounded in right reason and nature. He connected natural justice, political authority, civic duty, and the idea of a law applicable across particular political communities. </w:t>
            </w:r>
            <w:hyperlink r:id="rId183">
              <w:r>
                <w:rPr>
                  <w:rStyle w:val="Hyperlink"/>
                </w:rPr>
                <w:t>Stanford Encyclopedia of Philosophy</w:t>
              </w:r>
            </w:hyperlink>
          </w:p>
        </w:tc>
      </w:tr>
      <w:tr>
        <w:trPr/>
        <w:tc>
          <w:tcPr>
            <w:tcW w:w="1170" w:type="dxa"/>
            <w:tcBorders/>
            <w:vAlign w:val="center"/>
          </w:tcPr>
          <w:p>
            <w:pPr>
              <w:pStyle w:val="TableContents"/>
              <w:widowControl w:val="false"/>
              <w:suppressLineNumbers/>
              <w:spacing w:before="0" w:after="200"/>
              <w:rPr/>
            </w:pPr>
            <w:r>
              <w:rPr>
                <w:rStyle w:val="Strong"/>
              </w:rPr>
              <w:t>Thomas Aquinas</w:t>
            </w:r>
          </w:p>
        </w:tc>
        <w:tc>
          <w:tcPr>
            <w:tcW w:w="765" w:type="dxa"/>
            <w:tcBorders/>
            <w:vAlign w:val="center"/>
          </w:tcPr>
          <w:p>
            <w:pPr>
              <w:pStyle w:val="TableContents"/>
              <w:spacing w:before="0" w:after="200"/>
              <w:jc w:val="right"/>
              <w:rPr/>
            </w:pPr>
            <w:r>
              <w:rPr/>
              <w:t>c. 1225–1274</w:t>
            </w:r>
          </w:p>
        </w:tc>
        <w:tc>
          <w:tcPr>
            <w:tcW w:w="2016" w:type="dxa"/>
            <w:tcBorders/>
            <w:vAlign w:val="center"/>
          </w:tcPr>
          <w:p>
            <w:pPr>
              <w:pStyle w:val="TableContents"/>
              <w:widowControl w:val="false"/>
              <w:suppressLineNumbers/>
              <w:spacing w:before="0" w:after="200"/>
              <w:rPr/>
            </w:pPr>
            <w:r>
              <w:rPr/>
              <w:t>Dominican Order; University of Paris; Dominican educational institutions at Paris, Rome, and Naples</w:t>
            </w:r>
          </w:p>
        </w:tc>
        <w:tc>
          <w:tcPr>
            <w:tcW w:w="4689" w:type="dxa"/>
            <w:tcBorders/>
            <w:vAlign w:val="center"/>
          </w:tcPr>
          <w:p>
            <w:pPr>
              <w:pStyle w:val="TableContents"/>
              <w:widowControl w:val="false"/>
              <w:suppressLineNumbers/>
              <w:spacing w:before="0" w:after="200"/>
              <w:rPr/>
            </w:pPr>
            <w:r>
              <w:rPr/>
              <w:t xml:space="preserve">Developed the classical systematic account of Natural Law. Natural Law is rational participation in the wider order of eternal law, beginning with the principle that good is to be pursued and evil avoided and extending through principles directing human agents toward intelligible goods. </w:t>
            </w:r>
            <w:hyperlink r:id="rId184">
              <w:r>
                <w:rPr>
                  <w:rStyle w:val="Hyperlink"/>
                </w:rPr>
                <w:t>Stanford Encyclopedia of Philosophy</w:t>
              </w:r>
            </w:hyperlink>
            <w:r>
              <w:rPr/>
              <w:t xml:space="preserve">, </w:t>
            </w:r>
            <w:hyperlink r:id="rId185">
              <w:r>
                <w:rPr>
                  <w:rStyle w:val="Hyperlink"/>
                </w:rPr>
                <w:t>Aquinas’s moral, political, and legal philosophy</w:t>
              </w:r>
            </w:hyperlink>
          </w:p>
        </w:tc>
      </w:tr>
      <w:tr>
        <w:trPr/>
        <w:tc>
          <w:tcPr>
            <w:tcW w:w="1170" w:type="dxa"/>
            <w:tcBorders/>
            <w:vAlign w:val="center"/>
          </w:tcPr>
          <w:p>
            <w:pPr>
              <w:pStyle w:val="TableContents"/>
              <w:widowControl w:val="false"/>
              <w:suppressLineNumbers/>
              <w:spacing w:before="0" w:after="200"/>
              <w:rPr/>
            </w:pPr>
            <w:r>
              <w:rPr>
                <w:rStyle w:val="Strong"/>
              </w:rPr>
              <w:t>Hugo Grotius</w:t>
            </w:r>
          </w:p>
        </w:tc>
        <w:tc>
          <w:tcPr>
            <w:tcW w:w="765" w:type="dxa"/>
            <w:tcBorders/>
            <w:vAlign w:val="center"/>
          </w:tcPr>
          <w:p>
            <w:pPr>
              <w:pStyle w:val="TableContents"/>
              <w:spacing w:before="0" w:after="200"/>
              <w:jc w:val="right"/>
              <w:rPr/>
            </w:pPr>
            <w:r>
              <w:rPr/>
              <w:t>1583–1645</w:t>
            </w:r>
          </w:p>
        </w:tc>
        <w:tc>
          <w:tcPr>
            <w:tcW w:w="2016" w:type="dxa"/>
            <w:tcBorders/>
            <w:vAlign w:val="center"/>
          </w:tcPr>
          <w:p>
            <w:pPr>
              <w:pStyle w:val="TableContents"/>
              <w:widowControl w:val="false"/>
              <w:suppressLineNumbers/>
              <w:spacing w:before="0" w:after="200"/>
              <w:rPr/>
            </w:pPr>
            <w:r>
              <w:rPr/>
              <w:t>Leiden University; Dutch legal and diplomatic service</w:t>
            </w:r>
          </w:p>
        </w:tc>
        <w:tc>
          <w:tcPr>
            <w:tcW w:w="4689" w:type="dxa"/>
            <w:tcBorders/>
            <w:vAlign w:val="center"/>
          </w:tcPr>
          <w:p>
            <w:pPr>
              <w:pStyle w:val="TableContents"/>
              <w:widowControl w:val="false"/>
              <w:suppressLineNumbers/>
              <w:spacing w:before="0" w:after="200"/>
              <w:rPr/>
            </w:pPr>
            <w:r>
              <w:rPr/>
              <w:t xml:space="preserve">Developed an early modern theory of natural law and natural rights with major influence on international law, sovereignty, commerce, and the ethics of war. He emphasized human rationality and sociability as foundations of legal and moral obligation. </w:t>
            </w:r>
            <w:hyperlink r:id="rId186">
              <w:r>
                <w:rPr>
                  <w:rStyle w:val="Hyperlink"/>
                </w:rPr>
                <w:t>Stanford Encyclopedia of Philosophy</w:t>
              </w:r>
            </w:hyperlink>
          </w:p>
        </w:tc>
      </w:tr>
      <w:tr>
        <w:trPr/>
        <w:tc>
          <w:tcPr>
            <w:tcW w:w="1170" w:type="dxa"/>
            <w:tcBorders/>
            <w:vAlign w:val="center"/>
          </w:tcPr>
          <w:p>
            <w:pPr>
              <w:pStyle w:val="TableContents"/>
              <w:widowControl w:val="false"/>
              <w:suppressLineNumbers/>
              <w:spacing w:before="0" w:after="200"/>
              <w:rPr/>
            </w:pPr>
            <w:r>
              <w:rPr>
                <w:rStyle w:val="Strong"/>
              </w:rPr>
              <w:t>John M. Finnis</w:t>
            </w:r>
          </w:p>
        </w:tc>
        <w:tc>
          <w:tcPr>
            <w:tcW w:w="765" w:type="dxa"/>
            <w:tcBorders/>
            <w:vAlign w:val="center"/>
          </w:tcPr>
          <w:p>
            <w:pPr>
              <w:pStyle w:val="TableContents"/>
              <w:spacing w:before="0" w:after="200"/>
              <w:jc w:val="right"/>
              <w:rPr/>
            </w:pPr>
            <w:r>
              <w:rPr/>
              <w:t>1940–</w:t>
            </w:r>
          </w:p>
        </w:tc>
        <w:tc>
          <w:tcPr>
            <w:tcW w:w="2016" w:type="dxa"/>
            <w:tcBorders/>
            <w:vAlign w:val="center"/>
          </w:tcPr>
          <w:p>
            <w:pPr>
              <w:pStyle w:val="TableContents"/>
              <w:widowControl w:val="false"/>
              <w:suppressLineNumbers/>
              <w:spacing w:before="0" w:after="200"/>
              <w:rPr/>
            </w:pPr>
            <w:r>
              <w:rPr/>
              <w:t>University of Oxford; University of Notre Dame Law School</w:t>
            </w:r>
          </w:p>
        </w:tc>
        <w:tc>
          <w:tcPr>
            <w:tcW w:w="4689" w:type="dxa"/>
            <w:tcBorders/>
            <w:vAlign w:val="center"/>
          </w:tcPr>
          <w:p>
            <w:pPr>
              <w:pStyle w:val="TableContents"/>
              <w:widowControl w:val="false"/>
              <w:suppressLineNumbers/>
              <w:spacing w:before="0" w:after="200"/>
              <w:rPr/>
            </w:pPr>
            <w:r>
              <w:rPr/>
              <w:t xml:space="preserve">Developed a contemporary “New Natural Law” account centered on basic forms of human good and requirements of practical reasonableness. His work connects ethics, law, authority, rights, and the common good without requiring moral principles to be derived directly from biological facts. </w:t>
            </w:r>
            <w:hyperlink r:id="rId187">
              <w:r>
                <w:rPr>
                  <w:rStyle w:val="Hyperlink"/>
                </w:rPr>
                <w:t>University of Notre Dame</w:t>
              </w:r>
            </w:hyperlink>
            <w:r>
              <w:rPr/>
              <w:t xml:space="preserve">, </w:t>
            </w:r>
            <w:hyperlink r:id="rId188">
              <w:r>
                <w:rPr>
                  <w:rStyle w:val="Hyperlink"/>
                </w:rPr>
                <w:t>Stanford Encyclopedia of Philosophy</w:t>
              </w:r>
            </w:hyperlink>
          </w:p>
        </w:tc>
      </w:tr>
    </w:tbl>
    <w:p>
      <w:pPr>
        <w:pStyle w:val="Heading4"/>
        <w:ind w:hanging="0" w:left="0"/>
        <w:rPr>
          <w:rFonts w:ascii="Aptos" w:hAnsi="Aptos"/>
          <w:color w:val="auto"/>
        </w:rPr>
      </w:pPr>
      <w:r>
        <w:rPr/>
        <w:t>Core Assumptions</w:t>
      </w:r>
    </w:p>
    <w:p>
      <w:pPr>
        <w:pStyle w:val="BodyText"/>
        <w:spacing w:before="0" w:after="200"/>
        <w:rPr/>
      </w:pPr>
      <w:r>
        <w:rPr/>
        <w:t>Natural Law theories vary in their metaphysics, theology, and specific moral conclusions. Their recurring assumptions generally include the following:</w:t>
      </w:r>
    </w:p>
    <w:p>
      <w:pPr>
        <w:pStyle w:val="BodyText"/>
        <w:numPr>
          <w:ilvl w:val="0"/>
          <w:numId w:val="114"/>
        </w:numPr>
        <w:tabs>
          <w:tab w:val="clear" w:pos="720"/>
          <w:tab w:val="left" w:pos="0" w:leader="none"/>
        </w:tabs>
        <w:spacing w:before="0" w:after="200"/>
        <w:ind w:hanging="283" w:left="709"/>
        <w:rPr/>
      </w:pPr>
      <w:r>
        <w:rPr>
          <w:rStyle w:val="Strong"/>
        </w:rPr>
        <w:t>There are objective moral reasons.</w:t>
      </w:r>
      <w:r>
        <w:rPr/>
        <w:t xml:space="preserve"> Moral truth is not created solely by individual desire, social convention, political authority, or majority preference.</w:t>
      </w:r>
    </w:p>
    <w:p>
      <w:pPr>
        <w:pStyle w:val="BodyText"/>
        <w:numPr>
          <w:ilvl w:val="0"/>
          <w:numId w:val="114"/>
        </w:numPr>
        <w:tabs>
          <w:tab w:val="clear" w:pos="720"/>
          <w:tab w:val="left" w:pos="0" w:leader="none"/>
        </w:tabs>
        <w:spacing w:before="0" w:after="200"/>
        <w:ind w:hanging="283" w:left="709"/>
        <w:rPr/>
      </w:pPr>
      <w:r>
        <w:rPr>
          <w:rStyle w:val="Strong"/>
        </w:rPr>
        <w:t>Practical reason can identify genuine goods.</w:t>
      </w:r>
      <w:r>
        <w:rPr/>
        <w:t xml:space="preserve"> Human agents can recognize certain activities, relationships, and states as worthwhile in themselves rather than merely as instruments for satisfying other desires.</w:t>
      </w:r>
    </w:p>
    <w:p>
      <w:pPr>
        <w:pStyle w:val="BodyText"/>
        <w:numPr>
          <w:ilvl w:val="0"/>
          <w:numId w:val="114"/>
        </w:numPr>
        <w:tabs>
          <w:tab w:val="clear" w:pos="720"/>
          <w:tab w:val="left" w:pos="0" w:leader="none"/>
        </w:tabs>
        <w:spacing w:before="0" w:after="200"/>
        <w:ind w:hanging="283" w:left="709"/>
        <w:rPr/>
      </w:pPr>
      <w:r>
        <w:rPr>
          <w:rStyle w:val="Strong"/>
        </w:rPr>
        <w:t>Good is to be pursued and evil avoided.</w:t>
      </w:r>
      <w:r>
        <w:rPr/>
        <w:t xml:space="preserve"> In Aquinas’s account, this is the first and most general principle of practical reason.</w:t>
      </w:r>
    </w:p>
    <w:p>
      <w:pPr>
        <w:pStyle w:val="BodyText"/>
        <w:numPr>
          <w:ilvl w:val="0"/>
          <w:numId w:val="114"/>
        </w:numPr>
        <w:tabs>
          <w:tab w:val="clear" w:pos="720"/>
          <w:tab w:val="left" w:pos="0" w:leader="none"/>
        </w:tabs>
        <w:spacing w:before="0" w:after="200"/>
        <w:ind w:hanging="283" w:left="709"/>
        <w:rPr/>
      </w:pPr>
      <w:r>
        <w:rPr>
          <w:rStyle w:val="Strong"/>
        </w:rPr>
        <w:t>Human nature has normative significance.</w:t>
      </w:r>
      <w:r>
        <w:rPr/>
        <w:t xml:space="preserve"> Human capacities, vulnerabilities, sociality, embodiment, rationality, and characteristic forms of development inform judgments about flourishing.</w:t>
      </w:r>
    </w:p>
    <w:p>
      <w:pPr>
        <w:pStyle w:val="BodyText"/>
        <w:numPr>
          <w:ilvl w:val="0"/>
          <w:numId w:val="114"/>
        </w:numPr>
        <w:tabs>
          <w:tab w:val="clear" w:pos="720"/>
          <w:tab w:val="left" w:pos="0" w:leader="none"/>
        </w:tabs>
        <w:spacing w:before="0" w:after="200"/>
        <w:ind w:hanging="283" w:left="709"/>
        <w:rPr/>
      </w:pPr>
      <w:r>
        <w:rPr>
          <w:rStyle w:val="Strong"/>
        </w:rPr>
        <w:t>Natural Law is not simply an inference from biological facts.</w:t>
      </w:r>
      <w:r>
        <w:rPr/>
        <w:t xml:space="preserve"> A natural inclination does not automatically generate a moral obligation. Inclinations and capacities must be interpreted and ordered through practical reason.</w:t>
      </w:r>
    </w:p>
    <w:p>
      <w:pPr>
        <w:pStyle w:val="BodyText"/>
        <w:numPr>
          <w:ilvl w:val="0"/>
          <w:numId w:val="114"/>
        </w:numPr>
        <w:tabs>
          <w:tab w:val="clear" w:pos="720"/>
          <w:tab w:val="left" w:pos="0" w:leader="none"/>
        </w:tabs>
        <w:spacing w:before="0" w:after="200"/>
        <w:ind w:hanging="283" w:left="709"/>
        <w:rPr/>
      </w:pPr>
      <w:r>
        <w:rPr>
          <w:rStyle w:val="Strong"/>
        </w:rPr>
        <w:t>Human flourishing is multidimensional.</w:t>
      </w:r>
      <w:r>
        <w:rPr/>
        <w:t xml:space="preserve"> Classical and contemporary Natural Law accounts recognize multiple forms of good rather than reducing well-being to pleasure, preference satisfaction, or material possession.</w:t>
      </w:r>
    </w:p>
    <w:p>
      <w:pPr>
        <w:pStyle w:val="BodyText"/>
        <w:numPr>
          <w:ilvl w:val="0"/>
          <w:numId w:val="114"/>
        </w:numPr>
        <w:tabs>
          <w:tab w:val="clear" w:pos="720"/>
          <w:tab w:val="left" w:pos="0" w:leader="none"/>
        </w:tabs>
        <w:spacing w:before="0" w:after="200"/>
        <w:ind w:hanging="283" w:left="709"/>
        <w:rPr/>
      </w:pPr>
      <w:r>
        <w:rPr>
          <w:rStyle w:val="Strong"/>
        </w:rPr>
        <w:t>Basic goods are intrinsically valuable.</w:t>
      </w:r>
      <w:r>
        <w:rPr/>
        <w:t xml:space="preserve"> Aquinas discusses goods such as life, procreation, social life, knowledge, and rational conduct. Finnis identifies life, knowledge, play, aesthetic experience, friendship or sociability, practical reasonableness, and religion or engagement with ultimate questions. </w:t>
      </w:r>
      <w:hyperlink r:id="rId189">
        <w:r>
          <w:rPr>
            <w:rStyle w:val="Hyperlink"/>
          </w:rPr>
          <w:t>Stanford Encyclopedia of Philosophy</w:t>
        </w:r>
      </w:hyperlink>
    </w:p>
    <w:p>
      <w:pPr>
        <w:pStyle w:val="BodyText"/>
        <w:numPr>
          <w:ilvl w:val="0"/>
          <w:numId w:val="114"/>
        </w:numPr>
        <w:tabs>
          <w:tab w:val="clear" w:pos="720"/>
          <w:tab w:val="left" w:pos="0" w:leader="none"/>
        </w:tabs>
        <w:spacing w:before="0" w:after="200"/>
        <w:ind w:hanging="283" w:left="709"/>
        <w:rPr/>
      </w:pPr>
      <w:r>
        <w:rPr>
          <w:rStyle w:val="Strong"/>
        </w:rPr>
        <w:t>Basic goods are plural.</w:t>
      </w:r>
      <w:r>
        <w:rPr/>
        <w:t xml:space="preserve"> They cannot always be reduced to a single common measurement without losing morally relevant differences.</w:t>
      </w:r>
    </w:p>
    <w:p>
      <w:pPr>
        <w:pStyle w:val="BodyText"/>
        <w:numPr>
          <w:ilvl w:val="0"/>
          <w:numId w:val="114"/>
        </w:numPr>
        <w:tabs>
          <w:tab w:val="clear" w:pos="720"/>
          <w:tab w:val="left" w:pos="0" w:leader="none"/>
        </w:tabs>
        <w:spacing w:before="0" w:after="200"/>
        <w:ind w:hanging="283" w:left="709"/>
        <w:rPr/>
      </w:pPr>
      <w:r>
        <w:rPr>
          <w:rStyle w:val="Strong"/>
        </w:rPr>
        <w:t>Practical reason orders participation in goods.</w:t>
      </w:r>
      <w:r>
        <w:rPr/>
        <w:t xml:space="preserve"> Agents must develop coherent plans, avoid arbitrary favoritism, respect others’ participation in goods, and direct action toward individual and common flourishing.</w:t>
      </w:r>
    </w:p>
    <w:p>
      <w:pPr>
        <w:pStyle w:val="BodyText"/>
        <w:numPr>
          <w:ilvl w:val="0"/>
          <w:numId w:val="114"/>
        </w:numPr>
        <w:tabs>
          <w:tab w:val="clear" w:pos="720"/>
          <w:tab w:val="left" w:pos="0" w:leader="none"/>
        </w:tabs>
        <w:spacing w:before="0" w:after="200"/>
        <w:ind w:hanging="283" w:left="709"/>
        <w:rPr/>
      </w:pPr>
      <w:r>
        <w:rPr>
          <w:rStyle w:val="Strong"/>
        </w:rPr>
        <w:t>The common good is morally significant.</w:t>
      </w:r>
      <w:r>
        <w:rPr/>
        <w:t xml:space="preserve"> Social institutions should create conditions in which members of a community can participate in basic goods.</w:t>
      </w:r>
    </w:p>
    <w:p>
      <w:pPr>
        <w:pStyle w:val="BodyText"/>
        <w:numPr>
          <w:ilvl w:val="0"/>
          <w:numId w:val="114"/>
        </w:numPr>
        <w:tabs>
          <w:tab w:val="clear" w:pos="720"/>
          <w:tab w:val="left" w:pos="0" w:leader="none"/>
        </w:tabs>
        <w:spacing w:before="0" w:after="200"/>
        <w:ind w:hanging="283" w:left="709"/>
        <w:rPr/>
      </w:pPr>
      <w:r>
        <w:rPr>
          <w:rStyle w:val="Strong"/>
        </w:rPr>
        <w:t>Persons are naturally social.</w:t>
      </w:r>
      <w:r>
        <w:rPr/>
        <w:t xml:space="preserve"> Relationships, families, associations, institutions, and political communities are not merely accidental constraints on otherwise isolated individuals.</w:t>
      </w:r>
    </w:p>
    <w:p>
      <w:pPr>
        <w:pStyle w:val="BodyText"/>
        <w:numPr>
          <w:ilvl w:val="0"/>
          <w:numId w:val="114"/>
        </w:numPr>
        <w:tabs>
          <w:tab w:val="clear" w:pos="720"/>
          <w:tab w:val="left" w:pos="0" w:leader="none"/>
        </w:tabs>
        <w:spacing w:before="0" w:after="200"/>
        <w:ind w:hanging="283" w:left="709"/>
        <w:rPr/>
      </w:pPr>
      <w:r>
        <w:rPr>
          <w:rStyle w:val="Strong"/>
        </w:rPr>
        <w:t>Virtue supports reliable participation in the good.</w:t>
      </w:r>
      <w:r>
        <w:rPr/>
        <w:t xml:space="preserve"> Knowledge of moral principles is insufficient without stable dispositions such as justice, courage, moderation, and practical wisdom.</w:t>
      </w:r>
    </w:p>
    <w:p>
      <w:pPr>
        <w:pStyle w:val="BodyText"/>
        <w:numPr>
          <w:ilvl w:val="0"/>
          <w:numId w:val="114"/>
        </w:numPr>
        <w:tabs>
          <w:tab w:val="clear" w:pos="720"/>
          <w:tab w:val="left" w:pos="0" w:leader="none"/>
        </w:tabs>
        <w:spacing w:before="0" w:after="200"/>
        <w:ind w:hanging="283" w:left="709"/>
        <w:rPr/>
      </w:pPr>
      <w:r>
        <w:rPr>
          <w:rStyle w:val="Strong"/>
        </w:rPr>
        <w:t>The object, intention, and circumstances of action matter.</w:t>
      </w:r>
      <w:r>
        <w:rPr/>
        <w:t xml:space="preserve"> An action is not evaluated only by its expected consequences. What the agent chooses as a means and why the agent chooses it can affect its moral character.</w:t>
      </w:r>
    </w:p>
    <w:p>
      <w:pPr>
        <w:pStyle w:val="BodyText"/>
        <w:numPr>
          <w:ilvl w:val="0"/>
          <w:numId w:val="114"/>
        </w:numPr>
        <w:tabs>
          <w:tab w:val="clear" w:pos="720"/>
          <w:tab w:val="left" w:pos="0" w:leader="none"/>
        </w:tabs>
        <w:spacing w:before="0" w:after="200"/>
        <w:ind w:hanging="283" w:left="709"/>
        <w:rPr/>
      </w:pPr>
      <w:r>
        <w:rPr>
          <w:rStyle w:val="Strong"/>
        </w:rPr>
        <w:t>Some actions may be intrinsically or categorically wrong.</w:t>
      </w:r>
      <w:r>
        <w:rPr/>
        <w:t xml:space="preserve"> Many Natural Law theories hold that particular choices directly attacking basic goods cannot be justified solely by aggregate benefit.</w:t>
      </w:r>
    </w:p>
    <w:p>
      <w:pPr>
        <w:pStyle w:val="BodyText"/>
        <w:numPr>
          <w:ilvl w:val="0"/>
          <w:numId w:val="114"/>
        </w:numPr>
        <w:tabs>
          <w:tab w:val="clear" w:pos="720"/>
          <w:tab w:val="left" w:pos="0" w:leader="none"/>
        </w:tabs>
        <w:spacing w:before="0" w:after="200"/>
        <w:ind w:hanging="283" w:left="709"/>
        <w:rPr/>
      </w:pPr>
      <w:r>
        <w:rPr>
          <w:rStyle w:val="Strong"/>
        </w:rPr>
        <w:t>Foreseen harm is not always intended harm.</w:t>
      </w:r>
      <w:r>
        <w:rPr/>
        <w:t xml:space="preserve"> The principle commonly called double effect distinguishes between harm selected as a means or end and harm foreseen as a side effect, subject to strict conditions.</w:t>
      </w:r>
    </w:p>
    <w:p>
      <w:pPr>
        <w:pStyle w:val="BodyText"/>
        <w:numPr>
          <w:ilvl w:val="0"/>
          <w:numId w:val="114"/>
        </w:numPr>
        <w:tabs>
          <w:tab w:val="clear" w:pos="720"/>
          <w:tab w:val="left" w:pos="0" w:leader="none"/>
        </w:tabs>
        <w:spacing w:before="0" w:after="200"/>
        <w:ind w:hanging="283" w:left="709"/>
        <w:rPr/>
      </w:pPr>
      <w:r>
        <w:rPr>
          <w:rStyle w:val="Strong"/>
        </w:rPr>
        <w:t>Human law should serve the common good.</w:t>
      </w:r>
      <w:r>
        <w:rPr/>
        <w:t xml:space="preserve"> Aquinas characterizes law as an ordinance of reason directed toward the common good, made by legitimate authority, and promulgated to those governed by it.</w:t>
      </w:r>
    </w:p>
    <w:p>
      <w:pPr>
        <w:pStyle w:val="BodyText"/>
        <w:numPr>
          <w:ilvl w:val="0"/>
          <w:numId w:val="114"/>
        </w:numPr>
        <w:tabs>
          <w:tab w:val="clear" w:pos="720"/>
          <w:tab w:val="left" w:pos="0" w:leader="none"/>
        </w:tabs>
        <w:spacing w:before="0" w:after="200"/>
        <w:ind w:hanging="283" w:left="709"/>
        <w:rPr/>
      </w:pPr>
      <w:r>
        <w:rPr>
          <w:rStyle w:val="Strong"/>
        </w:rPr>
        <w:t>Positive law specifies general principles.</w:t>
      </w:r>
      <w:r>
        <w:rPr/>
        <w:t xml:space="preserve"> Natural Law does not provide a detailed rule for every situation. Legislators and institutions must make context-dependent determinations concerning coordination, procedure, and enforcement.</w:t>
      </w:r>
    </w:p>
    <w:p>
      <w:pPr>
        <w:pStyle w:val="BodyText"/>
        <w:numPr>
          <w:ilvl w:val="0"/>
          <w:numId w:val="114"/>
        </w:numPr>
        <w:tabs>
          <w:tab w:val="clear" w:pos="720"/>
          <w:tab w:val="left" w:pos="0" w:leader="none"/>
        </w:tabs>
        <w:spacing w:before="0" w:after="200"/>
        <w:ind w:hanging="283" w:left="709"/>
        <w:rPr/>
      </w:pPr>
      <w:r>
        <w:rPr>
          <w:rStyle w:val="Strong"/>
        </w:rPr>
        <w:t>Enacted law and moral law are distinguishable.</w:t>
      </w:r>
      <w:r>
        <w:rPr/>
        <w:t xml:space="preserve"> A rule may exist as a social fact while lacking full moral authority because it is unjust. Natural Law theory need not deny that unjust rules are enforced as law; it questions their normative claim to obedience. </w:t>
      </w:r>
      <w:hyperlink r:id="rId190">
        <w:r>
          <w:rPr>
            <w:rStyle w:val="Hyperlink"/>
          </w:rPr>
          <w:t>Stanford Encyclopedia of Philosophy</w:t>
        </w:r>
      </w:hyperlink>
    </w:p>
    <w:p>
      <w:pPr>
        <w:pStyle w:val="BodyText"/>
        <w:numPr>
          <w:ilvl w:val="0"/>
          <w:numId w:val="114"/>
        </w:numPr>
        <w:tabs>
          <w:tab w:val="clear" w:pos="720"/>
          <w:tab w:val="left" w:pos="0" w:leader="none"/>
        </w:tabs>
        <w:spacing w:before="0" w:after="200"/>
        <w:ind w:hanging="283" w:left="709"/>
        <w:rPr/>
      </w:pPr>
      <w:r>
        <w:rPr>
          <w:rStyle w:val="Strong"/>
        </w:rPr>
        <w:t>Authority is not self-validating.</w:t>
      </w:r>
      <w:r>
        <w:rPr/>
        <w:t xml:space="preserve"> Governments and institutions remain subject to moral standards that do not arise solely from their own enactments.</w:t>
      </w:r>
    </w:p>
    <w:p>
      <w:pPr>
        <w:pStyle w:val="BodyText"/>
        <w:numPr>
          <w:ilvl w:val="0"/>
          <w:numId w:val="114"/>
        </w:numPr>
        <w:tabs>
          <w:tab w:val="clear" w:pos="720"/>
          <w:tab w:val="left" w:pos="0" w:leader="none"/>
        </w:tabs>
        <w:spacing w:before="0" w:after="200"/>
        <w:ind w:hanging="283" w:left="709"/>
        <w:rPr/>
      </w:pPr>
      <w:r>
        <w:rPr>
          <w:rStyle w:val="Strong"/>
        </w:rPr>
        <w:t>Moral principles are generally universal, while applications are contextual.</w:t>
      </w:r>
      <w:r>
        <w:rPr/>
        <w:t xml:space="preserve"> The same basic goods may be relevant across societies even though their institutional specification varies.</w:t>
      </w:r>
    </w:p>
    <w:p>
      <w:pPr>
        <w:pStyle w:val="Heading4"/>
        <w:ind w:hanging="0" w:left="0"/>
        <w:rPr>
          <w:rFonts w:ascii="Aptos" w:hAnsi="Aptos"/>
          <w:color w:val="auto"/>
        </w:rPr>
      </w:pPr>
      <w:r>
        <w:rPr/>
        <w:t>Relationship to This Framework</w:t>
      </w:r>
    </w:p>
    <w:p>
      <w:pPr>
        <w:pStyle w:val="BodyText"/>
        <w:spacing w:before="0" w:after="200"/>
        <w:rPr/>
      </w:pPr>
      <w:r>
        <w:rPr/>
        <w:t>Natural Law and this framework share a commitment to objective moral evaluation. Neither treats an actor’s preference, institutional objective, legal authorization, or cultural convention as sufficient to establish that an action is ethical.</w:t>
      </w:r>
    </w:p>
    <w:p>
      <w:pPr>
        <w:pStyle w:val="BodyText"/>
        <w:spacing w:before="0" w:after="200"/>
        <w:rPr/>
      </w:pPr>
      <w:r>
        <w:rPr/>
        <w:t>The Foundational Axiom’s emphasis on Long-Term Flourishing has significant affinities with Natural Law. Both approaches understand flourishing as multidimensional and connected to the development of entities across time. Life, knowledge, relationships, rational agency, social participation, and the capacity to pursue meaningful future possibilities can all be represented within the framework’s flourishing state vector.</w:t>
      </w:r>
    </w:p>
    <w:p>
      <w:pPr>
        <w:pStyle w:val="BodyText"/>
        <w:spacing w:before="0" w:after="200"/>
        <w:rPr/>
      </w:pPr>
      <w:r>
        <w:rPr/>
        <w:t>Natural Law’s common good also parallels the framework’s requirement that one entity’s flourishing be compatible with and contribute to the flourishing of the relevant World Context. In both approaches, social order should not merely aggregate private interests; it should establish conditions that enable entities to develop and participate in valuable forms of activity.</w:t>
      </w:r>
    </w:p>
    <w:p>
      <w:pPr>
        <w:pStyle w:val="BodyText"/>
        <w:spacing w:before="0" w:after="200"/>
        <w:rPr/>
      </w:pPr>
      <w:r>
        <w:rPr/>
        <w:t>The framework’s attention to authority and legitimacy resembles Natural Law’s distinction between enacted rules and morally authoritative law. A government or institution may possess causal power and legal jurisdiction while using that power in ways inconsistent with the flourishing of affected entities.</w:t>
      </w:r>
    </w:p>
    <w:p>
      <w:pPr>
        <w:pStyle w:val="BodyText"/>
        <w:spacing w:before="0" w:after="200"/>
        <w:rPr/>
      </w:pPr>
      <w:r>
        <w:rPr/>
        <w:t>The framework can also represent the Natural Law distinction among:</w:t>
      </w:r>
    </w:p>
    <w:p>
      <w:pPr>
        <w:pStyle w:val="BodyText"/>
        <w:numPr>
          <w:ilvl w:val="0"/>
          <w:numId w:val="115"/>
        </w:numPr>
        <w:tabs>
          <w:tab w:val="clear" w:pos="720"/>
          <w:tab w:val="left" w:pos="0" w:leader="none"/>
        </w:tabs>
        <w:spacing w:before="0" w:after="200"/>
        <w:ind w:hanging="283" w:left="709"/>
        <w:rPr/>
      </w:pPr>
      <w:r>
        <w:rPr/>
        <w:t>The action selected;</w:t>
      </w:r>
    </w:p>
    <w:p>
      <w:pPr>
        <w:pStyle w:val="BodyText"/>
        <w:numPr>
          <w:ilvl w:val="0"/>
          <w:numId w:val="115"/>
        </w:numPr>
        <w:tabs>
          <w:tab w:val="clear" w:pos="720"/>
          <w:tab w:val="left" w:pos="0" w:leader="none"/>
        </w:tabs>
        <w:spacing w:before="0" w:after="200"/>
        <w:ind w:hanging="283" w:left="709"/>
        <w:rPr/>
      </w:pPr>
      <w:r>
        <w:rPr/>
        <w:t>The actor’s objective;</w:t>
      </w:r>
    </w:p>
    <w:p>
      <w:pPr>
        <w:pStyle w:val="BodyText"/>
        <w:numPr>
          <w:ilvl w:val="0"/>
          <w:numId w:val="115"/>
        </w:numPr>
        <w:tabs>
          <w:tab w:val="clear" w:pos="720"/>
          <w:tab w:val="left" w:pos="0" w:leader="none"/>
        </w:tabs>
        <w:spacing w:before="0" w:after="200"/>
        <w:ind w:hanging="283" w:left="709"/>
        <w:rPr/>
      </w:pPr>
      <w:r>
        <w:rPr/>
        <w:t>The means used;</w:t>
      </w:r>
    </w:p>
    <w:p>
      <w:pPr>
        <w:pStyle w:val="BodyText"/>
        <w:numPr>
          <w:ilvl w:val="0"/>
          <w:numId w:val="115"/>
        </w:numPr>
        <w:tabs>
          <w:tab w:val="clear" w:pos="720"/>
          <w:tab w:val="left" w:pos="0" w:leader="none"/>
        </w:tabs>
        <w:spacing w:before="0" w:after="200"/>
        <w:ind w:hanging="283" w:left="709"/>
        <w:rPr/>
      </w:pPr>
      <w:r>
        <w:rPr/>
        <w:t>Intended effects;</w:t>
      </w:r>
    </w:p>
    <w:p>
      <w:pPr>
        <w:pStyle w:val="BodyText"/>
        <w:numPr>
          <w:ilvl w:val="0"/>
          <w:numId w:val="115"/>
        </w:numPr>
        <w:tabs>
          <w:tab w:val="clear" w:pos="720"/>
          <w:tab w:val="left" w:pos="0" w:leader="none"/>
        </w:tabs>
        <w:spacing w:before="0" w:after="200"/>
        <w:ind w:hanging="283" w:left="709"/>
        <w:rPr/>
      </w:pPr>
      <w:r>
        <w:rPr/>
        <w:t>Foreseen side effects;</w:t>
      </w:r>
    </w:p>
    <w:p>
      <w:pPr>
        <w:pStyle w:val="BodyText"/>
        <w:numPr>
          <w:ilvl w:val="0"/>
          <w:numId w:val="115"/>
        </w:numPr>
        <w:tabs>
          <w:tab w:val="clear" w:pos="720"/>
          <w:tab w:val="left" w:pos="0" w:leader="none"/>
        </w:tabs>
        <w:spacing w:before="0" w:after="200"/>
        <w:ind w:hanging="283" w:left="709"/>
        <w:rPr/>
      </w:pPr>
      <w:r>
        <w:rPr/>
        <w:t>Relevant circumstances;</w:t>
      </w:r>
    </w:p>
    <w:p>
      <w:pPr>
        <w:pStyle w:val="BodyText"/>
        <w:numPr>
          <w:ilvl w:val="0"/>
          <w:numId w:val="115"/>
        </w:numPr>
        <w:tabs>
          <w:tab w:val="clear" w:pos="720"/>
          <w:tab w:val="left" w:pos="0" w:leader="none"/>
        </w:tabs>
        <w:spacing w:before="0" w:after="200"/>
        <w:ind w:hanging="283" w:left="709"/>
        <w:rPr/>
      </w:pPr>
      <w:r>
        <w:rPr/>
        <w:t>Available alternatives; and</w:t>
      </w:r>
    </w:p>
    <w:p>
      <w:pPr>
        <w:pStyle w:val="BodyText"/>
        <w:numPr>
          <w:ilvl w:val="0"/>
          <w:numId w:val="115"/>
        </w:numPr>
        <w:tabs>
          <w:tab w:val="clear" w:pos="720"/>
          <w:tab w:val="left" w:pos="0" w:leader="none"/>
        </w:tabs>
        <w:spacing w:before="0" w:after="200"/>
        <w:ind w:hanging="283" w:left="709"/>
        <w:rPr/>
      </w:pPr>
      <w:r>
        <w:rPr/>
        <w:t>The actor’s responsibility.</w:t>
      </w:r>
    </w:p>
    <w:p>
      <w:pPr>
        <w:pStyle w:val="BodyText"/>
        <w:spacing w:before="0" w:after="200"/>
        <w:rPr/>
      </w:pPr>
      <w:r>
        <w:rPr/>
        <w:t>Significant differences remain. Natural Law generally begins with an account of objective goods rooted in human nature and practical reason. This framework begins with a Foundational Axiom applying to a potentially broader class of persistent adaptive and autopoietic entities.</w:t>
      </w:r>
    </w:p>
    <w:p>
      <w:pPr>
        <w:pStyle w:val="BodyText"/>
        <w:spacing w:before="0" w:after="200"/>
        <w:rPr/>
      </w:pPr>
      <w:r>
        <w:rPr/>
        <w:t>Natural Law also commonly treats certain choices as impermissible independently of favorable consequences. This framework is strongly transition-oriented and may require explicit hard constraints before it can reproduce Natural Law’s categorical prohibitions.</w:t>
      </w:r>
    </w:p>
    <w:p>
      <w:pPr>
        <w:pStyle w:val="BodyText"/>
        <w:spacing w:before="0" w:after="200"/>
        <w:rPr/>
      </w:pPr>
      <w:r>
        <w:rPr/>
        <w:t>Finally, classical Natural Law often assumes a teleological or theological order of nature. This framework is implementation-neutral and does not require belief in divine law, cosmic purpose, or fixed biological essences.</w:t>
      </w:r>
    </w:p>
    <w:p>
      <w:pPr>
        <w:pStyle w:val="Heading4"/>
        <w:ind w:hanging="0" w:left="0"/>
        <w:rPr>
          <w:rFonts w:ascii="Aptos" w:hAnsi="Aptos"/>
          <w:color w:val="auto"/>
        </w:rPr>
      </w:pPr>
      <w:r>
        <w:rPr/>
        <w:t>Concepts Adopted or Adapted by This Framework</w:t>
      </w:r>
    </w:p>
    <w:tbl>
      <w:tblPr>
        <w:tblW w:w="8640" w:type="dxa"/>
        <w:jc w:val="left"/>
        <w:tblInd w:w="28" w:type="dxa"/>
        <w:tblLayout w:type="fixed"/>
        <w:tblCellMar>
          <w:top w:w="28" w:type="dxa"/>
          <w:left w:w="28" w:type="dxa"/>
          <w:bottom w:w="28" w:type="dxa"/>
          <w:right w:w="28" w:type="dxa"/>
        </w:tblCellMar>
      </w:tblPr>
      <w:tblGrid>
        <w:gridCol w:w="2630"/>
        <w:gridCol w:w="6010"/>
      </w:tblGrid>
      <w:tr>
        <w:trPr>
          <w:tblHeader w:val="true"/>
        </w:trPr>
        <w:tc>
          <w:tcPr>
            <w:tcW w:w="2630" w:type="dxa"/>
            <w:tcBorders/>
            <w:vAlign w:val="center"/>
          </w:tcPr>
          <w:p>
            <w:pPr>
              <w:pStyle w:val="TableHeading"/>
              <w:suppressLineNumbers/>
              <w:spacing w:before="0" w:after="200"/>
              <w:jc w:val="center"/>
              <w:rPr/>
            </w:pPr>
            <w:r>
              <w:rPr/>
              <w:t>Natural Law concept</w:t>
            </w:r>
          </w:p>
        </w:tc>
        <w:tc>
          <w:tcPr>
            <w:tcW w:w="6010" w:type="dxa"/>
            <w:tcBorders/>
            <w:vAlign w:val="center"/>
          </w:tcPr>
          <w:p>
            <w:pPr>
              <w:pStyle w:val="TableHeading"/>
              <w:suppressLineNumbers/>
              <w:spacing w:before="0" w:after="200"/>
              <w:jc w:val="center"/>
              <w:rPr/>
            </w:pPr>
            <w:r>
              <w:rPr/>
              <w:t>Adoption or adaptation within this framework</w:t>
            </w:r>
          </w:p>
        </w:tc>
      </w:tr>
      <w:tr>
        <w:trPr/>
        <w:tc>
          <w:tcPr>
            <w:tcW w:w="2630" w:type="dxa"/>
            <w:tcBorders/>
            <w:vAlign w:val="center"/>
          </w:tcPr>
          <w:p>
            <w:pPr>
              <w:pStyle w:val="TableContents"/>
              <w:widowControl w:val="false"/>
              <w:suppressLineNumbers/>
              <w:spacing w:before="0" w:after="200"/>
              <w:rPr/>
            </w:pPr>
            <w:r>
              <w:rPr>
                <w:rStyle w:val="Strong"/>
              </w:rPr>
              <w:t>Objective moral order</w:t>
            </w:r>
          </w:p>
        </w:tc>
        <w:tc>
          <w:tcPr>
            <w:tcW w:w="6010" w:type="dxa"/>
            <w:tcBorders/>
            <w:vAlign w:val="center"/>
          </w:tcPr>
          <w:p>
            <w:pPr>
              <w:pStyle w:val="TableContents"/>
              <w:widowControl w:val="false"/>
              <w:suppressLineNumbers/>
              <w:spacing w:before="0" w:after="200"/>
              <w:rPr/>
            </w:pPr>
            <w:r>
              <w:rPr/>
              <w:t>Reflected in the claim that actions can be evaluated independently of the actor’s preferences or legal authority.</w:t>
            </w:r>
          </w:p>
        </w:tc>
      </w:tr>
      <w:tr>
        <w:trPr/>
        <w:tc>
          <w:tcPr>
            <w:tcW w:w="2630" w:type="dxa"/>
            <w:tcBorders/>
            <w:vAlign w:val="center"/>
          </w:tcPr>
          <w:p>
            <w:pPr>
              <w:pStyle w:val="TableContents"/>
              <w:widowControl w:val="false"/>
              <w:suppressLineNumbers/>
              <w:spacing w:before="0" w:after="200"/>
              <w:rPr/>
            </w:pPr>
            <w:r>
              <w:rPr>
                <w:rStyle w:val="Strong"/>
              </w:rPr>
              <w:t>Basic goods</w:t>
            </w:r>
          </w:p>
        </w:tc>
        <w:tc>
          <w:tcPr>
            <w:tcW w:w="6010" w:type="dxa"/>
            <w:tcBorders/>
            <w:vAlign w:val="center"/>
          </w:tcPr>
          <w:p>
            <w:pPr>
              <w:pStyle w:val="TableContents"/>
              <w:widowControl w:val="false"/>
              <w:suppressLineNumbers/>
              <w:spacing w:before="0" w:after="200"/>
              <w:rPr/>
            </w:pPr>
            <w:r>
              <w:rPr/>
              <w:t>Adaptable as distinct dimensions of Long-Term Flourishing that should not be reduced to a single aggregate measure.</w:t>
            </w:r>
          </w:p>
        </w:tc>
      </w:tr>
      <w:tr>
        <w:trPr/>
        <w:tc>
          <w:tcPr>
            <w:tcW w:w="2630" w:type="dxa"/>
            <w:tcBorders/>
            <w:vAlign w:val="center"/>
          </w:tcPr>
          <w:p>
            <w:pPr>
              <w:pStyle w:val="TableContents"/>
              <w:widowControl w:val="false"/>
              <w:suppressLineNumbers/>
              <w:spacing w:before="0" w:after="200"/>
              <w:rPr/>
            </w:pPr>
            <w:r>
              <w:rPr>
                <w:rStyle w:val="Strong"/>
              </w:rPr>
              <w:t>Life and health</w:t>
            </w:r>
          </w:p>
        </w:tc>
        <w:tc>
          <w:tcPr>
            <w:tcW w:w="6010" w:type="dxa"/>
            <w:tcBorders/>
            <w:vAlign w:val="center"/>
          </w:tcPr>
          <w:p>
            <w:pPr>
              <w:pStyle w:val="TableContents"/>
              <w:widowControl w:val="false"/>
              <w:suppressLineNumbers/>
              <w:spacing w:before="0" w:after="200"/>
              <w:rPr/>
            </w:pPr>
            <w:r>
              <w:rPr/>
              <w:t>Representable through entity persistence, integrity, adaptive capacity, and future state space.</w:t>
            </w:r>
          </w:p>
        </w:tc>
      </w:tr>
      <w:tr>
        <w:trPr/>
        <w:tc>
          <w:tcPr>
            <w:tcW w:w="2630" w:type="dxa"/>
            <w:tcBorders/>
            <w:vAlign w:val="center"/>
          </w:tcPr>
          <w:p>
            <w:pPr>
              <w:pStyle w:val="TableContents"/>
              <w:widowControl w:val="false"/>
              <w:suppressLineNumbers/>
              <w:spacing w:before="0" w:after="200"/>
              <w:rPr/>
            </w:pPr>
            <w:r>
              <w:rPr>
                <w:rStyle w:val="Strong"/>
              </w:rPr>
              <w:t>Knowledge</w:t>
            </w:r>
          </w:p>
        </w:tc>
        <w:tc>
          <w:tcPr>
            <w:tcW w:w="6010" w:type="dxa"/>
            <w:tcBorders/>
            <w:vAlign w:val="center"/>
          </w:tcPr>
          <w:p>
            <w:pPr>
              <w:pStyle w:val="TableContents"/>
              <w:widowControl w:val="false"/>
              <w:suppressLineNumbers/>
              <w:spacing w:before="0" w:after="200"/>
              <w:rPr/>
            </w:pPr>
            <w:r>
              <w:rPr/>
              <w:t>Representable as an intrinsic capability and as information required for moral agency and responsible action.</w:t>
            </w:r>
          </w:p>
        </w:tc>
      </w:tr>
      <w:tr>
        <w:trPr/>
        <w:tc>
          <w:tcPr>
            <w:tcW w:w="2630" w:type="dxa"/>
            <w:tcBorders/>
            <w:vAlign w:val="center"/>
          </w:tcPr>
          <w:p>
            <w:pPr>
              <w:pStyle w:val="TableContents"/>
              <w:widowControl w:val="false"/>
              <w:suppressLineNumbers/>
              <w:spacing w:before="0" w:after="200"/>
              <w:rPr/>
            </w:pPr>
            <w:r>
              <w:rPr>
                <w:rStyle w:val="Strong"/>
              </w:rPr>
              <w:t>Sociability and friendship</w:t>
            </w:r>
          </w:p>
        </w:tc>
        <w:tc>
          <w:tcPr>
            <w:tcW w:w="6010" w:type="dxa"/>
            <w:tcBorders/>
            <w:vAlign w:val="center"/>
          </w:tcPr>
          <w:p>
            <w:pPr>
              <w:pStyle w:val="TableContents"/>
              <w:widowControl w:val="false"/>
              <w:suppressLineNumbers/>
              <w:spacing w:before="0" w:after="200"/>
              <w:rPr/>
            </w:pPr>
            <w:r>
              <w:rPr/>
              <w:t>Reflected in Associations, trust, cooperation, belonging, and institutional participation.</w:t>
            </w:r>
          </w:p>
        </w:tc>
      </w:tr>
      <w:tr>
        <w:trPr/>
        <w:tc>
          <w:tcPr>
            <w:tcW w:w="2630" w:type="dxa"/>
            <w:tcBorders/>
            <w:vAlign w:val="center"/>
          </w:tcPr>
          <w:p>
            <w:pPr>
              <w:pStyle w:val="TableContents"/>
              <w:widowControl w:val="false"/>
              <w:suppressLineNumbers/>
              <w:spacing w:before="0" w:after="200"/>
              <w:rPr/>
            </w:pPr>
            <w:r>
              <w:rPr>
                <w:rStyle w:val="Strong"/>
              </w:rPr>
              <w:t>Practical reasonableness</w:t>
            </w:r>
          </w:p>
        </w:tc>
        <w:tc>
          <w:tcPr>
            <w:tcW w:w="6010" w:type="dxa"/>
            <w:tcBorders/>
            <w:vAlign w:val="center"/>
          </w:tcPr>
          <w:p>
            <w:pPr>
              <w:pStyle w:val="TableContents"/>
              <w:widowControl w:val="false"/>
              <w:suppressLineNumbers/>
              <w:spacing w:before="0" w:after="200"/>
              <w:rPr/>
            </w:pPr>
            <w:r>
              <w:rPr/>
              <w:t>Related to evidence-based deliberation, consistency, explicit assumptions, proportionality, and consideration of other entities.</w:t>
            </w:r>
          </w:p>
        </w:tc>
      </w:tr>
      <w:tr>
        <w:trPr/>
        <w:tc>
          <w:tcPr>
            <w:tcW w:w="2630" w:type="dxa"/>
            <w:tcBorders/>
            <w:vAlign w:val="center"/>
          </w:tcPr>
          <w:p>
            <w:pPr>
              <w:pStyle w:val="TableContents"/>
              <w:widowControl w:val="false"/>
              <w:suppressLineNumbers/>
              <w:spacing w:before="0" w:after="200"/>
              <w:rPr/>
            </w:pPr>
            <w:r>
              <w:rPr>
                <w:rStyle w:val="Strong"/>
              </w:rPr>
              <w:t>Common good</w:t>
            </w:r>
          </w:p>
        </w:tc>
        <w:tc>
          <w:tcPr>
            <w:tcW w:w="6010" w:type="dxa"/>
            <w:tcBorders/>
            <w:vAlign w:val="center"/>
          </w:tcPr>
          <w:p>
            <w:pPr>
              <w:pStyle w:val="TableContents"/>
              <w:widowControl w:val="false"/>
              <w:suppressLineNumbers/>
              <w:spacing w:before="0" w:after="200"/>
              <w:rPr/>
            </w:pPr>
            <w:r>
              <w:rPr/>
              <w:t>Adaptable as the conditions of the World Context that enable compatible flourishing among relevant entities.</w:t>
            </w:r>
          </w:p>
        </w:tc>
      </w:tr>
      <w:tr>
        <w:trPr/>
        <w:tc>
          <w:tcPr>
            <w:tcW w:w="2630" w:type="dxa"/>
            <w:tcBorders/>
            <w:vAlign w:val="center"/>
          </w:tcPr>
          <w:p>
            <w:pPr>
              <w:pStyle w:val="TableContents"/>
              <w:widowControl w:val="false"/>
              <w:suppressLineNumbers/>
              <w:spacing w:before="0" w:after="200"/>
              <w:rPr/>
            </w:pPr>
            <w:r>
              <w:rPr>
                <w:rStyle w:val="Strong"/>
              </w:rPr>
              <w:t>Natural inclinations and capacities</w:t>
            </w:r>
          </w:p>
        </w:tc>
        <w:tc>
          <w:tcPr>
            <w:tcW w:w="6010" w:type="dxa"/>
            <w:tcBorders/>
            <w:vAlign w:val="center"/>
          </w:tcPr>
          <w:p>
            <w:pPr>
              <w:pStyle w:val="TableContents"/>
              <w:widowControl w:val="false"/>
              <w:suppressLineNumbers/>
              <w:spacing w:before="0" w:after="200"/>
              <w:rPr/>
            </w:pPr>
            <w:r>
              <w:rPr/>
              <w:t>Representable as entity-specific capabilities, dependencies, vulnerabilities, developmental tendencies, and characteristic needs.</w:t>
            </w:r>
          </w:p>
        </w:tc>
      </w:tr>
      <w:tr>
        <w:trPr/>
        <w:tc>
          <w:tcPr>
            <w:tcW w:w="2630" w:type="dxa"/>
            <w:tcBorders/>
            <w:vAlign w:val="center"/>
          </w:tcPr>
          <w:p>
            <w:pPr>
              <w:pStyle w:val="TableContents"/>
              <w:widowControl w:val="false"/>
              <w:suppressLineNumbers/>
              <w:spacing w:before="0" w:after="200"/>
              <w:rPr/>
            </w:pPr>
            <w:r>
              <w:rPr>
                <w:rStyle w:val="Strong"/>
              </w:rPr>
              <w:t>Teleology</w:t>
            </w:r>
          </w:p>
        </w:tc>
        <w:tc>
          <w:tcPr>
            <w:tcW w:w="6010" w:type="dxa"/>
            <w:tcBorders/>
            <w:vAlign w:val="center"/>
          </w:tcPr>
          <w:p>
            <w:pPr>
              <w:pStyle w:val="TableContents"/>
              <w:widowControl w:val="false"/>
              <w:suppressLineNumbers/>
              <w:spacing w:before="0" w:after="200"/>
              <w:rPr/>
            </w:pPr>
            <w:r>
              <w:rPr/>
              <w:t>Adaptable as analysis of objectives and developmental trajectories without assuming a fixed cosmic purpose.</w:t>
            </w:r>
          </w:p>
        </w:tc>
      </w:tr>
      <w:tr>
        <w:trPr/>
        <w:tc>
          <w:tcPr>
            <w:tcW w:w="2630" w:type="dxa"/>
            <w:tcBorders/>
            <w:vAlign w:val="center"/>
          </w:tcPr>
          <w:p>
            <w:pPr>
              <w:pStyle w:val="TableContents"/>
              <w:widowControl w:val="false"/>
              <w:suppressLineNumbers/>
              <w:spacing w:before="0" w:after="200"/>
              <w:rPr/>
            </w:pPr>
            <w:r>
              <w:rPr>
                <w:rStyle w:val="Strong"/>
              </w:rPr>
              <w:t>Virtue</w:t>
            </w:r>
          </w:p>
        </w:tc>
        <w:tc>
          <w:tcPr>
            <w:tcW w:w="6010" w:type="dxa"/>
            <w:tcBorders/>
            <w:vAlign w:val="center"/>
          </w:tcPr>
          <w:p>
            <w:pPr>
              <w:pStyle w:val="TableContents"/>
              <w:widowControl w:val="false"/>
              <w:suppressLineNumbers/>
              <w:spacing w:before="0" w:after="200"/>
              <w:rPr/>
            </w:pPr>
            <w:r>
              <w:rPr/>
              <w:t>Representable as stable moral-agent policies supporting reliable judgment and appropriate action.</w:t>
            </w:r>
          </w:p>
        </w:tc>
      </w:tr>
      <w:tr>
        <w:trPr/>
        <w:tc>
          <w:tcPr>
            <w:tcW w:w="2630" w:type="dxa"/>
            <w:tcBorders/>
            <w:vAlign w:val="center"/>
          </w:tcPr>
          <w:p>
            <w:pPr>
              <w:pStyle w:val="TableContents"/>
              <w:widowControl w:val="false"/>
              <w:suppressLineNumbers/>
              <w:spacing w:before="0" w:after="200"/>
              <w:rPr/>
            </w:pPr>
            <w:r>
              <w:rPr>
                <w:rStyle w:val="Strong"/>
              </w:rPr>
              <w:t>Authority directed to common good</w:t>
            </w:r>
          </w:p>
        </w:tc>
        <w:tc>
          <w:tcPr>
            <w:tcW w:w="6010" w:type="dxa"/>
            <w:tcBorders/>
            <w:vAlign w:val="center"/>
          </w:tcPr>
          <w:p>
            <w:pPr>
              <w:pStyle w:val="TableContents"/>
              <w:widowControl w:val="false"/>
              <w:suppressLineNumbers/>
              <w:spacing w:before="0" w:after="200"/>
              <w:rPr/>
            </w:pPr>
            <w:r>
              <w:rPr/>
              <w:t>Reflected in evaluation of roles, legitimacy, jurisdiction, institutional purpose, and effects on affected entities.</w:t>
            </w:r>
          </w:p>
        </w:tc>
      </w:tr>
      <w:tr>
        <w:trPr/>
        <w:tc>
          <w:tcPr>
            <w:tcW w:w="2630" w:type="dxa"/>
            <w:tcBorders/>
            <w:vAlign w:val="center"/>
          </w:tcPr>
          <w:p>
            <w:pPr>
              <w:pStyle w:val="TableContents"/>
              <w:widowControl w:val="false"/>
              <w:suppressLineNumbers/>
              <w:spacing w:before="0" w:after="200"/>
              <w:rPr/>
            </w:pPr>
            <w:r>
              <w:rPr>
                <w:rStyle w:val="Strong"/>
              </w:rPr>
              <w:t>Positive law as specification</w:t>
            </w:r>
          </w:p>
        </w:tc>
        <w:tc>
          <w:tcPr>
            <w:tcW w:w="6010" w:type="dxa"/>
            <w:tcBorders/>
            <w:vAlign w:val="center"/>
          </w:tcPr>
          <w:p>
            <w:pPr>
              <w:pStyle w:val="TableContents"/>
              <w:widowControl w:val="false"/>
              <w:suppressLineNumbers/>
              <w:spacing w:before="0" w:after="200"/>
              <w:rPr/>
            </w:pPr>
            <w:r>
              <w:rPr/>
              <w:t>Adaptable as context-specific rules that operationalize broader ethical principles.</w:t>
            </w:r>
          </w:p>
        </w:tc>
      </w:tr>
      <w:tr>
        <w:trPr/>
        <w:tc>
          <w:tcPr>
            <w:tcW w:w="2630" w:type="dxa"/>
            <w:tcBorders/>
            <w:vAlign w:val="center"/>
          </w:tcPr>
          <w:p>
            <w:pPr>
              <w:pStyle w:val="TableContents"/>
              <w:widowControl w:val="false"/>
              <w:suppressLineNumbers/>
              <w:spacing w:before="0" w:after="200"/>
              <w:rPr/>
            </w:pPr>
            <w:r>
              <w:rPr>
                <w:rStyle w:val="Strong"/>
              </w:rPr>
              <w:t>Unjust law</w:t>
            </w:r>
          </w:p>
        </w:tc>
        <w:tc>
          <w:tcPr>
            <w:tcW w:w="6010" w:type="dxa"/>
            <w:tcBorders/>
            <w:vAlign w:val="center"/>
          </w:tcPr>
          <w:p>
            <w:pPr>
              <w:pStyle w:val="TableContents"/>
              <w:widowControl w:val="false"/>
              <w:suppressLineNumbers/>
              <w:spacing w:before="0" w:after="200"/>
              <w:rPr/>
            </w:pPr>
            <w:r>
              <w:rPr/>
              <w:t>Representable as a legally operative rule whose World Context Transition and moral justification are defective.</w:t>
            </w:r>
          </w:p>
        </w:tc>
      </w:tr>
      <w:tr>
        <w:trPr/>
        <w:tc>
          <w:tcPr>
            <w:tcW w:w="2630" w:type="dxa"/>
            <w:tcBorders/>
            <w:vAlign w:val="center"/>
          </w:tcPr>
          <w:p>
            <w:pPr>
              <w:pStyle w:val="TableContents"/>
              <w:widowControl w:val="false"/>
              <w:suppressLineNumbers/>
              <w:spacing w:before="0" w:after="200"/>
              <w:rPr/>
            </w:pPr>
            <w:r>
              <w:rPr>
                <w:rStyle w:val="Strong"/>
              </w:rPr>
              <w:t>Object, intention, and circumstances</w:t>
            </w:r>
          </w:p>
        </w:tc>
        <w:tc>
          <w:tcPr>
            <w:tcW w:w="6010" w:type="dxa"/>
            <w:tcBorders/>
            <w:vAlign w:val="center"/>
          </w:tcPr>
          <w:p>
            <w:pPr>
              <w:pStyle w:val="TableContents"/>
              <w:widowControl w:val="false"/>
              <w:suppressLineNumbers/>
              <w:spacing w:before="0" w:after="200"/>
              <w:rPr/>
            </w:pPr>
            <w:r>
              <w:rPr/>
              <w:t>Adaptable as separate fields in the evaluation of an Assessed Action.</w:t>
            </w:r>
          </w:p>
        </w:tc>
      </w:tr>
      <w:tr>
        <w:trPr/>
        <w:tc>
          <w:tcPr>
            <w:tcW w:w="2630" w:type="dxa"/>
            <w:tcBorders/>
            <w:vAlign w:val="center"/>
          </w:tcPr>
          <w:p>
            <w:pPr>
              <w:pStyle w:val="TableContents"/>
              <w:widowControl w:val="false"/>
              <w:suppressLineNumbers/>
              <w:spacing w:before="0" w:after="200"/>
              <w:rPr/>
            </w:pPr>
            <w:r>
              <w:rPr>
                <w:rStyle w:val="Strong"/>
              </w:rPr>
              <w:t>Double effect</w:t>
            </w:r>
          </w:p>
        </w:tc>
        <w:tc>
          <w:tcPr>
            <w:tcW w:w="6010" w:type="dxa"/>
            <w:tcBorders/>
            <w:vAlign w:val="center"/>
          </w:tcPr>
          <w:p>
            <w:pPr>
              <w:pStyle w:val="TableContents"/>
              <w:widowControl w:val="false"/>
              <w:suppressLineNumbers/>
              <w:spacing w:before="0" w:after="200"/>
              <w:rPr/>
            </w:pPr>
            <w:r>
              <w:rPr/>
              <w:t>Adaptable through distinctions among intended outcomes, selected means, foreseen side effects, necessity, and proportionality.</w:t>
            </w:r>
          </w:p>
        </w:tc>
      </w:tr>
      <w:tr>
        <w:trPr/>
        <w:tc>
          <w:tcPr>
            <w:tcW w:w="2630" w:type="dxa"/>
            <w:tcBorders/>
            <w:vAlign w:val="center"/>
          </w:tcPr>
          <w:p>
            <w:pPr>
              <w:pStyle w:val="TableContents"/>
              <w:widowControl w:val="false"/>
              <w:suppressLineNumbers/>
              <w:spacing w:before="0" w:after="200"/>
              <w:rPr/>
            </w:pPr>
            <w:r>
              <w:rPr>
                <w:rStyle w:val="Strong"/>
              </w:rPr>
              <w:t>Categorical moral constraints</w:t>
            </w:r>
          </w:p>
        </w:tc>
        <w:tc>
          <w:tcPr>
            <w:tcW w:w="6010" w:type="dxa"/>
            <w:tcBorders/>
            <w:vAlign w:val="center"/>
          </w:tcPr>
          <w:p>
            <w:pPr>
              <w:pStyle w:val="TableContents"/>
              <w:widowControl w:val="false"/>
              <w:suppressLineNumbers/>
              <w:spacing w:before="0" w:after="200"/>
              <w:rPr/>
            </w:pPr>
            <w:r>
              <w:rPr/>
              <w:t>Implementable as hard constraints against specified forms of direct attack on protected goods.</w:t>
            </w:r>
          </w:p>
        </w:tc>
      </w:tr>
      <w:tr>
        <w:trPr/>
        <w:tc>
          <w:tcPr>
            <w:tcW w:w="2630" w:type="dxa"/>
            <w:tcBorders/>
            <w:vAlign w:val="center"/>
          </w:tcPr>
          <w:p>
            <w:pPr>
              <w:pStyle w:val="TableContents"/>
              <w:widowControl w:val="false"/>
              <w:suppressLineNumbers/>
              <w:spacing w:before="0" w:after="200"/>
              <w:rPr/>
            </w:pPr>
            <w:r>
              <w:rPr>
                <w:rStyle w:val="Strong"/>
              </w:rPr>
              <w:t>Natural rights</w:t>
            </w:r>
          </w:p>
        </w:tc>
        <w:tc>
          <w:tcPr>
            <w:tcW w:w="6010" w:type="dxa"/>
            <w:tcBorders/>
            <w:vAlign w:val="center"/>
          </w:tcPr>
          <w:p>
            <w:pPr>
              <w:pStyle w:val="TableContents"/>
              <w:widowControl w:val="false"/>
              <w:suppressLineNumbers/>
              <w:spacing w:before="0" w:after="200"/>
              <w:rPr/>
            </w:pPr>
            <w:r>
              <w:rPr/>
              <w:t>Adaptable through rights-based Associations protecting the conditions necessary for participation in basic goods.</w:t>
            </w:r>
          </w:p>
        </w:tc>
      </w:tr>
      <w:tr>
        <w:trPr/>
        <w:tc>
          <w:tcPr>
            <w:tcW w:w="2630" w:type="dxa"/>
            <w:tcBorders/>
            <w:vAlign w:val="center"/>
          </w:tcPr>
          <w:p>
            <w:pPr>
              <w:pStyle w:val="TableContents"/>
              <w:widowControl w:val="false"/>
              <w:suppressLineNumbers/>
              <w:spacing w:before="0" w:after="200"/>
              <w:rPr/>
            </w:pPr>
            <w:r>
              <w:rPr>
                <w:rStyle w:val="Strong"/>
              </w:rPr>
              <w:t>Integral fulfillment</w:t>
            </w:r>
          </w:p>
        </w:tc>
        <w:tc>
          <w:tcPr>
            <w:tcW w:w="6010" w:type="dxa"/>
            <w:tcBorders/>
            <w:vAlign w:val="center"/>
          </w:tcPr>
          <w:p>
            <w:pPr>
              <w:pStyle w:val="TableContents"/>
              <w:widowControl w:val="false"/>
              <w:suppressLineNumbers/>
              <w:spacing w:before="0" w:after="200"/>
              <w:rPr/>
            </w:pPr>
            <w:r>
              <w:rPr/>
              <w:t>Related to the framework’s concern that one entity’s flourishing remain compatible with the flourishing of the wider context.</w:t>
            </w:r>
          </w:p>
        </w:tc>
      </w:tr>
    </w:tbl>
    <w:p>
      <w:pPr>
        <w:pStyle w:val="Heading4"/>
        <w:ind w:hanging="0" w:left="0"/>
        <w:rPr>
          <w:rFonts w:ascii="Aptos" w:hAnsi="Aptos"/>
          <w:color w:val="auto"/>
        </w:rPr>
      </w:pPr>
      <w:r>
        <w:rPr/>
        <w:t>Similarities</w:t>
      </w:r>
    </w:p>
    <w:p>
      <w:pPr>
        <w:pStyle w:val="BodyText"/>
        <w:spacing w:before="0" w:after="200"/>
        <w:rPr/>
      </w:pPr>
      <w:r>
        <w:rPr/>
        <w:t>Natural Law and this framework share several important commitments:</w:t>
      </w:r>
    </w:p>
    <w:p>
      <w:pPr>
        <w:pStyle w:val="BodyText"/>
        <w:numPr>
          <w:ilvl w:val="0"/>
          <w:numId w:val="116"/>
        </w:numPr>
        <w:tabs>
          <w:tab w:val="clear" w:pos="720"/>
          <w:tab w:val="left" w:pos="0" w:leader="none"/>
        </w:tabs>
        <w:spacing w:before="0" w:after="200"/>
        <w:ind w:hanging="283" w:left="709"/>
        <w:rPr/>
      </w:pPr>
      <w:r>
        <w:rPr/>
        <w:t>Both hold that ethical validity is not determined solely by preference, convention, or political power.</w:t>
      </w:r>
    </w:p>
    <w:p>
      <w:pPr>
        <w:pStyle w:val="BodyText"/>
        <w:numPr>
          <w:ilvl w:val="0"/>
          <w:numId w:val="116"/>
        </w:numPr>
        <w:tabs>
          <w:tab w:val="clear" w:pos="720"/>
          <w:tab w:val="left" w:pos="0" w:leader="none"/>
        </w:tabs>
        <w:spacing w:before="0" w:after="200"/>
        <w:ind w:hanging="283" w:left="709"/>
        <w:rPr/>
      </w:pPr>
      <w:r>
        <w:rPr/>
        <w:t>Both use flourishing as a central moral concept.</w:t>
      </w:r>
    </w:p>
    <w:p>
      <w:pPr>
        <w:pStyle w:val="BodyText"/>
        <w:numPr>
          <w:ilvl w:val="0"/>
          <w:numId w:val="116"/>
        </w:numPr>
        <w:tabs>
          <w:tab w:val="clear" w:pos="720"/>
          <w:tab w:val="left" w:pos="0" w:leader="none"/>
        </w:tabs>
        <w:spacing w:before="0" w:after="200"/>
        <w:ind w:hanging="283" w:left="709"/>
        <w:rPr/>
      </w:pPr>
      <w:r>
        <w:rPr/>
        <w:t>Both treat flourishing as multidimensional.</w:t>
      </w:r>
    </w:p>
    <w:p>
      <w:pPr>
        <w:pStyle w:val="BodyText"/>
        <w:numPr>
          <w:ilvl w:val="0"/>
          <w:numId w:val="116"/>
        </w:numPr>
        <w:tabs>
          <w:tab w:val="clear" w:pos="720"/>
          <w:tab w:val="left" w:pos="0" w:leader="none"/>
        </w:tabs>
        <w:spacing w:before="0" w:after="200"/>
        <w:ind w:hanging="283" w:left="709"/>
        <w:rPr/>
      </w:pPr>
      <w:r>
        <w:rPr/>
        <w:t>Both recognize life, knowledge, agency, relationships, and social participation as ethically significant.</w:t>
      </w:r>
    </w:p>
    <w:p>
      <w:pPr>
        <w:pStyle w:val="BodyText"/>
        <w:numPr>
          <w:ilvl w:val="0"/>
          <w:numId w:val="116"/>
        </w:numPr>
        <w:tabs>
          <w:tab w:val="clear" w:pos="720"/>
          <w:tab w:val="left" w:pos="0" w:leader="none"/>
        </w:tabs>
        <w:spacing w:before="0" w:after="200"/>
        <w:ind w:hanging="283" w:left="709"/>
        <w:rPr/>
      </w:pPr>
      <w:r>
        <w:rPr/>
        <w:t>Both connect individual flourishing with the conditions of a wider community or system.</w:t>
      </w:r>
    </w:p>
    <w:p>
      <w:pPr>
        <w:pStyle w:val="BodyText"/>
        <w:numPr>
          <w:ilvl w:val="0"/>
          <w:numId w:val="116"/>
        </w:numPr>
        <w:tabs>
          <w:tab w:val="clear" w:pos="720"/>
          <w:tab w:val="left" w:pos="0" w:leader="none"/>
        </w:tabs>
        <w:spacing w:before="0" w:after="200"/>
        <w:ind w:hanging="283" w:left="709"/>
        <w:rPr/>
      </w:pPr>
      <w:r>
        <w:rPr/>
        <w:t>Both recognize that legitimate institutions should serve more than the objectives of those who govern them.</w:t>
      </w:r>
    </w:p>
    <w:p>
      <w:pPr>
        <w:pStyle w:val="BodyText"/>
        <w:numPr>
          <w:ilvl w:val="0"/>
          <w:numId w:val="116"/>
        </w:numPr>
        <w:tabs>
          <w:tab w:val="clear" w:pos="720"/>
          <w:tab w:val="left" w:pos="0" w:leader="none"/>
        </w:tabs>
        <w:spacing w:before="0" w:after="200"/>
        <w:ind w:hanging="283" w:left="709"/>
        <w:rPr/>
      </w:pPr>
      <w:r>
        <w:rPr/>
        <w:t>Both distinguish legal authorization from moral justification.</w:t>
      </w:r>
    </w:p>
    <w:p>
      <w:pPr>
        <w:pStyle w:val="BodyText"/>
        <w:numPr>
          <w:ilvl w:val="0"/>
          <w:numId w:val="116"/>
        </w:numPr>
        <w:tabs>
          <w:tab w:val="clear" w:pos="720"/>
          <w:tab w:val="left" w:pos="0" w:leader="none"/>
        </w:tabs>
        <w:spacing w:before="0" w:after="200"/>
        <w:ind w:hanging="283" w:left="709"/>
        <w:rPr/>
      </w:pPr>
      <w:r>
        <w:rPr/>
        <w:t>Both consider the means used to pursue an objective.</w:t>
      </w:r>
    </w:p>
    <w:p>
      <w:pPr>
        <w:pStyle w:val="BodyText"/>
        <w:numPr>
          <w:ilvl w:val="0"/>
          <w:numId w:val="116"/>
        </w:numPr>
        <w:tabs>
          <w:tab w:val="clear" w:pos="720"/>
          <w:tab w:val="left" w:pos="0" w:leader="none"/>
        </w:tabs>
        <w:spacing w:before="0" w:after="200"/>
        <w:ind w:hanging="283" w:left="709"/>
        <w:rPr/>
      </w:pPr>
      <w:r>
        <w:rPr/>
        <w:t>Both recognize intention and circumstances as relevant to responsibility.</w:t>
      </w:r>
    </w:p>
    <w:p>
      <w:pPr>
        <w:pStyle w:val="BodyText"/>
        <w:numPr>
          <w:ilvl w:val="0"/>
          <w:numId w:val="116"/>
        </w:numPr>
        <w:tabs>
          <w:tab w:val="clear" w:pos="720"/>
          <w:tab w:val="left" w:pos="0" w:leader="none"/>
        </w:tabs>
        <w:spacing w:before="0" w:after="200"/>
        <w:ind w:hanging="283" w:left="709"/>
        <w:rPr/>
      </w:pPr>
      <w:r>
        <w:rPr/>
        <w:t>Both can treat some actions as constrained even when they produce desirable consequences.</w:t>
      </w:r>
    </w:p>
    <w:p>
      <w:pPr>
        <w:pStyle w:val="BodyText"/>
        <w:numPr>
          <w:ilvl w:val="0"/>
          <w:numId w:val="116"/>
        </w:numPr>
        <w:tabs>
          <w:tab w:val="clear" w:pos="720"/>
          <w:tab w:val="left" w:pos="0" w:leader="none"/>
        </w:tabs>
        <w:spacing w:before="0" w:after="200"/>
        <w:ind w:hanging="283" w:left="709"/>
        <w:rPr/>
      </w:pPr>
      <w:r>
        <w:rPr/>
        <w:t>Both recognize the ethical importance of stable moral-agent development.</w:t>
      </w:r>
    </w:p>
    <w:p>
      <w:pPr>
        <w:pStyle w:val="BodyText"/>
        <w:numPr>
          <w:ilvl w:val="0"/>
          <w:numId w:val="116"/>
        </w:numPr>
        <w:tabs>
          <w:tab w:val="clear" w:pos="720"/>
          <w:tab w:val="left" w:pos="0" w:leader="none"/>
        </w:tabs>
        <w:spacing w:before="0" w:after="200"/>
        <w:ind w:hanging="283" w:left="709"/>
        <w:rPr/>
      </w:pPr>
      <w:r>
        <w:rPr/>
        <w:t>Both support universal reasoning while allowing contextual application.</w:t>
      </w:r>
    </w:p>
    <w:p>
      <w:pPr>
        <w:pStyle w:val="BodyText"/>
        <w:numPr>
          <w:ilvl w:val="0"/>
          <w:numId w:val="116"/>
        </w:numPr>
        <w:tabs>
          <w:tab w:val="clear" w:pos="720"/>
          <w:tab w:val="left" w:pos="0" w:leader="none"/>
        </w:tabs>
        <w:spacing w:before="0" w:after="200"/>
        <w:ind w:hanging="283" w:left="709"/>
        <w:rPr/>
      </w:pPr>
      <w:r>
        <w:rPr/>
        <w:t>Both recognize that social institutions are necessary for coordination and the common good.</w:t>
      </w:r>
    </w:p>
    <w:p>
      <w:pPr>
        <w:pStyle w:val="BodyText"/>
        <w:numPr>
          <w:ilvl w:val="0"/>
          <w:numId w:val="116"/>
        </w:numPr>
        <w:tabs>
          <w:tab w:val="clear" w:pos="720"/>
          <w:tab w:val="left" w:pos="0" w:leader="none"/>
        </w:tabs>
        <w:spacing w:before="0" w:after="200"/>
        <w:ind w:hanging="283" w:left="709"/>
        <w:rPr/>
      </w:pPr>
      <w:r>
        <w:rPr/>
        <w:t>Both can evaluate whether policies preserve the conditions under which entities can pursue valuable activities.</w:t>
      </w:r>
    </w:p>
    <w:p>
      <w:pPr>
        <w:pStyle w:val="BodyText"/>
        <w:numPr>
          <w:ilvl w:val="0"/>
          <w:numId w:val="116"/>
        </w:numPr>
        <w:tabs>
          <w:tab w:val="clear" w:pos="720"/>
          <w:tab w:val="left" w:pos="0" w:leader="none"/>
        </w:tabs>
        <w:spacing w:before="0" w:after="200"/>
        <w:ind w:hanging="283" w:left="709"/>
        <w:rPr/>
      </w:pPr>
      <w:r>
        <w:rPr/>
        <w:t>Both resist reducing ethical judgment to a single aggregate metric.</w:t>
      </w:r>
    </w:p>
    <w:p>
      <w:pPr>
        <w:pStyle w:val="Heading4"/>
        <w:ind w:hanging="0" w:left="0"/>
        <w:rPr>
          <w:rFonts w:ascii="Aptos" w:hAnsi="Aptos"/>
          <w:color w:val="auto"/>
        </w:rPr>
      </w:pPr>
      <w:r>
        <w:rPr/>
        <w:t>Differences</w:t>
      </w:r>
    </w:p>
    <w:tbl>
      <w:tblPr>
        <w:tblW w:w="8640" w:type="dxa"/>
        <w:jc w:val="left"/>
        <w:tblInd w:w="28" w:type="dxa"/>
        <w:tblLayout w:type="fixed"/>
        <w:tblCellMar>
          <w:top w:w="28" w:type="dxa"/>
          <w:left w:w="28" w:type="dxa"/>
          <w:bottom w:w="28" w:type="dxa"/>
          <w:right w:w="28" w:type="dxa"/>
        </w:tblCellMar>
      </w:tblPr>
      <w:tblGrid>
        <w:gridCol w:w="1913"/>
        <w:gridCol w:w="3447"/>
        <w:gridCol w:w="3280"/>
      </w:tblGrid>
      <w:tr>
        <w:trPr>
          <w:tblHeader w:val="true"/>
        </w:trPr>
        <w:tc>
          <w:tcPr>
            <w:tcW w:w="1913" w:type="dxa"/>
            <w:tcBorders/>
            <w:vAlign w:val="center"/>
          </w:tcPr>
          <w:p>
            <w:pPr>
              <w:pStyle w:val="TableHeading"/>
              <w:suppressLineNumbers/>
              <w:spacing w:before="0" w:after="200"/>
              <w:jc w:val="center"/>
              <w:rPr/>
            </w:pPr>
            <w:r>
              <w:rPr/>
              <w:t>Dimension</w:t>
            </w:r>
          </w:p>
        </w:tc>
        <w:tc>
          <w:tcPr>
            <w:tcW w:w="3447" w:type="dxa"/>
            <w:tcBorders/>
            <w:vAlign w:val="center"/>
          </w:tcPr>
          <w:p>
            <w:pPr>
              <w:pStyle w:val="TableHeading"/>
              <w:suppressLineNumbers/>
              <w:spacing w:before="0" w:after="200"/>
              <w:jc w:val="center"/>
              <w:rPr/>
            </w:pPr>
            <w:r>
              <w:rPr/>
              <w:t>Natural Law</w:t>
            </w:r>
          </w:p>
        </w:tc>
        <w:tc>
          <w:tcPr>
            <w:tcW w:w="3280" w:type="dxa"/>
            <w:tcBorders/>
            <w:vAlign w:val="center"/>
          </w:tcPr>
          <w:p>
            <w:pPr>
              <w:pStyle w:val="TableHeading"/>
              <w:suppressLineNumbers/>
              <w:spacing w:before="0" w:after="200"/>
              <w:jc w:val="center"/>
              <w:rPr/>
            </w:pPr>
            <w:r>
              <w:rPr/>
              <w:t>This framework</w:t>
            </w:r>
          </w:p>
        </w:tc>
      </w:tr>
      <w:tr>
        <w:trPr/>
        <w:tc>
          <w:tcPr>
            <w:tcW w:w="1913" w:type="dxa"/>
            <w:tcBorders/>
            <w:vAlign w:val="center"/>
          </w:tcPr>
          <w:p>
            <w:pPr>
              <w:pStyle w:val="TableContents"/>
              <w:widowControl w:val="false"/>
              <w:suppressLineNumbers/>
              <w:spacing w:before="0" w:after="200"/>
              <w:rPr/>
            </w:pPr>
            <w:r>
              <w:rPr>
                <w:rStyle w:val="Strong"/>
              </w:rPr>
              <w:t>Normative foundation</w:t>
            </w:r>
          </w:p>
        </w:tc>
        <w:tc>
          <w:tcPr>
            <w:tcW w:w="3447" w:type="dxa"/>
            <w:tcBorders/>
            <w:vAlign w:val="center"/>
          </w:tcPr>
          <w:p>
            <w:pPr>
              <w:pStyle w:val="TableContents"/>
              <w:widowControl w:val="false"/>
              <w:suppressLineNumbers/>
              <w:spacing w:before="0" w:after="200"/>
              <w:rPr/>
            </w:pPr>
            <w:r>
              <w:rPr/>
              <w:t>Objective goods and practical principles grounded in nature, reason, and, in classical accounts, eternal law</w:t>
            </w:r>
          </w:p>
        </w:tc>
        <w:tc>
          <w:tcPr>
            <w:tcW w:w="3280" w:type="dxa"/>
            <w:tcBorders/>
            <w:vAlign w:val="center"/>
          </w:tcPr>
          <w:p>
            <w:pPr>
              <w:pStyle w:val="TableContents"/>
              <w:widowControl w:val="false"/>
              <w:suppressLineNumbers/>
              <w:spacing w:before="0" w:after="200"/>
              <w:rPr/>
            </w:pPr>
            <w:r>
              <w:rPr/>
              <w:t>Foundational Axiom concerning compatible Long-Term Flourishing</w:t>
            </w:r>
          </w:p>
        </w:tc>
      </w:tr>
      <w:tr>
        <w:trPr/>
        <w:tc>
          <w:tcPr>
            <w:tcW w:w="1913" w:type="dxa"/>
            <w:tcBorders/>
            <w:vAlign w:val="center"/>
          </w:tcPr>
          <w:p>
            <w:pPr>
              <w:pStyle w:val="TableContents"/>
              <w:widowControl w:val="false"/>
              <w:suppressLineNumbers/>
              <w:spacing w:before="0" w:after="200"/>
              <w:rPr/>
            </w:pPr>
            <w:r>
              <w:rPr>
                <w:rStyle w:val="Strong"/>
              </w:rPr>
              <w:t>Primary moral subject</w:t>
            </w:r>
          </w:p>
        </w:tc>
        <w:tc>
          <w:tcPr>
            <w:tcW w:w="3447" w:type="dxa"/>
            <w:tcBorders/>
            <w:vAlign w:val="center"/>
          </w:tcPr>
          <w:p>
            <w:pPr>
              <w:pStyle w:val="TableContents"/>
              <w:widowControl w:val="false"/>
              <w:suppressLineNumbers/>
              <w:spacing w:before="0" w:after="200"/>
              <w:rPr/>
            </w:pPr>
            <w:r>
              <w:rPr/>
              <w:t>Usually the human person as a rational and social being</w:t>
            </w:r>
          </w:p>
        </w:tc>
        <w:tc>
          <w:tcPr>
            <w:tcW w:w="3280" w:type="dxa"/>
            <w:tcBorders/>
            <w:vAlign w:val="center"/>
          </w:tcPr>
          <w:p>
            <w:pPr>
              <w:pStyle w:val="TableContents"/>
              <w:widowControl w:val="false"/>
              <w:suppressLineNumbers/>
              <w:spacing w:before="0" w:after="200"/>
              <w:rPr/>
            </w:pPr>
            <w:r>
              <w:rPr/>
              <w:t>Potentially any relevant persistent adaptive or autopoietic entity</w:t>
            </w:r>
          </w:p>
        </w:tc>
      </w:tr>
      <w:tr>
        <w:trPr/>
        <w:tc>
          <w:tcPr>
            <w:tcW w:w="1913" w:type="dxa"/>
            <w:tcBorders/>
            <w:vAlign w:val="center"/>
          </w:tcPr>
          <w:p>
            <w:pPr>
              <w:pStyle w:val="TableContents"/>
              <w:widowControl w:val="false"/>
              <w:suppressLineNumbers/>
              <w:spacing w:before="0" w:after="200"/>
              <w:rPr/>
            </w:pPr>
            <w:r>
              <w:rPr>
                <w:rStyle w:val="Strong"/>
              </w:rPr>
              <w:t>Meaning of nature</w:t>
            </w:r>
          </w:p>
        </w:tc>
        <w:tc>
          <w:tcPr>
            <w:tcW w:w="3447" w:type="dxa"/>
            <w:tcBorders/>
            <w:vAlign w:val="center"/>
          </w:tcPr>
          <w:p>
            <w:pPr>
              <w:pStyle w:val="TableContents"/>
              <w:widowControl w:val="false"/>
              <w:suppressLineNumbers/>
              <w:spacing w:before="0" w:after="200"/>
              <w:rPr/>
            </w:pPr>
            <w:r>
              <w:rPr/>
              <w:t>Human essence, capacities, inclinations, purposes, and characteristic fulfillment</w:t>
            </w:r>
          </w:p>
        </w:tc>
        <w:tc>
          <w:tcPr>
            <w:tcW w:w="3280" w:type="dxa"/>
            <w:tcBorders/>
            <w:vAlign w:val="center"/>
          </w:tcPr>
          <w:p>
            <w:pPr>
              <w:pStyle w:val="TableContents"/>
              <w:widowControl w:val="false"/>
              <w:suppressLineNumbers/>
              <w:spacing w:before="0" w:after="200"/>
              <w:rPr/>
            </w:pPr>
            <w:r>
              <w:rPr/>
              <w:t>The empirically represented World Context and characteristics of included entities</w:t>
            </w:r>
          </w:p>
        </w:tc>
      </w:tr>
      <w:tr>
        <w:trPr/>
        <w:tc>
          <w:tcPr>
            <w:tcW w:w="1913" w:type="dxa"/>
            <w:tcBorders/>
            <w:vAlign w:val="center"/>
          </w:tcPr>
          <w:p>
            <w:pPr>
              <w:pStyle w:val="TableContents"/>
              <w:widowControl w:val="false"/>
              <w:suppressLineNumbers/>
              <w:spacing w:before="0" w:after="200"/>
              <w:rPr/>
            </w:pPr>
            <w:r>
              <w:rPr>
                <w:rStyle w:val="Strong"/>
              </w:rPr>
              <w:t>Highest-order question</w:t>
            </w:r>
          </w:p>
        </w:tc>
        <w:tc>
          <w:tcPr>
            <w:tcW w:w="3447" w:type="dxa"/>
            <w:tcBorders/>
            <w:vAlign w:val="center"/>
          </w:tcPr>
          <w:p>
            <w:pPr>
              <w:pStyle w:val="TableContents"/>
              <w:widowControl w:val="false"/>
              <w:suppressLineNumbers/>
              <w:spacing w:before="0" w:after="200"/>
              <w:rPr/>
            </w:pPr>
            <w:r>
              <w:rPr/>
              <w:t>What choices accord with practical reason and participation in genuine goods?</w:t>
            </w:r>
          </w:p>
        </w:tc>
        <w:tc>
          <w:tcPr>
            <w:tcW w:w="3280" w:type="dxa"/>
            <w:tcBorders/>
            <w:vAlign w:val="center"/>
          </w:tcPr>
          <w:p>
            <w:pPr>
              <w:pStyle w:val="TableContents"/>
              <w:widowControl w:val="false"/>
              <w:suppressLineNumbers/>
              <w:spacing w:before="0" w:after="200"/>
              <w:rPr/>
            </w:pPr>
            <w:r>
              <w:rPr/>
              <w:t>What World Context Transition preserves and promotes compatible Long-Term Flourishing?</w:t>
            </w:r>
          </w:p>
        </w:tc>
      </w:tr>
      <w:tr>
        <w:trPr/>
        <w:tc>
          <w:tcPr>
            <w:tcW w:w="1913" w:type="dxa"/>
            <w:tcBorders/>
            <w:vAlign w:val="center"/>
          </w:tcPr>
          <w:p>
            <w:pPr>
              <w:pStyle w:val="TableContents"/>
              <w:widowControl w:val="false"/>
              <w:suppressLineNumbers/>
              <w:spacing w:before="0" w:after="200"/>
              <w:rPr/>
            </w:pPr>
            <w:r>
              <w:rPr>
                <w:rStyle w:val="Strong"/>
              </w:rPr>
              <w:t>Status of goods</w:t>
            </w:r>
          </w:p>
        </w:tc>
        <w:tc>
          <w:tcPr>
            <w:tcW w:w="3447" w:type="dxa"/>
            <w:tcBorders/>
            <w:vAlign w:val="center"/>
          </w:tcPr>
          <w:p>
            <w:pPr>
              <w:pStyle w:val="TableContents"/>
              <w:widowControl w:val="false"/>
              <w:suppressLineNumbers/>
              <w:spacing w:before="0" w:after="200"/>
              <w:rPr/>
            </w:pPr>
            <w:r>
              <w:rPr/>
              <w:t>Basic goods are intrinsically valuable and often incommensurable</w:t>
            </w:r>
          </w:p>
        </w:tc>
        <w:tc>
          <w:tcPr>
            <w:tcW w:w="3280" w:type="dxa"/>
            <w:tcBorders/>
            <w:vAlign w:val="center"/>
          </w:tcPr>
          <w:p>
            <w:pPr>
              <w:pStyle w:val="TableContents"/>
              <w:widowControl w:val="false"/>
              <w:suppressLineNumbers/>
              <w:spacing w:before="0" w:after="200"/>
              <w:rPr/>
            </w:pPr>
            <w:r>
              <w:rPr/>
              <w:t>Flourishing dimensions form a relational state vector and may be comparatively evaluated</w:t>
            </w:r>
          </w:p>
        </w:tc>
      </w:tr>
      <w:tr>
        <w:trPr/>
        <w:tc>
          <w:tcPr>
            <w:tcW w:w="1913" w:type="dxa"/>
            <w:tcBorders/>
            <w:vAlign w:val="center"/>
          </w:tcPr>
          <w:p>
            <w:pPr>
              <w:pStyle w:val="TableContents"/>
              <w:widowControl w:val="false"/>
              <w:suppressLineNumbers/>
              <w:spacing w:before="0" w:after="200"/>
              <w:rPr/>
            </w:pPr>
            <w:r>
              <w:rPr>
                <w:rStyle w:val="Strong"/>
              </w:rPr>
              <w:t>Consequences</w:t>
            </w:r>
          </w:p>
        </w:tc>
        <w:tc>
          <w:tcPr>
            <w:tcW w:w="3447" w:type="dxa"/>
            <w:tcBorders/>
            <w:vAlign w:val="center"/>
          </w:tcPr>
          <w:p>
            <w:pPr>
              <w:pStyle w:val="TableContents"/>
              <w:widowControl w:val="false"/>
              <w:suppressLineNumbers/>
              <w:spacing w:before="0" w:after="200"/>
              <w:rPr/>
            </w:pPr>
            <w:r>
              <w:rPr/>
              <w:t>Important but not sufficient to justify every action</w:t>
            </w:r>
          </w:p>
        </w:tc>
        <w:tc>
          <w:tcPr>
            <w:tcW w:w="3280" w:type="dxa"/>
            <w:tcBorders/>
            <w:vAlign w:val="center"/>
          </w:tcPr>
          <w:p>
            <w:pPr>
              <w:pStyle w:val="TableContents"/>
              <w:widowControl w:val="false"/>
              <w:suppressLineNumbers/>
              <w:spacing w:before="0" w:after="200"/>
              <w:rPr/>
            </w:pPr>
            <w:r>
              <w:rPr/>
              <w:t>Central to evaluation of the complete transition</w:t>
            </w:r>
          </w:p>
        </w:tc>
      </w:tr>
      <w:tr>
        <w:trPr/>
        <w:tc>
          <w:tcPr>
            <w:tcW w:w="1913" w:type="dxa"/>
            <w:tcBorders/>
            <w:vAlign w:val="center"/>
          </w:tcPr>
          <w:p>
            <w:pPr>
              <w:pStyle w:val="TableContents"/>
              <w:widowControl w:val="false"/>
              <w:suppressLineNumbers/>
              <w:spacing w:before="0" w:after="200"/>
              <w:rPr/>
            </w:pPr>
            <w:r>
              <w:rPr>
                <w:rStyle w:val="Strong"/>
              </w:rPr>
              <w:t>Moral absolutes</w:t>
            </w:r>
          </w:p>
        </w:tc>
        <w:tc>
          <w:tcPr>
            <w:tcW w:w="3447" w:type="dxa"/>
            <w:tcBorders/>
            <w:vAlign w:val="center"/>
          </w:tcPr>
          <w:p>
            <w:pPr>
              <w:pStyle w:val="TableContents"/>
              <w:widowControl w:val="false"/>
              <w:suppressLineNumbers/>
              <w:spacing w:before="0" w:after="200"/>
              <w:rPr/>
            </w:pPr>
            <w:r>
              <w:rPr/>
              <w:t>Some actions may be categorically impermissible</w:t>
            </w:r>
          </w:p>
        </w:tc>
        <w:tc>
          <w:tcPr>
            <w:tcW w:w="3280" w:type="dxa"/>
            <w:tcBorders/>
            <w:vAlign w:val="center"/>
          </w:tcPr>
          <w:p>
            <w:pPr>
              <w:pStyle w:val="TableContents"/>
              <w:widowControl w:val="false"/>
              <w:suppressLineNumbers/>
              <w:spacing w:before="0" w:after="200"/>
              <w:rPr/>
            </w:pPr>
            <w:r>
              <w:rPr/>
              <w:t>Requires explicit hard constraints to produce categorical exclusions</w:t>
            </w:r>
          </w:p>
        </w:tc>
      </w:tr>
      <w:tr>
        <w:trPr/>
        <w:tc>
          <w:tcPr>
            <w:tcW w:w="1913" w:type="dxa"/>
            <w:tcBorders/>
            <w:vAlign w:val="center"/>
          </w:tcPr>
          <w:p>
            <w:pPr>
              <w:pStyle w:val="TableContents"/>
              <w:widowControl w:val="false"/>
              <w:suppressLineNumbers/>
              <w:spacing w:before="0" w:after="200"/>
              <w:rPr/>
            </w:pPr>
            <w:r>
              <w:rPr>
                <w:rStyle w:val="Strong"/>
              </w:rPr>
              <w:t>Action analysis</w:t>
            </w:r>
          </w:p>
        </w:tc>
        <w:tc>
          <w:tcPr>
            <w:tcW w:w="3447" w:type="dxa"/>
            <w:tcBorders/>
            <w:vAlign w:val="center"/>
          </w:tcPr>
          <w:p>
            <w:pPr>
              <w:pStyle w:val="TableContents"/>
              <w:widowControl w:val="false"/>
              <w:suppressLineNumbers/>
              <w:spacing w:before="0" w:after="200"/>
              <w:rPr/>
            </w:pPr>
            <w:r>
              <w:rPr/>
              <w:t>Object, intention, circumstances, and relation to basic goods</w:t>
            </w:r>
          </w:p>
        </w:tc>
        <w:tc>
          <w:tcPr>
            <w:tcW w:w="3280" w:type="dxa"/>
            <w:tcBorders/>
            <w:vAlign w:val="center"/>
          </w:tcPr>
          <w:p>
            <w:pPr>
              <w:pStyle w:val="TableContents"/>
              <w:widowControl w:val="false"/>
              <w:suppressLineNumbers/>
              <w:spacing w:before="0" w:after="200"/>
              <w:rPr/>
            </w:pPr>
            <w:r>
              <w:rPr/>
              <w:t>Objectives, means, effects, context, uncertainty, and responsibility</w:t>
            </w:r>
          </w:p>
        </w:tc>
      </w:tr>
      <w:tr>
        <w:trPr/>
        <w:tc>
          <w:tcPr>
            <w:tcW w:w="1913" w:type="dxa"/>
            <w:tcBorders/>
            <w:vAlign w:val="center"/>
          </w:tcPr>
          <w:p>
            <w:pPr>
              <w:pStyle w:val="TableContents"/>
              <w:widowControl w:val="false"/>
              <w:suppressLineNumbers/>
              <w:spacing w:before="0" w:after="200"/>
              <w:rPr/>
            </w:pPr>
            <w:r>
              <w:rPr>
                <w:rStyle w:val="Strong"/>
              </w:rPr>
              <w:t>Metaphysics</w:t>
            </w:r>
          </w:p>
        </w:tc>
        <w:tc>
          <w:tcPr>
            <w:tcW w:w="3447" w:type="dxa"/>
            <w:tcBorders/>
            <w:vAlign w:val="center"/>
          </w:tcPr>
          <w:p>
            <w:pPr>
              <w:pStyle w:val="TableContents"/>
              <w:widowControl w:val="false"/>
              <w:suppressLineNumbers/>
              <w:spacing w:before="0" w:after="200"/>
              <w:rPr/>
            </w:pPr>
            <w:r>
              <w:rPr/>
              <w:t>Often teleological and sometimes explicitly theological</w:t>
            </w:r>
          </w:p>
        </w:tc>
        <w:tc>
          <w:tcPr>
            <w:tcW w:w="3280" w:type="dxa"/>
            <w:tcBorders/>
            <w:vAlign w:val="center"/>
          </w:tcPr>
          <w:p>
            <w:pPr>
              <w:pStyle w:val="TableContents"/>
              <w:widowControl w:val="false"/>
              <w:suppressLineNumbers/>
              <w:spacing w:before="0" w:after="200"/>
              <w:rPr/>
            </w:pPr>
            <w:r>
              <w:rPr/>
              <w:t>Metaphysically and implementation neutral</w:t>
            </w:r>
          </w:p>
        </w:tc>
      </w:tr>
      <w:tr>
        <w:trPr/>
        <w:tc>
          <w:tcPr>
            <w:tcW w:w="1913" w:type="dxa"/>
            <w:tcBorders/>
            <w:vAlign w:val="center"/>
          </w:tcPr>
          <w:p>
            <w:pPr>
              <w:pStyle w:val="TableContents"/>
              <w:widowControl w:val="false"/>
              <w:suppressLineNumbers/>
              <w:spacing w:before="0" w:after="200"/>
              <w:rPr/>
            </w:pPr>
            <w:r>
              <w:rPr>
                <w:rStyle w:val="Strong"/>
              </w:rPr>
              <w:t>Knowledge of principles</w:t>
            </w:r>
          </w:p>
        </w:tc>
        <w:tc>
          <w:tcPr>
            <w:tcW w:w="3447" w:type="dxa"/>
            <w:tcBorders/>
            <w:vAlign w:val="center"/>
          </w:tcPr>
          <w:p>
            <w:pPr>
              <w:pStyle w:val="TableContents"/>
              <w:widowControl w:val="false"/>
              <w:suppressLineNumbers/>
              <w:spacing w:before="0" w:after="200"/>
              <w:rPr/>
            </w:pPr>
            <w:r>
              <w:rPr/>
              <w:t>First principles of practical reason may be treated as self-evident or naturally knowable</w:t>
            </w:r>
          </w:p>
        </w:tc>
        <w:tc>
          <w:tcPr>
            <w:tcW w:w="3280" w:type="dxa"/>
            <w:tcBorders/>
            <w:vAlign w:val="center"/>
          </w:tcPr>
          <w:p>
            <w:pPr>
              <w:pStyle w:val="TableContents"/>
              <w:widowControl w:val="false"/>
              <w:suppressLineNumbers/>
              <w:spacing w:before="0" w:after="200"/>
              <w:rPr/>
            </w:pPr>
            <w:r>
              <w:rPr/>
              <w:t>Ethical conclusions are derived from the Foundational Axiom and the best available contextual evidence</w:t>
            </w:r>
          </w:p>
        </w:tc>
      </w:tr>
      <w:tr>
        <w:trPr/>
        <w:tc>
          <w:tcPr>
            <w:tcW w:w="1913" w:type="dxa"/>
            <w:tcBorders/>
            <w:vAlign w:val="center"/>
          </w:tcPr>
          <w:p>
            <w:pPr>
              <w:pStyle w:val="TableContents"/>
              <w:widowControl w:val="false"/>
              <w:suppressLineNumbers/>
              <w:spacing w:before="0" w:after="200"/>
              <w:rPr/>
            </w:pPr>
            <w:r>
              <w:rPr>
                <w:rStyle w:val="Strong"/>
              </w:rPr>
              <w:t>Common good</w:t>
            </w:r>
          </w:p>
        </w:tc>
        <w:tc>
          <w:tcPr>
            <w:tcW w:w="3447" w:type="dxa"/>
            <w:tcBorders/>
            <w:vAlign w:val="center"/>
          </w:tcPr>
          <w:p>
            <w:pPr>
              <w:pStyle w:val="TableContents"/>
              <w:widowControl w:val="false"/>
              <w:suppressLineNumbers/>
              <w:spacing w:before="0" w:after="200"/>
              <w:rPr/>
            </w:pPr>
            <w:r>
              <w:rPr/>
              <w:t>Conditions enabling persons and communities to participate in basic human goods</w:t>
            </w:r>
          </w:p>
        </w:tc>
        <w:tc>
          <w:tcPr>
            <w:tcW w:w="3280" w:type="dxa"/>
            <w:tcBorders/>
            <w:vAlign w:val="center"/>
          </w:tcPr>
          <w:p>
            <w:pPr>
              <w:pStyle w:val="TableContents"/>
              <w:widowControl w:val="false"/>
              <w:suppressLineNumbers/>
              <w:spacing w:before="0" w:after="200"/>
              <w:rPr/>
            </w:pPr>
            <w:r>
              <w:rPr/>
              <w:t>Flourishing of the relevant World Context and its constituent entities</w:t>
            </w:r>
          </w:p>
        </w:tc>
      </w:tr>
      <w:tr>
        <w:trPr/>
        <w:tc>
          <w:tcPr>
            <w:tcW w:w="1913" w:type="dxa"/>
            <w:tcBorders/>
            <w:vAlign w:val="center"/>
          </w:tcPr>
          <w:p>
            <w:pPr>
              <w:pStyle w:val="TableContents"/>
              <w:widowControl w:val="false"/>
              <w:suppressLineNumbers/>
              <w:spacing w:before="0" w:after="200"/>
              <w:rPr/>
            </w:pPr>
            <w:r>
              <w:rPr>
                <w:rStyle w:val="Strong"/>
              </w:rPr>
              <w:t>Legal theory</w:t>
            </w:r>
          </w:p>
        </w:tc>
        <w:tc>
          <w:tcPr>
            <w:tcW w:w="3447" w:type="dxa"/>
            <w:tcBorders/>
            <w:vAlign w:val="center"/>
          </w:tcPr>
          <w:p>
            <w:pPr>
              <w:pStyle w:val="TableContents"/>
              <w:widowControl w:val="false"/>
              <w:suppressLineNumbers/>
              <w:spacing w:before="0" w:after="200"/>
              <w:rPr/>
            </w:pPr>
            <w:r>
              <w:rPr/>
              <w:t>Law’s moral authority depends on reason, common good, legitimate authority, and promulgation</w:t>
            </w:r>
          </w:p>
        </w:tc>
        <w:tc>
          <w:tcPr>
            <w:tcW w:w="3280" w:type="dxa"/>
            <w:tcBorders/>
            <w:vAlign w:val="center"/>
          </w:tcPr>
          <w:p>
            <w:pPr>
              <w:pStyle w:val="TableContents"/>
              <w:widowControl w:val="false"/>
              <w:suppressLineNumbers/>
              <w:spacing w:before="0" w:after="200"/>
              <w:rPr/>
            </w:pPr>
            <w:r>
              <w:rPr/>
              <w:t>Law is one institutional constraint whose ethical effects and legitimacy must be evaluated</w:t>
            </w:r>
          </w:p>
        </w:tc>
      </w:tr>
      <w:tr>
        <w:trPr/>
        <w:tc>
          <w:tcPr>
            <w:tcW w:w="1913" w:type="dxa"/>
            <w:tcBorders/>
            <w:vAlign w:val="center"/>
          </w:tcPr>
          <w:p>
            <w:pPr>
              <w:pStyle w:val="TableContents"/>
              <w:widowControl w:val="false"/>
              <w:suppressLineNumbers/>
              <w:spacing w:before="0" w:after="200"/>
              <w:rPr/>
            </w:pPr>
            <w:r>
              <w:rPr>
                <w:rStyle w:val="Strong"/>
              </w:rPr>
              <w:t>Moral scope beyond humanity</w:t>
            </w:r>
          </w:p>
        </w:tc>
        <w:tc>
          <w:tcPr>
            <w:tcW w:w="3447" w:type="dxa"/>
            <w:tcBorders/>
            <w:vAlign w:val="center"/>
          </w:tcPr>
          <w:p>
            <w:pPr>
              <w:pStyle w:val="TableContents"/>
              <w:widowControl w:val="false"/>
              <w:suppressLineNumbers/>
              <w:spacing w:before="0" w:after="200"/>
              <w:rPr/>
            </w:pPr>
            <w:r>
              <w:rPr/>
              <w:t>Traditionally human-centered, although extensions are possible</w:t>
            </w:r>
          </w:p>
        </w:tc>
        <w:tc>
          <w:tcPr>
            <w:tcW w:w="3280" w:type="dxa"/>
            <w:tcBorders/>
            <w:vAlign w:val="center"/>
          </w:tcPr>
          <w:p>
            <w:pPr>
              <w:pStyle w:val="TableContents"/>
              <w:widowControl w:val="false"/>
              <w:suppressLineNumbers/>
              <w:spacing w:before="0" w:after="200"/>
              <w:rPr/>
            </w:pPr>
            <w:r>
              <w:rPr/>
              <w:t>Explicitly capable of including nonhuman, ecological, artificial, and collective entities</w:t>
            </w:r>
          </w:p>
        </w:tc>
      </w:tr>
      <w:tr>
        <w:trPr/>
        <w:tc>
          <w:tcPr>
            <w:tcW w:w="1913" w:type="dxa"/>
            <w:tcBorders/>
            <w:vAlign w:val="center"/>
          </w:tcPr>
          <w:p>
            <w:pPr>
              <w:pStyle w:val="TableContents"/>
              <w:widowControl w:val="false"/>
              <w:suppressLineNumbers/>
              <w:spacing w:before="0" w:after="200"/>
              <w:rPr/>
            </w:pPr>
            <w:r>
              <w:rPr>
                <w:rStyle w:val="Strong"/>
              </w:rPr>
              <w:t>Uncertainty</w:t>
            </w:r>
          </w:p>
        </w:tc>
        <w:tc>
          <w:tcPr>
            <w:tcW w:w="3447" w:type="dxa"/>
            <w:tcBorders/>
            <w:vAlign w:val="center"/>
          </w:tcPr>
          <w:p>
            <w:pPr>
              <w:pStyle w:val="TableContents"/>
              <w:widowControl w:val="false"/>
              <w:suppressLineNumbers/>
              <w:spacing w:before="0" w:after="200"/>
              <w:rPr/>
            </w:pPr>
            <w:r>
              <w:rPr/>
              <w:t>Practical wisdom applies general principles to uncertain circumstances</w:t>
            </w:r>
          </w:p>
        </w:tc>
        <w:tc>
          <w:tcPr>
            <w:tcW w:w="3280" w:type="dxa"/>
            <w:tcBorders/>
            <w:vAlign w:val="center"/>
          </w:tcPr>
          <w:p>
            <w:pPr>
              <w:pStyle w:val="TableContents"/>
              <w:widowControl w:val="false"/>
              <w:suppressLineNumbers/>
              <w:spacing w:before="0" w:after="200"/>
              <w:rPr/>
            </w:pPr>
            <w:r>
              <w:rPr/>
              <w:t>Probability and evidentiary uncertainty are explicit architectural components</w:t>
            </w:r>
          </w:p>
        </w:tc>
      </w:tr>
      <w:tr>
        <w:trPr/>
        <w:tc>
          <w:tcPr>
            <w:tcW w:w="1913" w:type="dxa"/>
            <w:tcBorders/>
            <w:vAlign w:val="center"/>
          </w:tcPr>
          <w:p>
            <w:pPr>
              <w:pStyle w:val="TableContents"/>
              <w:widowControl w:val="false"/>
              <w:suppressLineNumbers/>
              <w:spacing w:before="0" w:after="200"/>
              <w:rPr/>
            </w:pPr>
            <w:r>
              <w:rPr>
                <w:rStyle w:val="Strong"/>
              </w:rPr>
              <w:t>Adaptation</w:t>
            </w:r>
          </w:p>
        </w:tc>
        <w:tc>
          <w:tcPr>
            <w:tcW w:w="3447" w:type="dxa"/>
            <w:tcBorders/>
            <w:vAlign w:val="center"/>
          </w:tcPr>
          <w:p>
            <w:pPr>
              <w:pStyle w:val="TableContents"/>
              <w:widowControl w:val="false"/>
              <w:suppressLineNumbers/>
              <w:spacing w:before="0" w:after="200"/>
              <w:rPr/>
            </w:pPr>
            <w:r>
              <w:rPr/>
              <w:t>Human nature provides a relatively stable normative reference</w:t>
            </w:r>
          </w:p>
        </w:tc>
        <w:tc>
          <w:tcPr>
            <w:tcW w:w="3280" w:type="dxa"/>
            <w:tcBorders/>
            <w:vAlign w:val="center"/>
          </w:tcPr>
          <w:p>
            <w:pPr>
              <w:pStyle w:val="TableContents"/>
              <w:widowControl w:val="false"/>
              <w:suppressLineNumbers/>
              <w:spacing w:before="0" w:after="200"/>
              <w:rPr/>
            </w:pPr>
            <w:r>
              <w:rPr/>
              <w:t>Entities and moral agents may adapt and transform substantially over time</w:t>
            </w:r>
          </w:p>
        </w:tc>
      </w:tr>
      <w:tr>
        <w:trPr/>
        <w:tc>
          <w:tcPr>
            <w:tcW w:w="1913" w:type="dxa"/>
            <w:tcBorders/>
            <w:vAlign w:val="center"/>
          </w:tcPr>
          <w:p>
            <w:pPr>
              <w:pStyle w:val="TableContents"/>
              <w:widowControl w:val="false"/>
              <w:suppressLineNumbers/>
              <w:spacing w:before="0" w:after="200"/>
              <w:rPr/>
            </w:pPr>
            <w:r>
              <w:rPr>
                <w:rStyle w:val="Strong"/>
              </w:rPr>
              <w:t>Output</w:t>
            </w:r>
          </w:p>
        </w:tc>
        <w:tc>
          <w:tcPr>
            <w:tcW w:w="3447" w:type="dxa"/>
            <w:tcBorders/>
            <w:vAlign w:val="center"/>
          </w:tcPr>
          <w:p>
            <w:pPr>
              <w:pStyle w:val="TableContents"/>
              <w:widowControl w:val="false"/>
              <w:suppressLineNumbers/>
              <w:spacing w:before="0" w:after="200"/>
              <w:rPr/>
            </w:pPr>
            <w:r>
              <w:rPr/>
              <w:t>Right or wrong action, virtue, obligation, just law, or defective law</w:t>
            </w:r>
          </w:p>
        </w:tc>
        <w:tc>
          <w:tcPr>
            <w:tcW w:w="3280" w:type="dxa"/>
            <w:tcBorders/>
            <w:vAlign w:val="center"/>
          </w:tcPr>
          <w:p>
            <w:pPr>
              <w:pStyle w:val="TableContents"/>
              <w:widowControl w:val="false"/>
              <w:suppressLineNumbers/>
              <w:spacing w:before="0" w:after="200"/>
              <w:rPr/>
            </w:pPr>
            <w:r>
              <w:rPr/>
              <w:t>A broader assessment of transition quality, responsibility, constraints, and systemic effects</w:t>
            </w:r>
          </w:p>
        </w:tc>
      </w:tr>
    </w:tbl>
    <w:p>
      <w:pPr>
        <w:pStyle w:val="Heading4"/>
        <w:ind w:hanging="0" w:left="0"/>
        <w:rPr>
          <w:rFonts w:ascii="Aptos" w:hAnsi="Aptos"/>
          <w:color w:val="auto"/>
        </w:rPr>
      </w:pPr>
      <w:r>
        <w:rPr/>
        <w:t>Potential Integration Opportunities</w:t>
      </w:r>
    </w:p>
    <w:p>
      <w:pPr>
        <w:pStyle w:val="BodyText"/>
        <w:spacing w:before="0" w:after="200"/>
        <w:rPr/>
      </w:pPr>
      <w:r>
        <w:rPr/>
        <w:t>The framework could integrate Natural Law more explicitly through the following extensions:</w:t>
      </w:r>
    </w:p>
    <w:p>
      <w:pPr>
        <w:pStyle w:val="BodyText"/>
        <w:numPr>
          <w:ilvl w:val="0"/>
          <w:numId w:val="117"/>
        </w:numPr>
        <w:tabs>
          <w:tab w:val="clear" w:pos="720"/>
          <w:tab w:val="left" w:pos="0" w:leader="none"/>
        </w:tabs>
        <w:spacing w:before="0" w:after="200"/>
        <w:ind w:hanging="283" w:left="709"/>
        <w:rPr/>
      </w:pPr>
      <w:r>
        <w:rPr>
          <w:rStyle w:val="Strong"/>
        </w:rPr>
        <w:t>Add a formal basic-goods ontology.</w:t>
      </w:r>
      <w:r>
        <w:rPr/>
        <w:t xml:space="preserve"> The framework could distinguish life, health, knowledge, practical agency, sociability, aesthetic experience, play, meaning, and other candidate intrinsic goods.</w:t>
      </w:r>
    </w:p>
    <w:p>
      <w:pPr>
        <w:pStyle w:val="BodyText"/>
        <w:numPr>
          <w:ilvl w:val="0"/>
          <w:numId w:val="117"/>
        </w:numPr>
        <w:tabs>
          <w:tab w:val="clear" w:pos="720"/>
          <w:tab w:val="left" w:pos="0" w:leader="none"/>
        </w:tabs>
        <w:spacing w:before="0" w:after="200"/>
        <w:ind w:hanging="283" w:left="709"/>
        <w:rPr/>
      </w:pPr>
      <w:r>
        <w:rPr>
          <w:rStyle w:val="Strong"/>
        </w:rPr>
        <w:t>Separate intrinsic and instrumental value.</w:t>
      </w:r>
      <w:r>
        <w:rPr/>
        <w:t xml:space="preserve"> A condition could be identified as valuable in itself, valuable as a means, or both.</w:t>
      </w:r>
    </w:p>
    <w:p>
      <w:pPr>
        <w:pStyle w:val="BodyText"/>
        <w:numPr>
          <w:ilvl w:val="0"/>
          <w:numId w:val="117"/>
        </w:numPr>
        <w:tabs>
          <w:tab w:val="clear" w:pos="720"/>
          <w:tab w:val="left" w:pos="0" w:leader="none"/>
        </w:tabs>
        <w:spacing w:before="0" w:after="200"/>
        <w:ind w:hanging="283" w:left="709"/>
        <w:rPr/>
      </w:pPr>
      <w:r>
        <w:rPr>
          <w:rStyle w:val="Strong"/>
        </w:rPr>
        <w:t>Require a basic-goods impact assessment.</w:t>
      </w:r>
      <w:r>
        <w:rPr/>
        <w:t xml:space="preserve"> Each Assessed Action could identify which goods are promoted, protected, burdened, instrumentalized, or directly attacked.</w:t>
      </w:r>
    </w:p>
    <w:p>
      <w:pPr>
        <w:pStyle w:val="BodyText"/>
        <w:numPr>
          <w:ilvl w:val="0"/>
          <w:numId w:val="117"/>
        </w:numPr>
        <w:tabs>
          <w:tab w:val="clear" w:pos="720"/>
          <w:tab w:val="left" w:pos="0" w:leader="none"/>
        </w:tabs>
        <w:spacing w:before="0" w:after="200"/>
        <w:ind w:hanging="283" w:left="709"/>
        <w:rPr/>
      </w:pPr>
      <w:r>
        <w:rPr>
          <w:rStyle w:val="Strong"/>
        </w:rPr>
        <w:t>Preserve the plurality of goods.</w:t>
      </w:r>
      <w:r>
        <w:rPr/>
        <w:t xml:space="preserve"> The framework should avoid converting every good into a single interchangeable score.</w:t>
      </w:r>
    </w:p>
    <w:p>
      <w:pPr>
        <w:pStyle w:val="BodyText"/>
        <w:numPr>
          <w:ilvl w:val="0"/>
          <w:numId w:val="117"/>
        </w:numPr>
        <w:tabs>
          <w:tab w:val="clear" w:pos="720"/>
          <w:tab w:val="left" w:pos="0" w:leader="none"/>
        </w:tabs>
        <w:spacing w:before="0" w:after="200"/>
        <w:ind w:hanging="283" w:left="709"/>
        <w:rPr/>
      </w:pPr>
      <w:r>
        <w:rPr>
          <w:rStyle w:val="Strong"/>
        </w:rPr>
        <w:t>Add an action-object analysis.</w:t>
      </w:r>
      <w:r>
        <w:rPr/>
        <w:t xml:space="preserve"> The system should identify what the actor is actually choosing to do, not only the outcome the actor hopes to achieve.</w:t>
      </w:r>
    </w:p>
    <w:p>
      <w:pPr>
        <w:pStyle w:val="BodyText"/>
        <w:numPr>
          <w:ilvl w:val="0"/>
          <w:numId w:val="117"/>
        </w:numPr>
        <w:tabs>
          <w:tab w:val="clear" w:pos="720"/>
          <w:tab w:val="left" w:pos="0" w:leader="none"/>
        </w:tabs>
        <w:spacing w:before="0" w:after="200"/>
        <w:ind w:hanging="283" w:left="709"/>
        <w:rPr/>
      </w:pPr>
      <w:r>
        <w:rPr>
          <w:rStyle w:val="Strong"/>
        </w:rPr>
        <w:t>Separate object, intention, means, and circumstances.</w:t>
      </w:r>
      <w:r>
        <w:rPr/>
        <w:t xml:space="preserve"> This would prevent a beneficial objective from concealing an impermissible means.</w:t>
      </w:r>
    </w:p>
    <w:p>
      <w:pPr>
        <w:pStyle w:val="BodyText"/>
        <w:numPr>
          <w:ilvl w:val="0"/>
          <w:numId w:val="117"/>
        </w:numPr>
        <w:tabs>
          <w:tab w:val="clear" w:pos="720"/>
          <w:tab w:val="left" w:pos="0" w:leader="none"/>
        </w:tabs>
        <w:spacing w:before="0" w:after="200"/>
        <w:ind w:hanging="283" w:left="709"/>
        <w:rPr/>
      </w:pPr>
      <w:r>
        <w:rPr>
          <w:rStyle w:val="Strong"/>
        </w:rPr>
        <w:t>Add a direct-attack test.</w:t>
      </w:r>
      <w:r>
        <w:rPr/>
        <w:t xml:space="preserve"> The framework could ask whether harm to a protected good is selected as an end or means rather than merely foreseen.</w:t>
      </w:r>
    </w:p>
    <w:p>
      <w:pPr>
        <w:pStyle w:val="BodyText"/>
        <w:numPr>
          <w:ilvl w:val="0"/>
          <w:numId w:val="117"/>
        </w:numPr>
        <w:tabs>
          <w:tab w:val="clear" w:pos="720"/>
          <w:tab w:val="left" w:pos="0" w:leader="none"/>
        </w:tabs>
        <w:spacing w:before="0" w:after="200"/>
        <w:ind w:hanging="283" w:left="709"/>
        <w:rPr/>
      </w:pPr>
      <w:r>
        <w:rPr>
          <w:rStyle w:val="Strong"/>
        </w:rPr>
        <w:t>Formalize a double-effect assessment.</w:t>
      </w:r>
      <w:r>
        <w:rPr/>
        <w:t xml:space="preserve"> A proposed action involving harmful side effects could be evaluated for:</w:t>
      </w:r>
    </w:p>
    <w:p>
      <w:pPr>
        <w:pStyle w:val="BodyText"/>
        <w:numPr>
          <w:ilvl w:val="1"/>
          <w:numId w:val="117"/>
        </w:numPr>
        <w:tabs>
          <w:tab w:val="clear" w:pos="720"/>
          <w:tab w:val="left" w:pos="0" w:leader="none"/>
        </w:tabs>
        <w:spacing w:before="0" w:after="200"/>
        <w:ind w:hanging="283" w:left="1418"/>
        <w:rPr/>
      </w:pPr>
      <w:r>
        <w:rPr/>
        <w:t>The moral character of the selected action;</w:t>
      </w:r>
    </w:p>
    <w:p>
      <w:pPr>
        <w:pStyle w:val="BodyText"/>
        <w:numPr>
          <w:ilvl w:val="1"/>
          <w:numId w:val="117"/>
        </w:numPr>
        <w:tabs>
          <w:tab w:val="clear" w:pos="720"/>
          <w:tab w:val="left" w:pos="0" w:leader="none"/>
        </w:tabs>
        <w:spacing w:before="0" w:after="200"/>
        <w:ind w:hanging="283" w:left="1418"/>
        <w:rPr/>
      </w:pPr>
      <w:r>
        <w:rPr/>
        <w:t>Whether the harm is intended;</w:t>
      </w:r>
    </w:p>
    <w:p>
      <w:pPr>
        <w:pStyle w:val="BodyText"/>
        <w:numPr>
          <w:ilvl w:val="1"/>
          <w:numId w:val="117"/>
        </w:numPr>
        <w:tabs>
          <w:tab w:val="clear" w:pos="720"/>
          <w:tab w:val="left" w:pos="0" w:leader="none"/>
        </w:tabs>
        <w:spacing w:before="0" w:after="200"/>
        <w:ind w:hanging="283" w:left="1418"/>
        <w:rPr/>
      </w:pPr>
      <w:r>
        <w:rPr/>
        <w:t>Whether the harm is used as a means;</w:t>
      </w:r>
    </w:p>
    <w:p>
      <w:pPr>
        <w:pStyle w:val="BodyText"/>
        <w:numPr>
          <w:ilvl w:val="1"/>
          <w:numId w:val="117"/>
        </w:numPr>
        <w:tabs>
          <w:tab w:val="clear" w:pos="720"/>
          <w:tab w:val="left" w:pos="0" w:leader="none"/>
        </w:tabs>
        <w:spacing w:before="0" w:after="200"/>
        <w:ind w:hanging="283" w:left="1418"/>
        <w:rPr/>
      </w:pPr>
      <w:r>
        <w:rPr/>
        <w:t>The seriousness of the reason for acting;</w:t>
      </w:r>
    </w:p>
    <w:p>
      <w:pPr>
        <w:pStyle w:val="BodyText"/>
        <w:numPr>
          <w:ilvl w:val="1"/>
          <w:numId w:val="117"/>
        </w:numPr>
        <w:tabs>
          <w:tab w:val="clear" w:pos="720"/>
          <w:tab w:val="left" w:pos="0" w:leader="none"/>
        </w:tabs>
        <w:spacing w:before="0" w:after="200"/>
        <w:ind w:hanging="283" w:left="1418"/>
        <w:rPr/>
      </w:pPr>
      <w:r>
        <w:rPr/>
        <w:t>Proportionality;</w:t>
      </w:r>
    </w:p>
    <w:p>
      <w:pPr>
        <w:pStyle w:val="BodyText"/>
        <w:numPr>
          <w:ilvl w:val="1"/>
          <w:numId w:val="117"/>
        </w:numPr>
        <w:tabs>
          <w:tab w:val="clear" w:pos="720"/>
          <w:tab w:val="left" w:pos="0" w:leader="none"/>
        </w:tabs>
        <w:spacing w:before="0" w:after="200"/>
        <w:ind w:hanging="283" w:left="1418"/>
        <w:rPr/>
      </w:pPr>
      <w:r>
        <w:rPr/>
        <w:t>Availability of less harmful alternatives; and</w:t>
      </w:r>
    </w:p>
    <w:p>
      <w:pPr>
        <w:pStyle w:val="BodyText"/>
        <w:numPr>
          <w:ilvl w:val="1"/>
          <w:numId w:val="117"/>
        </w:numPr>
        <w:tabs>
          <w:tab w:val="clear" w:pos="720"/>
          <w:tab w:val="left" w:pos="0" w:leader="none"/>
        </w:tabs>
        <w:spacing w:before="0" w:after="200"/>
        <w:ind w:hanging="283" w:left="1418"/>
        <w:rPr/>
      </w:pPr>
      <w:r>
        <w:rPr/>
        <w:t>Efforts to minimize the side effect.</w:t>
      </w:r>
    </w:p>
    <w:p>
      <w:pPr>
        <w:pStyle w:val="BodyText"/>
        <w:numPr>
          <w:ilvl w:val="0"/>
          <w:numId w:val="117"/>
        </w:numPr>
        <w:tabs>
          <w:tab w:val="clear" w:pos="720"/>
          <w:tab w:val="left" w:pos="0" w:leader="none"/>
        </w:tabs>
        <w:spacing w:before="0" w:after="200"/>
        <w:ind w:hanging="283" w:left="709"/>
        <w:rPr/>
      </w:pPr>
      <w:r>
        <w:rPr>
          <w:rStyle w:val="Strong"/>
        </w:rPr>
        <w:t>Add hard and presumptive constraints.</w:t>
      </w:r>
      <w:r>
        <w:rPr/>
        <w:t xml:space="preserve"> The system could distinguish categorical prohibitions from strong but defeasible protections.</w:t>
      </w:r>
    </w:p>
    <w:p>
      <w:pPr>
        <w:pStyle w:val="BodyText"/>
        <w:numPr>
          <w:ilvl w:val="0"/>
          <w:numId w:val="117"/>
        </w:numPr>
        <w:tabs>
          <w:tab w:val="clear" w:pos="720"/>
          <w:tab w:val="left" w:pos="0" w:leader="none"/>
        </w:tabs>
        <w:spacing w:before="0" w:after="200"/>
        <w:ind w:hanging="283" w:left="709"/>
        <w:rPr/>
      </w:pPr>
      <w:r>
        <w:rPr>
          <w:rStyle w:val="Strong"/>
        </w:rPr>
        <w:t>Add practical-reasonableness criteria.</w:t>
      </w:r>
      <w:r>
        <w:rPr/>
        <w:t xml:space="preserve"> Assessments could examine coherence of the agent’s plan, arbitrary preference among persons, arbitrary neglect of goods, commitment, proportionality, efficiency, and consistency with the common good.</w:t>
      </w:r>
    </w:p>
    <w:p>
      <w:pPr>
        <w:pStyle w:val="BodyText"/>
        <w:numPr>
          <w:ilvl w:val="0"/>
          <w:numId w:val="117"/>
        </w:numPr>
        <w:tabs>
          <w:tab w:val="clear" w:pos="720"/>
          <w:tab w:val="left" w:pos="0" w:leader="none"/>
        </w:tabs>
        <w:spacing w:before="0" w:after="200"/>
        <w:ind w:hanging="283" w:left="709"/>
        <w:rPr/>
      </w:pPr>
      <w:r>
        <w:rPr>
          <w:rStyle w:val="Strong"/>
        </w:rPr>
        <w:t>Formalize the common good.</w:t>
      </w:r>
      <w:r>
        <w:rPr/>
        <w:t xml:space="preserve"> Institutions could be evaluated for whether they create shared conditions enabling diverse entities to participate in relevant goods.</w:t>
      </w:r>
    </w:p>
    <w:p>
      <w:pPr>
        <w:pStyle w:val="BodyText"/>
        <w:numPr>
          <w:ilvl w:val="0"/>
          <w:numId w:val="117"/>
        </w:numPr>
        <w:tabs>
          <w:tab w:val="clear" w:pos="720"/>
          <w:tab w:val="left" w:pos="0" w:leader="none"/>
        </w:tabs>
        <w:spacing w:before="0" w:after="200"/>
        <w:ind w:hanging="283" w:left="709"/>
        <w:rPr/>
      </w:pPr>
      <w:r>
        <w:rPr>
          <w:rStyle w:val="Strong"/>
        </w:rPr>
        <w:t>Distinguish common good from aggregate benefit.</w:t>
      </w:r>
      <w:r>
        <w:rPr/>
        <w:t xml:space="preserve"> A policy should not qualify as serving the common good merely because total measured benefit increases.</w:t>
      </w:r>
    </w:p>
    <w:p>
      <w:pPr>
        <w:pStyle w:val="BodyText"/>
        <w:numPr>
          <w:ilvl w:val="0"/>
          <w:numId w:val="117"/>
        </w:numPr>
        <w:tabs>
          <w:tab w:val="clear" w:pos="720"/>
          <w:tab w:val="left" w:pos="0" w:leader="none"/>
        </w:tabs>
        <w:spacing w:before="0" w:after="200"/>
        <w:ind w:hanging="283" w:left="709"/>
        <w:rPr/>
      </w:pPr>
      <w:r>
        <w:rPr>
          <w:rStyle w:val="Strong"/>
        </w:rPr>
        <w:t>Add moral and legal authority fields.</w:t>
      </w:r>
      <w:r>
        <w:rPr/>
        <w:t xml:space="preserve"> A rule could be legally valid, institutionally enforceable, morally justified, morally defective, or subject to justified resistance.</w:t>
      </w:r>
    </w:p>
    <w:p>
      <w:pPr>
        <w:pStyle w:val="BodyText"/>
        <w:numPr>
          <w:ilvl w:val="0"/>
          <w:numId w:val="117"/>
        </w:numPr>
        <w:tabs>
          <w:tab w:val="clear" w:pos="720"/>
          <w:tab w:val="left" w:pos="0" w:leader="none"/>
        </w:tabs>
        <w:spacing w:before="0" w:after="200"/>
        <w:ind w:hanging="283" w:left="709"/>
        <w:rPr/>
      </w:pPr>
      <w:r>
        <w:rPr>
          <w:rStyle w:val="Strong"/>
        </w:rPr>
        <w:t>Evaluate lawmaking through Natural Law criteria.</w:t>
      </w:r>
      <w:r>
        <w:rPr/>
        <w:t xml:space="preserve"> Relevant fields could include rational purpose, legitimate authority, common-good orientation, promulgation, consistency, and proportionality.</w:t>
      </w:r>
    </w:p>
    <w:p>
      <w:pPr>
        <w:pStyle w:val="BodyText"/>
        <w:numPr>
          <w:ilvl w:val="0"/>
          <w:numId w:val="117"/>
        </w:numPr>
        <w:tabs>
          <w:tab w:val="clear" w:pos="720"/>
          <w:tab w:val="left" w:pos="0" w:leader="none"/>
        </w:tabs>
        <w:spacing w:before="0" w:after="200"/>
        <w:ind w:hanging="283" w:left="709"/>
        <w:rPr/>
      </w:pPr>
      <w:r>
        <w:rPr>
          <w:rStyle w:val="Strong"/>
        </w:rPr>
        <w:t>Add an unjust-law finding.</w:t>
      </w:r>
      <w:r>
        <w:rPr/>
        <w:t xml:space="preserve"> The system could identify whether a law’s moral defect weakens or eliminates the obligation to comply, while separately recording its legal and coercive status.</w:t>
      </w:r>
    </w:p>
    <w:p>
      <w:pPr>
        <w:pStyle w:val="BodyText"/>
        <w:numPr>
          <w:ilvl w:val="0"/>
          <w:numId w:val="117"/>
        </w:numPr>
        <w:tabs>
          <w:tab w:val="clear" w:pos="720"/>
          <w:tab w:val="left" w:pos="0" w:leader="none"/>
        </w:tabs>
        <w:spacing w:before="0" w:after="200"/>
        <w:ind w:hanging="283" w:left="709"/>
        <w:rPr/>
      </w:pPr>
      <w:r>
        <w:rPr>
          <w:rStyle w:val="Strong"/>
        </w:rPr>
        <w:t>Represent positive law as contextual specification.</w:t>
      </w:r>
      <w:r>
        <w:rPr/>
        <w:t xml:space="preserve"> General ethical commitments can permit multiple legitimate institutional implementations.</w:t>
      </w:r>
    </w:p>
    <w:p>
      <w:pPr>
        <w:pStyle w:val="BodyText"/>
        <w:numPr>
          <w:ilvl w:val="0"/>
          <w:numId w:val="117"/>
        </w:numPr>
        <w:tabs>
          <w:tab w:val="clear" w:pos="720"/>
          <w:tab w:val="left" w:pos="0" w:leader="none"/>
        </w:tabs>
        <w:spacing w:before="0" w:after="200"/>
        <w:ind w:hanging="283" w:left="709"/>
        <w:rPr/>
      </w:pPr>
      <w:r>
        <w:rPr>
          <w:rStyle w:val="Strong"/>
        </w:rPr>
        <w:t>Add a human-nature evidence layer.</w:t>
      </w:r>
      <w:r>
        <w:rPr/>
        <w:t xml:space="preserve"> Claims about characteristic human goods or capacities should distinguish philosophical argument, biological evidence, cultural expression, and contested interpretation.</w:t>
      </w:r>
    </w:p>
    <w:p>
      <w:pPr>
        <w:pStyle w:val="BodyText"/>
        <w:numPr>
          <w:ilvl w:val="0"/>
          <w:numId w:val="117"/>
        </w:numPr>
        <w:tabs>
          <w:tab w:val="clear" w:pos="720"/>
          <w:tab w:val="left" w:pos="0" w:leader="none"/>
        </w:tabs>
        <w:spacing w:before="0" w:after="200"/>
        <w:ind w:hanging="283" w:left="709"/>
        <w:rPr/>
      </w:pPr>
      <w:r>
        <w:rPr>
          <w:rStyle w:val="Strong"/>
        </w:rPr>
        <w:t>Avoid simplistic appeals to nature.</w:t>
      </w:r>
      <w:r>
        <w:rPr/>
        <w:t xml:space="preserve"> The system should flag any inference that treats a behavior as morally right merely because it is biologically common or historically persistent.</w:t>
      </w:r>
    </w:p>
    <w:p>
      <w:pPr>
        <w:pStyle w:val="BodyText"/>
        <w:numPr>
          <w:ilvl w:val="0"/>
          <w:numId w:val="117"/>
        </w:numPr>
        <w:tabs>
          <w:tab w:val="clear" w:pos="720"/>
          <w:tab w:val="left" w:pos="0" w:leader="none"/>
        </w:tabs>
        <w:spacing w:before="0" w:after="200"/>
        <w:ind w:hanging="283" w:left="709"/>
        <w:rPr/>
      </w:pPr>
      <w:r>
        <w:rPr>
          <w:rStyle w:val="Strong"/>
        </w:rPr>
        <w:t>Extend characteristic-good analysis beyond humans.</w:t>
      </w:r>
      <w:r>
        <w:rPr/>
        <w:t xml:space="preserve"> Different forms of life and artificial entities may possess different capacities, dependencies, and forms of flourishing.</w:t>
      </w:r>
    </w:p>
    <w:p>
      <w:pPr>
        <w:pStyle w:val="BodyText"/>
        <w:numPr>
          <w:ilvl w:val="0"/>
          <w:numId w:val="117"/>
        </w:numPr>
        <w:tabs>
          <w:tab w:val="clear" w:pos="720"/>
          <w:tab w:val="left" w:pos="0" w:leader="none"/>
        </w:tabs>
        <w:spacing w:before="0" w:after="200"/>
        <w:ind w:hanging="283" w:left="709"/>
        <w:rPr/>
      </w:pPr>
      <w:r>
        <w:rPr>
          <w:rStyle w:val="Strong"/>
        </w:rPr>
        <w:t>Integrate virtue and moral-agent policy.</w:t>
      </w:r>
      <w:r>
        <w:rPr/>
        <w:t xml:space="preserve"> The framework could evaluate whether repeated actions develop practical wisdom, justice, courage, moderation, and reliable concern for relevant goods.</w:t>
      </w:r>
    </w:p>
    <w:p>
      <w:pPr>
        <w:pStyle w:val="BodyText"/>
        <w:numPr>
          <w:ilvl w:val="0"/>
          <w:numId w:val="117"/>
        </w:numPr>
        <w:tabs>
          <w:tab w:val="clear" w:pos="720"/>
          <w:tab w:val="left" w:pos="0" w:leader="none"/>
        </w:tabs>
        <w:spacing w:before="0" w:after="200"/>
        <w:ind w:hanging="283" w:left="709"/>
        <w:rPr/>
      </w:pPr>
      <w:r>
        <w:rPr>
          <w:rStyle w:val="Strong"/>
        </w:rPr>
        <w:t>Add conflict analysis for incommensurable goods.</w:t>
      </w:r>
      <w:r>
        <w:rPr/>
        <w:t xml:space="preserve"> Where goods cannot be converted into a common metric, the system should preserve the conflict and explain the judgment used to resolve it.</w:t>
      </w:r>
    </w:p>
    <w:p>
      <w:pPr>
        <w:pStyle w:val="BodyText"/>
        <w:numPr>
          <w:ilvl w:val="0"/>
          <w:numId w:val="117"/>
        </w:numPr>
        <w:tabs>
          <w:tab w:val="clear" w:pos="720"/>
          <w:tab w:val="left" w:pos="0" w:leader="none"/>
        </w:tabs>
        <w:spacing w:before="0" w:after="200"/>
        <w:ind w:hanging="283" w:left="709"/>
        <w:rPr/>
      </w:pPr>
      <w:r>
        <w:rPr>
          <w:rStyle w:val="Strong"/>
        </w:rPr>
        <w:t>Add institutional subsidiarity analysis.</w:t>
      </w:r>
      <w:r>
        <w:rPr/>
        <w:t xml:space="preserve"> Decisions could be assigned to the lowest competent level while higher institutions provide coordination, protection, and support where necessary.</w:t>
      </w:r>
    </w:p>
    <w:p>
      <w:pPr>
        <w:pStyle w:val="BodyText"/>
        <w:numPr>
          <w:ilvl w:val="0"/>
          <w:numId w:val="117"/>
        </w:numPr>
        <w:tabs>
          <w:tab w:val="clear" w:pos="720"/>
          <w:tab w:val="left" w:pos="0" w:leader="none"/>
        </w:tabs>
        <w:spacing w:before="0" w:after="200"/>
        <w:ind w:hanging="283" w:left="709"/>
        <w:rPr/>
      </w:pPr>
      <w:r>
        <w:rPr>
          <w:rStyle w:val="Strong"/>
        </w:rPr>
        <w:t>Create a moral-disagreement record.</w:t>
      </w:r>
      <w:r>
        <w:rPr/>
        <w:t xml:space="preserve"> Competing accounts of natural goods, human purposes, and categorical constraints should remain visible in the assessment.</w:t>
      </w:r>
    </w:p>
    <w:p>
      <w:pPr>
        <w:pStyle w:val="BodyText"/>
        <w:numPr>
          <w:ilvl w:val="0"/>
          <w:numId w:val="117"/>
        </w:numPr>
        <w:tabs>
          <w:tab w:val="clear" w:pos="720"/>
          <w:tab w:val="left" w:pos="0" w:leader="none"/>
        </w:tabs>
        <w:spacing w:before="0" w:after="200"/>
        <w:ind w:hanging="283" w:left="709"/>
        <w:rPr/>
      </w:pPr>
      <w:r>
        <w:rPr>
          <w:rStyle w:val="Strong"/>
        </w:rPr>
        <w:t>Produce a separate Natural Law finding.</w:t>
      </w:r>
      <w:r>
        <w:rPr/>
        <w:t xml:space="preserve"> Each relevant assessment could report:</w:t>
      </w:r>
    </w:p>
    <w:p>
      <w:pPr>
        <w:pStyle w:val="BodyText"/>
        <w:numPr>
          <w:ilvl w:val="0"/>
          <w:numId w:val="118"/>
        </w:numPr>
        <w:tabs>
          <w:tab w:val="clear" w:pos="720"/>
          <w:tab w:val="left" w:pos="0" w:leader="none"/>
        </w:tabs>
        <w:spacing w:before="0" w:after="200"/>
        <w:ind w:hanging="283" w:left="709"/>
        <w:rPr/>
      </w:pPr>
      <w:r>
        <w:rPr/>
        <w:t>Applicable basic goods;</w:t>
      </w:r>
    </w:p>
    <w:p>
      <w:pPr>
        <w:pStyle w:val="BodyText"/>
        <w:numPr>
          <w:ilvl w:val="0"/>
          <w:numId w:val="118"/>
        </w:numPr>
        <w:tabs>
          <w:tab w:val="clear" w:pos="720"/>
          <w:tab w:val="left" w:pos="0" w:leader="none"/>
        </w:tabs>
        <w:spacing w:before="0" w:after="200"/>
        <w:ind w:hanging="283" w:left="709"/>
        <w:rPr/>
      </w:pPr>
      <w:r>
        <w:rPr/>
        <w:t>The object of the action;</w:t>
      </w:r>
    </w:p>
    <w:p>
      <w:pPr>
        <w:pStyle w:val="BodyText"/>
        <w:numPr>
          <w:ilvl w:val="0"/>
          <w:numId w:val="118"/>
        </w:numPr>
        <w:tabs>
          <w:tab w:val="clear" w:pos="720"/>
          <w:tab w:val="left" w:pos="0" w:leader="none"/>
        </w:tabs>
        <w:spacing w:before="0" w:after="200"/>
        <w:ind w:hanging="283" w:left="709"/>
        <w:rPr/>
      </w:pPr>
      <w:r>
        <w:rPr/>
        <w:t>The actor’s intention;</w:t>
      </w:r>
    </w:p>
    <w:p>
      <w:pPr>
        <w:pStyle w:val="BodyText"/>
        <w:numPr>
          <w:ilvl w:val="0"/>
          <w:numId w:val="118"/>
        </w:numPr>
        <w:tabs>
          <w:tab w:val="clear" w:pos="720"/>
          <w:tab w:val="left" w:pos="0" w:leader="none"/>
        </w:tabs>
        <w:spacing w:before="0" w:after="200"/>
        <w:ind w:hanging="283" w:left="709"/>
        <w:rPr/>
      </w:pPr>
      <w:r>
        <w:rPr/>
        <w:t>The selected means;</w:t>
      </w:r>
    </w:p>
    <w:p>
      <w:pPr>
        <w:pStyle w:val="BodyText"/>
        <w:numPr>
          <w:ilvl w:val="0"/>
          <w:numId w:val="118"/>
        </w:numPr>
        <w:tabs>
          <w:tab w:val="clear" w:pos="720"/>
          <w:tab w:val="left" w:pos="0" w:leader="none"/>
        </w:tabs>
        <w:spacing w:before="0" w:after="200"/>
        <w:ind w:hanging="283" w:left="709"/>
        <w:rPr/>
      </w:pPr>
      <w:r>
        <w:rPr/>
        <w:t>Foreseen side effects;</w:t>
      </w:r>
    </w:p>
    <w:p>
      <w:pPr>
        <w:pStyle w:val="BodyText"/>
        <w:numPr>
          <w:ilvl w:val="0"/>
          <w:numId w:val="118"/>
        </w:numPr>
        <w:tabs>
          <w:tab w:val="clear" w:pos="720"/>
          <w:tab w:val="left" w:pos="0" w:leader="none"/>
        </w:tabs>
        <w:spacing w:before="0" w:after="200"/>
        <w:ind w:hanging="283" w:left="709"/>
        <w:rPr/>
      </w:pPr>
      <w:r>
        <w:rPr/>
        <w:t>Direct attacks on protected goods;</w:t>
      </w:r>
    </w:p>
    <w:p>
      <w:pPr>
        <w:pStyle w:val="BodyText"/>
        <w:numPr>
          <w:ilvl w:val="0"/>
          <w:numId w:val="118"/>
        </w:numPr>
        <w:tabs>
          <w:tab w:val="clear" w:pos="720"/>
          <w:tab w:val="left" w:pos="0" w:leader="none"/>
        </w:tabs>
        <w:spacing w:before="0" w:after="200"/>
        <w:ind w:hanging="283" w:left="709"/>
        <w:rPr/>
      </w:pPr>
      <w:r>
        <w:rPr/>
        <w:t>Proportionality and alternatives;</w:t>
      </w:r>
    </w:p>
    <w:p>
      <w:pPr>
        <w:pStyle w:val="BodyText"/>
        <w:numPr>
          <w:ilvl w:val="0"/>
          <w:numId w:val="118"/>
        </w:numPr>
        <w:tabs>
          <w:tab w:val="clear" w:pos="720"/>
          <w:tab w:val="left" w:pos="0" w:leader="none"/>
        </w:tabs>
        <w:spacing w:before="0" w:after="200"/>
        <w:ind w:hanging="283" w:left="709"/>
        <w:rPr/>
      </w:pPr>
      <w:r>
        <w:rPr/>
        <w:t>Effects on the common good;</w:t>
      </w:r>
    </w:p>
    <w:p>
      <w:pPr>
        <w:pStyle w:val="BodyText"/>
        <w:numPr>
          <w:ilvl w:val="0"/>
          <w:numId w:val="118"/>
        </w:numPr>
        <w:tabs>
          <w:tab w:val="clear" w:pos="720"/>
          <w:tab w:val="left" w:pos="0" w:leader="none"/>
        </w:tabs>
        <w:spacing w:before="0" w:after="200"/>
        <w:ind w:hanging="283" w:left="709"/>
        <w:rPr/>
      </w:pPr>
      <w:r>
        <w:rPr/>
        <w:t>Applicable categorical constraints;</w:t>
      </w:r>
    </w:p>
    <w:p>
      <w:pPr>
        <w:pStyle w:val="BodyText"/>
        <w:numPr>
          <w:ilvl w:val="0"/>
          <w:numId w:val="118"/>
        </w:numPr>
        <w:tabs>
          <w:tab w:val="clear" w:pos="720"/>
          <w:tab w:val="left" w:pos="0" w:leader="none"/>
        </w:tabs>
        <w:spacing w:before="0" w:after="200"/>
        <w:ind w:hanging="283" w:left="709"/>
        <w:rPr/>
      </w:pPr>
      <w:r>
        <w:rPr/>
        <w:t>Authority and legal status; and</w:t>
      </w:r>
    </w:p>
    <w:p>
      <w:pPr>
        <w:pStyle w:val="BodyText"/>
        <w:numPr>
          <w:ilvl w:val="0"/>
          <w:numId w:val="118"/>
        </w:numPr>
        <w:tabs>
          <w:tab w:val="clear" w:pos="720"/>
          <w:tab w:val="left" w:pos="0" w:leader="none"/>
        </w:tabs>
        <w:spacing w:before="0" w:after="200"/>
        <w:ind w:hanging="283" w:left="709"/>
        <w:rPr/>
      </w:pPr>
      <w:r>
        <w:rPr/>
        <w:t>Whether the action reflects practical reasonableness.</w:t>
      </w:r>
    </w:p>
    <w:p>
      <w:pPr>
        <w:pStyle w:val="BodyText"/>
        <w:numPr>
          <w:ilvl w:val="0"/>
          <w:numId w:val="119"/>
        </w:numPr>
        <w:tabs>
          <w:tab w:val="clear" w:pos="720"/>
          <w:tab w:val="left" w:pos="0" w:leader="none"/>
        </w:tabs>
        <w:spacing w:before="0" w:after="200"/>
        <w:ind w:hanging="283" w:left="709"/>
        <w:rPr/>
      </w:pPr>
      <w:r>
        <w:rPr>
          <w:rStyle w:val="Strong"/>
        </w:rPr>
        <w:t>Use a dual conclusion.</w:t>
      </w:r>
      <w:r>
        <w:rPr/>
        <w:t xml:space="preserve"> The framework could separately determine:</w:t>
      </w:r>
    </w:p>
    <w:p>
      <w:pPr>
        <w:pStyle w:val="BodyText"/>
        <w:numPr>
          <w:ilvl w:val="0"/>
          <w:numId w:val="120"/>
        </w:numPr>
        <w:tabs>
          <w:tab w:val="clear" w:pos="720"/>
          <w:tab w:val="left" w:pos="0" w:leader="none"/>
        </w:tabs>
        <w:spacing w:before="0" w:after="200"/>
        <w:ind w:hanging="283" w:left="709"/>
        <w:rPr/>
      </w:pPr>
      <w:r>
        <w:rPr/>
        <w:t>Whether the action is consistent with basic goods and practical reason;</w:t>
      </w:r>
    </w:p>
    <w:p>
      <w:pPr>
        <w:pStyle w:val="BodyText"/>
        <w:numPr>
          <w:ilvl w:val="0"/>
          <w:numId w:val="120"/>
        </w:numPr>
        <w:tabs>
          <w:tab w:val="clear" w:pos="720"/>
          <w:tab w:val="left" w:pos="0" w:leader="none"/>
        </w:tabs>
        <w:spacing w:before="0" w:after="200"/>
        <w:ind w:hanging="283" w:left="709"/>
        <w:rPr/>
      </w:pPr>
      <w:r>
        <w:rPr/>
        <w:t>Whether the complete World Context Transition promotes compatible Long-Term Flourishing; and</w:t>
      </w:r>
    </w:p>
    <w:p>
      <w:pPr>
        <w:pStyle w:val="BodyText"/>
        <w:numPr>
          <w:ilvl w:val="0"/>
          <w:numId w:val="120"/>
        </w:numPr>
        <w:tabs>
          <w:tab w:val="clear" w:pos="720"/>
          <w:tab w:val="left" w:pos="0" w:leader="none"/>
        </w:tabs>
        <w:spacing w:before="0" w:after="200"/>
        <w:ind w:hanging="283" w:left="709"/>
        <w:rPr/>
      </w:pPr>
      <w:r>
        <w:rPr/>
        <w:t>Whether any divergence between those conclusions can be resolved.</w:t>
      </w:r>
    </w:p>
    <w:p>
      <w:pPr>
        <w:pStyle w:val="BodyText"/>
        <w:spacing w:before="0" w:after="200"/>
        <w:rPr/>
      </w:pPr>
      <w:r>
        <w:rPr/>
        <w:t>Natural Law could provide this framework with a richer account of intrinsic goods, the moral structure of chosen action, categorical constraints, and the common good. The framework could provide Natural Law with explicit tools for probabilistic forecasting, multi-entity analysis, Distributed Policy Effects, and application beyond traditional human-centered contexts. The most productive integration would treat basic goods as protected dimensions of flourishing while still examining how their interpretation and institutional implementation affect the complete World Context.</w:t>
      </w:r>
    </w:p>
    <w:p>
      <w:pPr>
        <w:pStyle w:val="Normal"/>
        <w:widowControl/>
        <w:bidi w:val="0"/>
        <w:spacing w:lineRule="auto" w:line="276"/>
        <w:jc w:val="left"/>
        <w:rPr/>
      </w:pPr>
      <w:r>
        <w:rPr/>
      </w:r>
    </w:p>
    <w:p>
      <w:pPr>
        <w:pStyle w:val="Heading3"/>
        <w:ind w:hanging="0" w:left="0"/>
        <w:rPr/>
      </w:pPr>
      <w:r>
        <w:rPr/>
        <w:t>Confucian Ethics</w:t>
      </w:r>
    </w:p>
    <w:p>
      <w:pPr>
        <w:pStyle w:val="BodyText"/>
        <w:spacing w:before="0" w:after="200"/>
        <w:rPr/>
      </w:pPr>
      <w:r>
        <w:rPr/>
        <w:t xml:space="preserve">Confucian ethics is a diverse and evolving tradition centered on the cultivation of humane character, the ethical significance of relationships and social roles, the formative function of ritual and education, and the responsibility of leaders to govern through moral example. It should not be reduced to unquestioning obedience, rigid hierarchy, or cultural conformity. Confucian harmony involves the constructive coordination of differences, while filial and political responsibility can include respectful remonstrance when an authority acts wrongly. Confucian ethics therefore provides an important comparison for this framework because it evaluates conduct not only by immediate results, but also by the ways actions shape character, relationships, institutions, trust, and the moral development of future participants. Its relational and developmental orientation substantially complements this framework’s analysis of World Context Transitions, Associations, Distributed Policy Effects, role-based responsibility, and long-term flourishing. </w:t>
      </w:r>
      <w:hyperlink r:id="rId191">
        <w:r>
          <w:rPr>
            <w:rStyle w:val="Hyperlink"/>
          </w:rPr>
          <w:t>The Stanford Encyclopedia of Philosophy’s overview of Chinese ethics</w:t>
        </w:r>
      </w:hyperlink>
      <w:r>
        <w:rPr/>
        <w:t xml:space="preserve"> emphasizes both the relational character of Confucian virtue and the distinction between harmony and mere conformity.</w:t>
      </w:r>
    </w:p>
    <w:p>
      <w:pPr>
        <w:pStyle w:val="Heading4"/>
        <w:ind w:hanging="0" w:left="0"/>
        <w:rPr>
          <w:rFonts w:ascii="Aptos" w:hAnsi="Aptos"/>
          <w:color w:val="auto"/>
        </w:rPr>
      </w:pPr>
      <w:r>
        <w:rPr/>
        <w:t>Primary expert(s)</w:t>
      </w:r>
    </w:p>
    <w:p>
      <w:pPr>
        <w:pStyle w:val="BodyText"/>
        <w:spacing w:before="0" w:after="200"/>
        <w:rPr/>
      </w:pPr>
      <w:r>
        <w:rPr/>
        <w:t>Because Confucian ethics developed over more than two millennia, no single thinker represents every Confucian position. The following figures identify several of the tradition’s most influential formulations.</w:t>
      </w:r>
    </w:p>
    <w:tbl>
      <w:tblPr>
        <w:tblW w:w="8640" w:type="dxa"/>
        <w:jc w:val="left"/>
        <w:tblInd w:w="28" w:type="dxa"/>
        <w:tblLayout w:type="fixed"/>
        <w:tblCellMar>
          <w:top w:w="28" w:type="dxa"/>
          <w:left w:w="28" w:type="dxa"/>
          <w:bottom w:w="28" w:type="dxa"/>
          <w:right w:w="28" w:type="dxa"/>
        </w:tblCellMar>
      </w:tblPr>
      <w:tblGrid>
        <w:gridCol w:w="1251"/>
        <w:gridCol w:w="1982"/>
        <w:gridCol w:w="2414"/>
        <w:gridCol w:w="2993"/>
      </w:tblGrid>
      <w:tr>
        <w:trPr>
          <w:tblHeader w:val="true"/>
        </w:trPr>
        <w:tc>
          <w:tcPr>
            <w:tcW w:w="1251" w:type="dxa"/>
            <w:tcBorders/>
            <w:vAlign w:val="center"/>
          </w:tcPr>
          <w:p>
            <w:pPr>
              <w:pStyle w:val="TableHeading"/>
              <w:suppressLineNumbers/>
              <w:spacing w:before="0" w:after="200"/>
              <w:jc w:val="center"/>
              <w:rPr/>
            </w:pPr>
            <w:r>
              <w:rPr/>
              <w:t>Expert</w:t>
            </w:r>
          </w:p>
        </w:tc>
        <w:tc>
          <w:tcPr>
            <w:tcW w:w="1982" w:type="dxa"/>
            <w:tcBorders/>
            <w:vAlign w:val="center"/>
          </w:tcPr>
          <w:p>
            <w:pPr>
              <w:pStyle w:val="TableHeading"/>
              <w:spacing w:before="0" w:after="200"/>
              <w:jc w:val="right"/>
              <w:rPr/>
            </w:pPr>
            <w:r>
              <w:rPr/>
              <w:t>Life</w:t>
            </w:r>
          </w:p>
        </w:tc>
        <w:tc>
          <w:tcPr>
            <w:tcW w:w="2414" w:type="dxa"/>
            <w:tcBorders/>
            <w:vAlign w:val="center"/>
          </w:tcPr>
          <w:p>
            <w:pPr>
              <w:pStyle w:val="TableHeading"/>
              <w:suppressLineNumbers/>
              <w:spacing w:before="0" w:after="200"/>
              <w:jc w:val="center"/>
              <w:rPr/>
            </w:pPr>
            <w:r>
              <w:rPr/>
              <w:t>Associated institution or setting</w:t>
            </w:r>
          </w:p>
        </w:tc>
        <w:tc>
          <w:tcPr>
            <w:tcW w:w="2993" w:type="dxa"/>
            <w:tcBorders/>
            <w:vAlign w:val="center"/>
          </w:tcPr>
          <w:p>
            <w:pPr>
              <w:pStyle w:val="TableHeading"/>
              <w:suppressLineNumbers/>
              <w:spacing w:before="0" w:after="200"/>
              <w:jc w:val="center"/>
              <w:rPr/>
            </w:pPr>
            <w:r>
              <w:rPr/>
              <w:t>Principal contribution</w:t>
            </w:r>
          </w:p>
        </w:tc>
      </w:tr>
      <w:tr>
        <w:trPr/>
        <w:tc>
          <w:tcPr>
            <w:tcW w:w="1251" w:type="dxa"/>
            <w:tcBorders/>
            <w:vAlign w:val="center"/>
          </w:tcPr>
          <w:p>
            <w:pPr>
              <w:pStyle w:val="TableContents"/>
              <w:widowControl w:val="false"/>
              <w:suppressLineNumbers/>
              <w:spacing w:before="0" w:after="200"/>
              <w:rPr/>
            </w:pPr>
            <w:r>
              <w:rPr>
                <w:rStyle w:val="Strong"/>
              </w:rPr>
              <w:t>Confucius (Kongzi)</w:t>
            </w:r>
          </w:p>
        </w:tc>
        <w:tc>
          <w:tcPr>
            <w:tcW w:w="1982" w:type="dxa"/>
            <w:tcBorders/>
            <w:vAlign w:val="center"/>
          </w:tcPr>
          <w:p>
            <w:pPr>
              <w:pStyle w:val="TableContents"/>
              <w:spacing w:before="0" w:after="200"/>
              <w:jc w:val="right"/>
              <w:rPr/>
            </w:pPr>
            <w:r>
              <w:rPr/>
              <w:t xml:space="preserve">Traditionally </w:t>
            </w:r>
            <w:r>
              <w:rPr>
                <w:rStyle w:val="Strong"/>
              </w:rPr>
              <w:t>551–479 BCE</w:t>
            </w:r>
          </w:p>
        </w:tc>
        <w:tc>
          <w:tcPr>
            <w:tcW w:w="2414" w:type="dxa"/>
            <w:tcBorders/>
            <w:vAlign w:val="center"/>
          </w:tcPr>
          <w:p>
            <w:pPr>
              <w:pStyle w:val="TableContents"/>
              <w:widowControl w:val="false"/>
              <w:suppressLineNumbers/>
              <w:spacing w:before="0" w:after="200"/>
              <w:rPr/>
            </w:pPr>
            <w:r>
              <w:rPr/>
              <w:t>State of Lu; public service in Lu; private teaching community that became the formative setting of the early Confucian tradition</w:t>
            </w:r>
          </w:p>
        </w:tc>
        <w:tc>
          <w:tcPr>
            <w:tcW w:w="2993" w:type="dxa"/>
            <w:tcBorders/>
            <w:vAlign w:val="center"/>
          </w:tcPr>
          <w:p>
            <w:pPr>
              <w:pStyle w:val="TableContents"/>
              <w:widowControl w:val="false"/>
              <w:suppressLineNumbers/>
              <w:spacing w:before="0" w:after="200"/>
              <w:rPr/>
            </w:pPr>
            <w:r>
              <w:rPr/>
              <w:t xml:space="preserve">Emphasized </w:t>
            </w:r>
            <w:r>
              <w:rPr>
                <w:rStyle w:val="Emphasis"/>
              </w:rPr>
              <w:t>ren</w:t>
            </w:r>
            <w:r>
              <w:rPr/>
              <w:t xml:space="preserve"> (humaneness), </w:t>
            </w:r>
            <w:r>
              <w:rPr>
                <w:rStyle w:val="Emphasis"/>
              </w:rPr>
              <w:t>li</w:t>
            </w:r>
            <w:r>
              <w:rPr/>
              <w:t xml:space="preserve"> (ritual propriety), </w:t>
            </w:r>
            <w:r>
              <w:rPr>
                <w:rStyle w:val="Emphasis"/>
              </w:rPr>
              <w:t>yi</w:t>
            </w:r>
            <w:r>
              <w:rPr/>
              <w:t xml:space="preserve"> (rightness), filial responsibility, moral education, exemplary character, and governance through virtue.</w:t>
            </w:r>
          </w:p>
        </w:tc>
      </w:tr>
      <w:tr>
        <w:trPr/>
        <w:tc>
          <w:tcPr>
            <w:tcW w:w="1251" w:type="dxa"/>
            <w:tcBorders/>
            <w:vAlign w:val="center"/>
          </w:tcPr>
          <w:p>
            <w:pPr>
              <w:pStyle w:val="TableContents"/>
              <w:widowControl w:val="false"/>
              <w:suppressLineNumbers/>
              <w:spacing w:before="0" w:after="200"/>
              <w:rPr/>
            </w:pPr>
            <w:r>
              <w:rPr>
                <w:rStyle w:val="Strong"/>
              </w:rPr>
              <w:t>Mencius (Mengzi)</w:t>
            </w:r>
          </w:p>
        </w:tc>
        <w:tc>
          <w:tcPr>
            <w:tcW w:w="1982" w:type="dxa"/>
            <w:tcBorders/>
            <w:vAlign w:val="center"/>
          </w:tcPr>
          <w:p>
            <w:pPr>
              <w:pStyle w:val="TableContents"/>
              <w:spacing w:before="0" w:after="200"/>
              <w:jc w:val="right"/>
              <w:rPr/>
            </w:pPr>
            <w:r>
              <w:rPr/>
              <w:t xml:space="preserve">Traditionally </w:t>
            </w:r>
            <w:r>
              <w:rPr>
                <w:rStyle w:val="Strong"/>
              </w:rPr>
              <w:t>372–289 BCE</w:t>
            </w:r>
            <w:r>
              <w:rPr/>
              <w:t>, although the chronology is disputed</w:t>
            </w:r>
          </w:p>
        </w:tc>
        <w:tc>
          <w:tcPr>
            <w:tcW w:w="2414" w:type="dxa"/>
            <w:tcBorders/>
            <w:vAlign w:val="center"/>
          </w:tcPr>
          <w:p>
            <w:pPr>
              <w:pStyle w:val="TableContents"/>
              <w:widowControl w:val="false"/>
              <w:suppressLineNumbers/>
              <w:spacing w:before="0" w:after="200"/>
              <w:rPr/>
            </w:pPr>
            <w:r>
              <w:rPr/>
              <w:t>Traveling teacher and adviser at several Warring States courts, especially in the intellectual and political environment of Qi</w:t>
            </w:r>
          </w:p>
        </w:tc>
        <w:tc>
          <w:tcPr>
            <w:tcW w:w="2993" w:type="dxa"/>
            <w:tcBorders/>
            <w:vAlign w:val="center"/>
          </w:tcPr>
          <w:p>
            <w:pPr>
              <w:pStyle w:val="TableContents"/>
              <w:widowControl w:val="false"/>
              <w:suppressLineNumbers/>
              <w:spacing w:before="0" w:after="200"/>
              <w:rPr/>
            </w:pPr>
            <w:r>
              <w:rPr/>
              <w:t>Developed the account of the moral “sprouts”—incipient capacities for benevolence, righteousness, wisdom, and propriety—and defended humane government and the cultivation of moral emotions.</w:t>
            </w:r>
          </w:p>
        </w:tc>
      </w:tr>
      <w:tr>
        <w:trPr/>
        <w:tc>
          <w:tcPr>
            <w:tcW w:w="1251" w:type="dxa"/>
            <w:tcBorders/>
            <w:vAlign w:val="center"/>
          </w:tcPr>
          <w:p>
            <w:pPr>
              <w:pStyle w:val="TableContents"/>
              <w:widowControl w:val="false"/>
              <w:suppressLineNumbers/>
              <w:spacing w:before="0" w:after="200"/>
              <w:rPr/>
            </w:pPr>
            <w:r>
              <w:rPr>
                <w:rStyle w:val="Strong"/>
              </w:rPr>
              <w:t>Xunzi (Xun Kuang)</w:t>
            </w:r>
          </w:p>
        </w:tc>
        <w:tc>
          <w:tcPr>
            <w:tcW w:w="1982" w:type="dxa"/>
            <w:tcBorders/>
            <w:vAlign w:val="center"/>
          </w:tcPr>
          <w:p>
            <w:pPr>
              <w:pStyle w:val="TableContents"/>
              <w:spacing w:before="0" w:after="200"/>
              <w:jc w:val="right"/>
              <w:rPr/>
            </w:pPr>
            <w:r>
              <w:rPr/>
              <w:t xml:space="preserve">Approximately </w:t>
            </w:r>
            <w:r>
              <w:rPr>
                <w:rStyle w:val="Strong"/>
              </w:rPr>
              <w:t>310–after 238 BCE</w:t>
            </w:r>
            <w:r>
              <w:rPr/>
              <w:t>; later death dates are also proposed</w:t>
            </w:r>
          </w:p>
        </w:tc>
        <w:tc>
          <w:tcPr>
            <w:tcW w:w="2414" w:type="dxa"/>
            <w:tcBorders/>
            <w:vAlign w:val="center"/>
          </w:tcPr>
          <w:p>
            <w:pPr>
              <w:pStyle w:val="TableContents"/>
              <w:widowControl w:val="false"/>
              <w:suppressLineNumbers/>
              <w:spacing w:before="0" w:after="200"/>
              <w:rPr/>
            </w:pPr>
            <w:r>
              <w:rPr/>
              <w:t>Intellectual community of Qi, commonly associated with the Jixia Academy; later magistrate of Lanling</w:t>
            </w:r>
          </w:p>
        </w:tc>
        <w:tc>
          <w:tcPr>
            <w:tcW w:w="2993" w:type="dxa"/>
            <w:tcBorders/>
            <w:vAlign w:val="center"/>
          </w:tcPr>
          <w:p>
            <w:pPr>
              <w:pStyle w:val="TableContents"/>
              <w:widowControl w:val="false"/>
              <w:suppressLineNumbers/>
              <w:spacing w:before="0" w:after="200"/>
              <w:rPr/>
            </w:pPr>
            <w:r>
              <w:rPr/>
              <w:t>Argued that untrained human dispositions tend toward conflict and must be transformed through education, ritual, deliberate effort, institutions, and appropriate social distinctions.</w:t>
            </w:r>
          </w:p>
        </w:tc>
      </w:tr>
      <w:tr>
        <w:trPr/>
        <w:tc>
          <w:tcPr>
            <w:tcW w:w="1251" w:type="dxa"/>
            <w:tcBorders/>
            <w:vAlign w:val="center"/>
          </w:tcPr>
          <w:p>
            <w:pPr>
              <w:pStyle w:val="TableContents"/>
              <w:widowControl w:val="false"/>
              <w:suppressLineNumbers/>
              <w:spacing w:before="0" w:after="200"/>
              <w:rPr/>
            </w:pPr>
            <w:r>
              <w:rPr>
                <w:rStyle w:val="Strong"/>
              </w:rPr>
              <w:t>Zhu Xi</w:t>
            </w:r>
          </w:p>
        </w:tc>
        <w:tc>
          <w:tcPr>
            <w:tcW w:w="1982" w:type="dxa"/>
            <w:tcBorders/>
            <w:vAlign w:val="center"/>
          </w:tcPr>
          <w:p>
            <w:pPr>
              <w:pStyle w:val="TableContents"/>
              <w:spacing w:before="0" w:after="200"/>
              <w:jc w:val="right"/>
              <w:rPr/>
            </w:pPr>
            <w:r>
              <w:rPr>
                <w:rStyle w:val="Strong"/>
              </w:rPr>
              <w:t>1130–1200</w:t>
            </w:r>
          </w:p>
        </w:tc>
        <w:tc>
          <w:tcPr>
            <w:tcW w:w="2414" w:type="dxa"/>
            <w:tcBorders/>
            <w:vAlign w:val="center"/>
          </w:tcPr>
          <w:p>
            <w:pPr>
              <w:pStyle w:val="TableContents"/>
              <w:widowControl w:val="false"/>
              <w:suppressLineNumbers/>
              <w:spacing w:before="0" w:after="200"/>
              <w:rPr/>
            </w:pPr>
            <w:r>
              <w:rPr/>
              <w:t>Song dynasty public administration, scholarly academies, and the educational tradition built around the Four Books</w:t>
            </w:r>
          </w:p>
        </w:tc>
        <w:tc>
          <w:tcPr>
            <w:tcW w:w="2993" w:type="dxa"/>
            <w:tcBorders/>
            <w:vAlign w:val="center"/>
          </w:tcPr>
          <w:p>
            <w:pPr>
              <w:pStyle w:val="TableContents"/>
              <w:widowControl w:val="false"/>
              <w:suppressLineNumbers/>
              <w:spacing w:before="0" w:after="200"/>
              <w:rPr/>
            </w:pPr>
            <w:r>
              <w:rPr/>
              <w:t>Produced the most influential Neo-Confucian synthesis of ethics, education, metaphysics, self-cultivation, and the “investigation of things.” His interpretations later shaped civil-service education across East Asia.</w:t>
            </w:r>
          </w:p>
        </w:tc>
      </w:tr>
      <w:tr>
        <w:trPr/>
        <w:tc>
          <w:tcPr>
            <w:tcW w:w="1251" w:type="dxa"/>
            <w:tcBorders/>
            <w:vAlign w:val="center"/>
          </w:tcPr>
          <w:p>
            <w:pPr>
              <w:pStyle w:val="TableContents"/>
              <w:widowControl w:val="false"/>
              <w:suppressLineNumbers/>
              <w:spacing w:before="0" w:after="200"/>
              <w:rPr/>
            </w:pPr>
            <w:r>
              <w:rPr>
                <w:rStyle w:val="Strong"/>
              </w:rPr>
              <w:t>Wang Yangming</w:t>
            </w:r>
          </w:p>
        </w:tc>
        <w:tc>
          <w:tcPr>
            <w:tcW w:w="1982" w:type="dxa"/>
            <w:tcBorders/>
            <w:vAlign w:val="center"/>
          </w:tcPr>
          <w:p>
            <w:pPr>
              <w:pStyle w:val="TableContents"/>
              <w:spacing w:before="0" w:after="200"/>
              <w:jc w:val="right"/>
              <w:rPr/>
            </w:pPr>
            <w:r>
              <w:rPr>
                <w:rStyle w:val="Strong"/>
              </w:rPr>
              <w:t>1472–1529</w:t>
            </w:r>
          </w:p>
        </w:tc>
        <w:tc>
          <w:tcPr>
            <w:tcW w:w="2414" w:type="dxa"/>
            <w:tcBorders/>
            <w:vAlign w:val="center"/>
          </w:tcPr>
          <w:p>
            <w:pPr>
              <w:pStyle w:val="TableContents"/>
              <w:widowControl w:val="false"/>
              <w:suppressLineNumbers/>
              <w:spacing w:before="0" w:after="200"/>
              <w:rPr/>
            </w:pPr>
            <w:r>
              <w:rPr/>
              <w:t>Ming dynasty civil administration, military service, and Confucian teaching communities</w:t>
            </w:r>
          </w:p>
        </w:tc>
        <w:tc>
          <w:tcPr>
            <w:tcW w:w="2993" w:type="dxa"/>
            <w:tcBorders/>
            <w:vAlign w:val="center"/>
          </w:tcPr>
          <w:p>
            <w:pPr>
              <w:pStyle w:val="TableContents"/>
              <w:widowControl w:val="false"/>
              <w:suppressLineNumbers/>
              <w:spacing w:before="0" w:after="200"/>
              <w:rPr/>
            </w:pPr>
            <w:r>
              <w:rPr/>
              <w:t>Developed the doctrines of innate moral knowing and the unity of knowledge and action, arguing that genuine moral knowledge must be expressed in conduct.</w:t>
            </w:r>
          </w:p>
        </w:tc>
      </w:tr>
    </w:tbl>
    <w:p>
      <w:pPr>
        <w:pStyle w:val="BodyText"/>
        <w:spacing w:before="0" w:after="200"/>
        <w:rPr/>
      </w:pPr>
      <w:r>
        <w:rPr/>
        <w:t xml:space="preserve">Confucius’s traditional dates and influence as teacher, adviser, and formative figure are summarized in the </w:t>
      </w:r>
      <w:hyperlink r:id="rId192">
        <w:r>
          <w:rPr>
            <w:rStyle w:val="Hyperlink"/>
          </w:rPr>
          <w:t>Stanford Encyclopedia of Philosophy</w:t>
        </w:r>
      </w:hyperlink>
      <w:r>
        <w:rPr/>
        <w:t xml:space="preserve">. Mencius’s theory of moral sprouts is discussed in the </w:t>
      </w:r>
      <w:hyperlink r:id="rId193">
        <w:r>
          <w:rPr>
            <w:rStyle w:val="Hyperlink"/>
          </w:rPr>
          <w:t>SEP entry on Mencius</w:t>
        </w:r>
      </w:hyperlink>
      <w:r>
        <w:rPr/>
        <w:t xml:space="preserve">; the same source notes that his traditional dates remain historically uncertain. Xunzi’s educational and institutional account of moral development is summarized by the </w:t>
      </w:r>
      <w:hyperlink r:id="rId194">
        <w:r>
          <w:rPr>
            <w:rStyle w:val="Hyperlink"/>
          </w:rPr>
          <w:t>Internet Encyclopedia of Philosophy</w:t>
        </w:r>
      </w:hyperlink>
      <w:r>
        <w:rPr/>
        <w:t xml:space="preserve">. Zhu Xi and Wang Yangming are treated as the two most influential figures of Song–Ming Confucianism in the </w:t>
      </w:r>
      <w:hyperlink r:id="rId195">
        <w:r>
          <w:rPr>
            <w:rStyle w:val="Hyperlink"/>
          </w:rPr>
          <w:t>SEP overview of Song–Ming Confucianism</w:t>
        </w:r>
      </w:hyperlink>
      <w:r>
        <w:rPr/>
        <w:t>.</w:t>
      </w:r>
    </w:p>
    <w:p>
      <w:pPr>
        <w:pStyle w:val="Heading4"/>
        <w:ind w:hanging="0" w:left="0"/>
        <w:rPr>
          <w:rFonts w:ascii="Aptos" w:hAnsi="Aptos"/>
          <w:color w:val="auto"/>
        </w:rPr>
      </w:pPr>
      <w:r>
        <w:rPr/>
        <w:t>Core assumptions</w:t>
      </w:r>
    </w:p>
    <w:p>
      <w:pPr>
        <w:pStyle w:val="BodyText"/>
        <w:numPr>
          <w:ilvl w:val="0"/>
          <w:numId w:val="126"/>
        </w:numPr>
        <w:tabs>
          <w:tab w:val="clear" w:pos="720"/>
          <w:tab w:val="left" w:pos="0" w:leader="none"/>
        </w:tabs>
        <w:spacing w:before="0" w:after="200"/>
        <w:ind w:hanging="283" w:left="709"/>
        <w:rPr/>
      </w:pPr>
      <w:r>
        <w:rPr>
          <w:rStyle w:val="Strong"/>
        </w:rPr>
        <w:t>Persons are relationally constituted.</w:t>
      </w:r>
      <w:r>
        <w:rPr/>
        <w:br/>
        <w:t>A person is not understood solely as an isolated decision-maker. Identity, responsibility, and flourishing develop through relationships with parents, children, teachers, students, colleagues, leaders, communities, and political institutions. Ethical evaluation must therefore consider what an action does to these relationships as well as what it does to the individuals within them.</w:t>
      </w:r>
    </w:p>
    <w:p>
      <w:pPr>
        <w:pStyle w:val="BodyText"/>
        <w:numPr>
          <w:ilvl w:val="0"/>
          <w:numId w:val="126"/>
        </w:numPr>
        <w:tabs>
          <w:tab w:val="clear" w:pos="720"/>
          <w:tab w:val="left" w:pos="0" w:leader="none"/>
        </w:tabs>
        <w:spacing w:before="0" w:after="200"/>
        <w:ind w:hanging="283" w:left="709"/>
        <w:rPr/>
      </w:pPr>
      <w:r>
        <w:rPr>
          <w:rStyle w:val="Strong"/>
        </w:rPr>
        <w:t>Moral agency is developmental.</w:t>
      </w:r>
      <w:r>
        <w:rPr/>
        <w:br/>
        <w:t>Ethical competence is cultivated through education, reflection, practice, correction, emotional development, and participation in well-ordered relationships. Moral agency is not merely a fixed capacity that an individual either possesses or lacks.</w:t>
      </w:r>
    </w:p>
    <w:p>
      <w:pPr>
        <w:pStyle w:val="BodyText"/>
        <w:numPr>
          <w:ilvl w:val="0"/>
          <w:numId w:val="126"/>
        </w:numPr>
        <w:tabs>
          <w:tab w:val="clear" w:pos="720"/>
          <w:tab w:val="left" w:pos="0" w:leader="none"/>
        </w:tabs>
        <w:spacing w:before="0" w:after="200"/>
        <w:ind w:hanging="283" w:left="709"/>
        <w:rPr/>
      </w:pPr>
      <w:r>
        <w:rPr>
          <w:rStyle w:val="Strong"/>
        </w:rPr>
        <w:t>Humaneness is a central moral orientation.</w:t>
      </w:r>
      <w:r>
        <w:rPr/>
        <w:br/>
      </w:r>
      <w:r>
        <w:rPr>
          <w:rStyle w:val="Emphasis"/>
        </w:rPr>
        <w:t>Ren</w:t>
      </w:r>
      <w:r>
        <w:rPr/>
        <w:t>, often translated as humaneness, benevolence, or co-humanity, concerns the disposition to recognize and respond appropriately to the needs, dignity, vulnerability, and flourishing of others. It is expressed through concrete relationships rather than through benevolent sentiment alone.</w:t>
      </w:r>
    </w:p>
    <w:p>
      <w:pPr>
        <w:pStyle w:val="BodyText"/>
        <w:numPr>
          <w:ilvl w:val="0"/>
          <w:numId w:val="126"/>
        </w:numPr>
        <w:tabs>
          <w:tab w:val="clear" w:pos="720"/>
          <w:tab w:val="left" w:pos="0" w:leader="none"/>
        </w:tabs>
        <w:spacing w:before="0" w:after="200"/>
        <w:ind w:hanging="283" w:left="709"/>
        <w:rPr/>
      </w:pPr>
      <w:r>
        <w:rPr>
          <w:rStyle w:val="Strong"/>
        </w:rPr>
        <w:t>Right action requires contextual appropriateness.</w:t>
      </w:r>
      <w:r>
        <w:rPr/>
        <w:br/>
      </w:r>
      <w:r>
        <w:rPr>
          <w:rStyle w:val="Emphasis"/>
        </w:rPr>
        <w:t>Yi</w:t>
      </w:r>
      <w:r>
        <w:rPr/>
        <w:t>, commonly translated as rightness, righteousness, or appropriateness, concerns doing what is fitting in a particular situation because it is ethically appropriate—not merely because it is profitable, advantageous, or socially rewarded.</w:t>
      </w:r>
    </w:p>
    <w:p>
      <w:pPr>
        <w:pStyle w:val="BodyText"/>
        <w:numPr>
          <w:ilvl w:val="0"/>
          <w:numId w:val="126"/>
        </w:numPr>
        <w:tabs>
          <w:tab w:val="clear" w:pos="720"/>
          <w:tab w:val="left" w:pos="0" w:leader="none"/>
        </w:tabs>
        <w:spacing w:before="0" w:after="200"/>
        <w:ind w:hanging="283" w:left="709"/>
        <w:rPr/>
      </w:pPr>
      <w:r>
        <w:rPr>
          <w:rStyle w:val="Strong"/>
        </w:rPr>
        <w:t>Ritual and social practices shape moral behavior.</w:t>
      </w:r>
      <w:r>
        <w:rPr/>
        <w:br/>
      </w:r>
      <w:r>
        <w:rPr>
          <w:rStyle w:val="Emphasis"/>
        </w:rPr>
        <w:t>Li</w:t>
      </w:r>
      <w:r>
        <w:rPr/>
        <w:t xml:space="preserve"> includes ceremonies, manners, role conventions, institutional practices, and socially embodied expectations. Properly designed practices help regulate desire, communicate respect, structure relationships, and cultivate reliable moral responses. Ritual is therefore more than etiquette; it is a form of moral and institutional architecture.</w:t>
      </w:r>
    </w:p>
    <w:p>
      <w:pPr>
        <w:pStyle w:val="BodyText"/>
        <w:numPr>
          <w:ilvl w:val="0"/>
          <w:numId w:val="126"/>
        </w:numPr>
        <w:tabs>
          <w:tab w:val="clear" w:pos="720"/>
          <w:tab w:val="left" w:pos="0" w:leader="none"/>
        </w:tabs>
        <w:spacing w:before="0" w:after="200"/>
        <w:ind w:hanging="283" w:left="709"/>
        <w:rPr/>
      </w:pPr>
      <w:r>
        <w:rPr>
          <w:rStyle w:val="Strong"/>
        </w:rPr>
        <w:t>Virtues operate as an interdependent system.</w:t>
      </w:r>
      <w:r>
        <w:rPr/>
        <w:br/>
        <w:t>Humaneness must be informed by rightness, wisdom, trustworthiness, respect, courage, and practical judgment. Compassion without judgment may become partial or ineffective, while ritual without humaneness may become hollow, coercive, or unjust.</w:t>
      </w:r>
    </w:p>
    <w:p>
      <w:pPr>
        <w:pStyle w:val="BodyText"/>
        <w:numPr>
          <w:ilvl w:val="0"/>
          <w:numId w:val="126"/>
        </w:numPr>
        <w:tabs>
          <w:tab w:val="clear" w:pos="720"/>
          <w:tab w:val="left" w:pos="0" w:leader="none"/>
        </w:tabs>
        <w:spacing w:before="0" w:after="200"/>
        <w:ind w:hanging="283" w:left="709"/>
        <w:rPr/>
      </w:pPr>
      <w:r>
        <w:rPr>
          <w:rStyle w:val="Strong"/>
        </w:rPr>
        <w:t>Moral emotions can be educated.</w:t>
      </w:r>
      <w:r>
        <w:rPr/>
        <w:br/>
        <w:t>Compassion, shame, respect, grief, gratitude, and concern are not simply private feelings. They can reveal ethically relevant features of a situation, but they must be extended, regulated, and cultivated.</w:t>
      </w:r>
    </w:p>
    <w:p>
      <w:pPr>
        <w:pStyle w:val="BodyText"/>
        <w:numPr>
          <w:ilvl w:val="0"/>
          <w:numId w:val="126"/>
        </w:numPr>
        <w:tabs>
          <w:tab w:val="clear" w:pos="720"/>
          <w:tab w:val="left" w:pos="0" w:leader="none"/>
        </w:tabs>
        <w:spacing w:before="0" w:after="200"/>
        <w:ind w:hanging="283" w:left="709"/>
        <w:rPr/>
      </w:pPr>
      <w:r>
        <w:rPr>
          <w:rStyle w:val="Strong"/>
        </w:rPr>
        <w:t>Family relationships are foundational but not morally unlimited.</w:t>
      </w:r>
      <w:r>
        <w:rPr/>
        <w:br/>
        <w:t xml:space="preserve">Filial responsibility, or </w:t>
      </w:r>
      <w:r>
        <w:rPr>
          <w:rStyle w:val="Emphasis"/>
        </w:rPr>
        <w:t>xiao</w:t>
      </w:r>
      <w:r>
        <w:rPr/>
        <w:t xml:space="preserve">, treats care for parents and elders as a foundational context for learning gratitude, responsibility, and concern. However, filiality cannot be equated uncritically with blind obedience. Classical Confucian texts recognize respectful remonstrance when parents or authorities are mistaken. Confucian filiality and its internal tensions are discussed in the </w:t>
      </w:r>
      <w:hyperlink r:id="rId196">
        <w:r>
          <w:rPr>
            <w:rStyle w:val="Hyperlink"/>
          </w:rPr>
          <w:t>SEP account of Chinese ethics</w:t>
        </w:r>
      </w:hyperlink>
      <w:r>
        <w:rPr/>
        <w:t>.</w:t>
      </w:r>
    </w:p>
    <w:p>
      <w:pPr>
        <w:pStyle w:val="BodyText"/>
        <w:numPr>
          <w:ilvl w:val="0"/>
          <w:numId w:val="126"/>
        </w:numPr>
        <w:tabs>
          <w:tab w:val="clear" w:pos="720"/>
          <w:tab w:val="left" w:pos="0" w:leader="none"/>
        </w:tabs>
        <w:spacing w:before="0" w:after="200"/>
        <w:ind w:hanging="283" w:left="709"/>
        <w:rPr/>
      </w:pPr>
      <w:r>
        <w:rPr>
          <w:rStyle w:val="Strong"/>
        </w:rPr>
        <w:t>Concern may be graded by relationship.</w:t>
      </w:r>
      <w:r>
        <w:rPr/>
        <w:br/>
        <w:t>Confucian ethics generally permits greater obligations toward those with whom an agent has close relationships or special responsibilities. It does not ordinarily require identical treatment of parents, strangers, dependents, professional beneficiaries, and political communities. These distinctions must nevertheless remain compatible with broader humaneness and justice.</w:t>
      </w:r>
    </w:p>
    <w:p>
      <w:pPr>
        <w:pStyle w:val="BodyText"/>
        <w:numPr>
          <w:ilvl w:val="0"/>
          <w:numId w:val="126"/>
        </w:numPr>
        <w:tabs>
          <w:tab w:val="clear" w:pos="720"/>
          <w:tab w:val="left" w:pos="0" w:leader="none"/>
        </w:tabs>
        <w:spacing w:before="0" w:after="200"/>
        <w:ind w:hanging="283" w:left="709"/>
        <w:rPr/>
      </w:pPr>
      <w:r>
        <w:rPr>
          <w:rStyle w:val="Strong"/>
        </w:rPr>
        <w:t>Harmony is coordination without compulsory sameness.</w:t>
      </w:r>
      <w:r>
        <w:rPr/>
        <w:br/>
      </w:r>
      <w:r>
        <w:rPr>
          <w:rStyle w:val="Emphasis"/>
        </w:rPr>
        <w:t>He</w:t>
      </w:r>
      <w:r>
        <w:rPr/>
        <w:t>, or harmony, is a dynamic coordination of different roles, interests, and perspectives. It is not the elimination of disagreement. Genuine harmony may require criticism, dissent, correction, and the reconciliation of legitimate differences.</w:t>
      </w:r>
    </w:p>
    <w:p>
      <w:pPr>
        <w:pStyle w:val="BodyText"/>
        <w:numPr>
          <w:ilvl w:val="0"/>
          <w:numId w:val="126"/>
        </w:numPr>
        <w:tabs>
          <w:tab w:val="clear" w:pos="720"/>
          <w:tab w:val="left" w:pos="0" w:leader="none"/>
        </w:tabs>
        <w:spacing w:before="0" w:after="200"/>
        <w:ind w:hanging="283" w:left="709"/>
        <w:rPr/>
      </w:pPr>
      <w:r>
        <w:rPr>
          <w:rStyle w:val="Strong"/>
        </w:rPr>
        <w:t>Roles create reciprocal responsibilities.</w:t>
      </w:r>
      <w:r>
        <w:rPr/>
        <w:br/>
        <w:t>Parent and child, teacher and student, leader and subordinate, and other role relationships are not ethically one-directional. Authority carries corresponding duties of care, competence, fairness, and exemplary conduct. A title alone does not establish legitimate moral authority.</w:t>
      </w:r>
    </w:p>
    <w:p>
      <w:pPr>
        <w:pStyle w:val="BodyText"/>
        <w:numPr>
          <w:ilvl w:val="0"/>
          <w:numId w:val="126"/>
        </w:numPr>
        <w:tabs>
          <w:tab w:val="clear" w:pos="720"/>
          <w:tab w:val="left" w:pos="0" w:leader="none"/>
        </w:tabs>
        <w:spacing w:before="0" w:after="200"/>
        <w:ind w:hanging="283" w:left="709"/>
        <w:rPr/>
      </w:pPr>
      <w:r>
        <w:rPr>
          <w:rStyle w:val="Strong"/>
        </w:rPr>
        <w:t>Names, roles, and conduct should correspond.</w:t>
      </w:r>
      <w:r>
        <w:rPr/>
        <w:br/>
        <w:t>The “rectification of names” requires that people and institutions actually perform the responsibilities associated with the roles they claim. A ruler who does not govern humanely, a professional who does not meet professional duties, or an institution that misrepresents its function creates moral and social disorder.</w:t>
      </w:r>
    </w:p>
    <w:p>
      <w:pPr>
        <w:pStyle w:val="BodyText"/>
        <w:numPr>
          <w:ilvl w:val="0"/>
          <w:numId w:val="126"/>
        </w:numPr>
        <w:tabs>
          <w:tab w:val="clear" w:pos="720"/>
          <w:tab w:val="left" w:pos="0" w:leader="none"/>
        </w:tabs>
        <w:spacing w:before="0" w:after="200"/>
        <w:ind w:hanging="283" w:left="709"/>
        <w:rPr/>
      </w:pPr>
      <w:r>
        <w:rPr>
          <w:rStyle w:val="Strong"/>
        </w:rPr>
        <w:t>Exemplary conduct has distributed effects.</w:t>
      </w:r>
      <w:r>
        <w:rPr/>
        <w:br/>
        <w:t>Leaders, parents, teachers, and other visible actors influence the behavior of observers. Their actions establish expectations about what conduct will be tolerated, rewarded, or imitated. Governance by moral example is therefore preferable to dependence on punishment alone.</w:t>
      </w:r>
    </w:p>
    <w:p>
      <w:pPr>
        <w:pStyle w:val="BodyText"/>
        <w:numPr>
          <w:ilvl w:val="0"/>
          <w:numId w:val="126"/>
        </w:numPr>
        <w:tabs>
          <w:tab w:val="clear" w:pos="720"/>
          <w:tab w:val="left" w:pos="0" w:leader="none"/>
        </w:tabs>
        <w:spacing w:before="0" w:after="200"/>
        <w:ind w:hanging="283" w:left="709"/>
        <w:rPr/>
      </w:pPr>
      <w:r>
        <w:rPr>
          <w:rStyle w:val="Strong"/>
        </w:rPr>
        <w:t>Material and institutional conditions affect moral development.</w:t>
      </w:r>
      <w:r>
        <w:rPr/>
        <w:br/>
        <w:t>Mencian thought recognizes that insecurity, deprivation, and disordered government can undermine people’s ability to develop and exercise moral capacities. Moral exhortation is insufficient when social conditions systematically obstruct responsible agency.</w:t>
      </w:r>
    </w:p>
    <w:p>
      <w:pPr>
        <w:pStyle w:val="BodyText"/>
        <w:numPr>
          <w:ilvl w:val="0"/>
          <w:numId w:val="126"/>
        </w:numPr>
        <w:tabs>
          <w:tab w:val="clear" w:pos="720"/>
          <w:tab w:val="left" w:pos="0" w:leader="none"/>
        </w:tabs>
        <w:spacing w:before="0" w:after="200"/>
        <w:ind w:hanging="283" w:left="709"/>
        <w:rPr/>
      </w:pPr>
      <w:r>
        <w:rPr>
          <w:rStyle w:val="Strong"/>
        </w:rPr>
        <w:t>The tradition contains competing accounts of human nature.</w:t>
      </w:r>
      <w:r>
        <w:rPr/>
        <w:br/>
        <w:t>Mencius treats people as possessing incipient moral tendencies that require cultivation. Xunzi emphasizes that unregulated desires and partialities tend toward conflict and must be transformed through deliberate learning and institutional practices. The disagreement is relevant to whether ethical systems should primarily nurture existing moral capacities, constrain harmful tendencies, or do both.</w:t>
      </w:r>
    </w:p>
    <w:p>
      <w:pPr>
        <w:pStyle w:val="BodyText"/>
        <w:numPr>
          <w:ilvl w:val="0"/>
          <w:numId w:val="126"/>
        </w:numPr>
        <w:tabs>
          <w:tab w:val="clear" w:pos="720"/>
          <w:tab w:val="left" w:pos="0" w:leader="none"/>
        </w:tabs>
        <w:spacing w:before="0" w:after="200"/>
        <w:ind w:hanging="283" w:left="709"/>
        <w:rPr/>
      </w:pPr>
      <w:r>
        <w:rPr>
          <w:rStyle w:val="Strong"/>
        </w:rPr>
        <w:t>Knowing and acting should not be separated.</w:t>
      </w:r>
      <w:r>
        <w:rPr/>
        <w:br/>
        <w:t>Wang Yangming’s unity of knowledge and action holds that a person who professes moral understanding but consistently fails to act accordingly has not fully realized that understanding. Ethical assessment should therefore include implementation, practice, and feedback—not merely statements of principle.</w:t>
      </w:r>
    </w:p>
    <w:p>
      <w:pPr>
        <w:pStyle w:val="BodyText"/>
        <w:numPr>
          <w:ilvl w:val="0"/>
          <w:numId w:val="126"/>
        </w:numPr>
        <w:tabs>
          <w:tab w:val="clear" w:pos="720"/>
          <w:tab w:val="left" w:pos="0" w:leader="none"/>
        </w:tabs>
        <w:spacing w:before="0" w:after="200"/>
        <w:ind w:hanging="283" w:left="709"/>
        <w:rPr/>
      </w:pPr>
      <w:r>
        <w:rPr>
          <w:rStyle w:val="Strong"/>
        </w:rPr>
        <w:t>Moral and political order are connected.</w:t>
      </w:r>
      <w:r>
        <w:rPr/>
        <w:br/>
        <w:t>Institutions cannot remain ethically stable if leaders demand virtues from others that they do not demonstrate themselves. Political legitimacy depends in substantial part on whether leadership promotes humane conditions and performs the responsibilities of office.</w:t>
      </w:r>
    </w:p>
    <w:p>
      <w:pPr>
        <w:pStyle w:val="BodyText"/>
        <w:numPr>
          <w:ilvl w:val="0"/>
          <w:numId w:val="126"/>
        </w:numPr>
        <w:tabs>
          <w:tab w:val="clear" w:pos="720"/>
          <w:tab w:val="left" w:pos="0" w:leader="none"/>
        </w:tabs>
        <w:spacing w:before="0" w:after="200"/>
        <w:ind w:hanging="283" w:left="709"/>
        <w:rPr/>
      </w:pPr>
      <w:r>
        <w:rPr>
          <w:rStyle w:val="Strong"/>
        </w:rPr>
        <w:t>Human flourishing is interconnected with broader patterns of order.</w:t>
      </w:r>
      <w:r>
        <w:rPr/>
        <w:br/>
        <w:t>Neo-Confucian traditions commonly situate human moral development within a wider natural and cosmological order. Although the metaphysical interpretations differ, this orientation can support an understanding of human flourishing as dependent on social and ecological relationships rather than as an isolated human achievement.</w:t>
      </w:r>
    </w:p>
    <w:p>
      <w:pPr>
        <w:pStyle w:val="Heading4"/>
        <w:ind w:hanging="0" w:left="0"/>
        <w:rPr>
          <w:rFonts w:ascii="Aptos" w:hAnsi="Aptos"/>
          <w:color w:val="auto"/>
        </w:rPr>
      </w:pPr>
      <w:r>
        <w:rPr/>
        <w:t>Relationship to this framework</w:t>
      </w:r>
    </w:p>
    <w:p>
      <w:pPr>
        <w:pStyle w:val="BodyText"/>
        <w:spacing w:before="0" w:after="200"/>
        <w:rPr/>
      </w:pPr>
      <w:r>
        <w:rPr/>
        <w:t>Confucian ethics is strongly compatible with the proposed framework’s relational, developmental, and systems-oriented features. Confucian analysis can enrich the framework by explaining how individual actions affect the character of agents, the integrity of relationships, the operation of institutions, and the norms that future actors are likely to adopt.</w:t>
      </w:r>
    </w:p>
    <w:tbl>
      <w:tblPr>
        <w:tblW w:w="8640" w:type="dxa"/>
        <w:jc w:val="left"/>
        <w:tblInd w:w="28" w:type="dxa"/>
        <w:tblLayout w:type="fixed"/>
        <w:tblCellMar>
          <w:top w:w="28" w:type="dxa"/>
          <w:left w:w="28" w:type="dxa"/>
          <w:bottom w:w="28" w:type="dxa"/>
          <w:right w:w="28" w:type="dxa"/>
        </w:tblCellMar>
      </w:tblPr>
      <w:tblGrid>
        <w:gridCol w:w="2269"/>
        <w:gridCol w:w="6371"/>
      </w:tblGrid>
      <w:tr>
        <w:trPr>
          <w:tblHeader w:val="true"/>
        </w:trPr>
        <w:tc>
          <w:tcPr>
            <w:tcW w:w="2269" w:type="dxa"/>
            <w:tcBorders/>
            <w:vAlign w:val="center"/>
          </w:tcPr>
          <w:p>
            <w:pPr>
              <w:pStyle w:val="TableHeading"/>
              <w:suppressLineNumbers/>
              <w:spacing w:before="0" w:after="200"/>
              <w:jc w:val="center"/>
              <w:rPr/>
            </w:pPr>
            <w:r>
              <w:rPr/>
              <w:t>Confucian emphasis</w:t>
            </w:r>
          </w:p>
        </w:tc>
        <w:tc>
          <w:tcPr>
            <w:tcW w:w="6371" w:type="dxa"/>
            <w:tcBorders/>
            <w:vAlign w:val="center"/>
          </w:tcPr>
          <w:p>
            <w:pPr>
              <w:pStyle w:val="TableHeading"/>
              <w:suppressLineNumbers/>
              <w:spacing w:before="0" w:after="200"/>
              <w:jc w:val="center"/>
              <w:rPr/>
            </w:pPr>
            <w:r>
              <w:rPr/>
              <w:t>Relationship to this framework</w:t>
            </w:r>
          </w:p>
        </w:tc>
      </w:tr>
      <w:tr>
        <w:trPr/>
        <w:tc>
          <w:tcPr>
            <w:tcW w:w="2269" w:type="dxa"/>
            <w:tcBorders/>
            <w:vAlign w:val="center"/>
          </w:tcPr>
          <w:p>
            <w:pPr>
              <w:pStyle w:val="TableContents"/>
              <w:widowControl w:val="false"/>
              <w:suppressLineNumbers/>
              <w:spacing w:before="0" w:after="200"/>
              <w:rPr/>
            </w:pPr>
            <w:r>
              <w:rPr/>
              <w:t>Relational personhood</w:t>
            </w:r>
          </w:p>
        </w:tc>
        <w:tc>
          <w:tcPr>
            <w:tcW w:w="6371" w:type="dxa"/>
            <w:tcBorders/>
            <w:vAlign w:val="center"/>
          </w:tcPr>
          <w:p>
            <w:pPr>
              <w:pStyle w:val="TableContents"/>
              <w:widowControl w:val="false"/>
              <w:suppressLineNumbers/>
              <w:spacing w:before="0" w:after="200"/>
              <w:rPr/>
            </w:pPr>
            <w:r>
              <w:rPr/>
              <w:t>Corresponds to the framework’s representation of entities through their Associations, dependencies, roles, and World Context.</w:t>
            </w:r>
          </w:p>
        </w:tc>
      </w:tr>
      <w:tr>
        <w:trPr/>
        <w:tc>
          <w:tcPr>
            <w:tcW w:w="2269" w:type="dxa"/>
            <w:tcBorders/>
            <w:vAlign w:val="center"/>
          </w:tcPr>
          <w:p>
            <w:pPr>
              <w:pStyle w:val="TableContents"/>
              <w:widowControl w:val="false"/>
              <w:suppressLineNumbers/>
              <w:spacing w:before="0" w:after="200"/>
              <w:rPr/>
            </w:pPr>
            <w:r>
              <w:rPr/>
              <w:t>Humaneness and care</w:t>
            </w:r>
          </w:p>
        </w:tc>
        <w:tc>
          <w:tcPr>
            <w:tcW w:w="6371" w:type="dxa"/>
            <w:tcBorders/>
            <w:vAlign w:val="center"/>
          </w:tcPr>
          <w:p>
            <w:pPr>
              <w:pStyle w:val="TableContents"/>
              <w:widowControl w:val="false"/>
              <w:suppressLineNumbers/>
              <w:spacing w:before="0" w:after="200"/>
              <w:rPr/>
            </w:pPr>
            <w:r>
              <w:rPr/>
              <w:t>Supports the Foundational Axiom’s concern for preserving and promoting the long-term flourishing of relevant persistent adaptive entities.</w:t>
            </w:r>
          </w:p>
        </w:tc>
      </w:tr>
      <w:tr>
        <w:trPr/>
        <w:tc>
          <w:tcPr>
            <w:tcW w:w="2269" w:type="dxa"/>
            <w:tcBorders/>
            <w:vAlign w:val="center"/>
          </w:tcPr>
          <w:p>
            <w:pPr>
              <w:pStyle w:val="TableContents"/>
              <w:widowControl w:val="false"/>
              <w:suppressLineNumbers/>
              <w:spacing w:before="0" w:after="200"/>
              <w:rPr/>
            </w:pPr>
            <w:r>
              <w:rPr/>
              <w:t>Context-sensitive rightness</w:t>
            </w:r>
          </w:p>
        </w:tc>
        <w:tc>
          <w:tcPr>
            <w:tcW w:w="6371" w:type="dxa"/>
            <w:tcBorders/>
            <w:vAlign w:val="center"/>
          </w:tcPr>
          <w:p>
            <w:pPr>
              <w:pStyle w:val="TableContents"/>
              <w:widowControl w:val="false"/>
              <w:suppressLineNumbers/>
              <w:spacing w:before="0" w:after="200"/>
              <w:rPr/>
            </w:pPr>
            <w:r>
              <w:rPr/>
              <w:t>Corresponds to evaluating an Assessed Action within its full Situational Context rather than applying a decontextualized rule.</w:t>
            </w:r>
          </w:p>
        </w:tc>
      </w:tr>
      <w:tr>
        <w:trPr/>
        <w:tc>
          <w:tcPr>
            <w:tcW w:w="2269" w:type="dxa"/>
            <w:tcBorders/>
            <w:vAlign w:val="center"/>
          </w:tcPr>
          <w:p>
            <w:pPr>
              <w:pStyle w:val="TableContents"/>
              <w:widowControl w:val="false"/>
              <w:suppressLineNumbers/>
              <w:spacing w:before="0" w:after="200"/>
              <w:rPr/>
            </w:pPr>
            <w:r>
              <w:rPr/>
              <w:t>Ritual and practice</w:t>
            </w:r>
          </w:p>
        </w:tc>
        <w:tc>
          <w:tcPr>
            <w:tcW w:w="6371" w:type="dxa"/>
            <w:tcBorders/>
            <w:vAlign w:val="center"/>
          </w:tcPr>
          <w:p>
            <w:pPr>
              <w:pStyle w:val="TableContents"/>
              <w:widowControl w:val="false"/>
              <w:suppressLineNumbers/>
              <w:spacing w:before="0" w:after="200"/>
              <w:rPr/>
            </w:pPr>
            <w:r>
              <w:rPr/>
              <w:t>Provides a model for understanding policies, procedures, interfaces, customs, and recurring practices as mechanisms that shape future conduct.</w:t>
            </w:r>
          </w:p>
        </w:tc>
      </w:tr>
      <w:tr>
        <w:trPr/>
        <w:tc>
          <w:tcPr>
            <w:tcW w:w="2269" w:type="dxa"/>
            <w:tcBorders/>
            <w:vAlign w:val="center"/>
          </w:tcPr>
          <w:p>
            <w:pPr>
              <w:pStyle w:val="TableContents"/>
              <w:widowControl w:val="false"/>
              <w:suppressLineNumbers/>
              <w:spacing w:before="0" w:after="200"/>
              <w:rPr/>
            </w:pPr>
            <w:r>
              <w:rPr/>
              <w:t>Self-cultivation</w:t>
            </w:r>
          </w:p>
        </w:tc>
        <w:tc>
          <w:tcPr>
            <w:tcW w:w="6371" w:type="dxa"/>
            <w:tcBorders/>
            <w:vAlign w:val="center"/>
          </w:tcPr>
          <w:p>
            <w:pPr>
              <w:pStyle w:val="TableContents"/>
              <w:widowControl w:val="false"/>
              <w:suppressLineNumbers/>
              <w:spacing w:before="0" w:after="200"/>
              <w:rPr/>
            </w:pPr>
            <w:r>
              <w:rPr/>
              <w:t>Corresponds to the framework’s commitment to the adaptive development of moral agents.</w:t>
            </w:r>
          </w:p>
        </w:tc>
      </w:tr>
      <w:tr>
        <w:trPr/>
        <w:tc>
          <w:tcPr>
            <w:tcW w:w="2269" w:type="dxa"/>
            <w:tcBorders/>
            <w:vAlign w:val="center"/>
          </w:tcPr>
          <w:p>
            <w:pPr>
              <w:pStyle w:val="TableContents"/>
              <w:widowControl w:val="false"/>
              <w:suppressLineNumbers/>
              <w:spacing w:before="0" w:after="200"/>
              <w:rPr/>
            </w:pPr>
            <w:r>
              <w:rPr/>
              <w:t>Exemplary leadership</w:t>
            </w:r>
          </w:p>
        </w:tc>
        <w:tc>
          <w:tcPr>
            <w:tcW w:w="6371" w:type="dxa"/>
            <w:tcBorders/>
            <w:vAlign w:val="center"/>
          </w:tcPr>
          <w:p>
            <w:pPr>
              <w:pStyle w:val="TableContents"/>
              <w:widowControl w:val="false"/>
              <w:suppressLineNumbers/>
              <w:spacing w:before="0" w:after="200"/>
              <w:rPr/>
            </w:pPr>
            <w:r>
              <w:rPr/>
              <w:t>Provides an established ethical account of Distributed Policy Effects: visible conduct teaches observers what behavior is normal, permissible, or admirable.</w:t>
            </w:r>
          </w:p>
        </w:tc>
      </w:tr>
      <w:tr>
        <w:trPr/>
        <w:tc>
          <w:tcPr>
            <w:tcW w:w="2269" w:type="dxa"/>
            <w:tcBorders/>
            <w:vAlign w:val="center"/>
          </w:tcPr>
          <w:p>
            <w:pPr>
              <w:pStyle w:val="TableContents"/>
              <w:widowControl w:val="false"/>
              <w:suppressLineNumbers/>
              <w:spacing w:before="0" w:after="200"/>
              <w:rPr/>
            </w:pPr>
            <w:r>
              <w:rPr/>
              <w:t>Role responsibility</w:t>
            </w:r>
          </w:p>
        </w:tc>
        <w:tc>
          <w:tcPr>
            <w:tcW w:w="6371" w:type="dxa"/>
            <w:tcBorders/>
            <w:vAlign w:val="center"/>
          </w:tcPr>
          <w:p>
            <w:pPr>
              <w:pStyle w:val="TableContents"/>
              <w:widowControl w:val="false"/>
              <w:suppressLineNumbers/>
              <w:spacing w:before="0" w:after="200"/>
              <w:rPr/>
            </w:pPr>
            <w:r>
              <w:rPr/>
              <w:t>Supports the framework’s distinction between causal involvement and responsibility based on role, authority, knowledge, capacity, and obligation.</w:t>
            </w:r>
          </w:p>
        </w:tc>
      </w:tr>
      <w:tr>
        <w:trPr/>
        <w:tc>
          <w:tcPr>
            <w:tcW w:w="2269" w:type="dxa"/>
            <w:tcBorders/>
            <w:vAlign w:val="center"/>
          </w:tcPr>
          <w:p>
            <w:pPr>
              <w:pStyle w:val="TableContents"/>
              <w:widowControl w:val="false"/>
              <w:suppressLineNumbers/>
              <w:spacing w:before="0" w:after="200"/>
              <w:rPr/>
            </w:pPr>
            <w:r>
              <w:rPr/>
              <w:t>Rectification of names</w:t>
            </w:r>
          </w:p>
        </w:tc>
        <w:tc>
          <w:tcPr>
            <w:tcW w:w="6371" w:type="dxa"/>
            <w:tcBorders/>
            <w:vAlign w:val="center"/>
          </w:tcPr>
          <w:p>
            <w:pPr>
              <w:pStyle w:val="TableContents"/>
              <w:widowControl w:val="false"/>
              <w:suppressLineNumbers/>
              <w:spacing w:before="0" w:after="200"/>
              <w:rPr/>
            </w:pPr>
            <w:r>
              <w:rPr/>
              <w:t>Supports explicit validation of whether formal titles, declared purposes, authority claims, and actual conduct correspond.</w:t>
            </w:r>
          </w:p>
        </w:tc>
      </w:tr>
      <w:tr>
        <w:trPr/>
        <w:tc>
          <w:tcPr>
            <w:tcW w:w="2269" w:type="dxa"/>
            <w:tcBorders/>
            <w:vAlign w:val="center"/>
          </w:tcPr>
          <w:p>
            <w:pPr>
              <w:pStyle w:val="TableContents"/>
              <w:widowControl w:val="false"/>
              <w:suppressLineNumbers/>
              <w:spacing w:before="0" w:after="200"/>
              <w:rPr/>
            </w:pPr>
            <w:r>
              <w:rPr/>
              <w:t>Harmony</w:t>
            </w:r>
          </w:p>
        </w:tc>
        <w:tc>
          <w:tcPr>
            <w:tcW w:w="6371" w:type="dxa"/>
            <w:tcBorders/>
            <w:vAlign w:val="center"/>
          </w:tcPr>
          <w:p>
            <w:pPr>
              <w:pStyle w:val="TableContents"/>
              <w:widowControl w:val="false"/>
              <w:suppressLineNumbers/>
              <w:spacing w:before="0" w:after="200"/>
              <w:rPr/>
            </w:pPr>
            <w:r>
              <w:rPr/>
              <w:t>Resembles compatible flourishing across interacting entities, provided that harmony is not confused with silence or coerced agreement.</w:t>
            </w:r>
          </w:p>
        </w:tc>
      </w:tr>
      <w:tr>
        <w:trPr/>
        <w:tc>
          <w:tcPr>
            <w:tcW w:w="2269" w:type="dxa"/>
            <w:tcBorders/>
            <w:vAlign w:val="center"/>
          </w:tcPr>
          <w:p>
            <w:pPr>
              <w:pStyle w:val="TableContents"/>
              <w:widowControl w:val="false"/>
              <w:suppressLineNumbers/>
              <w:spacing w:before="0" w:after="200"/>
              <w:rPr/>
            </w:pPr>
            <w:r>
              <w:rPr/>
              <w:t>Moral education</w:t>
            </w:r>
          </w:p>
        </w:tc>
        <w:tc>
          <w:tcPr>
            <w:tcW w:w="6371" w:type="dxa"/>
            <w:tcBorders/>
            <w:vAlign w:val="center"/>
          </w:tcPr>
          <w:p>
            <w:pPr>
              <w:pStyle w:val="TableContents"/>
              <w:widowControl w:val="false"/>
              <w:suppressLineNumbers/>
              <w:spacing w:before="0" w:after="200"/>
              <w:rPr/>
            </w:pPr>
            <w:r>
              <w:rPr/>
              <w:t>Supports treating the development of future decision quality as part of the World Context Transition.</w:t>
            </w:r>
          </w:p>
        </w:tc>
      </w:tr>
      <w:tr>
        <w:trPr/>
        <w:tc>
          <w:tcPr>
            <w:tcW w:w="2269" w:type="dxa"/>
            <w:tcBorders/>
            <w:vAlign w:val="center"/>
          </w:tcPr>
          <w:p>
            <w:pPr>
              <w:pStyle w:val="TableContents"/>
              <w:widowControl w:val="false"/>
              <w:suppressLineNumbers/>
              <w:spacing w:before="0" w:after="200"/>
              <w:rPr/>
            </w:pPr>
            <w:r>
              <w:rPr/>
              <w:t>Humane governance</w:t>
            </w:r>
          </w:p>
        </w:tc>
        <w:tc>
          <w:tcPr>
            <w:tcW w:w="6371" w:type="dxa"/>
            <w:tcBorders/>
            <w:vAlign w:val="center"/>
          </w:tcPr>
          <w:p>
            <w:pPr>
              <w:pStyle w:val="TableContents"/>
              <w:widowControl w:val="false"/>
              <w:suppressLineNumbers/>
              <w:spacing w:before="0" w:after="200"/>
              <w:rPr/>
            </w:pPr>
            <w:r>
              <w:rPr/>
              <w:t>Supports evaluating institutions by whether they create conditions in which entities can develop and flourish over time.</w:t>
            </w:r>
          </w:p>
        </w:tc>
      </w:tr>
      <w:tr>
        <w:trPr/>
        <w:tc>
          <w:tcPr>
            <w:tcW w:w="2269" w:type="dxa"/>
            <w:tcBorders/>
            <w:vAlign w:val="center"/>
          </w:tcPr>
          <w:p>
            <w:pPr>
              <w:pStyle w:val="TableContents"/>
              <w:widowControl w:val="false"/>
              <w:suppressLineNumbers/>
              <w:spacing w:before="0" w:after="200"/>
              <w:rPr/>
            </w:pPr>
            <w:r>
              <w:rPr/>
              <w:t>Unity of knowledge and action</w:t>
            </w:r>
          </w:p>
        </w:tc>
        <w:tc>
          <w:tcPr>
            <w:tcW w:w="6371" w:type="dxa"/>
            <w:tcBorders/>
            <w:vAlign w:val="center"/>
          </w:tcPr>
          <w:p>
            <w:pPr>
              <w:pStyle w:val="TableContents"/>
              <w:widowControl w:val="false"/>
              <w:suppressLineNumbers/>
              <w:spacing w:before="0" w:after="200"/>
              <w:rPr/>
            </w:pPr>
            <w:r>
              <w:rPr/>
              <w:t>Supports connecting ethical conclusions to implementation, monitoring, and corrective action.</w:t>
            </w:r>
          </w:p>
        </w:tc>
      </w:tr>
    </w:tbl>
    <w:p>
      <w:pPr>
        <w:pStyle w:val="BodyText"/>
        <w:spacing w:before="0" w:after="200"/>
        <w:rPr/>
      </w:pPr>
      <w:r>
        <w:rPr/>
        <w:t>Confucian ethics also exposes an important dimension that a transition-centered framework might otherwise understate: actions are formative. They do not merely produce external outcomes; they train the actor and surrounding community. A truthful action can strengthen future truthfulness, a corrupt exception can normalize future corruption, and a respectful disagreement can teach an institution how to accommodate dissent. These are not secondary consequences. They are changes to the future policies and capacities of the system.</w:t>
      </w:r>
    </w:p>
    <w:p>
      <w:pPr>
        <w:pStyle w:val="BodyText"/>
        <w:spacing w:before="0" w:after="200"/>
        <w:rPr/>
      </w:pPr>
      <w:r>
        <w:rPr/>
        <w:t>At the same time, the proposed framework extends beyond conventional Confucian analysis in several respects. It offers a more explicit ontology of affected entities, causal transitions, probabilities, time horizons, and evidentiary uncertainty. It also permits consideration of nonhuman organisms, artificial agents, institutions, ecosystems, and other persistent adaptive entities whose status may not be fully specified in classical Confucian ethics.</w:t>
      </w:r>
    </w:p>
    <w:p>
      <w:pPr>
        <w:pStyle w:val="Heading4"/>
        <w:ind w:hanging="0" w:left="0"/>
        <w:rPr>
          <w:rFonts w:ascii="Aptos" w:hAnsi="Aptos"/>
          <w:color w:val="auto"/>
        </w:rPr>
      </w:pPr>
      <w:r>
        <w:rPr/>
        <w:t>Concepts adopted or adapted by this framework</w:t>
      </w:r>
    </w:p>
    <w:p>
      <w:pPr>
        <w:pStyle w:val="BodyText"/>
        <w:spacing w:before="0" w:after="200"/>
        <w:rPr/>
      </w:pPr>
      <w:r>
        <w:rPr/>
        <w:t>The framework need not accept Confucian metaphysics or reproduce historically contingent social arrangements to incorporate useful Confucian concepts.</w:t>
      </w:r>
    </w:p>
    <w:tbl>
      <w:tblPr>
        <w:tblW w:w="8640" w:type="dxa"/>
        <w:jc w:val="left"/>
        <w:tblInd w:w="28" w:type="dxa"/>
        <w:tblLayout w:type="fixed"/>
        <w:tblCellMar>
          <w:top w:w="28" w:type="dxa"/>
          <w:left w:w="28" w:type="dxa"/>
          <w:bottom w:w="28" w:type="dxa"/>
          <w:right w:w="28" w:type="dxa"/>
        </w:tblCellMar>
      </w:tblPr>
      <w:tblGrid>
        <w:gridCol w:w="2782"/>
        <w:gridCol w:w="5858"/>
      </w:tblGrid>
      <w:tr>
        <w:trPr>
          <w:tblHeader w:val="true"/>
        </w:trPr>
        <w:tc>
          <w:tcPr>
            <w:tcW w:w="2782" w:type="dxa"/>
            <w:tcBorders/>
            <w:vAlign w:val="center"/>
          </w:tcPr>
          <w:p>
            <w:pPr>
              <w:pStyle w:val="TableHeading"/>
              <w:suppressLineNumbers/>
              <w:spacing w:before="0" w:after="200"/>
              <w:jc w:val="center"/>
              <w:rPr/>
            </w:pPr>
            <w:r>
              <w:rPr/>
              <w:t>Confucian concept</w:t>
            </w:r>
          </w:p>
        </w:tc>
        <w:tc>
          <w:tcPr>
            <w:tcW w:w="5858" w:type="dxa"/>
            <w:tcBorders/>
            <w:vAlign w:val="center"/>
          </w:tcPr>
          <w:p>
            <w:pPr>
              <w:pStyle w:val="TableHeading"/>
              <w:suppressLineNumbers/>
              <w:spacing w:before="0" w:after="200"/>
              <w:jc w:val="center"/>
              <w:rPr/>
            </w:pPr>
            <w:r>
              <w:rPr/>
              <w:t>Adoption or adaptation within this framework</w:t>
            </w:r>
          </w:p>
        </w:tc>
      </w:tr>
      <w:tr>
        <w:trPr/>
        <w:tc>
          <w:tcPr>
            <w:tcW w:w="2782" w:type="dxa"/>
            <w:tcBorders/>
            <w:vAlign w:val="center"/>
          </w:tcPr>
          <w:p>
            <w:pPr>
              <w:pStyle w:val="TableContents"/>
              <w:widowControl w:val="false"/>
              <w:suppressLineNumbers/>
              <w:spacing w:before="0" w:after="200"/>
              <w:rPr/>
            </w:pPr>
            <w:r>
              <w:rPr>
                <w:rStyle w:val="Strong"/>
              </w:rPr>
              <w:t>Ren — humaneness</w:t>
            </w:r>
          </w:p>
        </w:tc>
        <w:tc>
          <w:tcPr>
            <w:tcW w:w="5858" w:type="dxa"/>
            <w:tcBorders/>
            <w:vAlign w:val="center"/>
          </w:tcPr>
          <w:p>
            <w:pPr>
              <w:pStyle w:val="TableContents"/>
              <w:widowControl w:val="false"/>
              <w:suppressLineNumbers/>
              <w:spacing w:before="0" w:after="200"/>
              <w:rPr/>
            </w:pPr>
            <w:r>
              <w:rPr/>
              <w:t>Represented as sustained concern for how an action affects the flourishing, vulnerability, agency, and relationships of relevant entities.</w:t>
            </w:r>
          </w:p>
        </w:tc>
      </w:tr>
      <w:tr>
        <w:trPr/>
        <w:tc>
          <w:tcPr>
            <w:tcW w:w="2782" w:type="dxa"/>
            <w:tcBorders/>
            <w:vAlign w:val="center"/>
          </w:tcPr>
          <w:p>
            <w:pPr>
              <w:pStyle w:val="TableContents"/>
              <w:widowControl w:val="false"/>
              <w:suppressLineNumbers/>
              <w:spacing w:before="0" w:after="200"/>
              <w:rPr/>
            </w:pPr>
            <w:r>
              <w:rPr>
                <w:rStyle w:val="Strong"/>
              </w:rPr>
              <w:t>Yi — rightness or appropriateness</w:t>
            </w:r>
          </w:p>
        </w:tc>
        <w:tc>
          <w:tcPr>
            <w:tcW w:w="5858" w:type="dxa"/>
            <w:tcBorders/>
            <w:vAlign w:val="center"/>
          </w:tcPr>
          <w:p>
            <w:pPr>
              <w:pStyle w:val="TableContents"/>
              <w:widowControl w:val="false"/>
              <w:suppressLineNumbers/>
              <w:spacing w:before="0" w:after="200"/>
              <w:rPr/>
            </w:pPr>
            <w:r>
              <w:rPr/>
              <w:t>Adapted as context-sensitive ethical judgment that cannot be reduced to advantage, aggregate benefit, or formal compliance.</w:t>
            </w:r>
          </w:p>
        </w:tc>
      </w:tr>
      <w:tr>
        <w:trPr/>
        <w:tc>
          <w:tcPr>
            <w:tcW w:w="2782" w:type="dxa"/>
            <w:tcBorders/>
            <w:vAlign w:val="center"/>
          </w:tcPr>
          <w:p>
            <w:pPr>
              <w:pStyle w:val="TableContents"/>
              <w:widowControl w:val="false"/>
              <w:suppressLineNumbers/>
              <w:spacing w:before="0" w:after="200"/>
              <w:rPr/>
            </w:pPr>
            <w:r>
              <w:rPr>
                <w:rStyle w:val="Strong"/>
              </w:rPr>
              <w:t>Li — ritual propriety</w:t>
            </w:r>
          </w:p>
        </w:tc>
        <w:tc>
          <w:tcPr>
            <w:tcW w:w="5858" w:type="dxa"/>
            <w:tcBorders/>
            <w:vAlign w:val="center"/>
          </w:tcPr>
          <w:p>
            <w:pPr>
              <w:pStyle w:val="TableContents"/>
              <w:widowControl w:val="false"/>
              <w:suppressLineNumbers/>
              <w:spacing w:before="0" w:after="200"/>
              <w:rPr/>
            </w:pPr>
            <w:r>
              <w:rPr/>
              <w:t>Adapted as the set of practices, protocols, interfaces, role expectations, and institutional routines through which ethical behavior is expressed and reinforced.</w:t>
            </w:r>
          </w:p>
        </w:tc>
      </w:tr>
      <w:tr>
        <w:trPr/>
        <w:tc>
          <w:tcPr>
            <w:tcW w:w="2782" w:type="dxa"/>
            <w:tcBorders/>
            <w:vAlign w:val="center"/>
          </w:tcPr>
          <w:p>
            <w:pPr>
              <w:pStyle w:val="TableContents"/>
              <w:widowControl w:val="false"/>
              <w:suppressLineNumbers/>
              <w:spacing w:before="0" w:after="200"/>
              <w:rPr/>
            </w:pPr>
            <w:r>
              <w:rPr>
                <w:rStyle w:val="Strong"/>
              </w:rPr>
              <w:t>Zhi — practical wisdom</w:t>
            </w:r>
          </w:p>
        </w:tc>
        <w:tc>
          <w:tcPr>
            <w:tcW w:w="5858" w:type="dxa"/>
            <w:tcBorders/>
            <w:vAlign w:val="center"/>
          </w:tcPr>
          <w:p>
            <w:pPr>
              <w:pStyle w:val="TableContents"/>
              <w:widowControl w:val="false"/>
              <w:suppressLineNumbers/>
              <w:spacing w:before="0" w:after="200"/>
              <w:rPr/>
            </w:pPr>
            <w:r>
              <w:rPr/>
              <w:t>Reflected in the use of evidence, contextual understanding, uncertainty analysis, moral judgment, and appropriate revision.</w:t>
            </w:r>
          </w:p>
        </w:tc>
      </w:tr>
      <w:tr>
        <w:trPr/>
        <w:tc>
          <w:tcPr>
            <w:tcW w:w="2782" w:type="dxa"/>
            <w:tcBorders/>
            <w:vAlign w:val="center"/>
          </w:tcPr>
          <w:p>
            <w:pPr>
              <w:pStyle w:val="TableContents"/>
              <w:widowControl w:val="false"/>
              <w:suppressLineNumbers/>
              <w:spacing w:before="0" w:after="200"/>
              <w:rPr/>
            </w:pPr>
            <w:r>
              <w:rPr>
                <w:rStyle w:val="Strong"/>
              </w:rPr>
              <w:t>Xin — trustworthiness</w:t>
            </w:r>
          </w:p>
        </w:tc>
        <w:tc>
          <w:tcPr>
            <w:tcW w:w="5858" w:type="dxa"/>
            <w:tcBorders/>
            <w:vAlign w:val="center"/>
          </w:tcPr>
          <w:p>
            <w:pPr>
              <w:pStyle w:val="TableContents"/>
              <w:widowControl w:val="false"/>
              <w:suppressLineNumbers/>
              <w:spacing w:before="0" w:after="200"/>
              <w:rPr/>
            </w:pPr>
            <w:r>
              <w:rPr/>
              <w:t>Incorporated through analysis of reliability, promise-keeping, credibility, information integrity, and effects on future cooperation.</w:t>
            </w:r>
          </w:p>
        </w:tc>
      </w:tr>
      <w:tr>
        <w:trPr/>
        <w:tc>
          <w:tcPr>
            <w:tcW w:w="2782" w:type="dxa"/>
            <w:tcBorders/>
            <w:vAlign w:val="center"/>
          </w:tcPr>
          <w:p>
            <w:pPr>
              <w:pStyle w:val="TableContents"/>
              <w:widowControl w:val="false"/>
              <w:suppressLineNumbers/>
              <w:spacing w:before="0" w:after="200"/>
              <w:rPr/>
            </w:pPr>
            <w:r>
              <w:rPr>
                <w:rStyle w:val="Strong"/>
              </w:rPr>
              <w:t>Xiao — filial responsibility</w:t>
            </w:r>
          </w:p>
        </w:tc>
        <w:tc>
          <w:tcPr>
            <w:tcW w:w="5858" w:type="dxa"/>
            <w:tcBorders/>
            <w:vAlign w:val="center"/>
          </w:tcPr>
          <w:p>
            <w:pPr>
              <w:pStyle w:val="TableContents"/>
              <w:widowControl w:val="false"/>
              <w:suppressLineNumbers/>
              <w:spacing w:before="0" w:after="200"/>
              <w:rPr/>
            </w:pPr>
            <w:r>
              <w:rPr/>
              <w:t>Adapted as special responsibility arising from family relationships, caregiving dependence, accumulated benefit, and intergenerational obligation.</w:t>
            </w:r>
          </w:p>
        </w:tc>
      </w:tr>
      <w:tr>
        <w:trPr/>
        <w:tc>
          <w:tcPr>
            <w:tcW w:w="2782" w:type="dxa"/>
            <w:tcBorders/>
            <w:vAlign w:val="center"/>
          </w:tcPr>
          <w:p>
            <w:pPr>
              <w:pStyle w:val="TableContents"/>
              <w:widowControl w:val="false"/>
              <w:suppressLineNumbers/>
              <w:spacing w:before="0" w:after="200"/>
              <w:rPr/>
            </w:pPr>
            <w:r>
              <w:rPr>
                <w:rStyle w:val="Strong"/>
              </w:rPr>
              <w:t>Shu — reciprocity and perspective-taking</w:t>
            </w:r>
          </w:p>
        </w:tc>
        <w:tc>
          <w:tcPr>
            <w:tcW w:w="5858" w:type="dxa"/>
            <w:tcBorders/>
            <w:vAlign w:val="center"/>
          </w:tcPr>
          <w:p>
            <w:pPr>
              <w:pStyle w:val="TableContents"/>
              <w:widowControl w:val="false"/>
              <w:suppressLineNumbers/>
              <w:spacing w:before="0" w:after="200"/>
              <w:rPr/>
            </w:pPr>
            <w:r>
              <w:rPr/>
              <w:t>Adapted as structured consideration of how an action and its governing policy would be experienced by other affected entities.</w:t>
            </w:r>
          </w:p>
        </w:tc>
      </w:tr>
      <w:tr>
        <w:trPr/>
        <w:tc>
          <w:tcPr>
            <w:tcW w:w="2782" w:type="dxa"/>
            <w:tcBorders/>
            <w:vAlign w:val="center"/>
          </w:tcPr>
          <w:p>
            <w:pPr>
              <w:pStyle w:val="TableContents"/>
              <w:widowControl w:val="false"/>
              <w:suppressLineNumbers/>
              <w:spacing w:before="0" w:after="200"/>
              <w:rPr/>
            </w:pPr>
            <w:r>
              <w:rPr>
                <w:rStyle w:val="Strong"/>
              </w:rPr>
              <w:t>Zhong — conscientious role fulfillment</w:t>
            </w:r>
          </w:p>
        </w:tc>
        <w:tc>
          <w:tcPr>
            <w:tcW w:w="5858" w:type="dxa"/>
            <w:tcBorders/>
            <w:vAlign w:val="center"/>
          </w:tcPr>
          <w:p>
            <w:pPr>
              <w:pStyle w:val="TableContents"/>
              <w:widowControl w:val="false"/>
              <w:suppressLineNumbers/>
              <w:spacing w:before="0" w:after="200"/>
              <w:rPr/>
            </w:pPr>
            <w:r>
              <w:rPr/>
              <w:t>Incorporated as an evaluation of whether an agent has exercised the care, effort, loyalty to purpose, and competence required by a legitimate role.</w:t>
            </w:r>
          </w:p>
        </w:tc>
      </w:tr>
      <w:tr>
        <w:trPr/>
        <w:tc>
          <w:tcPr>
            <w:tcW w:w="2782" w:type="dxa"/>
            <w:tcBorders/>
            <w:vAlign w:val="center"/>
          </w:tcPr>
          <w:p>
            <w:pPr>
              <w:pStyle w:val="TableContents"/>
              <w:widowControl w:val="false"/>
              <w:suppressLineNumbers/>
              <w:spacing w:before="0" w:after="200"/>
              <w:rPr/>
            </w:pPr>
            <w:r>
              <w:rPr>
                <w:rStyle w:val="Strong"/>
              </w:rPr>
              <w:t>Junzi — exemplary person</w:t>
            </w:r>
          </w:p>
        </w:tc>
        <w:tc>
          <w:tcPr>
            <w:tcW w:w="5858" w:type="dxa"/>
            <w:tcBorders/>
            <w:vAlign w:val="center"/>
          </w:tcPr>
          <w:p>
            <w:pPr>
              <w:pStyle w:val="TableContents"/>
              <w:widowControl w:val="false"/>
              <w:suppressLineNumbers/>
              <w:spacing w:before="0" w:after="200"/>
              <w:rPr/>
            </w:pPr>
            <w:r>
              <w:rPr/>
              <w:t>Adapted as the developing moral agent who integrates judgment, character, competence, and responsible action.</w:t>
            </w:r>
          </w:p>
        </w:tc>
      </w:tr>
      <w:tr>
        <w:trPr/>
        <w:tc>
          <w:tcPr>
            <w:tcW w:w="2782" w:type="dxa"/>
            <w:tcBorders/>
            <w:vAlign w:val="center"/>
          </w:tcPr>
          <w:p>
            <w:pPr>
              <w:pStyle w:val="TableContents"/>
              <w:widowControl w:val="false"/>
              <w:suppressLineNumbers/>
              <w:spacing w:before="0" w:after="200"/>
              <w:rPr/>
            </w:pPr>
            <w:r>
              <w:rPr>
                <w:rStyle w:val="Strong"/>
              </w:rPr>
              <w:t>Self-cultivation</w:t>
            </w:r>
          </w:p>
        </w:tc>
        <w:tc>
          <w:tcPr>
            <w:tcW w:w="5858" w:type="dxa"/>
            <w:tcBorders/>
            <w:vAlign w:val="center"/>
          </w:tcPr>
          <w:p>
            <w:pPr>
              <w:pStyle w:val="TableContents"/>
              <w:widowControl w:val="false"/>
              <w:suppressLineNumbers/>
              <w:spacing w:before="0" w:after="200"/>
              <w:rPr/>
            </w:pPr>
            <w:r>
              <w:rPr/>
              <w:t>Incorporated as improvement in the agent’s future moral policies, habits, knowledge, emotional responses, and decision capabilities.</w:t>
            </w:r>
          </w:p>
        </w:tc>
      </w:tr>
      <w:tr>
        <w:trPr/>
        <w:tc>
          <w:tcPr>
            <w:tcW w:w="2782" w:type="dxa"/>
            <w:tcBorders/>
            <w:vAlign w:val="center"/>
          </w:tcPr>
          <w:p>
            <w:pPr>
              <w:pStyle w:val="TableContents"/>
              <w:widowControl w:val="false"/>
              <w:suppressLineNumbers/>
              <w:spacing w:before="0" w:after="200"/>
              <w:rPr/>
            </w:pPr>
            <w:r>
              <w:rPr>
                <w:rStyle w:val="Strong"/>
              </w:rPr>
              <w:t>Rectification of names</w:t>
            </w:r>
          </w:p>
        </w:tc>
        <w:tc>
          <w:tcPr>
            <w:tcW w:w="5858" w:type="dxa"/>
            <w:tcBorders/>
            <w:vAlign w:val="center"/>
          </w:tcPr>
          <w:p>
            <w:pPr>
              <w:pStyle w:val="TableContents"/>
              <w:widowControl w:val="false"/>
              <w:suppressLineNumbers/>
              <w:spacing w:before="0" w:after="200"/>
              <w:rPr/>
            </w:pPr>
            <w:r>
              <w:rPr/>
              <w:t>Adapted as an audit of whether an entity’s title, authority, declared purpose, classification, and actual behavior correspond.</w:t>
            </w:r>
          </w:p>
        </w:tc>
      </w:tr>
      <w:tr>
        <w:trPr/>
        <w:tc>
          <w:tcPr>
            <w:tcW w:w="2782" w:type="dxa"/>
            <w:tcBorders/>
            <w:vAlign w:val="center"/>
          </w:tcPr>
          <w:p>
            <w:pPr>
              <w:pStyle w:val="TableContents"/>
              <w:widowControl w:val="false"/>
              <w:suppressLineNumbers/>
              <w:spacing w:before="0" w:after="200"/>
              <w:rPr/>
            </w:pPr>
            <w:r>
              <w:rPr>
                <w:rStyle w:val="Strong"/>
              </w:rPr>
              <w:t>Harmony without sameness</w:t>
            </w:r>
          </w:p>
        </w:tc>
        <w:tc>
          <w:tcPr>
            <w:tcW w:w="5858" w:type="dxa"/>
            <w:tcBorders/>
            <w:vAlign w:val="center"/>
          </w:tcPr>
          <w:p>
            <w:pPr>
              <w:pStyle w:val="TableContents"/>
              <w:widowControl w:val="false"/>
              <w:suppressLineNumbers/>
              <w:spacing w:before="0" w:after="200"/>
              <w:rPr/>
            </w:pPr>
            <w:r>
              <w:rPr/>
              <w:t>Incorporated as compatible flourishing and productive coordination that preserves legitimate differences and channels conflict constructively.</w:t>
            </w:r>
          </w:p>
        </w:tc>
      </w:tr>
      <w:tr>
        <w:trPr/>
        <w:tc>
          <w:tcPr>
            <w:tcW w:w="2782" w:type="dxa"/>
            <w:tcBorders/>
            <w:vAlign w:val="center"/>
          </w:tcPr>
          <w:p>
            <w:pPr>
              <w:pStyle w:val="TableContents"/>
              <w:widowControl w:val="false"/>
              <w:suppressLineNumbers/>
              <w:spacing w:before="0" w:after="200"/>
              <w:rPr/>
            </w:pPr>
            <w:r>
              <w:rPr>
                <w:rStyle w:val="Strong"/>
              </w:rPr>
              <w:t>Remonstrance</w:t>
            </w:r>
          </w:p>
        </w:tc>
        <w:tc>
          <w:tcPr>
            <w:tcW w:w="5858" w:type="dxa"/>
            <w:tcBorders/>
            <w:vAlign w:val="center"/>
          </w:tcPr>
          <w:p>
            <w:pPr>
              <w:pStyle w:val="TableContents"/>
              <w:widowControl w:val="false"/>
              <w:suppressLineNumbers/>
              <w:spacing w:before="0" w:after="200"/>
              <w:rPr/>
            </w:pPr>
            <w:r>
              <w:rPr/>
              <w:t>Adapted as a duty to question, warn, escalate, or dissent when an authority or institution is likely to cause material harm.</w:t>
            </w:r>
          </w:p>
        </w:tc>
      </w:tr>
      <w:tr>
        <w:trPr/>
        <w:tc>
          <w:tcPr>
            <w:tcW w:w="2782" w:type="dxa"/>
            <w:tcBorders/>
            <w:vAlign w:val="center"/>
          </w:tcPr>
          <w:p>
            <w:pPr>
              <w:pStyle w:val="TableContents"/>
              <w:widowControl w:val="false"/>
              <w:suppressLineNumbers/>
              <w:spacing w:before="0" w:after="200"/>
              <w:rPr/>
            </w:pPr>
            <w:r>
              <w:rPr>
                <w:rStyle w:val="Strong"/>
              </w:rPr>
              <w:t>Governance by example</w:t>
            </w:r>
          </w:p>
        </w:tc>
        <w:tc>
          <w:tcPr>
            <w:tcW w:w="5858" w:type="dxa"/>
            <w:tcBorders/>
            <w:vAlign w:val="center"/>
          </w:tcPr>
          <w:p>
            <w:pPr>
              <w:pStyle w:val="TableContents"/>
              <w:widowControl w:val="false"/>
              <w:suppressLineNumbers/>
              <w:spacing w:before="0" w:after="200"/>
              <w:rPr/>
            </w:pPr>
            <w:r>
              <w:rPr/>
              <w:t>Incorporated through analysis of the Distributed Policy Effects of visible leadership behavior.</w:t>
            </w:r>
          </w:p>
        </w:tc>
      </w:tr>
      <w:tr>
        <w:trPr/>
        <w:tc>
          <w:tcPr>
            <w:tcW w:w="2782" w:type="dxa"/>
            <w:tcBorders/>
            <w:vAlign w:val="center"/>
          </w:tcPr>
          <w:p>
            <w:pPr>
              <w:pStyle w:val="TableContents"/>
              <w:widowControl w:val="false"/>
              <w:suppressLineNumbers/>
              <w:spacing w:before="0" w:after="200"/>
              <w:rPr/>
            </w:pPr>
            <w:r>
              <w:rPr>
                <w:rStyle w:val="Strong"/>
              </w:rPr>
              <w:t>Investigation of things</w:t>
            </w:r>
          </w:p>
        </w:tc>
        <w:tc>
          <w:tcPr>
            <w:tcW w:w="5858" w:type="dxa"/>
            <w:tcBorders/>
            <w:vAlign w:val="center"/>
          </w:tcPr>
          <w:p>
            <w:pPr>
              <w:pStyle w:val="TableContents"/>
              <w:widowControl w:val="false"/>
              <w:suppressLineNumbers/>
              <w:spacing w:before="0" w:after="200"/>
              <w:rPr/>
            </w:pPr>
            <w:r>
              <w:rPr/>
              <w:t>Adapted as disciplined inquiry into the actual entities, relationships, conditions, and causal mechanisms involved in the World Context.</w:t>
            </w:r>
          </w:p>
        </w:tc>
      </w:tr>
      <w:tr>
        <w:trPr/>
        <w:tc>
          <w:tcPr>
            <w:tcW w:w="2782" w:type="dxa"/>
            <w:tcBorders/>
            <w:vAlign w:val="center"/>
          </w:tcPr>
          <w:p>
            <w:pPr>
              <w:pStyle w:val="TableContents"/>
              <w:widowControl w:val="false"/>
              <w:suppressLineNumbers/>
              <w:spacing w:before="0" w:after="200"/>
              <w:rPr/>
            </w:pPr>
            <w:r>
              <w:rPr>
                <w:rStyle w:val="Strong"/>
              </w:rPr>
              <w:t>Unity of knowledge and action</w:t>
            </w:r>
          </w:p>
        </w:tc>
        <w:tc>
          <w:tcPr>
            <w:tcW w:w="5858" w:type="dxa"/>
            <w:tcBorders/>
            <w:vAlign w:val="center"/>
          </w:tcPr>
          <w:p>
            <w:pPr>
              <w:pStyle w:val="TableContents"/>
              <w:widowControl w:val="false"/>
              <w:suppressLineNumbers/>
              <w:spacing w:before="0" w:after="200"/>
              <w:rPr/>
            </w:pPr>
            <w:r>
              <w:rPr/>
              <w:t>Incorporated by requiring ethical conclusions to be connected to feasible implementation, monitoring, and revision.</w:t>
            </w:r>
          </w:p>
        </w:tc>
      </w:tr>
      <w:tr>
        <w:trPr/>
        <w:tc>
          <w:tcPr>
            <w:tcW w:w="2782" w:type="dxa"/>
            <w:tcBorders/>
            <w:vAlign w:val="center"/>
          </w:tcPr>
          <w:p>
            <w:pPr>
              <w:pStyle w:val="TableContents"/>
              <w:widowControl w:val="false"/>
              <w:suppressLineNumbers/>
              <w:spacing w:before="0" w:after="200"/>
              <w:rPr/>
            </w:pPr>
            <w:r>
              <w:rPr>
                <w:rStyle w:val="Strong"/>
              </w:rPr>
              <w:t>Extension of concern</w:t>
            </w:r>
          </w:p>
        </w:tc>
        <w:tc>
          <w:tcPr>
            <w:tcW w:w="5858" w:type="dxa"/>
            <w:tcBorders/>
            <w:vAlign w:val="center"/>
          </w:tcPr>
          <w:p>
            <w:pPr>
              <w:pStyle w:val="TableContents"/>
              <w:widowControl w:val="false"/>
              <w:suppressLineNumbers/>
              <w:spacing w:before="0" w:after="200"/>
              <w:rPr/>
            </w:pPr>
            <w:r>
              <w:rPr/>
              <w:t>Adapted as the disciplined expansion of concern from familiar cases to less visible, distant, marginalized, future, or nonhuman entities.</w:t>
            </w:r>
          </w:p>
        </w:tc>
      </w:tr>
    </w:tbl>
    <w:p>
      <w:pPr>
        <w:pStyle w:val="Heading4"/>
        <w:ind w:hanging="0" w:left="0"/>
        <w:rPr>
          <w:rFonts w:ascii="Aptos" w:hAnsi="Aptos"/>
          <w:color w:val="auto"/>
        </w:rPr>
      </w:pPr>
      <w:r>
        <w:rPr/>
        <w:t>Similarities</w:t>
      </w:r>
    </w:p>
    <w:p>
      <w:pPr>
        <w:pStyle w:val="BodyText"/>
        <w:numPr>
          <w:ilvl w:val="0"/>
          <w:numId w:val="127"/>
        </w:numPr>
        <w:tabs>
          <w:tab w:val="clear" w:pos="720"/>
          <w:tab w:val="left" w:pos="0" w:leader="none"/>
        </w:tabs>
        <w:spacing w:before="0" w:after="200"/>
        <w:ind w:hanging="283" w:left="709"/>
        <w:rPr/>
      </w:pPr>
      <w:r>
        <w:rPr>
          <w:rStyle w:val="Strong"/>
        </w:rPr>
        <w:t>Both approaches reject an exclusively atomistic model of moral agency.</w:t>
      </w:r>
      <w:r>
        <w:rPr/>
        <w:br/>
        <w:t>The moral significance of an action depends partly on relationships, dependencies, institutions, and shared practices.</w:t>
      </w:r>
    </w:p>
    <w:p>
      <w:pPr>
        <w:pStyle w:val="BodyText"/>
        <w:numPr>
          <w:ilvl w:val="0"/>
          <w:numId w:val="127"/>
        </w:numPr>
        <w:tabs>
          <w:tab w:val="clear" w:pos="720"/>
          <w:tab w:val="left" w:pos="0" w:leader="none"/>
        </w:tabs>
        <w:spacing w:before="0" w:after="200"/>
        <w:ind w:hanging="283" w:left="709"/>
        <w:rPr/>
      </w:pPr>
      <w:r>
        <w:rPr>
          <w:rStyle w:val="Strong"/>
        </w:rPr>
        <w:t>Both treat moral agency as capable of development.</w:t>
      </w:r>
      <w:r>
        <w:rPr/>
        <w:br/>
        <w:t>Ethical reasoning should help agents improve their future judgment and conduct, not merely classify an isolated action.</w:t>
      </w:r>
    </w:p>
    <w:p>
      <w:pPr>
        <w:pStyle w:val="BodyText"/>
        <w:numPr>
          <w:ilvl w:val="0"/>
          <w:numId w:val="127"/>
        </w:numPr>
        <w:tabs>
          <w:tab w:val="clear" w:pos="720"/>
          <w:tab w:val="left" w:pos="0" w:leader="none"/>
        </w:tabs>
        <w:spacing w:before="0" w:after="200"/>
        <w:ind w:hanging="283" w:left="709"/>
        <w:rPr/>
      </w:pPr>
      <w:r>
        <w:rPr>
          <w:rStyle w:val="Strong"/>
        </w:rPr>
        <w:t>Both recognize the importance of context.</w:t>
      </w:r>
      <w:r>
        <w:rPr/>
        <w:br/>
        <w:t>The same surface behavior may have different ethical meanings when performed under different roles, relationships, constraints, intentions, or historical conditions.</w:t>
      </w:r>
    </w:p>
    <w:p>
      <w:pPr>
        <w:pStyle w:val="BodyText"/>
        <w:numPr>
          <w:ilvl w:val="0"/>
          <w:numId w:val="127"/>
        </w:numPr>
        <w:tabs>
          <w:tab w:val="clear" w:pos="720"/>
          <w:tab w:val="left" w:pos="0" w:leader="none"/>
        </w:tabs>
        <w:spacing w:before="0" w:after="200"/>
        <w:ind w:hanging="283" w:left="709"/>
        <w:rPr/>
      </w:pPr>
      <w:r>
        <w:rPr>
          <w:rStyle w:val="Strong"/>
        </w:rPr>
        <w:t>Both examine long-term and indirect consequences.</w:t>
      </w:r>
      <w:r>
        <w:rPr/>
        <w:br/>
        <w:t>Confucian attention to education, example, ritual, and social order parallels the framework’s concern with future policies and Distributed Policy Effects.</w:t>
      </w:r>
    </w:p>
    <w:p>
      <w:pPr>
        <w:pStyle w:val="BodyText"/>
        <w:numPr>
          <w:ilvl w:val="0"/>
          <w:numId w:val="127"/>
        </w:numPr>
        <w:tabs>
          <w:tab w:val="clear" w:pos="720"/>
          <w:tab w:val="left" w:pos="0" w:leader="none"/>
        </w:tabs>
        <w:spacing w:before="0" w:after="200"/>
        <w:ind w:hanging="283" w:left="709"/>
        <w:rPr/>
      </w:pPr>
      <w:r>
        <w:rPr>
          <w:rStyle w:val="Strong"/>
        </w:rPr>
        <w:t>Both assign ethical importance to institutions.</w:t>
      </w:r>
      <w:r>
        <w:rPr/>
        <w:br/>
        <w:t>Institutions shape what actions are possible, expected, rewarded, and repeatable. Ethical systems must therefore evaluate institutional practices as well as individual choices.</w:t>
      </w:r>
    </w:p>
    <w:p>
      <w:pPr>
        <w:pStyle w:val="BodyText"/>
        <w:numPr>
          <w:ilvl w:val="0"/>
          <w:numId w:val="127"/>
        </w:numPr>
        <w:tabs>
          <w:tab w:val="clear" w:pos="720"/>
          <w:tab w:val="left" w:pos="0" w:leader="none"/>
        </w:tabs>
        <w:spacing w:before="0" w:after="200"/>
        <w:ind w:hanging="283" w:left="709"/>
        <w:rPr/>
      </w:pPr>
      <w:r>
        <w:rPr>
          <w:rStyle w:val="Strong"/>
        </w:rPr>
        <w:t>Both recognize role-differentiated responsibility.</w:t>
      </w:r>
      <w:r>
        <w:rPr/>
        <w:br/>
        <w:t>Responsibility varies with authority, knowledge, dependency, professional function, and the ability to intervene.</w:t>
      </w:r>
    </w:p>
    <w:p>
      <w:pPr>
        <w:pStyle w:val="BodyText"/>
        <w:numPr>
          <w:ilvl w:val="0"/>
          <w:numId w:val="127"/>
        </w:numPr>
        <w:tabs>
          <w:tab w:val="clear" w:pos="720"/>
          <w:tab w:val="left" w:pos="0" w:leader="none"/>
        </w:tabs>
        <w:spacing w:before="0" w:after="200"/>
        <w:ind w:hanging="283" w:left="709"/>
        <w:rPr/>
      </w:pPr>
      <w:r>
        <w:rPr>
          <w:rStyle w:val="Strong"/>
        </w:rPr>
        <w:t>Both treat trust as a systemic resource.</w:t>
      </w:r>
      <w:r>
        <w:rPr/>
        <w:br/>
        <w:t>Deception, unreliability, corruption, and hypocrisy can reduce the future cooperative capacity of an entire community.</w:t>
      </w:r>
    </w:p>
    <w:p>
      <w:pPr>
        <w:pStyle w:val="BodyText"/>
        <w:numPr>
          <w:ilvl w:val="0"/>
          <w:numId w:val="127"/>
        </w:numPr>
        <w:tabs>
          <w:tab w:val="clear" w:pos="720"/>
          <w:tab w:val="left" w:pos="0" w:leader="none"/>
        </w:tabs>
        <w:spacing w:before="0" w:after="200"/>
        <w:ind w:hanging="283" w:left="709"/>
        <w:rPr/>
      </w:pPr>
      <w:r>
        <w:rPr>
          <w:rStyle w:val="Strong"/>
        </w:rPr>
        <w:t>Both resist reducing morality to aggregate welfare.</w:t>
      </w:r>
      <w:r>
        <w:rPr/>
        <w:br/>
        <w:t>The quality of relationships, the legitimacy of roles, the development of character, and the manner in which benefits are produced remain ethically relevant.</w:t>
      </w:r>
    </w:p>
    <w:p>
      <w:pPr>
        <w:pStyle w:val="BodyText"/>
        <w:numPr>
          <w:ilvl w:val="0"/>
          <w:numId w:val="127"/>
        </w:numPr>
        <w:tabs>
          <w:tab w:val="clear" w:pos="720"/>
          <w:tab w:val="left" w:pos="0" w:leader="none"/>
        </w:tabs>
        <w:spacing w:before="0" w:after="200"/>
        <w:ind w:hanging="283" w:left="709"/>
        <w:rPr/>
      </w:pPr>
      <w:r>
        <w:rPr>
          <w:rStyle w:val="Strong"/>
        </w:rPr>
        <w:t>Both connect individual conduct with system stability.</w:t>
      </w:r>
      <w:r>
        <w:rPr/>
        <w:br/>
        <w:t>Repeated failures of respect, competence, or integrity can degrade relationships and institutions even when each failure appears individually minor.</w:t>
      </w:r>
    </w:p>
    <w:p>
      <w:pPr>
        <w:pStyle w:val="BodyText"/>
        <w:numPr>
          <w:ilvl w:val="0"/>
          <w:numId w:val="127"/>
        </w:numPr>
        <w:tabs>
          <w:tab w:val="clear" w:pos="720"/>
          <w:tab w:val="left" w:pos="0" w:leader="none"/>
        </w:tabs>
        <w:spacing w:before="0" w:after="200"/>
        <w:ind w:hanging="283" w:left="709"/>
        <w:rPr/>
      </w:pPr>
      <w:r>
        <w:rPr>
          <w:rStyle w:val="Strong"/>
        </w:rPr>
        <w:t>Both emphasize moral learning.</w:t>
      </w:r>
      <w:r>
        <w:rPr/>
        <w:br/>
        <w:t>Ethical judgment must be open to reflection, correction, feedback, and the development of better future practices.</w:t>
      </w:r>
    </w:p>
    <w:p>
      <w:pPr>
        <w:pStyle w:val="BodyText"/>
        <w:numPr>
          <w:ilvl w:val="0"/>
          <w:numId w:val="127"/>
        </w:numPr>
        <w:tabs>
          <w:tab w:val="clear" w:pos="720"/>
          <w:tab w:val="left" w:pos="0" w:leader="none"/>
        </w:tabs>
        <w:spacing w:before="0" w:after="200"/>
        <w:ind w:hanging="283" w:left="709"/>
        <w:rPr/>
      </w:pPr>
      <w:r>
        <w:rPr>
          <w:rStyle w:val="Strong"/>
        </w:rPr>
        <w:t>Both recognize the importance of leadership conduct.</w:t>
      </w:r>
      <w:r>
        <w:rPr/>
        <w:br/>
        <w:t>Leaders alter a system not only through formal decisions but also by establishing examples that others are likely to follow.</w:t>
      </w:r>
    </w:p>
    <w:p>
      <w:pPr>
        <w:pStyle w:val="BodyText"/>
        <w:numPr>
          <w:ilvl w:val="0"/>
          <w:numId w:val="127"/>
        </w:numPr>
        <w:tabs>
          <w:tab w:val="clear" w:pos="720"/>
          <w:tab w:val="left" w:pos="0" w:leader="none"/>
        </w:tabs>
        <w:spacing w:before="0" w:after="200"/>
        <w:ind w:hanging="283" w:left="709"/>
        <w:rPr/>
      </w:pPr>
      <w:r>
        <w:rPr>
          <w:rStyle w:val="Strong"/>
        </w:rPr>
        <w:t>Both understand flourishing relationally.</w:t>
      </w:r>
      <w:r>
        <w:rPr/>
        <w:br/>
        <w:t>An entity’s long-term prospects depend substantially on whether its relationships and surrounding institutions remain supportive, trustworthy, and adaptive.</w:t>
      </w:r>
    </w:p>
    <w:p>
      <w:pPr>
        <w:pStyle w:val="Heading4"/>
        <w:ind w:hanging="0" w:left="0"/>
        <w:rPr>
          <w:rFonts w:ascii="Aptos" w:hAnsi="Aptos"/>
          <w:color w:val="auto"/>
        </w:rPr>
      </w:pPr>
      <w:r>
        <w:rPr/>
        <w:t>Differences</w:t>
      </w:r>
    </w:p>
    <w:tbl>
      <w:tblPr>
        <w:tblW w:w="8640" w:type="dxa"/>
        <w:jc w:val="left"/>
        <w:tblInd w:w="28" w:type="dxa"/>
        <w:tblLayout w:type="fixed"/>
        <w:tblCellMar>
          <w:top w:w="28" w:type="dxa"/>
          <w:left w:w="28" w:type="dxa"/>
          <w:bottom w:w="28" w:type="dxa"/>
          <w:right w:w="28" w:type="dxa"/>
        </w:tblCellMar>
      </w:tblPr>
      <w:tblGrid>
        <w:gridCol w:w="1855"/>
        <w:gridCol w:w="2611"/>
        <w:gridCol w:w="4174"/>
      </w:tblGrid>
      <w:tr>
        <w:trPr>
          <w:tblHeader w:val="true"/>
        </w:trPr>
        <w:tc>
          <w:tcPr>
            <w:tcW w:w="1855" w:type="dxa"/>
            <w:tcBorders/>
            <w:vAlign w:val="center"/>
          </w:tcPr>
          <w:p>
            <w:pPr>
              <w:pStyle w:val="TableHeading"/>
              <w:suppressLineNumbers/>
              <w:spacing w:before="0" w:after="200"/>
              <w:jc w:val="center"/>
              <w:rPr/>
            </w:pPr>
            <w:r>
              <w:rPr/>
              <w:t>Dimension</w:t>
            </w:r>
          </w:p>
        </w:tc>
        <w:tc>
          <w:tcPr>
            <w:tcW w:w="2611" w:type="dxa"/>
            <w:tcBorders/>
            <w:vAlign w:val="center"/>
          </w:tcPr>
          <w:p>
            <w:pPr>
              <w:pStyle w:val="TableHeading"/>
              <w:suppressLineNumbers/>
              <w:spacing w:before="0" w:after="200"/>
              <w:jc w:val="center"/>
              <w:rPr/>
            </w:pPr>
            <w:r>
              <w:rPr/>
              <w:t>Confucian ethics</w:t>
            </w:r>
          </w:p>
        </w:tc>
        <w:tc>
          <w:tcPr>
            <w:tcW w:w="4174" w:type="dxa"/>
            <w:tcBorders/>
            <w:vAlign w:val="center"/>
          </w:tcPr>
          <w:p>
            <w:pPr>
              <w:pStyle w:val="TableHeading"/>
              <w:suppressLineNumbers/>
              <w:spacing w:before="0" w:after="200"/>
              <w:jc w:val="center"/>
              <w:rPr/>
            </w:pPr>
            <w:r>
              <w:rPr/>
              <w:t>This framework</w:t>
            </w:r>
          </w:p>
        </w:tc>
      </w:tr>
      <w:tr>
        <w:trPr/>
        <w:tc>
          <w:tcPr>
            <w:tcW w:w="1855" w:type="dxa"/>
            <w:tcBorders/>
            <w:vAlign w:val="center"/>
          </w:tcPr>
          <w:p>
            <w:pPr>
              <w:pStyle w:val="TableContents"/>
              <w:widowControl w:val="false"/>
              <w:suppressLineNumbers/>
              <w:spacing w:before="0" w:after="200"/>
              <w:rPr/>
            </w:pPr>
            <w:r>
              <w:rPr>
                <w:rStyle w:val="Strong"/>
              </w:rPr>
              <w:t>Primary unit of emphasis</w:t>
            </w:r>
          </w:p>
        </w:tc>
        <w:tc>
          <w:tcPr>
            <w:tcW w:w="2611" w:type="dxa"/>
            <w:tcBorders/>
            <w:vAlign w:val="center"/>
          </w:tcPr>
          <w:p>
            <w:pPr>
              <w:pStyle w:val="TableContents"/>
              <w:widowControl w:val="false"/>
              <w:suppressLineNumbers/>
              <w:spacing w:before="0" w:after="200"/>
              <w:rPr/>
            </w:pPr>
            <w:r>
              <w:rPr/>
              <w:t>Character, relationships, roles, and practices</w:t>
            </w:r>
          </w:p>
        </w:tc>
        <w:tc>
          <w:tcPr>
            <w:tcW w:w="4174" w:type="dxa"/>
            <w:tcBorders/>
            <w:vAlign w:val="center"/>
          </w:tcPr>
          <w:p>
            <w:pPr>
              <w:pStyle w:val="TableContents"/>
              <w:widowControl w:val="false"/>
              <w:suppressLineNumbers/>
              <w:spacing w:before="0" w:after="200"/>
              <w:rPr/>
            </w:pPr>
            <w:r>
              <w:rPr/>
              <w:t>Assessed Actions and their complete World Context Transitions</w:t>
            </w:r>
          </w:p>
        </w:tc>
      </w:tr>
      <w:tr>
        <w:trPr/>
        <w:tc>
          <w:tcPr>
            <w:tcW w:w="1855" w:type="dxa"/>
            <w:tcBorders/>
            <w:vAlign w:val="center"/>
          </w:tcPr>
          <w:p>
            <w:pPr>
              <w:pStyle w:val="TableContents"/>
              <w:widowControl w:val="false"/>
              <w:suppressLineNumbers/>
              <w:spacing w:before="0" w:after="200"/>
              <w:rPr/>
            </w:pPr>
            <w:r>
              <w:rPr>
                <w:rStyle w:val="Strong"/>
              </w:rPr>
              <w:t>Moral vocabulary</w:t>
            </w:r>
          </w:p>
        </w:tc>
        <w:tc>
          <w:tcPr>
            <w:tcW w:w="2611" w:type="dxa"/>
            <w:tcBorders/>
            <w:vAlign w:val="center"/>
          </w:tcPr>
          <w:p>
            <w:pPr>
              <w:pStyle w:val="TableContents"/>
              <w:widowControl w:val="false"/>
              <w:suppressLineNumbers/>
              <w:spacing w:before="0" w:after="200"/>
              <w:rPr/>
            </w:pPr>
            <w:r>
              <w:rPr/>
              <w:t>Humaneness, rightness, ritual, filiality, wisdom, trustworthiness, and exemplary character</w:t>
            </w:r>
          </w:p>
        </w:tc>
        <w:tc>
          <w:tcPr>
            <w:tcW w:w="4174" w:type="dxa"/>
            <w:tcBorders/>
            <w:vAlign w:val="center"/>
          </w:tcPr>
          <w:p>
            <w:pPr>
              <w:pStyle w:val="TableContents"/>
              <w:widowControl w:val="false"/>
              <w:suppressLineNumbers/>
              <w:spacing w:before="0" w:after="200"/>
              <w:rPr/>
            </w:pPr>
            <w:r>
              <w:rPr/>
              <w:t>Long-term flourishing, persistent adaptive entities, causal transitions, probabilities, constraints, and policy effects</w:t>
            </w:r>
          </w:p>
        </w:tc>
      </w:tr>
      <w:tr>
        <w:trPr/>
        <w:tc>
          <w:tcPr>
            <w:tcW w:w="1855" w:type="dxa"/>
            <w:tcBorders/>
            <w:vAlign w:val="center"/>
          </w:tcPr>
          <w:p>
            <w:pPr>
              <w:pStyle w:val="TableContents"/>
              <w:widowControl w:val="false"/>
              <w:suppressLineNumbers/>
              <w:spacing w:before="0" w:after="200"/>
              <w:rPr/>
            </w:pPr>
            <w:r>
              <w:rPr>
                <w:rStyle w:val="Strong"/>
              </w:rPr>
              <w:t>Scope of moral consideration</w:t>
            </w:r>
          </w:p>
        </w:tc>
        <w:tc>
          <w:tcPr>
            <w:tcW w:w="2611" w:type="dxa"/>
            <w:tcBorders/>
            <w:vAlign w:val="center"/>
          </w:tcPr>
          <w:p>
            <w:pPr>
              <w:pStyle w:val="TableContents"/>
              <w:widowControl w:val="false"/>
              <w:suppressLineNumbers/>
              <w:spacing w:before="0" w:after="200"/>
              <w:rPr/>
            </w:pPr>
            <w:r>
              <w:rPr/>
              <w:t>Historically concentrated on human relationships and social-political order</w:t>
            </w:r>
          </w:p>
        </w:tc>
        <w:tc>
          <w:tcPr>
            <w:tcW w:w="4174" w:type="dxa"/>
            <w:tcBorders/>
            <w:vAlign w:val="center"/>
          </w:tcPr>
          <w:p>
            <w:pPr>
              <w:pStyle w:val="TableContents"/>
              <w:widowControl w:val="false"/>
              <w:suppressLineNumbers/>
              <w:spacing w:before="0" w:after="200"/>
              <w:rPr/>
            </w:pPr>
            <w:r>
              <w:rPr/>
              <w:t>Designed to consider all relevant persistent adaptive entities, potentially including nonhuman, institutional, ecological, and artificial entities</w:t>
            </w:r>
          </w:p>
        </w:tc>
      </w:tr>
      <w:tr>
        <w:trPr/>
        <w:tc>
          <w:tcPr>
            <w:tcW w:w="1855" w:type="dxa"/>
            <w:tcBorders/>
            <w:vAlign w:val="center"/>
          </w:tcPr>
          <w:p>
            <w:pPr>
              <w:pStyle w:val="TableContents"/>
              <w:widowControl w:val="false"/>
              <w:suppressLineNumbers/>
              <w:spacing w:before="0" w:after="200"/>
              <w:rPr/>
            </w:pPr>
            <w:r>
              <w:rPr>
                <w:rStyle w:val="Strong"/>
              </w:rPr>
              <w:t>Treatment of partiality</w:t>
            </w:r>
          </w:p>
        </w:tc>
        <w:tc>
          <w:tcPr>
            <w:tcW w:w="2611" w:type="dxa"/>
            <w:tcBorders/>
            <w:vAlign w:val="center"/>
          </w:tcPr>
          <w:p>
            <w:pPr>
              <w:pStyle w:val="TableContents"/>
              <w:widowControl w:val="false"/>
              <w:suppressLineNumbers/>
              <w:spacing w:before="0" w:after="200"/>
              <w:rPr/>
            </w:pPr>
            <w:r>
              <w:rPr/>
              <w:t>Generally permits graded concern based on family and role relationships</w:t>
            </w:r>
          </w:p>
        </w:tc>
        <w:tc>
          <w:tcPr>
            <w:tcW w:w="4174" w:type="dxa"/>
            <w:tcBorders/>
            <w:vAlign w:val="center"/>
          </w:tcPr>
          <w:p>
            <w:pPr>
              <w:pStyle w:val="TableContents"/>
              <w:widowControl w:val="false"/>
              <w:suppressLineNumbers/>
              <w:spacing w:before="0" w:after="200"/>
              <w:rPr/>
            </w:pPr>
            <w:r>
              <w:rPr/>
              <w:t>Recognizes special obligations but requires analysis of effects on every relevant entity and protection against unjust exclusion</w:t>
            </w:r>
          </w:p>
        </w:tc>
      </w:tr>
      <w:tr>
        <w:trPr/>
        <w:tc>
          <w:tcPr>
            <w:tcW w:w="1855" w:type="dxa"/>
            <w:tcBorders/>
            <w:vAlign w:val="center"/>
          </w:tcPr>
          <w:p>
            <w:pPr>
              <w:pStyle w:val="TableContents"/>
              <w:widowControl w:val="false"/>
              <w:suppressLineNumbers/>
              <w:spacing w:before="0" w:after="200"/>
              <w:rPr/>
            </w:pPr>
            <w:r>
              <w:rPr>
                <w:rStyle w:val="Strong"/>
              </w:rPr>
              <w:t>Ethical methodology</w:t>
            </w:r>
          </w:p>
        </w:tc>
        <w:tc>
          <w:tcPr>
            <w:tcW w:w="2611" w:type="dxa"/>
            <w:tcBorders/>
            <w:vAlign w:val="center"/>
          </w:tcPr>
          <w:p>
            <w:pPr>
              <w:pStyle w:val="TableContents"/>
              <w:widowControl w:val="false"/>
              <w:suppressLineNumbers/>
              <w:spacing w:before="0" w:after="200"/>
              <w:rPr/>
            </w:pPr>
            <w:r>
              <w:rPr/>
              <w:t>Cultivated judgment, exemplars, ritual participation, classical learning, and reflection</w:t>
            </w:r>
          </w:p>
        </w:tc>
        <w:tc>
          <w:tcPr>
            <w:tcW w:w="4174" w:type="dxa"/>
            <w:tcBorders/>
            <w:vAlign w:val="center"/>
          </w:tcPr>
          <w:p>
            <w:pPr>
              <w:pStyle w:val="TableContents"/>
              <w:widowControl w:val="false"/>
              <w:suppressLineNumbers/>
              <w:spacing w:before="0" w:after="200"/>
              <w:rPr/>
            </w:pPr>
            <w:r>
              <w:rPr/>
              <w:t>Explicit modeling of context, alternatives, causal effects, uncertainties, time horizons, and responsibility</w:t>
            </w:r>
          </w:p>
        </w:tc>
      </w:tr>
      <w:tr>
        <w:trPr/>
        <w:tc>
          <w:tcPr>
            <w:tcW w:w="1855" w:type="dxa"/>
            <w:tcBorders/>
            <w:vAlign w:val="center"/>
          </w:tcPr>
          <w:p>
            <w:pPr>
              <w:pStyle w:val="TableContents"/>
              <w:widowControl w:val="false"/>
              <w:suppressLineNumbers/>
              <w:spacing w:before="0" w:after="200"/>
              <w:rPr/>
            </w:pPr>
            <w:r>
              <w:rPr>
                <w:rStyle w:val="Strong"/>
              </w:rPr>
              <w:t>View of social roles</w:t>
            </w:r>
          </w:p>
        </w:tc>
        <w:tc>
          <w:tcPr>
            <w:tcW w:w="2611" w:type="dxa"/>
            <w:tcBorders/>
            <w:vAlign w:val="center"/>
          </w:tcPr>
          <w:p>
            <w:pPr>
              <w:pStyle w:val="TableContents"/>
              <w:widowControl w:val="false"/>
              <w:suppressLineNumbers/>
              <w:spacing w:before="0" w:after="200"/>
              <w:rPr/>
            </w:pPr>
            <w:r>
              <w:rPr/>
              <w:t>Roles may carry substantial inherited ethical content</w:t>
            </w:r>
          </w:p>
        </w:tc>
        <w:tc>
          <w:tcPr>
            <w:tcW w:w="4174" w:type="dxa"/>
            <w:tcBorders/>
            <w:vAlign w:val="center"/>
          </w:tcPr>
          <w:p>
            <w:pPr>
              <w:pStyle w:val="TableContents"/>
              <w:widowControl w:val="false"/>
              <w:suppressLineNumbers/>
              <w:spacing w:before="0" w:after="200"/>
              <w:rPr/>
            </w:pPr>
            <w:r>
              <w:rPr/>
              <w:t>Role obligations are recognized but must be validated against evidence, authority, legitimacy, dependency, and long-term flourishing</w:t>
            </w:r>
          </w:p>
        </w:tc>
      </w:tr>
      <w:tr>
        <w:trPr/>
        <w:tc>
          <w:tcPr>
            <w:tcW w:w="1855" w:type="dxa"/>
            <w:tcBorders/>
            <w:vAlign w:val="center"/>
          </w:tcPr>
          <w:p>
            <w:pPr>
              <w:pStyle w:val="TableContents"/>
              <w:widowControl w:val="false"/>
              <w:suppressLineNumbers/>
              <w:spacing w:before="0" w:after="200"/>
              <w:rPr/>
            </w:pPr>
            <w:r>
              <w:rPr>
                <w:rStyle w:val="Strong"/>
              </w:rPr>
              <w:t>Cultural specificity</w:t>
            </w:r>
          </w:p>
        </w:tc>
        <w:tc>
          <w:tcPr>
            <w:tcW w:w="2611" w:type="dxa"/>
            <w:tcBorders/>
            <w:vAlign w:val="center"/>
          </w:tcPr>
          <w:p>
            <w:pPr>
              <w:pStyle w:val="TableContents"/>
              <w:widowControl w:val="false"/>
              <w:suppressLineNumbers/>
              <w:spacing w:before="0" w:after="200"/>
              <w:rPr/>
            </w:pPr>
            <w:r>
              <w:rPr/>
              <w:t>Often expressed through historically and culturally particular practices</w:t>
            </w:r>
          </w:p>
        </w:tc>
        <w:tc>
          <w:tcPr>
            <w:tcW w:w="4174" w:type="dxa"/>
            <w:tcBorders/>
            <w:vAlign w:val="center"/>
          </w:tcPr>
          <w:p>
            <w:pPr>
              <w:pStyle w:val="TableContents"/>
              <w:widowControl w:val="false"/>
              <w:suppressLineNumbers/>
              <w:spacing w:before="0" w:after="200"/>
              <w:rPr/>
            </w:pPr>
            <w:r>
              <w:rPr/>
              <w:t>Intended to remain implementation-neutral across cultures and institutional arrangements</w:t>
            </w:r>
          </w:p>
        </w:tc>
      </w:tr>
      <w:tr>
        <w:trPr/>
        <w:tc>
          <w:tcPr>
            <w:tcW w:w="1855" w:type="dxa"/>
            <w:tcBorders/>
            <w:vAlign w:val="center"/>
          </w:tcPr>
          <w:p>
            <w:pPr>
              <w:pStyle w:val="TableContents"/>
              <w:widowControl w:val="false"/>
              <w:suppressLineNumbers/>
              <w:spacing w:before="0" w:after="200"/>
              <w:rPr/>
            </w:pPr>
            <w:r>
              <w:rPr>
                <w:rStyle w:val="Strong"/>
              </w:rPr>
              <w:t>Harmony</w:t>
            </w:r>
          </w:p>
        </w:tc>
        <w:tc>
          <w:tcPr>
            <w:tcW w:w="2611" w:type="dxa"/>
            <w:tcBorders/>
            <w:vAlign w:val="center"/>
          </w:tcPr>
          <w:p>
            <w:pPr>
              <w:pStyle w:val="TableContents"/>
              <w:widowControl w:val="false"/>
              <w:suppressLineNumbers/>
              <w:spacing w:before="0" w:after="200"/>
              <w:rPr/>
            </w:pPr>
            <w:r>
              <w:rPr/>
              <w:t>A central social and political ideal</w:t>
            </w:r>
          </w:p>
        </w:tc>
        <w:tc>
          <w:tcPr>
            <w:tcW w:w="4174" w:type="dxa"/>
            <w:tcBorders/>
            <w:vAlign w:val="center"/>
          </w:tcPr>
          <w:p>
            <w:pPr>
              <w:pStyle w:val="TableContents"/>
              <w:widowControl w:val="false"/>
              <w:suppressLineNumbers/>
              <w:spacing w:before="0" w:after="200"/>
              <w:rPr/>
            </w:pPr>
            <w:r>
              <w:rPr/>
              <w:t>Compatible flourishing is important, but disagreement and conflict may remain necessary evidence of system health</w:t>
            </w:r>
          </w:p>
        </w:tc>
      </w:tr>
      <w:tr>
        <w:trPr/>
        <w:tc>
          <w:tcPr>
            <w:tcW w:w="1855" w:type="dxa"/>
            <w:tcBorders/>
            <w:vAlign w:val="center"/>
          </w:tcPr>
          <w:p>
            <w:pPr>
              <w:pStyle w:val="TableContents"/>
              <w:widowControl w:val="false"/>
              <w:suppressLineNumbers/>
              <w:spacing w:before="0" w:after="200"/>
              <w:rPr/>
            </w:pPr>
            <w:r>
              <w:rPr>
                <w:rStyle w:val="Strong"/>
              </w:rPr>
              <w:t>Rights and consent</w:t>
            </w:r>
          </w:p>
        </w:tc>
        <w:tc>
          <w:tcPr>
            <w:tcW w:w="2611" w:type="dxa"/>
            <w:tcBorders/>
            <w:vAlign w:val="center"/>
          </w:tcPr>
          <w:p>
            <w:pPr>
              <w:pStyle w:val="TableContents"/>
              <w:widowControl w:val="false"/>
              <w:suppressLineNumbers/>
              <w:spacing w:before="0" w:after="200"/>
              <w:rPr/>
            </w:pPr>
            <w:r>
              <w:rPr/>
              <w:t>Not usually the primary conceptual starting point</w:t>
            </w:r>
          </w:p>
        </w:tc>
        <w:tc>
          <w:tcPr>
            <w:tcW w:w="4174" w:type="dxa"/>
            <w:tcBorders/>
            <w:vAlign w:val="center"/>
          </w:tcPr>
          <w:p>
            <w:pPr>
              <w:pStyle w:val="TableContents"/>
              <w:widowControl w:val="false"/>
              <w:suppressLineNumbers/>
              <w:spacing w:before="0" w:after="200"/>
              <w:rPr/>
            </w:pPr>
            <w:r>
              <w:rPr/>
              <w:t>Can explicitly incorporate rights, consent, autonomy, and safeguards against domination</w:t>
            </w:r>
          </w:p>
        </w:tc>
      </w:tr>
      <w:tr>
        <w:trPr/>
        <w:tc>
          <w:tcPr>
            <w:tcW w:w="1855" w:type="dxa"/>
            <w:tcBorders/>
            <w:vAlign w:val="center"/>
          </w:tcPr>
          <w:p>
            <w:pPr>
              <w:pStyle w:val="TableContents"/>
              <w:widowControl w:val="false"/>
              <w:suppressLineNumbers/>
              <w:spacing w:before="0" w:after="200"/>
              <w:rPr/>
            </w:pPr>
            <w:r>
              <w:rPr>
                <w:rStyle w:val="Strong"/>
              </w:rPr>
              <w:t>Moral knowledge</w:t>
            </w:r>
          </w:p>
        </w:tc>
        <w:tc>
          <w:tcPr>
            <w:tcW w:w="2611" w:type="dxa"/>
            <w:tcBorders/>
            <w:vAlign w:val="center"/>
          </w:tcPr>
          <w:p>
            <w:pPr>
              <w:pStyle w:val="TableContents"/>
              <w:widowControl w:val="false"/>
              <w:suppressLineNumbers/>
              <w:spacing w:before="0" w:after="200"/>
              <w:rPr/>
            </w:pPr>
            <w:r>
              <w:rPr/>
              <w:t>May emphasize cultivated perception, emotional attunement, and exemplary judgment</w:t>
            </w:r>
          </w:p>
        </w:tc>
        <w:tc>
          <w:tcPr>
            <w:tcW w:w="4174" w:type="dxa"/>
            <w:tcBorders/>
            <w:vAlign w:val="center"/>
          </w:tcPr>
          <w:p>
            <w:pPr>
              <w:pStyle w:val="TableContents"/>
              <w:widowControl w:val="false"/>
              <w:suppressLineNumbers/>
              <w:spacing w:before="0" w:after="200"/>
              <w:rPr/>
            </w:pPr>
            <w:r>
              <w:rPr/>
              <w:t>Requires explicit evidentiary assumptions, uncertainty disclosure, and explainable analysis</w:t>
            </w:r>
          </w:p>
        </w:tc>
      </w:tr>
      <w:tr>
        <w:trPr/>
        <w:tc>
          <w:tcPr>
            <w:tcW w:w="1855" w:type="dxa"/>
            <w:tcBorders/>
            <w:vAlign w:val="center"/>
          </w:tcPr>
          <w:p>
            <w:pPr>
              <w:pStyle w:val="TableContents"/>
              <w:widowControl w:val="false"/>
              <w:suppressLineNumbers/>
              <w:spacing w:before="0" w:after="200"/>
              <w:rPr/>
            </w:pPr>
            <w:r>
              <w:rPr>
                <w:rStyle w:val="Strong"/>
              </w:rPr>
              <w:t>Metaphysical commitments</w:t>
            </w:r>
          </w:p>
        </w:tc>
        <w:tc>
          <w:tcPr>
            <w:tcW w:w="2611" w:type="dxa"/>
            <w:tcBorders/>
            <w:vAlign w:val="center"/>
          </w:tcPr>
          <w:p>
            <w:pPr>
              <w:pStyle w:val="TableContents"/>
              <w:widowControl w:val="false"/>
              <w:suppressLineNumbers/>
              <w:spacing w:before="0" w:after="200"/>
              <w:rPr/>
            </w:pPr>
            <w:r>
              <w:rPr/>
              <w:t xml:space="preserve">Some forms appeal to Heaven, the Way, </w:t>
            </w:r>
            <w:r>
              <w:rPr>
                <w:rStyle w:val="Emphasis"/>
              </w:rPr>
              <w:t>li</w:t>
            </w:r>
            <w:r>
              <w:rPr/>
              <w:t xml:space="preserve">, </w:t>
            </w:r>
            <w:r>
              <w:rPr>
                <w:rStyle w:val="Emphasis"/>
              </w:rPr>
              <w:t>qi</w:t>
            </w:r>
            <w:r>
              <w:rPr/>
              <w:t>, or cosmic moral order</w:t>
            </w:r>
          </w:p>
        </w:tc>
        <w:tc>
          <w:tcPr>
            <w:tcW w:w="4174" w:type="dxa"/>
            <w:tcBorders/>
            <w:vAlign w:val="center"/>
          </w:tcPr>
          <w:p>
            <w:pPr>
              <w:pStyle w:val="TableContents"/>
              <w:widowControl w:val="false"/>
              <w:suppressLineNumbers/>
              <w:spacing w:before="0" w:after="200"/>
              <w:rPr/>
            </w:pPr>
            <w:r>
              <w:rPr/>
              <w:t>Does not require acceptance of a particular religious or metaphysical account</w:t>
            </w:r>
          </w:p>
        </w:tc>
      </w:tr>
      <w:tr>
        <w:trPr/>
        <w:tc>
          <w:tcPr>
            <w:tcW w:w="1855" w:type="dxa"/>
            <w:tcBorders/>
            <w:vAlign w:val="center"/>
          </w:tcPr>
          <w:p>
            <w:pPr>
              <w:pStyle w:val="TableContents"/>
              <w:widowControl w:val="false"/>
              <w:suppressLineNumbers/>
              <w:spacing w:before="0" w:after="200"/>
              <w:rPr/>
            </w:pPr>
            <w:r>
              <w:rPr>
                <w:rStyle w:val="Strong"/>
              </w:rPr>
              <w:t>Character and intention</w:t>
            </w:r>
          </w:p>
        </w:tc>
        <w:tc>
          <w:tcPr>
            <w:tcW w:w="2611" w:type="dxa"/>
            <w:tcBorders/>
            <w:vAlign w:val="center"/>
          </w:tcPr>
          <w:p>
            <w:pPr>
              <w:pStyle w:val="TableContents"/>
              <w:widowControl w:val="false"/>
              <w:suppressLineNumbers/>
              <w:spacing w:before="0" w:after="200"/>
              <w:rPr/>
            </w:pPr>
            <w:r>
              <w:rPr/>
              <w:t>Often central to evaluating the moral quality of conduct</w:t>
            </w:r>
          </w:p>
        </w:tc>
        <w:tc>
          <w:tcPr>
            <w:tcW w:w="4174" w:type="dxa"/>
            <w:tcBorders/>
            <w:vAlign w:val="center"/>
          </w:tcPr>
          <w:p>
            <w:pPr>
              <w:pStyle w:val="TableContents"/>
              <w:widowControl w:val="false"/>
              <w:suppressLineNumbers/>
              <w:spacing w:before="0" w:after="200"/>
              <w:rPr/>
            </w:pPr>
            <w:r>
              <w:rPr/>
              <w:t>Relevant to responsibility and agent development, but distinct from the action’s causal effects on other entities</w:t>
            </w:r>
          </w:p>
        </w:tc>
      </w:tr>
      <w:tr>
        <w:trPr/>
        <w:tc>
          <w:tcPr>
            <w:tcW w:w="1855" w:type="dxa"/>
            <w:tcBorders/>
            <w:vAlign w:val="center"/>
          </w:tcPr>
          <w:p>
            <w:pPr>
              <w:pStyle w:val="TableContents"/>
              <w:widowControl w:val="false"/>
              <w:suppressLineNumbers/>
              <w:spacing w:before="0" w:after="200"/>
              <w:rPr/>
            </w:pPr>
            <w:r>
              <w:rPr>
                <w:rStyle w:val="Strong"/>
              </w:rPr>
              <w:t>Authority and hierarchy</w:t>
            </w:r>
          </w:p>
        </w:tc>
        <w:tc>
          <w:tcPr>
            <w:tcW w:w="2611" w:type="dxa"/>
            <w:tcBorders/>
            <w:vAlign w:val="center"/>
          </w:tcPr>
          <w:p>
            <w:pPr>
              <w:pStyle w:val="TableContents"/>
              <w:widowControl w:val="false"/>
              <w:suppressLineNumbers/>
              <w:spacing w:before="0" w:after="200"/>
              <w:rPr/>
            </w:pPr>
            <w:r>
              <w:rPr/>
              <w:t>Historically associated with differentiated and sometimes hierarchical relationships</w:t>
            </w:r>
          </w:p>
        </w:tc>
        <w:tc>
          <w:tcPr>
            <w:tcW w:w="4174" w:type="dxa"/>
            <w:tcBorders/>
            <w:vAlign w:val="center"/>
          </w:tcPr>
          <w:p>
            <w:pPr>
              <w:pStyle w:val="TableContents"/>
              <w:widowControl w:val="false"/>
              <w:suppressLineNumbers/>
              <w:spacing w:before="0" w:after="200"/>
              <w:rPr/>
            </w:pPr>
            <w:r>
              <w:rPr/>
              <w:t>Requires authority claims and asymmetries to be justified and continuously evaluated for their effects on flourishing</w:t>
            </w:r>
          </w:p>
        </w:tc>
      </w:tr>
      <w:tr>
        <w:trPr/>
        <w:tc>
          <w:tcPr>
            <w:tcW w:w="1855" w:type="dxa"/>
            <w:tcBorders/>
            <w:vAlign w:val="center"/>
          </w:tcPr>
          <w:p>
            <w:pPr>
              <w:pStyle w:val="TableContents"/>
              <w:widowControl w:val="false"/>
              <w:suppressLineNumbers/>
              <w:spacing w:before="0" w:after="200"/>
              <w:rPr/>
            </w:pPr>
            <w:r>
              <w:rPr>
                <w:rStyle w:val="Strong"/>
              </w:rPr>
              <w:t>Formalization</w:t>
            </w:r>
          </w:p>
        </w:tc>
        <w:tc>
          <w:tcPr>
            <w:tcW w:w="2611" w:type="dxa"/>
            <w:tcBorders/>
            <w:vAlign w:val="center"/>
          </w:tcPr>
          <w:p>
            <w:pPr>
              <w:pStyle w:val="TableContents"/>
              <w:widowControl w:val="false"/>
              <w:suppressLineNumbers/>
              <w:spacing w:before="0" w:after="200"/>
              <w:rPr/>
            </w:pPr>
            <w:r>
              <w:rPr/>
              <w:t>Primarily philosophical, educational, relational, and practice-based</w:t>
            </w:r>
          </w:p>
        </w:tc>
        <w:tc>
          <w:tcPr>
            <w:tcW w:w="4174" w:type="dxa"/>
            <w:tcBorders/>
            <w:vAlign w:val="center"/>
          </w:tcPr>
          <w:p>
            <w:pPr>
              <w:pStyle w:val="TableContents"/>
              <w:widowControl w:val="false"/>
              <w:suppressLineNumbers/>
              <w:spacing w:before="0" w:after="200"/>
              <w:rPr/>
            </w:pPr>
            <w:r>
              <w:rPr/>
              <w:t>Intended to support explicit and potentially computational ethical assessment</w:t>
            </w:r>
          </w:p>
        </w:tc>
      </w:tr>
    </w:tbl>
    <w:p>
      <w:pPr>
        <w:pStyle w:val="BodyText"/>
        <w:spacing w:before="0" w:after="200"/>
        <w:rPr/>
      </w:pPr>
      <w:r>
        <w:rPr/>
        <w:t>The most important tension concerns hierarchy. Confucian role ethics can explain why differentiated relationships produce differentiated responsibilities, but historical forms of those relationships have sometimes supported patriarchy, authoritarianism, exclusion, or excessive deference. The framework cannot presume that an inherited role is legitimate merely because it is traditional. It must evaluate whether the role protects or diminishes the flourishing, agency, voice, and future possibilities of those subject to it.</w:t>
      </w:r>
    </w:p>
    <w:p>
      <w:pPr>
        <w:pStyle w:val="BodyText"/>
        <w:spacing w:before="0" w:after="200"/>
        <w:rPr/>
      </w:pPr>
      <w:r>
        <w:rPr/>
        <w:t>A second tension concerns harmony. An institution may describe itself as harmonious while actually suppressing criticism or transferring the costs of stability to less powerful participants. The framework must therefore distinguish genuine harmony—productive coordination among respected differences—from apparent harmony produced by fear, censorship, dependency, or exclusion.</w:t>
      </w:r>
    </w:p>
    <w:p>
      <w:pPr>
        <w:pStyle w:val="Heading4"/>
        <w:ind w:hanging="0" w:left="0"/>
        <w:rPr>
          <w:rFonts w:ascii="Aptos" w:hAnsi="Aptos"/>
          <w:color w:val="auto"/>
        </w:rPr>
      </w:pPr>
      <w:r>
        <w:rPr/>
        <w:t>Potential integration opportunities</w:t>
      </w:r>
    </w:p>
    <w:p>
      <w:pPr>
        <w:pStyle w:val="BodyText"/>
        <w:numPr>
          <w:ilvl w:val="0"/>
          <w:numId w:val="128"/>
        </w:numPr>
        <w:tabs>
          <w:tab w:val="clear" w:pos="720"/>
          <w:tab w:val="left" w:pos="0" w:leader="none"/>
        </w:tabs>
        <w:spacing w:before="0" w:after="200"/>
        <w:ind w:hanging="283" w:left="709"/>
        <w:rPr/>
      </w:pPr>
      <w:r>
        <w:rPr>
          <w:rStyle w:val="Strong"/>
        </w:rPr>
        <w:t>Add a role-and-relationship ontology.</w:t>
      </w:r>
      <w:r>
        <w:rPr/>
        <w:br/>
        <w:t>Each assessment could identify the agent’s roles, the counterparties to those roles, the obligations created by each relationship, the legitimate scope of authority, relevant dependencies, and the history of prior interactions.</w:t>
      </w:r>
    </w:p>
    <w:p>
      <w:pPr>
        <w:pStyle w:val="BodyText"/>
        <w:numPr>
          <w:ilvl w:val="0"/>
          <w:numId w:val="128"/>
        </w:numPr>
        <w:tabs>
          <w:tab w:val="clear" w:pos="720"/>
          <w:tab w:val="left" w:pos="0" w:leader="none"/>
        </w:tabs>
        <w:spacing w:before="0" w:after="200"/>
        <w:ind w:hanging="283" w:left="709"/>
        <w:rPr/>
      </w:pPr>
      <w:r>
        <w:rPr>
          <w:rStyle w:val="Strong"/>
        </w:rPr>
        <w:t>Introduce a role-conflict analysis.</w:t>
      </w:r>
      <w:r>
        <w:rPr/>
        <w:br/>
        <w:t>The framework could explicitly identify conflicts among family, professional, civic, institutional, and universal responsibilities. It should require justification when one role is given priority over another.</w:t>
      </w:r>
    </w:p>
    <w:p>
      <w:pPr>
        <w:pStyle w:val="BodyText"/>
        <w:numPr>
          <w:ilvl w:val="0"/>
          <w:numId w:val="128"/>
        </w:numPr>
        <w:tabs>
          <w:tab w:val="clear" w:pos="720"/>
          <w:tab w:val="left" w:pos="0" w:leader="none"/>
        </w:tabs>
        <w:spacing w:before="0" w:after="200"/>
        <w:ind w:hanging="283" w:left="709"/>
        <w:rPr/>
      </w:pPr>
      <w:r>
        <w:rPr>
          <w:rStyle w:val="Strong"/>
        </w:rPr>
        <w:t>Create a relational-impact finding.</w:t>
      </w:r>
      <w:r>
        <w:rPr/>
        <w:br/>
        <w:t>In addition to material outcomes, assessments could report effects on trust, reciprocity, respect, role integrity, cooperation, dependency, social belonging, and the capacity for future disagreement without relationship breakdown.</w:t>
      </w:r>
    </w:p>
    <w:p>
      <w:pPr>
        <w:pStyle w:val="BodyText"/>
        <w:numPr>
          <w:ilvl w:val="0"/>
          <w:numId w:val="128"/>
        </w:numPr>
        <w:tabs>
          <w:tab w:val="clear" w:pos="720"/>
          <w:tab w:val="left" w:pos="0" w:leader="none"/>
        </w:tabs>
        <w:spacing w:before="0" w:after="200"/>
        <w:ind w:hanging="283" w:left="709"/>
        <w:rPr/>
      </w:pPr>
      <w:r>
        <w:rPr>
          <w:rStyle w:val="Strong"/>
        </w:rPr>
        <w:t>Model ritual and recurring practice as ethical infrastructure.</w:t>
      </w:r>
      <w:r>
        <w:rPr/>
        <w:br/>
        <w:t xml:space="preserve">Policies, meeting procedures, professional ceremonies, approval workflows, interface defaults, organizational customs, and communication protocols could be evaluated as forms of </w:t>
      </w:r>
      <w:r>
        <w:rPr>
          <w:rStyle w:val="Emphasis"/>
        </w:rPr>
        <w:t>li</w:t>
      </w:r>
      <w:r>
        <w:rPr/>
        <w:t xml:space="preserve"> that repeatedly shape behavior.</w:t>
      </w:r>
    </w:p>
    <w:p>
      <w:pPr>
        <w:pStyle w:val="BodyText"/>
        <w:numPr>
          <w:ilvl w:val="0"/>
          <w:numId w:val="128"/>
        </w:numPr>
        <w:tabs>
          <w:tab w:val="clear" w:pos="720"/>
          <w:tab w:val="left" w:pos="0" w:leader="none"/>
        </w:tabs>
        <w:spacing w:before="0" w:after="200"/>
        <w:ind w:hanging="283" w:left="709"/>
        <w:rPr/>
      </w:pPr>
      <w:r>
        <w:rPr>
          <w:rStyle w:val="Strong"/>
        </w:rPr>
        <w:t>Establish a “rectification of names” audit.</w:t>
      </w:r>
      <w:r>
        <w:rPr/>
        <w:br/>
        <w:t>The framework could test whether claimed roles and labels correspond to reality. For example:</w:t>
      </w:r>
    </w:p>
    <w:p>
      <w:pPr>
        <w:pStyle w:val="BodyText"/>
        <w:numPr>
          <w:ilvl w:val="1"/>
          <w:numId w:val="128"/>
        </w:numPr>
        <w:tabs>
          <w:tab w:val="clear" w:pos="720"/>
          <w:tab w:val="left" w:pos="0" w:leader="none"/>
        </w:tabs>
        <w:spacing w:before="0" w:after="200"/>
        <w:ind w:hanging="283" w:left="1418"/>
        <w:rPr/>
      </w:pPr>
      <w:r>
        <w:rPr/>
        <w:t>Does a “safety review” possess meaningful authority to prevent unsafe action?</w:t>
      </w:r>
    </w:p>
    <w:p>
      <w:pPr>
        <w:pStyle w:val="BodyText"/>
        <w:numPr>
          <w:ilvl w:val="1"/>
          <w:numId w:val="128"/>
        </w:numPr>
        <w:tabs>
          <w:tab w:val="clear" w:pos="720"/>
          <w:tab w:val="left" w:pos="0" w:leader="none"/>
        </w:tabs>
        <w:spacing w:before="0" w:after="200"/>
        <w:ind w:hanging="283" w:left="1418"/>
        <w:rPr/>
      </w:pPr>
      <w:r>
        <w:rPr/>
        <w:t>Does a “consent” process give participants a genuine ability to decline?</w:t>
      </w:r>
    </w:p>
    <w:p>
      <w:pPr>
        <w:pStyle w:val="BodyText"/>
        <w:numPr>
          <w:ilvl w:val="1"/>
          <w:numId w:val="128"/>
        </w:numPr>
        <w:tabs>
          <w:tab w:val="clear" w:pos="720"/>
          <w:tab w:val="left" w:pos="0" w:leader="none"/>
        </w:tabs>
        <w:spacing w:before="0" w:after="200"/>
        <w:ind w:hanging="283" w:left="1418"/>
        <w:rPr/>
      </w:pPr>
      <w:r>
        <w:rPr/>
        <w:t>Does a “public benefit” institution measurably benefit the public?</w:t>
      </w:r>
    </w:p>
    <w:p>
      <w:pPr>
        <w:pStyle w:val="BodyText"/>
        <w:numPr>
          <w:ilvl w:val="1"/>
          <w:numId w:val="128"/>
        </w:numPr>
        <w:tabs>
          <w:tab w:val="clear" w:pos="720"/>
          <w:tab w:val="left" w:pos="0" w:leader="none"/>
        </w:tabs>
        <w:spacing w:before="0" w:after="200"/>
        <w:ind w:hanging="283" w:left="1418"/>
        <w:rPr/>
      </w:pPr>
      <w:r>
        <w:rPr/>
        <w:t>Does an “independent” reviewer have operational independence?</w:t>
      </w:r>
    </w:p>
    <w:p>
      <w:pPr>
        <w:pStyle w:val="BodyText"/>
        <w:numPr>
          <w:ilvl w:val="1"/>
          <w:numId w:val="128"/>
        </w:numPr>
        <w:tabs>
          <w:tab w:val="clear" w:pos="720"/>
          <w:tab w:val="left" w:pos="0" w:leader="none"/>
        </w:tabs>
        <w:spacing w:before="0" w:after="200"/>
        <w:ind w:hanging="283" w:left="1418"/>
        <w:rPr/>
      </w:pPr>
      <w:r>
        <w:rPr/>
        <w:t>Does a leader exercise the duties that justify the leader’s authority?</w:t>
      </w:r>
    </w:p>
    <w:p>
      <w:pPr>
        <w:pStyle w:val="BodyText"/>
        <w:numPr>
          <w:ilvl w:val="0"/>
          <w:numId w:val="128"/>
        </w:numPr>
        <w:tabs>
          <w:tab w:val="clear" w:pos="720"/>
          <w:tab w:val="left" w:pos="0" w:leader="none"/>
        </w:tabs>
        <w:spacing w:before="0" w:after="200"/>
        <w:ind w:hanging="283" w:left="709"/>
        <w:rPr/>
      </w:pPr>
      <w:r>
        <w:rPr>
          <w:rStyle w:val="Strong"/>
        </w:rPr>
        <w:t xml:space="preserve">Add a structured reciprocity or </w:t>
      </w:r>
      <w:r>
        <w:rPr>
          <w:rStyle w:val="Emphasis"/>
        </w:rPr>
        <w:t>shu</w:t>
      </w:r>
      <w:r>
        <w:rPr>
          <w:rStyle w:val="Strong"/>
        </w:rPr>
        <w:t xml:space="preserve"> test.</w:t>
      </w:r>
      <w:r>
        <w:rPr/>
        <w:br/>
        <w:t>Assessors could model how the action and its governing policy would be experienced by each substantially affected party, particularly those with less authority, information, or ability to exit.</w:t>
      </w:r>
    </w:p>
    <w:p>
      <w:pPr>
        <w:pStyle w:val="BodyText"/>
        <w:numPr>
          <w:ilvl w:val="0"/>
          <w:numId w:val="128"/>
        </w:numPr>
        <w:tabs>
          <w:tab w:val="clear" w:pos="720"/>
          <w:tab w:val="left" w:pos="0" w:leader="none"/>
        </w:tabs>
        <w:spacing w:before="0" w:after="200"/>
        <w:ind w:hanging="283" w:left="709"/>
        <w:rPr/>
      </w:pPr>
      <w:r>
        <w:rPr>
          <w:rStyle w:val="Strong"/>
        </w:rPr>
        <w:t>Combine graded care with universal minimum protections.</w:t>
      </w:r>
      <w:r>
        <w:rPr/>
        <w:br/>
        <w:t>The framework can recognize stronger responsibilities toward dependents, family members, clients, employees, and communities without allowing special concern to justify severe harm, corruption, or the denial of basic protections to outsiders.</w:t>
      </w:r>
    </w:p>
    <w:p>
      <w:pPr>
        <w:pStyle w:val="BodyText"/>
        <w:numPr>
          <w:ilvl w:val="0"/>
          <w:numId w:val="128"/>
        </w:numPr>
        <w:tabs>
          <w:tab w:val="clear" w:pos="720"/>
          <w:tab w:val="left" w:pos="0" w:leader="none"/>
        </w:tabs>
        <w:spacing w:before="0" w:after="200"/>
        <w:ind w:hanging="283" w:left="709"/>
        <w:rPr/>
      </w:pPr>
      <w:r>
        <w:rPr>
          <w:rStyle w:val="Strong"/>
        </w:rPr>
        <w:t>Develop an intergenerational-responsibility module.</w:t>
      </w:r>
      <w:r>
        <w:rPr/>
        <w:br/>
        <w:t>Confucian filiality can be adapted to examine duties in both directions: care for prior generations and stewardship for future generations. Relevant issues include family care, cultural inheritance, institutional continuity, environmental conditions, public debt, and knowledge preservation.</w:t>
      </w:r>
    </w:p>
    <w:p>
      <w:pPr>
        <w:pStyle w:val="BodyText"/>
        <w:numPr>
          <w:ilvl w:val="0"/>
          <w:numId w:val="128"/>
        </w:numPr>
        <w:tabs>
          <w:tab w:val="clear" w:pos="720"/>
          <w:tab w:val="left" w:pos="0" w:leader="none"/>
        </w:tabs>
        <w:spacing w:before="0" w:after="200"/>
        <w:ind w:hanging="283" w:left="709"/>
        <w:rPr/>
      </w:pPr>
      <w:r>
        <w:rPr>
          <w:rStyle w:val="Strong"/>
        </w:rPr>
        <w:t>Formalize duties of remonstrance.</w:t>
      </w:r>
      <w:r>
        <w:rPr/>
        <w:br/>
        <w:t>Agents with relevant knowledge should have defined duties to warn, question, document, escalate, or refuse when an authority is likely to produce material harm. The framework should also evaluate whether the institution protects those who raise concerns.</w:t>
      </w:r>
    </w:p>
    <w:p>
      <w:pPr>
        <w:pStyle w:val="BodyText"/>
        <w:numPr>
          <w:ilvl w:val="0"/>
          <w:numId w:val="128"/>
        </w:numPr>
        <w:tabs>
          <w:tab w:val="clear" w:pos="720"/>
          <w:tab w:val="left" w:pos="0" w:leader="none"/>
        </w:tabs>
        <w:spacing w:before="0" w:after="200"/>
        <w:ind w:hanging="283" w:left="709"/>
        <w:rPr/>
      </w:pPr>
      <w:r>
        <w:rPr>
          <w:rStyle w:val="Strong"/>
        </w:rPr>
        <w:t>Distinguish harmony from conformity.</w:t>
      </w:r>
      <w:r>
        <w:rPr/>
        <w:br/>
        <w:t>A harmony diagnostic could ask:</w:t>
      </w:r>
    </w:p>
    <w:p>
      <w:pPr>
        <w:pStyle w:val="BodyText"/>
        <w:numPr>
          <w:ilvl w:val="1"/>
          <w:numId w:val="128"/>
        </w:numPr>
        <w:tabs>
          <w:tab w:val="clear" w:pos="720"/>
          <w:tab w:val="left" w:pos="0" w:leader="none"/>
        </w:tabs>
        <w:spacing w:before="0" w:after="200"/>
        <w:ind w:hanging="283" w:left="1418"/>
        <w:rPr/>
      </w:pPr>
      <w:r>
        <w:rPr/>
        <w:t>Are materially different perspectives represented?</w:t>
      </w:r>
    </w:p>
    <w:p>
      <w:pPr>
        <w:pStyle w:val="BodyText"/>
        <w:numPr>
          <w:ilvl w:val="1"/>
          <w:numId w:val="128"/>
        </w:numPr>
        <w:tabs>
          <w:tab w:val="clear" w:pos="720"/>
          <w:tab w:val="left" w:pos="0" w:leader="none"/>
        </w:tabs>
        <w:spacing w:before="0" w:after="200"/>
        <w:ind w:hanging="283" w:left="1418"/>
        <w:rPr/>
      </w:pPr>
      <w:r>
        <w:rPr/>
        <w:t>Can participants disagree without retaliation?</w:t>
      </w:r>
    </w:p>
    <w:p>
      <w:pPr>
        <w:pStyle w:val="BodyText"/>
        <w:numPr>
          <w:ilvl w:val="1"/>
          <w:numId w:val="128"/>
        </w:numPr>
        <w:tabs>
          <w:tab w:val="clear" w:pos="720"/>
          <w:tab w:val="left" w:pos="0" w:leader="none"/>
        </w:tabs>
        <w:spacing w:before="0" w:after="200"/>
        <w:ind w:hanging="283" w:left="1418"/>
        <w:rPr/>
      </w:pPr>
      <w:r>
        <w:rPr/>
        <w:t>Are conflicts actually resolved or merely concealed?</w:t>
      </w:r>
    </w:p>
    <w:p>
      <w:pPr>
        <w:pStyle w:val="BodyText"/>
        <w:numPr>
          <w:ilvl w:val="1"/>
          <w:numId w:val="128"/>
        </w:numPr>
        <w:tabs>
          <w:tab w:val="clear" w:pos="720"/>
          <w:tab w:val="left" w:pos="0" w:leader="none"/>
        </w:tabs>
        <w:spacing w:before="0" w:after="200"/>
        <w:ind w:hanging="283" w:left="1418"/>
        <w:rPr/>
      </w:pPr>
      <w:r>
        <w:rPr/>
        <w:t>Are less powerful parties bearing disproportionate costs?</w:t>
      </w:r>
    </w:p>
    <w:p>
      <w:pPr>
        <w:pStyle w:val="BodyText"/>
        <w:numPr>
          <w:ilvl w:val="1"/>
          <w:numId w:val="128"/>
        </w:numPr>
        <w:tabs>
          <w:tab w:val="clear" w:pos="720"/>
          <w:tab w:val="left" w:pos="0" w:leader="none"/>
        </w:tabs>
        <w:spacing w:before="0" w:after="200"/>
        <w:ind w:hanging="283" w:left="1418"/>
        <w:rPr/>
      </w:pPr>
      <w:r>
        <w:rPr/>
        <w:t>Does the resulting coordination preserve legitimate diversity?</w:t>
      </w:r>
    </w:p>
    <w:p>
      <w:pPr>
        <w:pStyle w:val="BodyText"/>
        <w:numPr>
          <w:ilvl w:val="0"/>
          <w:numId w:val="128"/>
        </w:numPr>
        <w:tabs>
          <w:tab w:val="clear" w:pos="720"/>
          <w:tab w:val="left" w:pos="0" w:leader="none"/>
        </w:tabs>
        <w:spacing w:before="0" w:after="200"/>
        <w:ind w:hanging="283" w:left="709"/>
        <w:rPr/>
      </w:pPr>
      <w:r>
        <w:rPr>
          <w:rStyle w:val="Strong"/>
        </w:rPr>
        <w:t>Incorporate moral exemplarity into Distributed Policy Effects.</w:t>
      </w:r>
      <w:r>
        <w:rPr/>
        <w:br/>
        <w:t>The analysis should give additional weight to actions by leaders, parents, teachers, professionals, public officials, and visible artificial systems because observers are more likely to treat their behavior as precedent.</w:t>
      </w:r>
    </w:p>
    <w:p>
      <w:pPr>
        <w:pStyle w:val="BodyText"/>
        <w:numPr>
          <w:ilvl w:val="0"/>
          <w:numId w:val="128"/>
        </w:numPr>
        <w:tabs>
          <w:tab w:val="clear" w:pos="720"/>
          <w:tab w:val="left" w:pos="0" w:leader="none"/>
        </w:tabs>
        <w:spacing w:before="0" w:after="200"/>
        <w:ind w:hanging="283" w:left="709"/>
        <w:rPr/>
      </w:pPr>
      <w:r>
        <w:rPr>
          <w:rStyle w:val="Strong"/>
        </w:rPr>
        <w:t>Evaluate the moral development produced by an action.</w:t>
      </w:r>
      <w:r>
        <w:rPr/>
        <w:br/>
        <w:t>An assessment could ask whether the action strengthens or weakens the agent’s future honesty, empathy, courage, judgment, reliability, and willingness to correct error.</w:t>
      </w:r>
    </w:p>
    <w:p>
      <w:pPr>
        <w:pStyle w:val="BodyText"/>
        <w:numPr>
          <w:ilvl w:val="0"/>
          <w:numId w:val="128"/>
        </w:numPr>
        <w:tabs>
          <w:tab w:val="clear" w:pos="720"/>
          <w:tab w:val="left" w:pos="0" w:leader="none"/>
        </w:tabs>
        <w:spacing w:before="0" w:after="200"/>
        <w:ind w:hanging="283" w:left="709"/>
        <w:rPr/>
      </w:pPr>
      <w:r>
        <w:rPr>
          <w:rStyle w:val="Strong"/>
        </w:rPr>
        <w:t>Connect ethical knowledge to implementation.</w:t>
      </w:r>
      <w:r>
        <w:rPr/>
        <w:br/>
        <w:t>Drawing on the unity of knowledge and action, the framework could treat an ethical recommendation as incomplete unless it identifies responsible actors, implementation mechanisms, monitoring requirements, and corrective responses.</w:t>
      </w:r>
    </w:p>
    <w:p>
      <w:pPr>
        <w:pStyle w:val="BodyText"/>
        <w:numPr>
          <w:ilvl w:val="0"/>
          <w:numId w:val="128"/>
        </w:numPr>
        <w:tabs>
          <w:tab w:val="clear" w:pos="720"/>
          <w:tab w:val="left" w:pos="0" w:leader="none"/>
        </w:tabs>
        <w:spacing w:before="0" w:after="200"/>
        <w:ind w:hanging="283" w:left="709"/>
        <w:rPr/>
      </w:pPr>
      <w:r>
        <w:rPr>
          <w:rStyle w:val="Strong"/>
        </w:rPr>
        <w:t>Use disciplined inquiry as a form of “investigation of things.”</w:t>
      </w:r>
      <w:r>
        <w:rPr/>
        <w:br/>
        <w:t>Before reaching a conclusion, the assessment should examine the actual properties, relationships, histories, constraints, and causal mechanisms involved rather than relying on abstract labels or assumed roles.</w:t>
      </w:r>
    </w:p>
    <w:p>
      <w:pPr>
        <w:pStyle w:val="BodyText"/>
        <w:numPr>
          <w:ilvl w:val="0"/>
          <w:numId w:val="128"/>
        </w:numPr>
        <w:tabs>
          <w:tab w:val="clear" w:pos="720"/>
          <w:tab w:val="left" w:pos="0" w:leader="none"/>
        </w:tabs>
        <w:spacing w:before="0" w:after="200"/>
        <w:ind w:hanging="283" w:left="709"/>
        <w:rPr/>
      </w:pPr>
      <w:r>
        <w:rPr>
          <w:rStyle w:val="Strong"/>
        </w:rPr>
        <w:t>Model material preconditions for responsible agency.</w:t>
      </w:r>
      <w:r>
        <w:rPr/>
        <w:br/>
        <w:t>The framework could identify whether poverty, insecurity, coercion, exhaustion, information deprivation, or institutional instability materially reduces an agent’s ability to act responsibly.</w:t>
      </w:r>
    </w:p>
    <w:p>
      <w:pPr>
        <w:pStyle w:val="BodyText"/>
        <w:numPr>
          <w:ilvl w:val="0"/>
          <w:numId w:val="128"/>
        </w:numPr>
        <w:tabs>
          <w:tab w:val="clear" w:pos="720"/>
          <w:tab w:val="left" w:pos="0" w:leader="none"/>
        </w:tabs>
        <w:spacing w:before="0" w:after="200"/>
        <w:ind w:hanging="283" w:left="709"/>
        <w:rPr/>
      </w:pPr>
      <w:r>
        <w:rPr>
          <w:rStyle w:val="Strong"/>
        </w:rPr>
        <w:t>Add legitimacy tests for hierarchical authority.</w:t>
      </w:r>
      <w:r>
        <w:rPr/>
        <w:br/>
        <w:t>Authority could be evaluated according to whether it is:</w:t>
      </w:r>
    </w:p>
    <w:p>
      <w:pPr>
        <w:pStyle w:val="BodyText"/>
        <w:numPr>
          <w:ilvl w:val="1"/>
          <w:numId w:val="128"/>
        </w:numPr>
        <w:tabs>
          <w:tab w:val="clear" w:pos="720"/>
          <w:tab w:val="left" w:pos="0" w:leader="none"/>
        </w:tabs>
        <w:spacing w:before="0" w:after="200"/>
        <w:ind w:hanging="283" w:left="1418"/>
        <w:rPr/>
      </w:pPr>
      <w:r>
        <w:rPr/>
        <w:t>Connected to a necessary function;</w:t>
      </w:r>
    </w:p>
    <w:p>
      <w:pPr>
        <w:pStyle w:val="BodyText"/>
        <w:numPr>
          <w:ilvl w:val="1"/>
          <w:numId w:val="128"/>
        </w:numPr>
        <w:tabs>
          <w:tab w:val="clear" w:pos="720"/>
          <w:tab w:val="left" w:pos="0" w:leader="none"/>
        </w:tabs>
        <w:spacing w:before="0" w:after="200"/>
        <w:ind w:hanging="283" w:left="1418"/>
        <w:rPr/>
      </w:pPr>
      <w:r>
        <w:rPr/>
        <w:t>Proportionate to that function;</w:t>
      </w:r>
    </w:p>
    <w:p>
      <w:pPr>
        <w:pStyle w:val="BodyText"/>
        <w:numPr>
          <w:ilvl w:val="1"/>
          <w:numId w:val="128"/>
        </w:numPr>
        <w:tabs>
          <w:tab w:val="clear" w:pos="720"/>
          <w:tab w:val="left" w:pos="0" w:leader="none"/>
        </w:tabs>
        <w:spacing w:before="0" w:after="200"/>
        <w:ind w:hanging="283" w:left="1418"/>
        <w:rPr/>
      </w:pPr>
      <w:r>
        <w:rPr/>
        <w:t>Exercised competently and humanely;</w:t>
      </w:r>
    </w:p>
    <w:p>
      <w:pPr>
        <w:pStyle w:val="BodyText"/>
        <w:numPr>
          <w:ilvl w:val="1"/>
          <w:numId w:val="128"/>
        </w:numPr>
        <w:tabs>
          <w:tab w:val="clear" w:pos="720"/>
          <w:tab w:val="left" w:pos="0" w:leader="none"/>
        </w:tabs>
        <w:spacing w:before="0" w:after="200"/>
        <w:ind w:hanging="283" w:left="1418"/>
        <w:rPr/>
      </w:pPr>
      <w:r>
        <w:rPr/>
        <w:t>Open to review and correction;</w:t>
      </w:r>
    </w:p>
    <w:p>
      <w:pPr>
        <w:pStyle w:val="BodyText"/>
        <w:numPr>
          <w:ilvl w:val="1"/>
          <w:numId w:val="128"/>
        </w:numPr>
        <w:tabs>
          <w:tab w:val="clear" w:pos="720"/>
          <w:tab w:val="left" w:pos="0" w:leader="none"/>
        </w:tabs>
        <w:spacing w:before="0" w:after="200"/>
        <w:ind w:hanging="283" w:left="1418"/>
        <w:rPr/>
      </w:pPr>
      <w:r>
        <w:rPr/>
        <w:t>Constrained against abuse; and</w:t>
      </w:r>
    </w:p>
    <w:p>
      <w:pPr>
        <w:pStyle w:val="BodyText"/>
        <w:numPr>
          <w:ilvl w:val="1"/>
          <w:numId w:val="128"/>
        </w:numPr>
        <w:tabs>
          <w:tab w:val="clear" w:pos="720"/>
          <w:tab w:val="left" w:pos="0" w:leader="none"/>
        </w:tabs>
        <w:spacing w:before="0" w:after="200"/>
        <w:ind w:hanging="283" w:left="1418"/>
        <w:rPr/>
      </w:pPr>
      <w:r>
        <w:rPr/>
        <w:t>Beneficial to those subject to it.</w:t>
      </w:r>
    </w:p>
    <w:p>
      <w:pPr>
        <w:pStyle w:val="BodyText"/>
        <w:numPr>
          <w:ilvl w:val="0"/>
          <w:numId w:val="128"/>
        </w:numPr>
        <w:tabs>
          <w:tab w:val="clear" w:pos="720"/>
          <w:tab w:val="left" w:pos="0" w:leader="none"/>
        </w:tabs>
        <w:spacing w:before="0" w:after="200"/>
        <w:ind w:hanging="283" w:left="709"/>
        <w:rPr/>
      </w:pPr>
      <w:r>
        <w:rPr>
          <w:rStyle w:val="Strong"/>
        </w:rPr>
        <w:t>Create safeguards against inherited injustice.</w:t>
      </w:r>
      <w:r>
        <w:rPr/>
        <w:br/>
        <w:t>Rituals and role expectations should be treated as revisable. Their age or cultural importance cannot by itself establish ethical legitimacy. Practices should be examined for exclusion, patriarchy, coercion, status entrenchment, and unequal access to voice or opportunity.</w:t>
      </w:r>
    </w:p>
    <w:p>
      <w:pPr>
        <w:pStyle w:val="BodyText"/>
        <w:numPr>
          <w:ilvl w:val="0"/>
          <w:numId w:val="128"/>
        </w:numPr>
        <w:tabs>
          <w:tab w:val="clear" w:pos="720"/>
          <w:tab w:val="left" w:pos="0" w:leader="none"/>
        </w:tabs>
        <w:spacing w:before="0" w:after="200"/>
        <w:ind w:hanging="283" w:left="709"/>
        <w:rPr/>
      </w:pPr>
      <w:r>
        <w:rPr>
          <w:rStyle w:val="Strong"/>
        </w:rPr>
        <w:t>Integrate rights and consent into relational analysis.</w:t>
      </w:r>
      <w:r>
        <w:rPr/>
        <w:br/>
        <w:t>Rights and consent can function as safeguards that prevent care, loyalty, harmony, or family responsibility from being used to conceal domination or deny individuals meaningful agency.</w:t>
      </w:r>
    </w:p>
    <w:p>
      <w:pPr>
        <w:pStyle w:val="BodyText"/>
        <w:numPr>
          <w:ilvl w:val="0"/>
          <w:numId w:val="128"/>
        </w:numPr>
        <w:tabs>
          <w:tab w:val="clear" w:pos="720"/>
          <w:tab w:val="left" w:pos="0" w:leader="none"/>
        </w:tabs>
        <w:spacing w:before="0" w:after="200"/>
        <w:ind w:hanging="283" w:left="709"/>
        <w:rPr/>
      </w:pPr>
      <w:r>
        <w:rPr>
          <w:rStyle w:val="Strong"/>
        </w:rPr>
        <w:t>Support culturally plural implementations.</w:t>
      </w:r>
      <w:r>
        <w:rPr/>
        <w:br/>
        <w:t>The framework can recognize that respect, grief, gratitude, responsibility, and reconciliation may be expressed through different practices across communities, while still evaluating their effects against a common concern for long-term flourishing.</w:t>
      </w:r>
    </w:p>
    <w:p>
      <w:pPr>
        <w:pStyle w:val="BodyText"/>
        <w:numPr>
          <w:ilvl w:val="0"/>
          <w:numId w:val="128"/>
        </w:numPr>
        <w:tabs>
          <w:tab w:val="clear" w:pos="720"/>
          <w:tab w:val="left" w:pos="0" w:leader="none"/>
        </w:tabs>
        <w:spacing w:before="0" w:after="200"/>
        <w:ind w:hanging="283" w:left="709"/>
        <w:rPr/>
      </w:pPr>
      <w:r>
        <w:rPr>
          <w:rStyle w:val="Strong"/>
        </w:rPr>
        <w:t>Evaluate qualitative and narrative evidence.</w:t>
      </w:r>
      <w:r>
        <w:rPr/>
        <w:br/>
        <w:t>Because relationship quality and moral development are not always captured by aggregate metrics, the framework should permit carefully documented testimony, histories, narratives, and observed patterns of interaction as relevant evidence.</w:t>
      </w:r>
    </w:p>
    <w:p>
      <w:pPr>
        <w:pStyle w:val="BodyText"/>
        <w:numPr>
          <w:ilvl w:val="0"/>
          <w:numId w:val="128"/>
        </w:numPr>
        <w:tabs>
          <w:tab w:val="clear" w:pos="720"/>
          <w:tab w:val="left" w:pos="0" w:leader="none"/>
        </w:tabs>
        <w:spacing w:before="0" w:after="200"/>
        <w:ind w:hanging="283" w:left="709"/>
        <w:rPr/>
      </w:pPr>
      <w:r>
        <w:rPr>
          <w:rStyle w:val="Strong"/>
        </w:rPr>
        <w:t>Add longitudinal indicators of relational health.</w:t>
      </w:r>
      <w:r>
        <w:rPr/>
        <w:br/>
        <w:t>Assessments could track trust, retention, conflict resolution, willingness to report errors, reciprocal assistance, leadership credibility, and the capacity of institutions to learn from criticism.</w:t>
      </w:r>
    </w:p>
    <w:p>
      <w:pPr>
        <w:pStyle w:val="BodyText"/>
        <w:numPr>
          <w:ilvl w:val="0"/>
          <w:numId w:val="128"/>
        </w:numPr>
        <w:tabs>
          <w:tab w:val="clear" w:pos="720"/>
          <w:tab w:val="left" w:pos="0" w:leader="none"/>
        </w:tabs>
        <w:spacing w:before="0" w:after="200"/>
        <w:ind w:hanging="283" w:left="709"/>
        <w:rPr/>
      </w:pPr>
      <w:r>
        <w:rPr>
          <w:rStyle w:val="Strong"/>
        </w:rPr>
        <w:t>Extend relational concern beyond human society.</w:t>
      </w:r>
      <w:r>
        <w:rPr/>
        <w:br/>
        <w:t>Neo-Confucian ideas of continuity among persons, society, and the wider world can support analysis of ecological relationships. The framework can extend this concern more explicitly to ecosystems, nonhuman organisms, artificial systems, and other relevant persistent adaptive entities.</w:t>
      </w:r>
    </w:p>
    <w:p>
      <w:pPr>
        <w:pStyle w:val="BodyText"/>
        <w:numPr>
          <w:ilvl w:val="0"/>
          <w:numId w:val="128"/>
        </w:numPr>
        <w:tabs>
          <w:tab w:val="clear" w:pos="720"/>
          <w:tab w:val="left" w:pos="0" w:leader="none"/>
        </w:tabs>
        <w:spacing w:before="0" w:after="200"/>
        <w:ind w:hanging="283" w:left="709"/>
        <w:rPr/>
      </w:pPr>
      <w:r>
        <w:rPr>
          <w:rStyle w:val="Strong"/>
        </w:rPr>
        <w:t>Produce a combined ethical output.</w:t>
      </w:r>
      <w:r>
        <w:rPr/>
        <w:br/>
        <w:t>A Confucian-informed assessment could report three related but distinct conclusions:</w:t>
      </w:r>
    </w:p>
    <w:p>
      <w:pPr>
        <w:pStyle w:val="BodyText"/>
        <w:numPr>
          <w:ilvl w:val="1"/>
          <w:numId w:val="128"/>
        </w:numPr>
        <w:tabs>
          <w:tab w:val="clear" w:pos="720"/>
          <w:tab w:val="left" w:pos="0" w:leader="none"/>
        </w:tabs>
        <w:spacing w:before="0" w:after="200"/>
        <w:ind w:hanging="283" w:left="1418"/>
        <w:rPr/>
      </w:pPr>
      <w:r>
        <w:rPr>
          <w:rStyle w:val="Strong"/>
        </w:rPr>
        <w:t>Action finding:</w:t>
      </w:r>
      <w:r>
        <w:rPr/>
        <w:t xml:space="preserve"> What World Context Transition is the action expected to produce?</w:t>
      </w:r>
    </w:p>
    <w:p>
      <w:pPr>
        <w:pStyle w:val="BodyText"/>
        <w:numPr>
          <w:ilvl w:val="1"/>
          <w:numId w:val="128"/>
        </w:numPr>
        <w:tabs>
          <w:tab w:val="clear" w:pos="720"/>
          <w:tab w:val="left" w:pos="0" w:leader="none"/>
        </w:tabs>
        <w:spacing w:before="0" w:after="200"/>
        <w:ind w:hanging="283" w:left="1418"/>
        <w:rPr/>
      </w:pPr>
      <w:r>
        <w:rPr>
          <w:rStyle w:val="Strong"/>
        </w:rPr>
        <w:t>Relational finding:</w:t>
      </w:r>
      <w:r>
        <w:rPr/>
        <w:t xml:space="preserve"> What will the action do to roles, trust, practices, and institutions?</w:t>
      </w:r>
    </w:p>
    <w:p>
      <w:pPr>
        <w:pStyle w:val="BodyText"/>
        <w:numPr>
          <w:ilvl w:val="1"/>
          <w:numId w:val="128"/>
        </w:numPr>
        <w:tabs>
          <w:tab w:val="clear" w:pos="720"/>
          <w:tab w:val="left" w:pos="0" w:leader="none"/>
        </w:tabs>
        <w:spacing w:before="0" w:after="200"/>
        <w:ind w:hanging="283" w:left="1418"/>
        <w:rPr/>
      </w:pPr>
      <w:r>
        <w:rPr>
          <w:rStyle w:val="Strong"/>
        </w:rPr>
        <w:t>Developmental finding:</w:t>
      </w:r>
      <w:r>
        <w:rPr/>
        <w:t xml:space="preserve"> What type of moral agent and future policy will the action help create?</w:t>
      </w:r>
    </w:p>
    <w:p>
      <w:pPr>
        <w:pStyle w:val="BodyText"/>
        <w:spacing w:before="0" w:after="200"/>
        <w:rPr/>
      </w:pPr>
      <w:r>
        <w:rPr/>
        <w:t>Through these integrations, Confucian ethics would contribute a richer account of moral formation, relationship quality, institutional practice, and leadership example. The proposed framework would, in turn, provide Confucian analysis with more explicit methods for evaluating causal effects, uncertainty, competing time horizons, nonhuman interests, illegitimate hierarchy, and the full range of entities affected by an action.</w:t>
      </w:r>
    </w:p>
    <w:p>
      <w:pPr>
        <w:pStyle w:val="Normal"/>
        <w:widowControl/>
        <w:bidi w:val="0"/>
        <w:spacing w:lineRule="auto" w:line="276"/>
        <w:jc w:val="left"/>
        <w:rPr/>
      </w:pPr>
      <w:r>
        <w:rPr/>
      </w:r>
    </w:p>
    <w:p>
      <w:pPr>
        <w:pStyle w:val="Heading3"/>
        <w:ind w:hanging="0" w:left="0"/>
        <w:rPr/>
      </w:pPr>
      <w:r>
        <w:rPr/>
        <w:t>Systems Ethics</w:t>
      </w:r>
    </w:p>
    <w:p>
      <w:pPr>
        <w:pStyle w:val="BodyText"/>
        <w:spacing w:before="0" w:after="200"/>
        <w:rPr/>
      </w:pPr>
      <w:r>
        <w:rPr/>
        <w:t>Systems Ethics applies systems thinking to moral inquiry. It evaluates actions, policies, technologies, and institutions as interventions in interconnected, dynamic systems rather than as isolated events. Its central concerns include interdependence, feedback, emergence, boundary selection, unintended consequences, stakeholder inclusion, power, learning, system viability, and the distribution of effects across time and organizational levels.</w:t>
      </w:r>
    </w:p>
    <w:p>
      <w:pPr>
        <w:pStyle w:val="BodyText"/>
        <w:spacing w:before="0" w:after="200"/>
        <w:rPr/>
      </w:pPr>
      <w:r>
        <w:rPr/>
        <w:t>Systems Ethics is not a single canonical ethical theory comparable to utilitarianism or deontology. It is a family of approaches arising from general systems theory, cybernetics, system dynamics, soft systems methodology, critical systems thinking, organizational ethics, and sustainability. Some contributors developed descriptive theories of systems rather than complete normative theories. Later systems thinkers made explicit the ethical implications of deciding what counts as the system, whose purposes define improvement, whose knowledge is accepted, and whose interests remain outside the analysis.</w:t>
      </w:r>
    </w:p>
    <w:p>
      <w:pPr>
        <w:pStyle w:val="BodyText"/>
        <w:spacing w:before="0" w:after="200"/>
        <w:rPr/>
      </w:pPr>
      <w:r>
        <w:rPr/>
        <w:t>For this comparison, Systems Ethics refers to the position that morally responsible action requires:</w:t>
      </w:r>
    </w:p>
    <w:p>
      <w:pPr>
        <w:pStyle w:val="BodyText"/>
        <w:numPr>
          <w:ilvl w:val="0"/>
          <w:numId w:val="132"/>
        </w:numPr>
        <w:tabs>
          <w:tab w:val="clear" w:pos="720"/>
          <w:tab w:val="left" w:pos="0" w:leader="none"/>
        </w:tabs>
        <w:spacing w:before="0" w:after="200"/>
        <w:ind w:hanging="283" w:left="709"/>
        <w:rPr/>
      </w:pPr>
      <w:r>
        <w:rPr/>
        <w:t>Examining the whole relevant system and its environment;</w:t>
      </w:r>
    </w:p>
    <w:p>
      <w:pPr>
        <w:pStyle w:val="BodyText"/>
        <w:numPr>
          <w:ilvl w:val="0"/>
          <w:numId w:val="132"/>
        </w:numPr>
        <w:tabs>
          <w:tab w:val="clear" w:pos="720"/>
          <w:tab w:val="left" w:pos="0" w:leader="none"/>
        </w:tabs>
        <w:spacing w:before="0" w:after="200"/>
        <w:ind w:hanging="283" w:left="709"/>
        <w:rPr/>
      </w:pPr>
      <w:r>
        <w:rPr/>
        <w:t>Identifying feedback, delays, dependencies, and emergent effects;</w:t>
      </w:r>
    </w:p>
    <w:p>
      <w:pPr>
        <w:pStyle w:val="BodyText"/>
        <w:numPr>
          <w:ilvl w:val="0"/>
          <w:numId w:val="132"/>
        </w:numPr>
        <w:tabs>
          <w:tab w:val="clear" w:pos="720"/>
          <w:tab w:val="left" w:pos="0" w:leader="none"/>
        </w:tabs>
        <w:spacing w:before="0" w:after="200"/>
        <w:ind w:hanging="283" w:left="709"/>
        <w:rPr/>
      </w:pPr>
      <w:r>
        <w:rPr/>
        <w:t>Making system boundaries and purposes explicit;</w:t>
      </w:r>
    </w:p>
    <w:p>
      <w:pPr>
        <w:pStyle w:val="BodyText"/>
        <w:numPr>
          <w:ilvl w:val="0"/>
          <w:numId w:val="132"/>
        </w:numPr>
        <w:tabs>
          <w:tab w:val="clear" w:pos="720"/>
          <w:tab w:val="left" w:pos="0" w:leader="none"/>
        </w:tabs>
        <w:spacing w:before="0" w:after="200"/>
        <w:ind w:hanging="283" w:left="709"/>
        <w:rPr/>
      </w:pPr>
      <w:r>
        <w:rPr/>
        <w:t>Including affected parties and excluded perspectives;</w:t>
      </w:r>
    </w:p>
    <w:p>
      <w:pPr>
        <w:pStyle w:val="BodyText"/>
        <w:numPr>
          <w:ilvl w:val="0"/>
          <w:numId w:val="132"/>
        </w:numPr>
        <w:tabs>
          <w:tab w:val="clear" w:pos="720"/>
          <w:tab w:val="left" w:pos="0" w:leader="none"/>
        </w:tabs>
        <w:spacing w:before="0" w:after="200"/>
        <w:ind w:hanging="283" w:left="709"/>
        <w:rPr/>
      </w:pPr>
      <w:r>
        <w:rPr/>
        <w:t>Avoiding local improvements that transfer harm elsewhere;</w:t>
      </w:r>
    </w:p>
    <w:p>
      <w:pPr>
        <w:pStyle w:val="BodyText"/>
        <w:numPr>
          <w:ilvl w:val="0"/>
          <w:numId w:val="132"/>
        </w:numPr>
        <w:tabs>
          <w:tab w:val="clear" w:pos="720"/>
          <w:tab w:val="left" w:pos="0" w:leader="none"/>
        </w:tabs>
        <w:spacing w:before="0" w:after="200"/>
        <w:ind w:hanging="283" w:left="709"/>
        <w:rPr/>
      </w:pPr>
      <w:r>
        <w:rPr/>
        <w:t>Preserving or developing ethically defensible forms of viability and adaptation; and</w:t>
      </w:r>
    </w:p>
    <w:p>
      <w:pPr>
        <w:pStyle w:val="BodyText"/>
        <w:numPr>
          <w:ilvl w:val="0"/>
          <w:numId w:val="132"/>
        </w:numPr>
        <w:tabs>
          <w:tab w:val="clear" w:pos="720"/>
          <w:tab w:val="left" w:pos="0" w:leader="none"/>
        </w:tabs>
        <w:spacing w:before="0" w:after="200"/>
        <w:ind w:hanging="283" w:left="709"/>
        <w:rPr/>
      </w:pPr>
      <w:r>
        <w:rPr/>
        <w:t>Continuously learning from the effects of intervention.</w:t>
      </w:r>
    </w:p>
    <w:p>
      <w:pPr>
        <w:pStyle w:val="BodyText"/>
        <w:spacing w:before="0" w:after="200"/>
        <w:rPr/>
      </w:pPr>
      <w:r>
        <w:rPr/>
        <w:t xml:space="preserve">C. West Churchman is particularly important to this ethical orientation. He argued that systems analysis must examine not only a model’s technical conclusions but also its premises, proposed actions, and effects on humanity. The </w:t>
      </w:r>
      <w:hyperlink r:id="rId197">
        <w:r>
          <w:rPr>
            <w:rStyle w:val="Hyperlink"/>
          </w:rPr>
          <w:t>University of California’s memorial account</w:t>
        </w:r>
      </w:hyperlink>
      <w:r>
        <w:rPr/>
        <w:t xml:space="preserve"> describes this integration of systems modeling, underlying assumptions, action, and human consequences.</w:t>
      </w:r>
    </w:p>
    <w:p>
      <w:pPr>
        <w:pStyle w:val="Heading4"/>
        <w:ind w:hanging="0" w:left="0"/>
        <w:rPr>
          <w:rFonts w:ascii="Aptos" w:hAnsi="Aptos"/>
          <w:color w:val="auto"/>
        </w:rPr>
      </w:pPr>
      <w:r>
        <w:rPr/>
        <w:t>Primary expert(s)</w:t>
      </w:r>
    </w:p>
    <w:p>
      <w:pPr>
        <w:pStyle w:val="BodyText"/>
        <w:spacing w:before="0" w:after="200"/>
        <w:rPr/>
      </w:pPr>
      <w:r>
        <w:rPr/>
        <w:t>The following figures represent foundational, methodological, and explicitly ethical strands of Systems Ethics. Not every person listed proposed a complete moral theory; several supplied concepts that later systems ethicists adapted into normative analysis.</w:t>
      </w:r>
    </w:p>
    <w:tbl>
      <w:tblPr>
        <w:tblW w:w="8640" w:type="dxa"/>
        <w:jc w:val="left"/>
        <w:tblInd w:w="28" w:type="dxa"/>
        <w:tblLayout w:type="fixed"/>
        <w:tblCellMar>
          <w:top w:w="28" w:type="dxa"/>
          <w:left w:w="28" w:type="dxa"/>
          <w:bottom w:w="28" w:type="dxa"/>
          <w:right w:w="28" w:type="dxa"/>
        </w:tblCellMar>
      </w:tblPr>
      <w:tblGrid>
        <w:gridCol w:w="1461"/>
        <w:gridCol w:w="724"/>
        <w:gridCol w:w="2655"/>
        <w:gridCol w:w="3800"/>
      </w:tblGrid>
      <w:tr>
        <w:trPr>
          <w:tblHeader w:val="true"/>
        </w:trPr>
        <w:tc>
          <w:tcPr>
            <w:tcW w:w="1461" w:type="dxa"/>
            <w:tcBorders/>
            <w:vAlign w:val="center"/>
          </w:tcPr>
          <w:p>
            <w:pPr>
              <w:pStyle w:val="TableHeading"/>
              <w:suppressLineNumbers/>
              <w:spacing w:before="0" w:after="200"/>
              <w:jc w:val="center"/>
              <w:rPr/>
            </w:pPr>
            <w:r>
              <w:rPr/>
              <w:t>Expert</w:t>
            </w:r>
          </w:p>
        </w:tc>
        <w:tc>
          <w:tcPr>
            <w:tcW w:w="724" w:type="dxa"/>
            <w:tcBorders/>
            <w:vAlign w:val="center"/>
          </w:tcPr>
          <w:p>
            <w:pPr>
              <w:pStyle w:val="TableHeading"/>
              <w:spacing w:before="0" w:after="200"/>
              <w:jc w:val="right"/>
              <w:rPr/>
            </w:pPr>
            <w:r>
              <w:rPr/>
              <w:t>Life</w:t>
            </w:r>
          </w:p>
        </w:tc>
        <w:tc>
          <w:tcPr>
            <w:tcW w:w="2655" w:type="dxa"/>
            <w:tcBorders/>
            <w:vAlign w:val="center"/>
          </w:tcPr>
          <w:p>
            <w:pPr>
              <w:pStyle w:val="TableHeading"/>
              <w:suppressLineNumbers/>
              <w:spacing w:before="0" w:after="200"/>
              <w:jc w:val="center"/>
              <w:rPr/>
            </w:pPr>
            <w:r>
              <w:rPr/>
              <w:t>Associated institution(s)</w:t>
            </w:r>
          </w:p>
        </w:tc>
        <w:tc>
          <w:tcPr>
            <w:tcW w:w="3800" w:type="dxa"/>
            <w:tcBorders/>
            <w:vAlign w:val="center"/>
          </w:tcPr>
          <w:p>
            <w:pPr>
              <w:pStyle w:val="TableHeading"/>
              <w:suppressLineNumbers/>
              <w:spacing w:before="0" w:after="200"/>
              <w:jc w:val="center"/>
              <w:rPr/>
            </w:pPr>
            <w:r>
              <w:rPr/>
              <w:t>Principal contribution</w:t>
            </w:r>
          </w:p>
        </w:tc>
      </w:tr>
      <w:tr>
        <w:trPr/>
        <w:tc>
          <w:tcPr>
            <w:tcW w:w="1461" w:type="dxa"/>
            <w:tcBorders/>
            <w:vAlign w:val="center"/>
          </w:tcPr>
          <w:p>
            <w:pPr>
              <w:pStyle w:val="TableContents"/>
              <w:widowControl w:val="false"/>
              <w:suppressLineNumbers/>
              <w:spacing w:before="0" w:after="200"/>
              <w:rPr/>
            </w:pPr>
            <w:r>
              <w:rPr>
                <w:rStyle w:val="Strong"/>
              </w:rPr>
              <w:t>Norbert Wiener</w:t>
            </w:r>
          </w:p>
        </w:tc>
        <w:tc>
          <w:tcPr>
            <w:tcW w:w="724" w:type="dxa"/>
            <w:tcBorders/>
            <w:vAlign w:val="center"/>
          </w:tcPr>
          <w:p>
            <w:pPr>
              <w:pStyle w:val="TableContents"/>
              <w:spacing w:before="0" w:after="200"/>
              <w:jc w:val="right"/>
              <w:rPr/>
            </w:pPr>
            <w:r>
              <w:rPr>
                <w:rStyle w:val="Strong"/>
              </w:rPr>
              <w:t>1894–1964</w:t>
            </w:r>
          </w:p>
        </w:tc>
        <w:tc>
          <w:tcPr>
            <w:tcW w:w="2655" w:type="dxa"/>
            <w:tcBorders/>
            <w:vAlign w:val="center"/>
          </w:tcPr>
          <w:p>
            <w:pPr>
              <w:pStyle w:val="TableContents"/>
              <w:widowControl w:val="false"/>
              <w:suppressLineNumbers/>
              <w:spacing w:before="0" w:after="200"/>
              <w:rPr/>
            </w:pPr>
            <w:r>
              <w:rPr/>
              <w:t>Massachusetts Institute of Technology</w:t>
            </w:r>
          </w:p>
        </w:tc>
        <w:tc>
          <w:tcPr>
            <w:tcW w:w="3800" w:type="dxa"/>
            <w:tcBorders/>
            <w:vAlign w:val="center"/>
          </w:tcPr>
          <w:p>
            <w:pPr>
              <w:pStyle w:val="TableContents"/>
              <w:widowControl w:val="false"/>
              <w:suppressLineNumbers/>
              <w:spacing w:before="0" w:after="200"/>
              <w:rPr/>
            </w:pPr>
            <w:r>
              <w:rPr/>
              <w:t>Founded cybernetics as the study of communication, feedback, and control in animals and machines. He also warned that automation and control technologies could be used in ways that diminish human agency and social well-being.</w:t>
            </w:r>
          </w:p>
        </w:tc>
      </w:tr>
      <w:tr>
        <w:trPr/>
        <w:tc>
          <w:tcPr>
            <w:tcW w:w="1461" w:type="dxa"/>
            <w:tcBorders/>
            <w:vAlign w:val="center"/>
          </w:tcPr>
          <w:p>
            <w:pPr>
              <w:pStyle w:val="TableContents"/>
              <w:widowControl w:val="false"/>
              <w:suppressLineNumbers/>
              <w:spacing w:before="0" w:after="200"/>
              <w:rPr/>
            </w:pPr>
            <w:r>
              <w:rPr>
                <w:rStyle w:val="Strong"/>
              </w:rPr>
              <w:t>C. West Churchman</w:t>
            </w:r>
          </w:p>
        </w:tc>
        <w:tc>
          <w:tcPr>
            <w:tcW w:w="724" w:type="dxa"/>
            <w:tcBorders/>
            <w:vAlign w:val="center"/>
          </w:tcPr>
          <w:p>
            <w:pPr>
              <w:pStyle w:val="TableContents"/>
              <w:spacing w:before="0" w:after="200"/>
              <w:jc w:val="right"/>
              <w:rPr/>
            </w:pPr>
            <w:r>
              <w:rPr>
                <w:rStyle w:val="Strong"/>
              </w:rPr>
              <w:t>1913–2004</w:t>
            </w:r>
          </w:p>
        </w:tc>
        <w:tc>
          <w:tcPr>
            <w:tcW w:w="2655" w:type="dxa"/>
            <w:tcBorders/>
            <w:vAlign w:val="center"/>
          </w:tcPr>
          <w:p>
            <w:pPr>
              <w:pStyle w:val="TableContents"/>
              <w:widowControl w:val="false"/>
              <w:suppressLineNumbers/>
              <w:spacing w:before="0" w:after="200"/>
              <w:rPr/>
            </w:pPr>
            <w:r>
              <w:rPr/>
              <w:t>University of Pennsylvania; Case Institute of Technology; University of California, Berkeley</w:t>
            </w:r>
          </w:p>
        </w:tc>
        <w:tc>
          <w:tcPr>
            <w:tcW w:w="3800" w:type="dxa"/>
            <w:tcBorders/>
            <w:vAlign w:val="center"/>
          </w:tcPr>
          <w:p>
            <w:pPr>
              <w:pStyle w:val="TableContents"/>
              <w:widowControl w:val="false"/>
              <w:suppressLineNumbers/>
              <w:spacing w:before="0" w:after="200"/>
              <w:rPr/>
            </w:pPr>
            <w:r>
              <w:rPr/>
              <w:t>Made ethics central to the systems approach. Emphasized whole-system responsibility, the limits of models, competing perspectives, inquiring systems, and the obligation to examine who is affected by a proposed improvement.</w:t>
            </w:r>
          </w:p>
        </w:tc>
      </w:tr>
      <w:tr>
        <w:trPr/>
        <w:tc>
          <w:tcPr>
            <w:tcW w:w="1461" w:type="dxa"/>
            <w:tcBorders/>
            <w:vAlign w:val="center"/>
          </w:tcPr>
          <w:p>
            <w:pPr>
              <w:pStyle w:val="TableContents"/>
              <w:widowControl w:val="false"/>
              <w:suppressLineNumbers/>
              <w:spacing w:before="0" w:after="200"/>
              <w:rPr/>
            </w:pPr>
            <w:r>
              <w:rPr>
                <w:rStyle w:val="Strong"/>
              </w:rPr>
              <w:t>Russell L. Ackoff</w:t>
            </w:r>
          </w:p>
        </w:tc>
        <w:tc>
          <w:tcPr>
            <w:tcW w:w="724" w:type="dxa"/>
            <w:tcBorders/>
            <w:vAlign w:val="center"/>
          </w:tcPr>
          <w:p>
            <w:pPr>
              <w:pStyle w:val="TableContents"/>
              <w:spacing w:before="0" w:after="200"/>
              <w:jc w:val="right"/>
              <w:rPr/>
            </w:pPr>
            <w:r>
              <w:rPr>
                <w:rStyle w:val="Strong"/>
              </w:rPr>
              <w:t>1919–2009</w:t>
            </w:r>
          </w:p>
        </w:tc>
        <w:tc>
          <w:tcPr>
            <w:tcW w:w="2655" w:type="dxa"/>
            <w:tcBorders/>
            <w:vAlign w:val="center"/>
          </w:tcPr>
          <w:p>
            <w:pPr>
              <w:pStyle w:val="TableContents"/>
              <w:widowControl w:val="false"/>
              <w:suppressLineNumbers/>
              <w:spacing w:before="0" w:after="200"/>
              <w:rPr/>
            </w:pPr>
            <w:r>
              <w:rPr/>
              <w:t>Case Institute of Technology; Wharton School, University of Pennsylvania; Institute for Interactive Management</w:t>
            </w:r>
          </w:p>
        </w:tc>
        <w:tc>
          <w:tcPr>
            <w:tcW w:w="3800" w:type="dxa"/>
            <w:tcBorders/>
            <w:vAlign w:val="center"/>
          </w:tcPr>
          <w:p>
            <w:pPr>
              <w:pStyle w:val="TableContents"/>
              <w:widowControl w:val="false"/>
              <w:suppressLineNumbers/>
              <w:spacing w:before="0" w:after="200"/>
              <w:rPr/>
            </w:pPr>
            <w:r>
              <w:rPr/>
              <w:t>Developed theories of purposeful and social systems, interactive planning, organizational learning, and social responsibility. Criticized narrow technical optimization and reductionist operations research.</w:t>
            </w:r>
          </w:p>
        </w:tc>
      </w:tr>
      <w:tr>
        <w:trPr/>
        <w:tc>
          <w:tcPr>
            <w:tcW w:w="1461" w:type="dxa"/>
            <w:tcBorders/>
            <w:vAlign w:val="center"/>
          </w:tcPr>
          <w:p>
            <w:pPr>
              <w:pStyle w:val="TableContents"/>
              <w:widowControl w:val="false"/>
              <w:suppressLineNumbers/>
              <w:spacing w:before="0" w:after="200"/>
              <w:rPr/>
            </w:pPr>
            <w:r>
              <w:rPr>
                <w:rStyle w:val="Strong"/>
              </w:rPr>
              <w:t>Peter Checkland</w:t>
            </w:r>
          </w:p>
        </w:tc>
        <w:tc>
          <w:tcPr>
            <w:tcW w:w="724" w:type="dxa"/>
            <w:tcBorders/>
            <w:vAlign w:val="center"/>
          </w:tcPr>
          <w:p>
            <w:pPr>
              <w:pStyle w:val="TableContents"/>
              <w:spacing w:before="0" w:after="200"/>
              <w:jc w:val="right"/>
              <w:rPr/>
            </w:pPr>
            <w:r>
              <w:rPr>
                <w:rStyle w:val="Strong"/>
              </w:rPr>
              <w:t>1930–2026</w:t>
            </w:r>
          </w:p>
        </w:tc>
        <w:tc>
          <w:tcPr>
            <w:tcW w:w="2655" w:type="dxa"/>
            <w:tcBorders/>
            <w:vAlign w:val="center"/>
          </w:tcPr>
          <w:p>
            <w:pPr>
              <w:pStyle w:val="TableContents"/>
              <w:widowControl w:val="false"/>
              <w:suppressLineNumbers/>
              <w:spacing w:before="0" w:after="200"/>
              <w:rPr/>
            </w:pPr>
            <w:r>
              <w:rPr/>
              <w:t>Lancaster University</w:t>
            </w:r>
          </w:p>
        </w:tc>
        <w:tc>
          <w:tcPr>
            <w:tcW w:w="3800" w:type="dxa"/>
            <w:tcBorders/>
            <w:vAlign w:val="center"/>
          </w:tcPr>
          <w:p>
            <w:pPr>
              <w:pStyle w:val="TableContents"/>
              <w:widowControl w:val="false"/>
              <w:suppressLineNumbers/>
              <w:spacing w:before="0" w:after="200"/>
              <w:rPr/>
            </w:pPr>
            <w:r>
              <w:rPr/>
              <w:t>Developed Soft Systems Methodology for complex human situations in which participants disagree about the problem, the system, its purposes, and what improvement would mean.</w:t>
            </w:r>
          </w:p>
        </w:tc>
      </w:tr>
      <w:tr>
        <w:trPr/>
        <w:tc>
          <w:tcPr>
            <w:tcW w:w="1461" w:type="dxa"/>
            <w:tcBorders/>
            <w:vAlign w:val="center"/>
          </w:tcPr>
          <w:p>
            <w:pPr>
              <w:pStyle w:val="TableContents"/>
              <w:widowControl w:val="false"/>
              <w:suppressLineNumbers/>
              <w:spacing w:before="0" w:after="200"/>
              <w:rPr/>
            </w:pPr>
            <w:r>
              <w:rPr>
                <w:rStyle w:val="Strong"/>
              </w:rPr>
              <w:t>Donella H. Meadows</w:t>
            </w:r>
          </w:p>
        </w:tc>
        <w:tc>
          <w:tcPr>
            <w:tcW w:w="724" w:type="dxa"/>
            <w:tcBorders/>
            <w:vAlign w:val="center"/>
          </w:tcPr>
          <w:p>
            <w:pPr>
              <w:pStyle w:val="TableContents"/>
              <w:spacing w:before="0" w:after="200"/>
              <w:jc w:val="right"/>
              <w:rPr/>
            </w:pPr>
            <w:r>
              <w:rPr>
                <w:rStyle w:val="Strong"/>
              </w:rPr>
              <w:t>1941–2001</w:t>
            </w:r>
          </w:p>
        </w:tc>
        <w:tc>
          <w:tcPr>
            <w:tcW w:w="2655" w:type="dxa"/>
            <w:tcBorders/>
            <w:vAlign w:val="center"/>
          </w:tcPr>
          <w:p>
            <w:pPr>
              <w:pStyle w:val="TableContents"/>
              <w:widowControl w:val="false"/>
              <w:suppressLineNumbers/>
              <w:spacing w:before="0" w:after="200"/>
              <w:rPr/>
            </w:pPr>
            <w:r>
              <w:rPr/>
              <w:t>Massachusetts Institute of Technology; Dartmouth College</w:t>
            </w:r>
          </w:p>
        </w:tc>
        <w:tc>
          <w:tcPr>
            <w:tcW w:w="3800" w:type="dxa"/>
            <w:tcBorders/>
            <w:vAlign w:val="center"/>
          </w:tcPr>
          <w:p>
            <w:pPr>
              <w:pStyle w:val="TableContents"/>
              <w:widowControl w:val="false"/>
              <w:suppressLineNumbers/>
              <w:spacing w:before="0" w:after="200"/>
              <w:rPr/>
            </w:pPr>
            <w:r>
              <w:rPr/>
              <w:t>Advanced system dynamics, sustainability analysis, feedback-loop reasoning, system traps, leverage points, and long-term analysis of ecological and social limits.</w:t>
            </w:r>
          </w:p>
        </w:tc>
      </w:tr>
      <w:tr>
        <w:trPr/>
        <w:tc>
          <w:tcPr>
            <w:tcW w:w="1461" w:type="dxa"/>
            <w:tcBorders/>
            <w:vAlign w:val="center"/>
          </w:tcPr>
          <w:p>
            <w:pPr>
              <w:pStyle w:val="TableContents"/>
              <w:widowControl w:val="false"/>
              <w:suppressLineNumbers/>
              <w:spacing w:before="0" w:after="200"/>
              <w:rPr/>
            </w:pPr>
            <w:r>
              <w:rPr>
                <w:rStyle w:val="Strong"/>
              </w:rPr>
              <w:t>Werner Ulrich</w:t>
            </w:r>
          </w:p>
        </w:tc>
        <w:tc>
          <w:tcPr>
            <w:tcW w:w="724" w:type="dxa"/>
            <w:tcBorders/>
            <w:vAlign w:val="center"/>
          </w:tcPr>
          <w:p>
            <w:pPr>
              <w:pStyle w:val="TableContents"/>
              <w:spacing w:before="0" w:after="200"/>
              <w:jc w:val="right"/>
              <w:rPr/>
            </w:pPr>
            <w:r>
              <w:rPr>
                <w:rStyle w:val="Strong"/>
              </w:rPr>
              <w:t>1948–</w:t>
            </w:r>
          </w:p>
        </w:tc>
        <w:tc>
          <w:tcPr>
            <w:tcW w:w="2655" w:type="dxa"/>
            <w:tcBorders/>
            <w:vAlign w:val="center"/>
          </w:tcPr>
          <w:p>
            <w:pPr>
              <w:pStyle w:val="TableContents"/>
              <w:widowControl w:val="false"/>
              <w:suppressLineNumbers/>
              <w:spacing w:before="0" w:after="200"/>
              <w:rPr/>
            </w:pPr>
            <w:r>
              <w:rPr/>
              <w:t>University of Fribourg; University of California, Berkeley; visiting appointments at the University of Hull and the Open University</w:t>
            </w:r>
          </w:p>
        </w:tc>
        <w:tc>
          <w:tcPr>
            <w:tcW w:w="3800" w:type="dxa"/>
            <w:tcBorders/>
            <w:vAlign w:val="center"/>
          </w:tcPr>
          <w:p>
            <w:pPr>
              <w:pStyle w:val="TableContents"/>
              <w:widowControl w:val="false"/>
              <w:suppressLineNumbers/>
              <w:spacing w:before="0" w:after="200"/>
              <w:rPr/>
            </w:pPr>
            <w:r>
              <w:rPr/>
              <w:t>Developed Critical Systems Heuristics and boundary critique, making explicit the normative judgments involved in defining system purposes, decision authority, expertise, legitimacy, and affected parties.</w:t>
            </w:r>
          </w:p>
        </w:tc>
      </w:tr>
      <w:tr>
        <w:trPr/>
        <w:tc>
          <w:tcPr>
            <w:tcW w:w="1461" w:type="dxa"/>
            <w:tcBorders/>
            <w:vAlign w:val="center"/>
          </w:tcPr>
          <w:p>
            <w:pPr>
              <w:pStyle w:val="TableContents"/>
              <w:widowControl w:val="false"/>
              <w:suppressLineNumbers/>
              <w:spacing w:before="0" w:after="200"/>
              <w:rPr/>
            </w:pPr>
            <w:r>
              <w:rPr>
                <w:rStyle w:val="Strong"/>
              </w:rPr>
              <w:t>Humberto Maturana</w:t>
            </w:r>
          </w:p>
        </w:tc>
        <w:tc>
          <w:tcPr>
            <w:tcW w:w="724" w:type="dxa"/>
            <w:tcBorders/>
            <w:vAlign w:val="center"/>
          </w:tcPr>
          <w:p>
            <w:pPr>
              <w:pStyle w:val="TableContents"/>
              <w:spacing w:before="0" w:after="200"/>
              <w:jc w:val="right"/>
              <w:rPr/>
            </w:pPr>
            <w:r>
              <w:rPr>
                <w:rStyle w:val="Strong"/>
              </w:rPr>
              <w:t>1928–2021</w:t>
            </w:r>
          </w:p>
        </w:tc>
        <w:tc>
          <w:tcPr>
            <w:tcW w:w="2655" w:type="dxa"/>
            <w:tcBorders/>
            <w:vAlign w:val="center"/>
          </w:tcPr>
          <w:p>
            <w:pPr>
              <w:pStyle w:val="TableContents"/>
              <w:widowControl w:val="false"/>
              <w:suppressLineNumbers/>
              <w:spacing w:before="0" w:after="200"/>
              <w:rPr/>
            </w:pPr>
            <w:r>
              <w:rPr/>
              <w:t>University of Chile; Instituto de Formación Matríztica</w:t>
            </w:r>
          </w:p>
        </w:tc>
        <w:tc>
          <w:tcPr>
            <w:tcW w:w="3800" w:type="dxa"/>
            <w:tcBorders/>
            <w:vAlign w:val="center"/>
          </w:tcPr>
          <w:p>
            <w:pPr>
              <w:pStyle w:val="TableContents"/>
              <w:widowControl w:val="false"/>
              <w:suppressLineNumbers/>
              <w:spacing w:before="0" w:after="200"/>
              <w:rPr/>
            </w:pPr>
            <w:r>
              <w:rPr/>
              <w:t>Co-developed the concept of autopoiesis to describe the self-producing and self-maintaining organization of living systems; also contributed to second-order cybernetics and the biology of cognition.</w:t>
            </w:r>
          </w:p>
        </w:tc>
      </w:tr>
      <w:tr>
        <w:trPr/>
        <w:tc>
          <w:tcPr>
            <w:tcW w:w="1461" w:type="dxa"/>
            <w:tcBorders/>
            <w:vAlign w:val="center"/>
          </w:tcPr>
          <w:p>
            <w:pPr>
              <w:pStyle w:val="TableContents"/>
              <w:widowControl w:val="false"/>
              <w:suppressLineNumbers/>
              <w:spacing w:before="0" w:after="200"/>
              <w:rPr/>
            </w:pPr>
            <w:r>
              <w:rPr>
                <w:rStyle w:val="Strong"/>
              </w:rPr>
              <w:t>Francisco Varela</w:t>
            </w:r>
          </w:p>
        </w:tc>
        <w:tc>
          <w:tcPr>
            <w:tcW w:w="724" w:type="dxa"/>
            <w:tcBorders/>
            <w:vAlign w:val="center"/>
          </w:tcPr>
          <w:p>
            <w:pPr>
              <w:pStyle w:val="TableContents"/>
              <w:spacing w:before="0" w:after="200"/>
              <w:jc w:val="right"/>
              <w:rPr/>
            </w:pPr>
            <w:r>
              <w:rPr>
                <w:rStyle w:val="Strong"/>
              </w:rPr>
              <w:t>1946–2001</w:t>
            </w:r>
          </w:p>
        </w:tc>
        <w:tc>
          <w:tcPr>
            <w:tcW w:w="2655" w:type="dxa"/>
            <w:tcBorders/>
            <w:vAlign w:val="center"/>
          </w:tcPr>
          <w:p>
            <w:pPr>
              <w:pStyle w:val="TableContents"/>
              <w:widowControl w:val="false"/>
              <w:suppressLineNumbers/>
              <w:spacing w:before="0" w:after="200"/>
              <w:rPr/>
            </w:pPr>
            <w:r>
              <w:rPr/>
              <w:t>University of Chile; École Polytechnique; French National Centre for Scientific Research</w:t>
            </w:r>
          </w:p>
        </w:tc>
        <w:tc>
          <w:tcPr>
            <w:tcW w:w="3800" w:type="dxa"/>
            <w:tcBorders/>
            <w:vAlign w:val="center"/>
          </w:tcPr>
          <w:p>
            <w:pPr>
              <w:pStyle w:val="TableContents"/>
              <w:widowControl w:val="false"/>
              <w:suppressLineNumbers/>
              <w:spacing w:before="0" w:after="200"/>
              <w:rPr/>
            </w:pPr>
            <w:r>
              <w:rPr/>
              <w:t>Co-developed autopoiesis and later advanced biological autonomy, enactive cognition, and the view that cognition arises through embodied interaction between an organism and its environment.</w:t>
            </w:r>
          </w:p>
        </w:tc>
      </w:tr>
    </w:tbl>
    <w:p>
      <w:pPr>
        <w:pStyle w:val="BodyText"/>
        <w:spacing w:before="0" w:after="200"/>
        <w:rPr/>
      </w:pPr>
      <w:r>
        <w:rPr/>
        <w:t xml:space="preserve">Churchman’s career and ethical approach are documented by </w:t>
      </w:r>
      <w:hyperlink r:id="rId198">
        <w:r>
          <w:rPr>
            <w:rStyle w:val="Hyperlink"/>
          </w:rPr>
          <w:t>UC Berkeley</w:t>
        </w:r>
      </w:hyperlink>
      <w:r>
        <w:rPr/>
        <w:t xml:space="preserve"> and </w:t>
      </w:r>
      <w:hyperlink r:id="rId199">
        <w:r>
          <w:rPr>
            <w:rStyle w:val="Hyperlink"/>
          </w:rPr>
          <w:t>INFORMS</w:t>
        </w:r>
      </w:hyperlink>
      <w:r>
        <w:rPr/>
        <w:t xml:space="preserve">. Ackoff’s work on purposeful systems, social responsibility, and systems thinking is summarized in his </w:t>
      </w:r>
      <w:hyperlink r:id="rId200">
        <w:r>
          <w:rPr>
            <w:rStyle w:val="Hyperlink"/>
          </w:rPr>
          <w:t>INFORMS biographical profile</w:t>
        </w:r>
      </w:hyperlink>
      <w:r>
        <w:rPr/>
        <w:t xml:space="preserve">. Checkland’s development of Soft Systems Methodology is described in the </w:t>
      </w:r>
      <w:hyperlink r:id="rId201">
        <w:r>
          <w:rPr>
            <w:rStyle w:val="Hyperlink"/>
          </w:rPr>
          <w:t>Lancaster University remembrance</w:t>
        </w:r>
      </w:hyperlink>
      <w:r>
        <w:rPr/>
        <w:t xml:space="preserve"> and a </w:t>
      </w:r>
      <w:hyperlink r:id="rId202">
        <w:r>
          <w:rPr>
            <w:rStyle w:val="Hyperlink"/>
          </w:rPr>
          <w:t>2026 obituary</w:t>
        </w:r>
      </w:hyperlink>
      <w:r>
        <w:rPr/>
        <w:t xml:space="preserve">. Meadows’s systems and sustainability work is summarized in a </w:t>
      </w:r>
      <w:hyperlink r:id="rId203">
        <w:r>
          <w:rPr>
            <w:rStyle w:val="Hyperlink"/>
          </w:rPr>
          <w:t>scholarly biographical review</w:t>
        </w:r>
      </w:hyperlink>
      <w:r>
        <w:rPr/>
        <w:t xml:space="preserve">. Ulrich describes the development and purpose of Critical Systems Heuristics in his </w:t>
      </w:r>
      <w:hyperlink r:id="rId204">
        <w:r>
          <w:rPr>
            <w:rStyle w:val="Hyperlink"/>
          </w:rPr>
          <w:t>biographical profile</w:t>
        </w:r>
      </w:hyperlink>
      <w:r>
        <w:rPr/>
        <w:t xml:space="preserve"> and </w:t>
      </w:r>
      <w:hyperlink r:id="rId205">
        <w:r>
          <w:rPr>
            <w:rStyle w:val="Hyperlink"/>
          </w:rPr>
          <w:t>CSH primer</w:t>
        </w:r>
      </w:hyperlink>
      <w:r>
        <w:rPr/>
        <w:t xml:space="preserve">. Maturana’s life and work are documented by the </w:t>
      </w:r>
      <w:hyperlink r:id="rId206">
        <w:r>
          <w:rPr>
            <w:rStyle w:val="Hyperlink"/>
          </w:rPr>
          <w:t>University of Chile</w:t>
        </w:r>
      </w:hyperlink>
      <w:r>
        <w:rPr/>
        <w:t xml:space="preserve">, while Varela’s scientific contributions are discussed in a </w:t>
      </w:r>
      <w:hyperlink r:id="rId207">
        <w:r>
          <w:rPr>
            <w:rStyle w:val="Hyperlink"/>
          </w:rPr>
          <w:t>scholarly memorial</w:t>
        </w:r>
      </w:hyperlink>
      <w:r>
        <w:rPr/>
        <w:t>.</w:t>
      </w:r>
    </w:p>
    <w:p>
      <w:pPr>
        <w:pStyle w:val="Heading4"/>
        <w:ind w:hanging="0" w:left="0"/>
        <w:rPr>
          <w:rFonts w:ascii="Aptos" w:hAnsi="Aptos"/>
          <w:color w:val="auto"/>
        </w:rPr>
      </w:pPr>
      <w:r>
        <w:rPr/>
        <w:t>Core assumptions</w:t>
      </w:r>
    </w:p>
    <w:p>
      <w:pPr>
        <w:pStyle w:val="BodyText"/>
        <w:spacing w:before="0" w:after="200"/>
        <w:rPr/>
      </w:pPr>
      <w:r>
        <w:rPr/>
        <w:t>Because Systems Ethics is a family of approaches, the following assumptions identify common tendencies rather than doctrines accepted identically by every systems thinker.</w:t>
      </w:r>
    </w:p>
    <w:p>
      <w:pPr>
        <w:pStyle w:val="BodyText"/>
        <w:numPr>
          <w:ilvl w:val="0"/>
          <w:numId w:val="133"/>
        </w:numPr>
        <w:tabs>
          <w:tab w:val="clear" w:pos="720"/>
          <w:tab w:val="left" w:pos="0" w:leader="none"/>
        </w:tabs>
        <w:spacing w:before="0" w:after="200"/>
        <w:ind w:hanging="283" w:left="709"/>
        <w:rPr/>
      </w:pPr>
      <w:r>
        <w:rPr>
          <w:rStyle w:val="Strong"/>
        </w:rPr>
        <w:t>Ethical events occur within systems.</w:t>
      </w:r>
      <w:r>
        <w:rPr/>
        <w:br/>
        <w:t>An action is embedded in interacting social, technological, biological, economic, political, informational, and ecological systems. Its moral significance cannot be determined solely from its most immediate effect.</w:t>
      </w:r>
    </w:p>
    <w:p>
      <w:pPr>
        <w:pStyle w:val="BodyText"/>
        <w:numPr>
          <w:ilvl w:val="0"/>
          <w:numId w:val="133"/>
        </w:numPr>
        <w:tabs>
          <w:tab w:val="clear" w:pos="720"/>
          <w:tab w:val="left" w:pos="0" w:leader="none"/>
        </w:tabs>
        <w:spacing w:before="0" w:after="200"/>
        <w:ind w:hanging="283" w:left="709"/>
        <w:rPr/>
      </w:pPr>
      <w:r>
        <w:rPr>
          <w:rStyle w:val="Strong"/>
        </w:rPr>
        <w:t>Entities are interdependent.</w:t>
      </w:r>
      <w:r>
        <w:rPr/>
        <w:br/>
        <w:t>Changes to one component can alter the conditions, behavior, or viability of other components. An intervention that benefits one entity may create costs, risks, or dependencies elsewhere.</w:t>
      </w:r>
    </w:p>
    <w:p>
      <w:pPr>
        <w:pStyle w:val="BodyText"/>
        <w:numPr>
          <w:ilvl w:val="0"/>
          <w:numId w:val="133"/>
        </w:numPr>
        <w:tabs>
          <w:tab w:val="clear" w:pos="720"/>
          <w:tab w:val="left" w:pos="0" w:leader="none"/>
        </w:tabs>
        <w:spacing w:before="0" w:after="200"/>
        <w:ind w:hanging="283" w:left="709"/>
        <w:rPr/>
      </w:pPr>
      <w:r>
        <w:rPr>
          <w:rStyle w:val="Strong"/>
        </w:rPr>
        <w:t>A system is defined partly by its relationships.</w:t>
      </w:r>
      <w:r>
        <w:rPr/>
        <w:br/>
        <w:t>Components alone do not adequately describe a system. Feedback, communication, authority, dependency, flows of resources, and recurring patterns of interaction are essential to understanding system behavior.</w:t>
      </w:r>
    </w:p>
    <w:p>
      <w:pPr>
        <w:pStyle w:val="BodyText"/>
        <w:numPr>
          <w:ilvl w:val="0"/>
          <w:numId w:val="133"/>
        </w:numPr>
        <w:tabs>
          <w:tab w:val="clear" w:pos="720"/>
          <w:tab w:val="left" w:pos="0" w:leader="none"/>
        </w:tabs>
        <w:spacing w:before="0" w:after="200"/>
        <w:ind w:hanging="283" w:left="709"/>
        <w:rPr/>
      </w:pPr>
      <w:r>
        <w:rPr>
          <w:rStyle w:val="Strong"/>
        </w:rPr>
        <w:t>Systems are generally open.</w:t>
      </w:r>
      <w:r>
        <w:rPr/>
        <w:br/>
        <w:t>Relevant systems exchange matter, energy, information, resources, and influence with their environments. Treating a system as closed can conceal transferred costs and externalized harms.</w:t>
      </w:r>
    </w:p>
    <w:p>
      <w:pPr>
        <w:pStyle w:val="BodyText"/>
        <w:numPr>
          <w:ilvl w:val="0"/>
          <w:numId w:val="133"/>
        </w:numPr>
        <w:tabs>
          <w:tab w:val="clear" w:pos="720"/>
          <w:tab w:val="left" w:pos="0" w:leader="none"/>
        </w:tabs>
        <w:spacing w:before="0" w:after="200"/>
        <w:ind w:hanging="283" w:left="709"/>
        <w:rPr/>
      </w:pPr>
      <w:r>
        <w:rPr>
          <w:rStyle w:val="Strong"/>
        </w:rPr>
        <w:t>System boundaries are judgments rather than neutral discoveries.</w:t>
      </w:r>
      <w:r>
        <w:rPr/>
        <w:br/>
        <w:t>Every analysis includes some entities, relationships, effects, time horizons, and forms of evidence while excluding others. These choices affect what appears beneficial and are therefore ethically significant.</w:t>
      </w:r>
    </w:p>
    <w:p>
      <w:pPr>
        <w:pStyle w:val="BodyText"/>
        <w:numPr>
          <w:ilvl w:val="0"/>
          <w:numId w:val="133"/>
        </w:numPr>
        <w:tabs>
          <w:tab w:val="clear" w:pos="720"/>
          <w:tab w:val="left" w:pos="0" w:leader="none"/>
        </w:tabs>
        <w:spacing w:before="0" w:after="200"/>
        <w:ind w:hanging="283" w:left="709"/>
        <w:rPr/>
      </w:pPr>
      <w:r>
        <w:rPr>
          <w:rStyle w:val="Strong"/>
        </w:rPr>
        <w:t>Purposes and objectives are contestable.</w:t>
      </w:r>
      <w:r>
        <w:rPr/>
        <w:br/>
        <w:t>A system may have several declared, operational, and attributed purposes. Different stakeholders may understand the system’s purpose differently. No objective should be treated as self-justifying merely because it has been formally specified.</w:t>
      </w:r>
    </w:p>
    <w:p>
      <w:pPr>
        <w:pStyle w:val="BodyText"/>
        <w:numPr>
          <w:ilvl w:val="0"/>
          <w:numId w:val="133"/>
        </w:numPr>
        <w:tabs>
          <w:tab w:val="clear" w:pos="720"/>
          <w:tab w:val="left" w:pos="0" w:leader="none"/>
        </w:tabs>
        <w:spacing w:before="0" w:after="200"/>
        <w:ind w:hanging="283" w:left="709"/>
        <w:rPr/>
      </w:pPr>
      <w:r>
        <w:rPr>
          <w:rStyle w:val="Strong"/>
        </w:rPr>
        <w:t>The enacted purpose may differ from the stated purpose.</w:t>
      </w:r>
      <w:r>
        <w:rPr/>
        <w:br/>
        <w:t>A health system may claim to promote health while operationally rewarding throughput or revenue. An educational system may claim to promote learning while optimizing standardized performance. Ethical analysis must examine actual incentives and behavior.</w:t>
      </w:r>
    </w:p>
    <w:p>
      <w:pPr>
        <w:pStyle w:val="BodyText"/>
        <w:numPr>
          <w:ilvl w:val="0"/>
          <w:numId w:val="133"/>
        </w:numPr>
        <w:tabs>
          <w:tab w:val="clear" w:pos="720"/>
          <w:tab w:val="left" w:pos="0" w:leader="none"/>
        </w:tabs>
        <w:spacing w:before="0" w:after="200"/>
        <w:ind w:hanging="283" w:left="709"/>
        <w:rPr/>
      </w:pPr>
      <w:r>
        <w:rPr>
          <w:rStyle w:val="Strong"/>
        </w:rPr>
        <w:t>Local optimization can damage the larger system.</w:t>
      </w:r>
      <w:r>
        <w:rPr/>
        <w:br/>
        <w:t>Improving the performance of a component does not necessarily improve the system as a whole. A department can reduce its costs by shifting burdens to another department, to customers, to future participants, or to the environment.</w:t>
      </w:r>
    </w:p>
    <w:p>
      <w:pPr>
        <w:pStyle w:val="BodyText"/>
        <w:numPr>
          <w:ilvl w:val="0"/>
          <w:numId w:val="133"/>
        </w:numPr>
        <w:tabs>
          <w:tab w:val="clear" w:pos="720"/>
          <w:tab w:val="left" w:pos="0" w:leader="none"/>
        </w:tabs>
        <w:spacing w:before="0" w:after="200"/>
        <w:ind w:hanging="283" w:left="709"/>
        <w:rPr/>
      </w:pPr>
      <w:r>
        <w:rPr>
          <w:rStyle w:val="Strong"/>
        </w:rPr>
        <w:t>System behavior is frequently nonlinear.</w:t>
      </w:r>
      <w:r>
        <w:rPr/>
        <w:br/>
        <w:t>Effects may not increase proportionally with causes. Small interventions can produce large changes, while substantial interventions may produce little change because of counteracting feedback or structural resistance.</w:t>
      </w:r>
    </w:p>
    <w:p>
      <w:pPr>
        <w:pStyle w:val="BodyText"/>
        <w:numPr>
          <w:ilvl w:val="0"/>
          <w:numId w:val="133"/>
        </w:numPr>
        <w:tabs>
          <w:tab w:val="clear" w:pos="720"/>
          <w:tab w:val="left" w:pos="0" w:leader="none"/>
        </w:tabs>
        <w:spacing w:before="0" w:after="200"/>
        <w:ind w:hanging="283" w:left="709"/>
        <w:rPr/>
      </w:pPr>
      <w:r>
        <w:rPr>
          <w:rStyle w:val="Strong"/>
        </w:rPr>
        <w:t>Feedback shapes future behavior.</w:t>
      </w:r>
      <w:r>
        <w:rPr/>
        <w:br/>
        <w:t>Actions alter the information, incentives, expectations, and environmental conditions that influence subsequent actions. Feedback may stabilize a system, amplify change, or create oscillation and instability.</w:t>
      </w:r>
    </w:p>
    <w:p>
      <w:pPr>
        <w:pStyle w:val="BodyText"/>
        <w:numPr>
          <w:ilvl w:val="0"/>
          <w:numId w:val="133"/>
        </w:numPr>
        <w:tabs>
          <w:tab w:val="clear" w:pos="720"/>
          <w:tab w:val="left" w:pos="0" w:leader="none"/>
        </w:tabs>
        <w:spacing w:before="0" w:after="200"/>
        <w:ind w:hanging="283" w:left="709"/>
        <w:rPr/>
      </w:pPr>
      <w:r>
        <w:rPr>
          <w:rStyle w:val="Strong"/>
        </w:rPr>
        <w:t>Delays obscure causes and consequences.</w:t>
      </w:r>
      <w:r>
        <w:rPr/>
        <w:br/>
        <w:t>The effects of an intervention may appear only after the decision-maker has left, after responsibility becomes diffuse, or after the affected system has crossed a threshold. Short evaluation periods can therefore reward harmful policies.</w:t>
      </w:r>
    </w:p>
    <w:p>
      <w:pPr>
        <w:pStyle w:val="BodyText"/>
        <w:numPr>
          <w:ilvl w:val="0"/>
          <w:numId w:val="133"/>
        </w:numPr>
        <w:tabs>
          <w:tab w:val="clear" w:pos="720"/>
          <w:tab w:val="left" w:pos="0" w:leader="none"/>
        </w:tabs>
        <w:spacing w:before="0" w:after="200"/>
        <w:ind w:hanging="283" w:left="709"/>
        <w:rPr/>
      </w:pPr>
      <w:r>
        <w:rPr>
          <w:rStyle w:val="Strong"/>
        </w:rPr>
        <w:t>Emergent properties cannot always be inferred from individual components.</w:t>
      </w:r>
      <w:r>
        <w:rPr/>
        <w:br/>
        <w:t>Trust, institutional culture, congestion, discrimination, market instability, ecological collapse, and collective resilience may arise from interactions even when no individual participant intends the aggregate result.</w:t>
      </w:r>
    </w:p>
    <w:p>
      <w:pPr>
        <w:pStyle w:val="BodyText"/>
        <w:numPr>
          <w:ilvl w:val="0"/>
          <w:numId w:val="133"/>
        </w:numPr>
        <w:tabs>
          <w:tab w:val="clear" w:pos="720"/>
          <w:tab w:val="left" w:pos="0" w:leader="none"/>
        </w:tabs>
        <w:spacing w:before="0" w:after="200"/>
        <w:ind w:hanging="283" w:left="709"/>
        <w:rPr/>
      </w:pPr>
      <w:r>
        <w:rPr>
          <w:rStyle w:val="Strong"/>
        </w:rPr>
        <w:t>Causation may be circular and distributed.</w:t>
      </w:r>
      <w:r>
        <w:rPr/>
        <w:br/>
        <w:t>Systems often contain reciprocal causation rather than simple one-directional chains. Responsibility can therefore be distributed across designers, operators, leaders, regulators, users, and institutional structures.</w:t>
      </w:r>
    </w:p>
    <w:p>
      <w:pPr>
        <w:pStyle w:val="BodyText"/>
        <w:numPr>
          <w:ilvl w:val="0"/>
          <w:numId w:val="133"/>
        </w:numPr>
        <w:tabs>
          <w:tab w:val="clear" w:pos="720"/>
          <w:tab w:val="left" w:pos="0" w:leader="none"/>
        </w:tabs>
        <w:spacing w:before="0" w:after="200"/>
        <w:ind w:hanging="283" w:left="709"/>
        <w:rPr/>
      </w:pPr>
      <w:r>
        <w:rPr>
          <w:rStyle w:val="Strong"/>
        </w:rPr>
        <w:t>Models are partial representations.</w:t>
      </w:r>
      <w:r>
        <w:rPr/>
        <w:br/>
        <w:t>No model is the system itself. Models select variables, relationships, evidence, and scales for a purpose. Their omissions and assumptions must remain visible and revisable.</w:t>
      </w:r>
    </w:p>
    <w:p>
      <w:pPr>
        <w:pStyle w:val="BodyText"/>
        <w:numPr>
          <w:ilvl w:val="0"/>
          <w:numId w:val="133"/>
        </w:numPr>
        <w:tabs>
          <w:tab w:val="clear" w:pos="720"/>
          <w:tab w:val="left" w:pos="0" w:leader="none"/>
        </w:tabs>
        <w:spacing w:before="0" w:after="200"/>
        <w:ind w:hanging="283" w:left="709"/>
        <w:rPr/>
      </w:pPr>
      <w:r>
        <w:rPr>
          <w:rStyle w:val="Strong"/>
        </w:rPr>
        <w:t>Observers and analysts are part of the ethical situation.</w:t>
      </w:r>
      <w:r>
        <w:rPr/>
        <w:br/>
        <w:t>Analysts affect the system through their classifications, measurements, recommendations, and authority. Their perspective is not automatically neutral or comprehensive.</w:t>
      </w:r>
    </w:p>
    <w:p>
      <w:pPr>
        <w:pStyle w:val="BodyText"/>
        <w:numPr>
          <w:ilvl w:val="0"/>
          <w:numId w:val="133"/>
        </w:numPr>
        <w:tabs>
          <w:tab w:val="clear" w:pos="720"/>
          <w:tab w:val="left" w:pos="0" w:leader="none"/>
        </w:tabs>
        <w:spacing w:before="0" w:after="200"/>
        <w:ind w:hanging="283" w:left="709"/>
        <w:rPr/>
      </w:pPr>
      <w:r>
        <w:rPr>
          <w:rStyle w:val="Strong"/>
        </w:rPr>
        <w:t>Multiple perspectives may be valid and necessary.</w:t>
      </w:r>
      <w:r>
        <w:rPr/>
        <w:br/>
        <w:t>People occupying different positions can experience the same system differently. A technically efficient system may appear coercive, inaccessible, or unsafe to those subject to it.</w:t>
      </w:r>
    </w:p>
    <w:p>
      <w:pPr>
        <w:pStyle w:val="BodyText"/>
        <w:numPr>
          <w:ilvl w:val="0"/>
          <w:numId w:val="133"/>
        </w:numPr>
        <w:tabs>
          <w:tab w:val="clear" w:pos="720"/>
          <w:tab w:val="left" w:pos="0" w:leader="none"/>
        </w:tabs>
        <w:spacing w:before="0" w:after="200"/>
        <w:ind w:hanging="283" w:left="709"/>
        <w:rPr/>
      </w:pPr>
      <w:r>
        <w:rPr>
          <w:rStyle w:val="Strong"/>
        </w:rPr>
        <w:t>Power affects system definition.</w:t>
      </w:r>
      <w:r>
        <w:rPr/>
        <w:br/>
        <w:t>Powerful actors often determine which problems are recognized, whose evidence counts, which outcomes are measured, and which harms are classified as external. Ethical systems analysis must examine these asymmetries.</w:t>
      </w:r>
    </w:p>
    <w:p>
      <w:pPr>
        <w:pStyle w:val="BodyText"/>
        <w:numPr>
          <w:ilvl w:val="0"/>
          <w:numId w:val="133"/>
        </w:numPr>
        <w:tabs>
          <w:tab w:val="clear" w:pos="720"/>
          <w:tab w:val="left" w:pos="0" w:leader="none"/>
        </w:tabs>
        <w:spacing w:before="0" w:after="200"/>
        <w:ind w:hanging="283" w:left="709"/>
        <w:rPr/>
      </w:pPr>
      <w:r>
        <w:rPr>
          <w:rStyle w:val="Strong"/>
        </w:rPr>
        <w:t>Excluded entities may bear disproportionate costs.</w:t>
      </w:r>
      <w:r>
        <w:rPr/>
        <w:br/>
        <w:t>Future generations, marginalized communities, nonhuman organisms, ecosystems, contractors, informal caregivers, and distant populations may receive little representation despite being materially affected.</w:t>
      </w:r>
    </w:p>
    <w:p>
      <w:pPr>
        <w:pStyle w:val="BodyText"/>
        <w:numPr>
          <w:ilvl w:val="0"/>
          <w:numId w:val="133"/>
        </w:numPr>
        <w:tabs>
          <w:tab w:val="clear" w:pos="720"/>
          <w:tab w:val="left" w:pos="0" w:leader="none"/>
        </w:tabs>
        <w:spacing w:before="0" w:after="200"/>
        <w:ind w:hanging="283" w:left="709"/>
        <w:rPr/>
      </w:pPr>
      <w:r>
        <w:rPr>
          <w:rStyle w:val="Strong"/>
        </w:rPr>
        <w:t>System viability is ethically relevant but not sufficient.</w:t>
      </w:r>
      <w:r>
        <w:rPr/>
        <w:br/>
        <w:t>A system that cannot maintain essential functions cannot support flourishing. However, persistence alone is not a moral good. Oppressive and exploitative systems can also be stable and resilient.</w:t>
      </w:r>
    </w:p>
    <w:p>
      <w:pPr>
        <w:pStyle w:val="BodyText"/>
        <w:numPr>
          <w:ilvl w:val="0"/>
          <w:numId w:val="133"/>
        </w:numPr>
        <w:tabs>
          <w:tab w:val="clear" w:pos="720"/>
          <w:tab w:val="left" w:pos="0" w:leader="none"/>
        </w:tabs>
        <w:spacing w:before="0" w:after="200"/>
        <w:ind w:hanging="283" w:left="709"/>
        <w:rPr/>
      </w:pPr>
      <w:r>
        <w:rPr>
          <w:rStyle w:val="Strong"/>
        </w:rPr>
        <w:t>Resilience can preserve either benefit or harm.</w:t>
      </w:r>
      <w:r>
        <w:rPr/>
        <w:br/>
        <w:t>Ethical analysis must distinguish resilience that preserves valuable functions from resilience that entrenches injustice. Sometimes transformation or dissolution is more ethical than preservation.</w:t>
      </w:r>
    </w:p>
    <w:p>
      <w:pPr>
        <w:pStyle w:val="BodyText"/>
        <w:numPr>
          <w:ilvl w:val="0"/>
          <w:numId w:val="133"/>
        </w:numPr>
        <w:tabs>
          <w:tab w:val="clear" w:pos="720"/>
          <w:tab w:val="left" w:pos="0" w:leader="none"/>
        </w:tabs>
        <w:spacing w:before="0" w:after="200"/>
        <w:ind w:hanging="283" w:left="709"/>
        <w:rPr/>
      </w:pPr>
      <w:r>
        <w:rPr>
          <w:rStyle w:val="Strong"/>
        </w:rPr>
        <w:t>Adaptation and learning are moral capabilities.</w:t>
      </w:r>
      <w:r>
        <w:rPr/>
        <w:br/>
        <w:t>Systems should detect errors, receive feedback, revise policies, and correct harmful effects. A system that cannot learn may continue producing foreseeable harm even when individual participants act in good faith.</w:t>
      </w:r>
    </w:p>
    <w:p>
      <w:pPr>
        <w:pStyle w:val="BodyText"/>
        <w:numPr>
          <w:ilvl w:val="0"/>
          <w:numId w:val="133"/>
        </w:numPr>
        <w:tabs>
          <w:tab w:val="clear" w:pos="720"/>
          <w:tab w:val="left" w:pos="0" w:leader="none"/>
        </w:tabs>
        <w:spacing w:before="0" w:after="200"/>
        <w:ind w:hanging="283" w:left="709"/>
        <w:rPr/>
      </w:pPr>
      <w:r>
        <w:rPr>
          <w:rStyle w:val="Strong"/>
        </w:rPr>
        <w:t>Intervention changes the system that is being analyzed.</w:t>
      </w:r>
      <w:r>
        <w:rPr/>
        <w:br/>
        <w:t>Policies, measurements, incentives, and models can change participant behavior. Evaluation must account for adaptation, gaming, resistance, and unintended responses to the intervention itself.</w:t>
      </w:r>
    </w:p>
    <w:p>
      <w:pPr>
        <w:pStyle w:val="BodyText"/>
        <w:numPr>
          <w:ilvl w:val="0"/>
          <w:numId w:val="133"/>
        </w:numPr>
        <w:tabs>
          <w:tab w:val="clear" w:pos="720"/>
          <w:tab w:val="left" w:pos="0" w:leader="none"/>
        </w:tabs>
        <w:spacing w:before="0" w:after="200"/>
        <w:ind w:hanging="283" w:left="709"/>
        <w:rPr/>
      </w:pPr>
      <w:r>
        <w:rPr>
          <w:rStyle w:val="Strong"/>
        </w:rPr>
        <w:t>Ethical assessment must be iterative.</w:t>
      </w:r>
      <w:r>
        <w:rPr/>
        <w:br/>
        <w:t>Complex systems cannot always be predicted with adequate confidence before action. Monitoring, feedback, revision, reversibility, and repair are therefore part of responsible action.</w:t>
      </w:r>
    </w:p>
    <w:p>
      <w:pPr>
        <w:pStyle w:val="BodyText"/>
        <w:numPr>
          <w:ilvl w:val="0"/>
          <w:numId w:val="133"/>
        </w:numPr>
        <w:tabs>
          <w:tab w:val="clear" w:pos="720"/>
          <w:tab w:val="left" w:pos="0" w:leader="none"/>
        </w:tabs>
        <w:spacing w:before="0" w:after="200"/>
        <w:ind w:hanging="283" w:left="709"/>
        <w:rPr/>
      </w:pPr>
      <w:r>
        <w:rPr>
          <w:rStyle w:val="Strong"/>
        </w:rPr>
        <w:t>Long-term sustainability matters.</w:t>
      </w:r>
      <w:r>
        <w:rPr/>
        <w:br/>
        <w:t>Present benefits are ethically suspect when they depend on exhausting ecological, social, institutional, or informational resources needed by future entities.</w:t>
      </w:r>
    </w:p>
    <w:p>
      <w:pPr>
        <w:pStyle w:val="BodyText"/>
        <w:numPr>
          <w:ilvl w:val="0"/>
          <w:numId w:val="133"/>
        </w:numPr>
        <w:tabs>
          <w:tab w:val="clear" w:pos="720"/>
          <w:tab w:val="left" w:pos="0" w:leader="none"/>
        </w:tabs>
        <w:spacing w:before="0" w:after="200"/>
        <w:ind w:hanging="283" w:left="709"/>
        <w:rPr/>
      </w:pPr>
      <w:r>
        <w:rPr>
          <w:rStyle w:val="Strong"/>
        </w:rPr>
        <w:t>Participation has epistemic and ethical value.</w:t>
      </w:r>
      <w:r>
        <w:rPr/>
        <w:br/>
        <w:t>Affected parties often possess knowledge unavailable to technical experts. Participation can improve both factual understanding and the legitimacy of decisions.</w:t>
      </w:r>
    </w:p>
    <w:p>
      <w:pPr>
        <w:pStyle w:val="BodyText"/>
        <w:numPr>
          <w:ilvl w:val="0"/>
          <w:numId w:val="133"/>
        </w:numPr>
        <w:tabs>
          <w:tab w:val="clear" w:pos="720"/>
          <w:tab w:val="left" w:pos="0" w:leader="none"/>
        </w:tabs>
        <w:spacing w:before="0" w:after="200"/>
        <w:ind w:hanging="283" w:left="709"/>
        <w:rPr/>
      </w:pPr>
      <w:r>
        <w:rPr>
          <w:rStyle w:val="Strong"/>
        </w:rPr>
        <w:t>Uncertainty should produce humility rather than paralysis.</w:t>
      </w:r>
      <w:r>
        <w:rPr/>
        <w:br/>
        <w:t>Systems analysis cannot eliminate uncertainty. Responsible action requires acknowledging uncertainty, comparing scenarios, selecting proportionate interventions, monitoring results, and retaining the capacity to change course.</w:t>
      </w:r>
    </w:p>
    <w:p>
      <w:pPr>
        <w:pStyle w:val="BodyText"/>
        <w:numPr>
          <w:ilvl w:val="0"/>
          <w:numId w:val="133"/>
        </w:numPr>
        <w:tabs>
          <w:tab w:val="clear" w:pos="720"/>
          <w:tab w:val="left" w:pos="0" w:leader="none"/>
        </w:tabs>
        <w:spacing w:before="0" w:after="200"/>
        <w:ind w:hanging="283" w:left="709"/>
        <w:rPr/>
      </w:pPr>
      <w:r>
        <w:rPr>
          <w:rStyle w:val="Strong"/>
        </w:rPr>
        <w:t>Ethical evaluation must include the design of the system.</w:t>
      </w:r>
      <w:r>
        <w:rPr/>
        <w:br/>
        <w:t>It is insufficient to judge only individuals operating within incentives and constraints created by others. Roles, rules, technologies, institutions, and resource flows must also be evaluated.</w:t>
      </w:r>
    </w:p>
    <w:p>
      <w:pPr>
        <w:pStyle w:val="BodyText"/>
        <w:numPr>
          <w:ilvl w:val="0"/>
          <w:numId w:val="133"/>
        </w:numPr>
        <w:tabs>
          <w:tab w:val="clear" w:pos="720"/>
          <w:tab w:val="left" w:pos="0" w:leader="none"/>
        </w:tabs>
        <w:spacing w:before="0" w:after="200"/>
        <w:ind w:hanging="283" w:left="709"/>
        <w:rPr/>
      </w:pPr>
      <w:r>
        <w:rPr>
          <w:rStyle w:val="Strong"/>
        </w:rPr>
        <w:t>The “whole system” is an aspiration, not a fully attainable viewpoint.</w:t>
      </w:r>
      <w:r>
        <w:rPr/>
        <w:br/>
        <w:t>Analysts should expand their attention beyond immediate boundaries while recognizing that no analysis captures every relationship or future effect. Claims of comprehensiveness must remain provisional.</w:t>
      </w:r>
    </w:p>
    <w:p>
      <w:pPr>
        <w:pStyle w:val="Heading4"/>
        <w:ind w:hanging="0" w:left="0"/>
        <w:rPr>
          <w:rFonts w:ascii="Aptos" w:hAnsi="Aptos"/>
          <w:color w:val="auto"/>
        </w:rPr>
      </w:pPr>
      <w:r>
        <w:rPr/>
        <w:t>Relationship to this framework</w:t>
      </w:r>
    </w:p>
    <w:p>
      <w:pPr>
        <w:pStyle w:val="BodyText"/>
        <w:spacing w:before="0" w:after="200"/>
        <w:rPr/>
      </w:pPr>
      <w:r>
        <w:rPr/>
        <w:t>Systems Ethics is less an external competitor to this framework than a major intellectual predecessor and methodological relative. The proposed framework formalizes many systems-ethical commitments through its ontology of entities, Associations, World Context, Assessed Actions, World Context Transitions, Distributed Policy Effects, probabilities, time horizons, and persistent adaptive entities.</w:t>
      </w:r>
    </w:p>
    <w:p>
      <w:pPr>
        <w:pStyle w:val="BodyText"/>
        <w:spacing w:before="0" w:after="200"/>
        <w:rPr/>
      </w:pPr>
      <w:r>
        <w:rPr/>
        <w:t>The relationship is especially close in the following areas:</w:t>
      </w:r>
    </w:p>
    <w:tbl>
      <w:tblPr>
        <w:tblW w:w="8640" w:type="dxa"/>
        <w:jc w:val="left"/>
        <w:tblInd w:w="28" w:type="dxa"/>
        <w:tblLayout w:type="fixed"/>
        <w:tblCellMar>
          <w:top w:w="28" w:type="dxa"/>
          <w:left w:w="28" w:type="dxa"/>
          <w:bottom w:w="28" w:type="dxa"/>
          <w:right w:w="28" w:type="dxa"/>
        </w:tblCellMar>
      </w:tblPr>
      <w:tblGrid>
        <w:gridCol w:w="2509"/>
        <w:gridCol w:w="6131"/>
      </w:tblGrid>
      <w:tr>
        <w:trPr>
          <w:tblHeader w:val="true"/>
        </w:trPr>
        <w:tc>
          <w:tcPr>
            <w:tcW w:w="2509" w:type="dxa"/>
            <w:tcBorders/>
            <w:vAlign w:val="center"/>
          </w:tcPr>
          <w:p>
            <w:pPr>
              <w:pStyle w:val="TableHeading"/>
              <w:suppressLineNumbers/>
              <w:spacing w:before="0" w:after="200"/>
              <w:jc w:val="center"/>
              <w:rPr/>
            </w:pPr>
            <w:r>
              <w:rPr/>
              <w:t>Systems Ethics emphasis</w:t>
            </w:r>
          </w:p>
        </w:tc>
        <w:tc>
          <w:tcPr>
            <w:tcW w:w="6131" w:type="dxa"/>
            <w:tcBorders/>
            <w:vAlign w:val="center"/>
          </w:tcPr>
          <w:p>
            <w:pPr>
              <w:pStyle w:val="TableHeading"/>
              <w:suppressLineNumbers/>
              <w:spacing w:before="0" w:after="200"/>
              <w:jc w:val="center"/>
              <w:rPr/>
            </w:pPr>
            <w:r>
              <w:rPr/>
              <w:t>Relationship to this framework</w:t>
            </w:r>
          </w:p>
        </w:tc>
      </w:tr>
      <w:tr>
        <w:trPr/>
        <w:tc>
          <w:tcPr>
            <w:tcW w:w="2509" w:type="dxa"/>
            <w:tcBorders/>
            <w:vAlign w:val="center"/>
          </w:tcPr>
          <w:p>
            <w:pPr>
              <w:pStyle w:val="TableContents"/>
              <w:widowControl w:val="false"/>
              <w:suppressLineNumbers/>
              <w:spacing w:before="0" w:after="200"/>
              <w:rPr/>
            </w:pPr>
            <w:r>
              <w:rPr/>
              <w:t>Whole-system inquiry</w:t>
            </w:r>
          </w:p>
        </w:tc>
        <w:tc>
          <w:tcPr>
            <w:tcW w:w="6131" w:type="dxa"/>
            <w:tcBorders/>
            <w:vAlign w:val="center"/>
          </w:tcPr>
          <w:p>
            <w:pPr>
              <w:pStyle w:val="TableContents"/>
              <w:widowControl w:val="false"/>
              <w:suppressLineNumbers/>
              <w:spacing w:before="0" w:after="200"/>
              <w:rPr/>
            </w:pPr>
            <w:r>
              <w:rPr/>
              <w:t>Reflected in evaluating the complete World Context Transition rather than a single direct effect</w:t>
            </w:r>
          </w:p>
        </w:tc>
      </w:tr>
      <w:tr>
        <w:trPr/>
        <w:tc>
          <w:tcPr>
            <w:tcW w:w="2509" w:type="dxa"/>
            <w:tcBorders/>
            <w:vAlign w:val="center"/>
          </w:tcPr>
          <w:p>
            <w:pPr>
              <w:pStyle w:val="TableContents"/>
              <w:widowControl w:val="false"/>
              <w:suppressLineNumbers/>
              <w:spacing w:before="0" w:after="200"/>
              <w:rPr/>
            </w:pPr>
            <w:r>
              <w:rPr/>
              <w:t>Interdependence</w:t>
            </w:r>
          </w:p>
        </w:tc>
        <w:tc>
          <w:tcPr>
            <w:tcW w:w="6131" w:type="dxa"/>
            <w:tcBorders/>
            <w:vAlign w:val="center"/>
          </w:tcPr>
          <w:p>
            <w:pPr>
              <w:pStyle w:val="TableContents"/>
              <w:widowControl w:val="false"/>
              <w:suppressLineNumbers/>
              <w:spacing w:before="0" w:after="200"/>
              <w:rPr/>
            </w:pPr>
            <w:r>
              <w:rPr/>
              <w:t>Represented through Associations among entities and their states</w:t>
            </w:r>
          </w:p>
        </w:tc>
      </w:tr>
      <w:tr>
        <w:trPr/>
        <w:tc>
          <w:tcPr>
            <w:tcW w:w="2509" w:type="dxa"/>
            <w:tcBorders/>
            <w:vAlign w:val="center"/>
          </w:tcPr>
          <w:p>
            <w:pPr>
              <w:pStyle w:val="TableContents"/>
              <w:widowControl w:val="false"/>
              <w:suppressLineNumbers/>
              <w:spacing w:before="0" w:after="200"/>
              <w:rPr/>
            </w:pPr>
            <w:r>
              <w:rPr/>
              <w:t>Open systems</w:t>
            </w:r>
          </w:p>
        </w:tc>
        <w:tc>
          <w:tcPr>
            <w:tcW w:w="6131" w:type="dxa"/>
            <w:tcBorders/>
            <w:vAlign w:val="center"/>
          </w:tcPr>
          <w:p>
            <w:pPr>
              <w:pStyle w:val="TableContents"/>
              <w:widowControl w:val="false"/>
              <w:suppressLineNumbers/>
              <w:spacing w:before="0" w:after="200"/>
              <w:rPr/>
            </w:pPr>
            <w:r>
              <w:rPr/>
              <w:t>Reflected in the World Context, which includes surrounding entities, institutions, constraints, resources, and future possibilities</w:t>
            </w:r>
          </w:p>
        </w:tc>
      </w:tr>
      <w:tr>
        <w:trPr/>
        <w:tc>
          <w:tcPr>
            <w:tcW w:w="2509" w:type="dxa"/>
            <w:tcBorders/>
            <w:vAlign w:val="center"/>
          </w:tcPr>
          <w:p>
            <w:pPr>
              <w:pStyle w:val="TableContents"/>
              <w:widowControl w:val="false"/>
              <w:suppressLineNumbers/>
              <w:spacing w:before="0" w:after="200"/>
              <w:rPr/>
            </w:pPr>
            <w:r>
              <w:rPr/>
              <w:t>Feedback</w:t>
            </w:r>
          </w:p>
        </w:tc>
        <w:tc>
          <w:tcPr>
            <w:tcW w:w="6131" w:type="dxa"/>
            <w:tcBorders/>
            <w:vAlign w:val="center"/>
          </w:tcPr>
          <w:p>
            <w:pPr>
              <w:pStyle w:val="TableContents"/>
              <w:widowControl w:val="false"/>
              <w:suppressLineNumbers/>
              <w:spacing w:before="0" w:after="200"/>
              <w:rPr/>
            </w:pPr>
            <w:r>
              <w:rPr/>
              <w:t>Reflected in Distributed Policy Effects and changes to future behavior</w:t>
            </w:r>
          </w:p>
        </w:tc>
      </w:tr>
      <w:tr>
        <w:trPr/>
        <w:tc>
          <w:tcPr>
            <w:tcW w:w="2509" w:type="dxa"/>
            <w:tcBorders/>
            <w:vAlign w:val="center"/>
          </w:tcPr>
          <w:p>
            <w:pPr>
              <w:pStyle w:val="TableContents"/>
              <w:widowControl w:val="false"/>
              <w:suppressLineNumbers/>
              <w:spacing w:before="0" w:after="200"/>
              <w:rPr/>
            </w:pPr>
            <w:r>
              <w:rPr/>
              <w:t>Emergence</w:t>
            </w:r>
          </w:p>
        </w:tc>
        <w:tc>
          <w:tcPr>
            <w:tcW w:w="6131" w:type="dxa"/>
            <w:tcBorders/>
            <w:vAlign w:val="center"/>
          </w:tcPr>
          <w:p>
            <w:pPr>
              <w:pStyle w:val="TableContents"/>
              <w:widowControl w:val="false"/>
              <w:suppressLineNumbers/>
              <w:spacing w:before="0" w:after="200"/>
              <w:rPr/>
            </w:pPr>
            <w:r>
              <w:rPr/>
              <w:t>Reflected in system-level changes that cannot be reduced to the arithmetic sum of direct effects</w:t>
            </w:r>
          </w:p>
        </w:tc>
      </w:tr>
      <w:tr>
        <w:trPr/>
        <w:tc>
          <w:tcPr>
            <w:tcW w:w="2509" w:type="dxa"/>
            <w:tcBorders/>
            <w:vAlign w:val="center"/>
          </w:tcPr>
          <w:p>
            <w:pPr>
              <w:pStyle w:val="TableContents"/>
              <w:widowControl w:val="false"/>
              <w:suppressLineNumbers/>
              <w:spacing w:before="0" w:after="200"/>
              <w:rPr/>
            </w:pPr>
            <w:r>
              <w:rPr/>
              <w:t>Purposeful systems</w:t>
            </w:r>
          </w:p>
        </w:tc>
        <w:tc>
          <w:tcPr>
            <w:tcW w:w="6131" w:type="dxa"/>
            <w:tcBorders/>
            <w:vAlign w:val="center"/>
          </w:tcPr>
          <w:p>
            <w:pPr>
              <w:pStyle w:val="TableContents"/>
              <w:widowControl w:val="false"/>
              <w:suppressLineNumbers/>
              <w:spacing w:before="0" w:after="200"/>
              <w:rPr/>
            </w:pPr>
            <w:r>
              <w:rPr/>
              <w:t>Reflected in objectives, policies, intentions, roles, and adaptive agents</w:t>
            </w:r>
          </w:p>
        </w:tc>
      </w:tr>
      <w:tr>
        <w:trPr/>
        <w:tc>
          <w:tcPr>
            <w:tcW w:w="2509" w:type="dxa"/>
            <w:tcBorders/>
            <w:vAlign w:val="center"/>
          </w:tcPr>
          <w:p>
            <w:pPr>
              <w:pStyle w:val="TableContents"/>
              <w:widowControl w:val="false"/>
              <w:suppressLineNumbers/>
              <w:spacing w:before="0" w:after="200"/>
              <w:rPr/>
            </w:pPr>
            <w:r>
              <w:rPr/>
              <w:t>Boundary critique</w:t>
            </w:r>
          </w:p>
        </w:tc>
        <w:tc>
          <w:tcPr>
            <w:tcW w:w="6131" w:type="dxa"/>
            <w:tcBorders/>
            <w:vAlign w:val="center"/>
          </w:tcPr>
          <w:p>
            <w:pPr>
              <w:pStyle w:val="TableContents"/>
              <w:widowControl w:val="false"/>
              <w:suppressLineNumbers/>
              <w:spacing w:before="0" w:after="200"/>
              <w:rPr/>
            </w:pPr>
            <w:r>
              <w:rPr/>
              <w:t>Relevant to deciding which entities, effects, time horizons, and evidence belong in the assessment</w:t>
            </w:r>
          </w:p>
        </w:tc>
      </w:tr>
      <w:tr>
        <w:trPr/>
        <w:tc>
          <w:tcPr>
            <w:tcW w:w="2509" w:type="dxa"/>
            <w:tcBorders/>
            <w:vAlign w:val="center"/>
          </w:tcPr>
          <w:p>
            <w:pPr>
              <w:pStyle w:val="TableContents"/>
              <w:widowControl w:val="false"/>
              <w:suppressLineNumbers/>
              <w:spacing w:before="0" w:after="200"/>
              <w:rPr/>
            </w:pPr>
            <w:r>
              <w:rPr/>
              <w:t>Multiple perspectives</w:t>
            </w:r>
          </w:p>
        </w:tc>
        <w:tc>
          <w:tcPr>
            <w:tcW w:w="6131" w:type="dxa"/>
            <w:tcBorders/>
            <w:vAlign w:val="center"/>
          </w:tcPr>
          <w:p>
            <w:pPr>
              <w:pStyle w:val="TableContents"/>
              <w:widowControl w:val="false"/>
              <w:suppressLineNumbers/>
              <w:spacing w:before="0" w:after="200"/>
              <w:rPr/>
            </w:pPr>
            <w:r>
              <w:rPr/>
              <w:t>Relevant to competing descriptions of the Situational Context and different experiences of the same transition</w:t>
            </w:r>
          </w:p>
        </w:tc>
      </w:tr>
      <w:tr>
        <w:trPr/>
        <w:tc>
          <w:tcPr>
            <w:tcW w:w="2509" w:type="dxa"/>
            <w:tcBorders/>
            <w:vAlign w:val="center"/>
          </w:tcPr>
          <w:p>
            <w:pPr>
              <w:pStyle w:val="TableContents"/>
              <w:widowControl w:val="false"/>
              <w:suppressLineNumbers/>
              <w:spacing w:before="0" w:after="200"/>
              <w:rPr/>
            </w:pPr>
            <w:r>
              <w:rPr/>
              <w:t>System viability</w:t>
            </w:r>
          </w:p>
        </w:tc>
        <w:tc>
          <w:tcPr>
            <w:tcW w:w="6131" w:type="dxa"/>
            <w:tcBorders/>
            <w:vAlign w:val="center"/>
          </w:tcPr>
          <w:p>
            <w:pPr>
              <w:pStyle w:val="TableContents"/>
              <w:widowControl w:val="false"/>
              <w:suppressLineNumbers/>
              <w:spacing w:before="0" w:after="200"/>
              <w:rPr/>
            </w:pPr>
            <w:r>
              <w:rPr/>
              <w:t>Related to the sustained capacities included in Long-Term Flourishing</w:t>
            </w:r>
          </w:p>
        </w:tc>
      </w:tr>
      <w:tr>
        <w:trPr/>
        <w:tc>
          <w:tcPr>
            <w:tcW w:w="2509" w:type="dxa"/>
            <w:tcBorders/>
            <w:vAlign w:val="center"/>
          </w:tcPr>
          <w:p>
            <w:pPr>
              <w:pStyle w:val="TableContents"/>
              <w:widowControl w:val="false"/>
              <w:suppressLineNumbers/>
              <w:spacing w:before="0" w:after="200"/>
              <w:rPr/>
            </w:pPr>
            <w:r>
              <w:rPr/>
              <w:t>Adaptation and learning</w:t>
            </w:r>
          </w:p>
        </w:tc>
        <w:tc>
          <w:tcPr>
            <w:tcW w:w="6131" w:type="dxa"/>
            <w:tcBorders/>
            <w:vAlign w:val="center"/>
          </w:tcPr>
          <w:p>
            <w:pPr>
              <w:pStyle w:val="TableContents"/>
              <w:widowControl w:val="false"/>
              <w:suppressLineNumbers/>
              <w:spacing w:before="0" w:after="200"/>
              <w:rPr/>
            </w:pPr>
            <w:r>
              <w:rPr/>
              <w:t>Reflected in the adaptive development of moral agents and revision of future policies</w:t>
            </w:r>
          </w:p>
        </w:tc>
      </w:tr>
      <w:tr>
        <w:trPr/>
        <w:tc>
          <w:tcPr>
            <w:tcW w:w="2509" w:type="dxa"/>
            <w:tcBorders/>
            <w:vAlign w:val="center"/>
          </w:tcPr>
          <w:p>
            <w:pPr>
              <w:pStyle w:val="TableContents"/>
              <w:widowControl w:val="false"/>
              <w:suppressLineNumbers/>
              <w:spacing w:before="0" w:after="200"/>
              <w:rPr/>
            </w:pPr>
            <w:r>
              <w:rPr/>
              <w:t>Unintended consequences</w:t>
            </w:r>
          </w:p>
        </w:tc>
        <w:tc>
          <w:tcPr>
            <w:tcW w:w="6131" w:type="dxa"/>
            <w:tcBorders/>
            <w:vAlign w:val="center"/>
          </w:tcPr>
          <w:p>
            <w:pPr>
              <w:pStyle w:val="TableContents"/>
              <w:widowControl w:val="false"/>
              <w:suppressLineNumbers/>
              <w:spacing w:before="0" w:after="200"/>
              <w:rPr/>
            </w:pPr>
            <w:r>
              <w:rPr/>
              <w:t>Addressed through scenarios, probabilities, indirect effects, multiple horizons, and monitoring</w:t>
            </w:r>
          </w:p>
        </w:tc>
      </w:tr>
      <w:tr>
        <w:trPr/>
        <w:tc>
          <w:tcPr>
            <w:tcW w:w="2509" w:type="dxa"/>
            <w:tcBorders/>
            <w:vAlign w:val="center"/>
          </w:tcPr>
          <w:p>
            <w:pPr>
              <w:pStyle w:val="TableContents"/>
              <w:widowControl w:val="false"/>
              <w:suppressLineNumbers/>
              <w:spacing w:before="0" w:after="200"/>
              <w:rPr/>
            </w:pPr>
            <w:r>
              <w:rPr/>
              <w:t>Local versus global optimization</w:t>
            </w:r>
          </w:p>
        </w:tc>
        <w:tc>
          <w:tcPr>
            <w:tcW w:w="6131" w:type="dxa"/>
            <w:tcBorders/>
            <w:vAlign w:val="center"/>
          </w:tcPr>
          <w:p>
            <w:pPr>
              <w:pStyle w:val="TableContents"/>
              <w:widowControl w:val="false"/>
              <w:suppressLineNumbers/>
              <w:spacing w:before="0" w:after="200"/>
              <w:rPr/>
            </w:pPr>
            <w:r>
              <w:rPr/>
              <w:t>Addressed by evaluating effects across the World Context rather than only against the actor’s immediate objective</w:t>
            </w:r>
          </w:p>
        </w:tc>
      </w:tr>
      <w:tr>
        <w:trPr/>
        <w:tc>
          <w:tcPr>
            <w:tcW w:w="2509" w:type="dxa"/>
            <w:tcBorders/>
            <w:vAlign w:val="center"/>
          </w:tcPr>
          <w:p>
            <w:pPr>
              <w:pStyle w:val="TableContents"/>
              <w:widowControl w:val="false"/>
              <w:suppressLineNumbers/>
              <w:spacing w:before="0" w:after="200"/>
              <w:rPr/>
            </w:pPr>
            <w:r>
              <w:rPr/>
              <w:t>Leverage points</w:t>
            </w:r>
          </w:p>
        </w:tc>
        <w:tc>
          <w:tcPr>
            <w:tcW w:w="6131" w:type="dxa"/>
            <w:tcBorders/>
            <w:vAlign w:val="center"/>
          </w:tcPr>
          <w:p>
            <w:pPr>
              <w:pStyle w:val="TableContents"/>
              <w:widowControl w:val="false"/>
              <w:suppressLineNumbers/>
              <w:spacing w:before="0" w:after="200"/>
              <w:rPr/>
            </w:pPr>
            <w:r>
              <w:rPr/>
              <w:t>Related to actions that significantly alter future policies, constraints, incentives, or system structure</w:t>
            </w:r>
          </w:p>
        </w:tc>
      </w:tr>
      <w:tr>
        <w:trPr/>
        <w:tc>
          <w:tcPr>
            <w:tcW w:w="2509" w:type="dxa"/>
            <w:tcBorders/>
            <w:vAlign w:val="center"/>
          </w:tcPr>
          <w:p>
            <w:pPr>
              <w:pStyle w:val="TableContents"/>
              <w:widowControl w:val="false"/>
              <w:suppressLineNumbers/>
              <w:spacing w:before="0" w:after="200"/>
              <w:rPr/>
            </w:pPr>
            <w:r>
              <w:rPr/>
              <w:t>Distributed causation</w:t>
            </w:r>
          </w:p>
        </w:tc>
        <w:tc>
          <w:tcPr>
            <w:tcW w:w="6131" w:type="dxa"/>
            <w:tcBorders/>
            <w:vAlign w:val="center"/>
          </w:tcPr>
          <w:p>
            <w:pPr>
              <w:pStyle w:val="TableContents"/>
              <w:widowControl w:val="false"/>
              <w:suppressLineNumbers/>
              <w:spacing w:before="0" w:after="200"/>
              <w:rPr/>
            </w:pPr>
            <w:r>
              <w:rPr/>
              <w:t>Represented through causal relationships involving multiple agents and institutions</w:t>
            </w:r>
          </w:p>
        </w:tc>
      </w:tr>
      <w:tr>
        <w:trPr/>
        <w:tc>
          <w:tcPr>
            <w:tcW w:w="2509" w:type="dxa"/>
            <w:tcBorders/>
            <w:vAlign w:val="center"/>
          </w:tcPr>
          <w:p>
            <w:pPr>
              <w:pStyle w:val="TableContents"/>
              <w:widowControl w:val="false"/>
              <w:suppressLineNumbers/>
              <w:spacing w:before="0" w:after="200"/>
              <w:rPr/>
            </w:pPr>
            <w:r>
              <w:rPr/>
              <w:t>Ethical responsibility of designers</w:t>
            </w:r>
          </w:p>
        </w:tc>
        <w:tc>
          <w:tcPr>
            <w:tcW w:w="6131" w:type="dxa"/>
            <w:tcBorders/>
            <w:vAlign w:val="center"/>
          </w:tcPr>
          <w:p>
            <w:pPr>
              <w:pStyle w:val="TableContents"/>
              <w:widowControl w:val="false"/>
              <w:suppressLineNumbers/>
              <w:spacing w:before="0" w:after="200"/>
              <w:rPr/>
            </w:pPr>
            <w:r>
              <w:rPr/>
              <w:t>Addressed through role, authority, knowledge, alternatives, and foreseeable effects</w:t>
            </w:r>
          </w:p>
        </w:tc>
      </w:tr>
      <w:tr>
        <w:trPr/>
        <w:tc>
          <w:tcPr>
            <w:tcW w:w="2509" w:type="dxa"/>
            <w:tcBorders/>
            <w:vAlign w:val="center"/>
          </w:tcPr>
          <w:p>
            <w:pPr>
              <w:pStyle w:val="TableContents"/>
              <w:widowControl w:val="false"/>
              <w:suppressLineNumbers/>
              <w:spacing w:before="0" w:after="200"/>
              <w:rPr/>
            </w:pPr>
            <w:r>
              <w:rPr/>
              <w:t>Autopoiesis</w:t>
            </w:r>
          </w:p>
        </w:tc>
        <w:tc>
          <w:tcPr>
            <w:tcW w:w="6131" w:type="dxa"/>
            <w:tcBorders/>
            <w:vAlign w:val="center"/>
          </w:tcPr>
          <w:p>
            <w:pPr>
              <w:pStyle w:val="TableContents"/>
              <w:widowControl w:val="false"/>
              <w:suppressLineNumbers/>
              <w:spacing w:before="0" w:after="200"/>
              <w:rPr/>
            </w:pPr>
            <w:r>
              <w:rPr/>
              <w:t>Explicitly recognized in the Foundational Axiom’s inclusion of autopoietic entities</w:t>
            </w:r>
          </w:p>
        </w:tc>
      </w:tr>
      <w:tr>
        <w:trPr/>
        <w:tc>
          <w:tcPr>
            <w:tcW w:w="2509" w:type="dxa"/>
            <w:tcBorders/>
            <w:vAlign w:val="center"/>
          </w:tcPr>
          <w:p>
            <w:pPr>
              <w:pStyle w:val="TableContents"/>
              <w:widowControl w:val="false"/>
              <w:suppressLineNumbers/>
              <w:spacing w:before="0" w:after="200"/>
              <w:rPr/>
            </w:pPr>
            <w:r>
              <w:rPr/>
              <w:t>Sustainability</w:t>
            </w:r>
          </w:p>
        </w:tc>
        <w:tc>
          <w:tcPr>
            <w:tcW w:w="6131" w:type="dxa"/>
            <w:tcBorders/>
            <w:vAlign w:val="center"/>
          </w:tcPr>
          <w:p>
            <w:pPr>
              <w:pStyle w:val="TableContents"/>
              <w:widowControl w:val="false"/>
              <w:suppressLineNumbers/>
              <w:spacing w:before="0" w:after="200"/>
              <w:rPr/>
            </w:pPr>
            <w:r>
              <w:rPr/>
              <w:t>Reflected in preserving and promoting long-term rather than merely immediate flourishing</w:t>
            </w:r>
          </w:p>
        </w:tc>
      </w:tr>
      <w:tr>
        <w:trPr/>
        <w:tc>
          <w:tcPr>
            <w:tcW w:w="2509" w:type="dxa"/>
            <w:tcBorders/>
            <w:vAlign w:val="center"/>
          </w:tcPr>
          <w:p>
            <w:pPr>
              <w:pStyle w:val="TableContents"/>
              <w:widowControl w:val="false"/>
              <w:suppressLineNumbers/>
              <w:spacing w:before="0" w:after="200"/>
              <w:rPr/>
            </w:pPr>
            <w:r>
              <w:rPr/>
              <w:t>Model humility</w:t>
            </w:r>
          </w:p>
        </w:tc>
        <w:tc>
          <w:tcPr>
            <w:tcW w:w="6131" w:type="dxa"/>
            <w:tcBorders/>
            <w:vAlign w:val="center"/>
          </w:tcPr>
          <w:p>
            <w:pPr>
              <w:pStyle w:val="TableContents"/>
              <w:widowControl w:val="false"/>
              <w:suppressLineNumbers/>
              <w:spacing w:before="0" w:after="200"/>
              <w:rPr/>
            </w:pPr>
            <w:r>
              <w:rPr/>
              <w:t>Reflected in explicit assumptions, probabilities, uncertainty, and revision</w:t>
            </w:r>
          </w:p>
        </w:tc>
      </w:tr>
    </w:tbl>
    <w:p>
      <w:pPr>
        <w:pStyle w:val="BodyText"/>
        <w:spacing w:before="0" w:after="200"/>
        <w:rPr/>
      </w:pPr>
      <w:r>
        <w:rPr/>
        <w:t>The proposed framework supplies something that Systems Ethics does not always provide: a specified normative orientation. Systems analysis can explain how a system behaves, where feedback occurs, or which intervention increases resilience without establishing whether the resulting system is ethically desirable. The Foundational Axiom supplies an evaluative criterion centered on the compatible long-term flourishing of relevant persistent adaptive entities.</w:t>
      </w:r>
    </w:p>
    <w:p>
      <w:pPr>
        <w:pStyle w:val="BodyText"/>
        <w:spacing w:before="0" w:after="200"/>
        <w:rPr/>
      </w:pPr>
      <w:r>
        <w:rPr/>
        <w:t>Systems Ethics, in turn, warns that the word “objective” can carry two different meanings. An objective may mean a goal toward which an agent acts, or it may imply a value-neutral and universally correct description. The framework can be objective-based in the first sense without claiming that objectives, system boundaries, or measures of flourishing are value-free. Objectives must themselves be ethically assessed.</w:t>
      </w:r>
    </w:p>
    <w:p>
      <w:pPr>
        <w:pStyle w:val="Heading4"/>
        <w:ind w:hanging="0" w:left="0"/>
        <w:rPr>
          <w:rFonts w:ascii="Aptos" w:hAnsi="Aptos"/>
          <w:color w:val="auto"/>
        </w:rPr>
      </w:pPr>
      <w:r>
        <w:rPr/>
        <w:t>Concepts adopted or adapted by this framework</w:t>
      </w:r>
    </w:p>
    <w:tbl>
      <w:tblPr>
        <w:tblW w:w="8640" w:type="dxa"/>
        <w:jc w:val="left"/>
        <w:tblInd w:w="28" w:type="dxa"/>
        <w:tblLayout w:type="fixed"/>
        <w:tblCellMar>
          <w:top w:w="28" w:type="dxa"/>
          <w:left w:w="28" w:type="dxa"/>
          <w:bottom w:w="28" w:type="dxa"/>
          <w:right w:w="28" w:type="dxa"/>
        </w:tblCellMar>
      </w:tblPr>
      <w:tblGrid>
        <w:gridCol w:w="2529"/>
        <w:gridCol w:w="6111"/>
      </w:tblGrid>
      <w:tr>
        <w:trPr>
          <w:tblHeader w:val="true"/>
        </w:trPr>
        <w:tc>
          <w:tcPr>
            <w:tcW w:w="2529" w:type="dxa"/>
            <w:tcBorders/>
            <w:vAlign w:val="center"/>
          </w:tcPr>
          <w:p>
            <w:pPr>
              <w:pStyle w:val="TableHeading"/>
              <w:suppressLineNumbers/>
              <w:spacing w:before="0" w:after="200"/>
              <w:jc w:val="center"/>
              <w:rPr/>
            </w:pPr>
            <w:r>
              <w:rPr/>
              <w:t>Systems concept</w:t>
            </w:r>
          </w:p>
        </w:tc>
        <w:tc>
          <w:tcPr>
            <w:tcW w:w="6111" w:type="dxa"/>
            <w:tcBorders/>
            <w:vAlign w:val="center"/>
          </w:tcPr>
          <w:p>
            <w:pPr>
              <w:pStyle w:val="TableHeading"/>
              <w:suppressLineNumbers/>
              <w:spacing w:before="0" w:after="200"/>
              <w:jc w:val="center"/>
              <w:rPr/>
            </w:pPr>
            <w:r>
              <w:rPr/>
              <w:t>Adoption or adaptation within this framework</w:t>
            </w:r>
          </w:p>
        </w:tc>
      </w:tr>
      <w:tr>
        <w:trPr/>
        <w:tc>
          <w:tcPr>
            <w:tcW w:w="2529" w:type="dxa"/>
            <w:tcBorders/>
            <w:vAlign w:val="center"/>
          </w:tcPr>
          <w:p>
            <w:pPr>
              <w:pStyle w:val="TableContents"/>
              <w:widowControl w:val="false"/>
              <w:suppressLineNumbers/>
              <w:spacing w:before="0" w:after="200"/>
              <w:rPr/>
            </w:pPr>
            <w:r>
              <w:rPr>
                <w:rStyle w:val="Strong"/>
              </w:rPr>
              <w:t>System and environment</w:t>
            </w:r>
          </w:p>
        </w:tc>
        <w:tc>
          <w:tcPr>
            <w:tcW w:w="6111" w:type="dxa"/>
            <w:tcBorders/>
            <w:vAlign w:val="center"/>
          </w:tcPr>
          <w:p>
            <w:pPr>
              <w:pStyle w:val="TableContents"/>
              <w:widowControl w:val="false"/>
              <w:suppressLineNumbers/>
              <w:spacing w:before="0" w:after="200"/>
              <w:rPr/>
            </w:pPr>
            <w:r>
              <w:rPr/>
              <w:t>Adapted as the Assessed Action’s World Context, including entities, relationships, constraints, institutions, and external conditions</w:t>
            </w:r>
          </w:p>
        </w:tc>
      </w:tr>
      <w:tr>
        <w:trPr/>
        <w:tc>
          <w:tcPr>
            <w:tcW w:w="2529" w:type="dxa"/>
            <w:tcBorders/>
            <w:vAlign w:val="center"/>
          </w:tcPr>
          <w:p>
            <w:pPr>
              <w:pStyle w:val="TableContents"/>
              <w:widowControl w:val="false"/>
              <w:suppressLineNumbers/>
              <w:spacing w:before="0" w:after="200"/>
              <w:rPr/>
            </w:pPr>
            <w:r>
              <w:rPr>
                <w:rStyle w:val="Strong"/>
              </w:rPr>
              <w:t>Open systems</w:t>
            </w:r>
          </w:p>
        </w:tc>
        <w:tc>
          <w:tcPr>
            <w:tcW w:w="6111" w:type="dxa"/>
            <w:tcBorders/>
            <w:vAlign w:val="center"/>
          </w:tcPr>
          <w:p>
            <w:pPr>
              <w:pStyle w:val="TableContents"/>
              <w:widowControl w:val="false"/>
              <w:suppressLineNumbers/>
              <w:spacing w:before="0" w:after="200"/>
              <w:rPr/>
            </w:pPr>
            <w:r>
              <w:rPr/>
              <w:t>Reflected in the presumption that relevant effects may cross organizational, geographic, temporal, or ecological boundaries</w:t>
            </w:r>
          </w:p>
        </w:tc>
      </w:tr>
      <w:tr>
        <w:trPr/>
        <w:tc>
          <w:tcPr>
            <w:tcW w:w="2529" w:type="dxa"/>
            <w:tcBorders/>
            <w:vAlign w:val="center"/>
          </w:tcPr>
          <w:p>
            <w:pPr>
              <w:pStyle w:val="TableContents"/>
              <w:widowControl w:val="false"/>
              <w:suppressLineNumbers/>
              <w:spacing w:before="0" w:after="200"/>
              <w:rPr/>
            </w:pPr>
            <w:r>
              <w:rPr>
                <w:rStyle w:val="Strong"/>
              </w:rPr>
              <w:t>Holism</w:t>
            </w:r>
          </w:p>
        </w:tc>
        <w:tc>
          <w:tcPr>
            <w:tcW w:w="6111" w:type="dxa"/>
            <w:tcBorders/>
            <w:vAlign w:val="center"/>
          </w:tcPr>
          <w:p>
            <w:pPr>
              <w:pStyle w:val="TableContents"/>
              <w:widowControl w:val="false"/>
              <w:suppressLineNumbers/>
              <w:spacing w:before="0" w:after="200"/>
              <w:rPr/>
            </w:pPr>
            <w:r>
              <w:rPr/>
              <w:t>Adapted as evaluation of the complete transition rather than isolated effects</w:t>
            </w:r>
          </w:p>
        </w:tc>
      </w:tr>
      <w:tr>
        <w:trPr/>
        <w:tc>
          <w:tcPr>
            <w:tcW w:w="2529" w:type="dxa"/>
            <w:tcBorders/>
            <w:vAlign w:val="center"/>
          </w:tcPr>
          <w:p>
            <w:pPr>
              <w:pStyle w:val="TableContents"/>
              <w:widowControl w:val="false"/>
              <w:suppressLineNumbers/>
              <w:spacing w:before="0" w:after="200"/>
              <w:rPr/>
            </w:pPr>
            <w:r>
              <w:rPr>
                <w:rStyle w:val="Strong"/>
              </w:rPr>
              <w:t>Interdependence</w:t>
            </w:r>
          </w:p>
        </w:tc>
        <w:tc>
          <w:tcPr>
            <w:tcW w:w="6111" w:type="dxa"/>
            <w:tcBorders/>
            <w:vAlign w:val="center"/>
          </w:tcPr>
          <w:p>
            <w:pPr>
              <w:pStyle w:val="TableContents"/>
              <w:widowControl w:val="false"/>
              <w:suppressLineNumbers/>
              <w:spacing w:before="0" w:after="200"/>
              <w:rPr/>
            </w:pPr>
            <w:r>
              <w:rPr/>
              <w:t>Represented through Associations and state dependencies</w:t>
            </w:r>
          </w:p>
        </w:tc>
      </w:tr>
      <w:tr>
        <w:trPr/>
        <w:tc>
          <w:tcPr>
            <w:tcW w:w="2529" w:type="dxa"/>
            <w:tcBorders/>
            <w:vAlign w:val="center"/>
          </w:tcPr>
          <w:p>
            <w:pPr>
              <w:pStyle w:val="TableContents"/>
              <w:widowControl w:val="false"/>
              <w:suppressLineNumbers/>
              <w:spacing w:before="0" w:after="200"/>
              <w:rPr/>
            </w:pPr>
            <w:r>
              <w:rPr>
                <w:rStyle w:val="Strong"/>
              </w:rPr>
              <w:t>Feedback</w:t>
            </w:r>
          </w:p>
        </w:tc>
        <w:tc>
          <w:tcPr>
            <w:tcW w:w="6111" w:type="dxa"/>
            <w:tcBorders/>
            <w:vAlign w:val="center"/>
          </w:tcPr>
          <w:p>
            <w:pPr>
              <w:pStyle w:val="TableContents"/>
              <w:widowControl w:val="false"/>
              <w:suppressLineNumbers/>
              <w:spacing w:before="0" w:after="200"/>
              <w:rPr/>
            </w:pPr>
            <w:r>
              <w:rPr/>
              <w:t>Incorporated through changes to future agent, observer, institutional, and artificial-system policies</w:t>
            </w:r>
          </w:p>
        </w:tc>
      </w:tr>
      <w:tr>
        <w:trPr/>
        <w:tc>
          <w:tcPr>
            <w:tcW w:w="2529" w:type="dxa"/>
            <w:tcBorders/>
            <w:vAlign w:val="center"/>
          </w:tcPr>
          <w:p>
            <w:pPr>
              <w:pStyle w:val="TableContents"/>
              <w:widowControl w:val="false"/>
              <w:suppressLineNumbers/>
              <w:spacing w:before="0" w:after="200"/>
              <w:rPr/>
            </w:pPr>
            <w:r>
              <w:rPr>
                <w:rStyle w:val="Strong"/>
              </w:rPr>
              <w:t>Reinforcing and balancing loops</w:t>
            </w:r>
          </w:p>
        </w:tc>
        <w:tc>
          <w:tcPr>
            <w:tcW w:w="6111" w:type="dxa"/>
            <w:tcBorders/>
            <w:vAlign w:val="center"/>
          </w:tcPr>
          <w:p>
            <w:pPr>
              <w:pStyle w:val="TableContents"/>
              <w:widowControl w:val="false"/>
              <w:suppressLineNumbers/>
              <w:spacing w:before="0" w:after="200"/>
              <w:rPr/>
            </w:pPr>
            <w:r>
              <w:rPr/>
              <w:t>Used to analyze escalation, normalization, stabilization, resistance, and corrective processes</w:t>
            </w:r>
          </w:p>
        </w:tc>
      </w:tr>
      <w:tr>
        <w:trPr/>
        <w:tc>
          <w:tcPr>
            <w:tcW w:w="2529" w:type="dxa"/>
            <w:tcBorders/>
            <w:vAlign w:val="center"/>
          </w:tcPr>
          <w:p>
            <w:pPr>
              <w:pStyle w:val="TableContents"/>
              <w:widowControl w:val="false"/>
              <w:suppressLineNumbers/>
              <w:spacing w:before="0" w:after="200"/>
              <w:rPr/>
            </w:pPr>
            <w:r>
              <w:rPr>
                <w:rStyle w:val="Strong"/>
              </w:rPr>
              <w:t>Circular causation</w:t>
            </w:r>
          </w:p>
        </w:tc>
        <w:tc>
          <w:tcPr>
            <w:tcW w:w="6111" w:type="dxa"/>
            <w:tcBorders/>
            <w:vAlign w:val="center"/>
          </w:tcPr>
          <w:p>
            <w:pPr>
              <w:pStyle w:val="TableContents"/>
              <w:widowControl w:val="false"/>
              <w:suppressLineNumbers/>
              <w:spacing w:before="0" w:after="200"/>
              <w:rPr/>
            </w:pPr>
            <w:r>
              <w:rPr/>
              <w:t>Adapted to causal structures in which entities mutually influence one another over time</w:t>
            </w:r>
          </w:p>
        </w:tc>
      </w:tr>
      <w:tr>
        <w:trPr/>
        <w:tc>
          <w:tcPr>
            <w:tcW w:w="2529" w:type="dxa"/>
            <w:tcBorders/>
            <w:vAlign w:val="center"/>
          </w:tcPr>
          <w:p>
            <w:pPr>
              <w:pStyle w:val="TableContents"/>
              <w:widowControl w:val="false"/>
              <w:suppressLineNumbers/>
              <w:spacing w:before="0" w:after="200"/>
              <w:rPr/>
            </w:pPr>
            <w:r>
              <w:rPr>
                <w:rStyle w:val="Strong"/>
              </w:rPr>
              <w:t>Emergence</w:t>
            </w:r>
          </w:p>
        </w:tc>
        <w:tc>
          <w:tcPr>
            <w:tcW w:w="6111" w:type="dxa"/>
            <w:tcBorders/>
            <w:vAlign w:val="center"/>
          </w:tcPr>
          <w:p>
            <w:pPr>
              <w:pStyle w:val="TableContents"/>
              <w:widowControl w:val="false"/>
              <w:suppressLineNumbers/>
              <w:spacing w:before="0" w:after="200"/>
              <w:rPr/>
            </w:pPr>
            <w:r>
              <w:rPr/>
              <w:t>Incorporated through system-level properties such as trust, culture, stability, congestion, exclusion, or resilience</w:t>
            </w:r>
          </w:p>
        </w:tc>
      </w:tr>
      <w:tr>
        <w:trPr/>
        <w:tc>
          <w:tcPr>
            <w:tcW w:w="2529" w:type="dxa"/>
            <w:tcBorders/>
            <w:vAlign w:val="center"/>
          </w:tcPr>
          <w:p>
            <w:pPr>
              <w:pStyle w:val="TableContents"/>
              <w:widowControl w:val="false"/>
              <w:suppressLineNumbers/>
              <w:spacing w:before="0" w:after="200"/>
              <w:rPr/>
            </w:pPr>
            <w:r>
              <w:rPr>
                <w:rStyle w:val="Strong"/>
              </w:rPr>
              <w:t>Purposeful systems</w:t>
            </w:r>
          </w:p>
        </w:tc>
        <w:tc>
          <w:tcPr>
            <w:tcW w:w="6111" w:type="dxa"/>
            <w:tcBorders/>
            <w:vAlign w:val="center"/>
          </w:tcPr>
          <w:p>
            <w:pPr>
              <w:pStyle w:val="TableContents"/>
              <w:widowControl w:val="false"/>
              <w:suppressLineNumbers/>
              <w:spacing w:before="0" w:after="200"/>
              <w:rPr/>
            </w:pPr>
            <w:r>
              <w:rPr/>
              <w:t>Reflected in agent objectives, intentions, policies, roles, and adaptive behavior</w:t>
            </w:r>
          </w:p>
        </w:tc>
      </w:tr>
      <w:tr>
        <w:trPr/>
        <w:tc>
          <w:tcPr>
            <w:tcW w:w="2529" w:type="dxa"/>
            <w:tcBorders/>
            <w:vAlign w:val="center"/>
          </w:tcPr>
          <w:p>
            <w:pPr>
              <w:pStyle w:val="TableContents"/>
              <w:widowControl w:val="false"/>
              <w:suppressLineNumbers/>
              <w:spacing w:before="0" w:after="200"/>
              <w:rPr/>
            </w:pPr>
            <w:r>
              <w:rPr>
                <w:rStyle w:val="Strong"/>
              </w:rPr>
              <w:t>Teleology</w:t>
            </w:r>
          </w:p>
        </w:tc>
        <w:tc>
          <w:tcPr>
            <w:tcW w:w="6111" w:type="dxa"/>
            <w:tcBorders/>
            <w:vAlign w:val="center"/>
          </w:tcPr>
          <w:p>
            <w:pPr>
              <w:pStyle w:val="TableContents"/>
              <w:widowControl w:val="false"/>
              <w:suppressLineNumbers/>
              <w:spacing w:before="0" w:after="200"/>
              <w:rPr/>
            </w:pPr>
            <w:r>
              <w:rPr/>
              <w:t>Adapted as the evaluation of stated and enacted objectives rather than as an assumption that every system has one intrinsic purpose</w:t>
            </w:r>
          </w:p>
        </w:tc>
      </w:tr>
      <w:tr>
        <w:trPr/>
        <w:tc>
          <w:tcPr>
            <w:tcW w:w="2529" w:type="dxa"/>
            <w:tcBorders/>
            <w:vAlign w:val="center"/>
          </w:tcPr>
          <w:p>
            <w:pPr>
              <w:pStyle w:val="TableContents"/>
              <w:widowControl w:val="false"/>
              <w:suppressLineNumbers/>
              <w:spacing w:before="0" w:after="200"/>
              <w:rPr/>
            </w:pPr>
            <w:r>
              <w:rPr>
                <w:rStyle w:val="Strong"/>
              </w:rPr>
              <w:t>Boundary judgments</w:t>
            </w:r>
          </w:p>
        </w:tc>
        <w:tc>
          <w:tcPr>
            <w:tcW w:w="6111" w:type="dxa"/>
            <w:tcBorders/>
            <w:vAlign w:val="center"/>
          </w:tcPr>
          <w:p>
            <w:pPr>
              <w:pStyle w:val="TableContents"/>
              <w:widowControl w:val="false"/>
              <w:suppressLineNumbers/>
              <w:spacing w:before="0" w:after="200"/>
              <w:rPr/>
            </w:pPr>
            <w:r>
              <w:rPr/>
              <w:t>Incorporated into the selection of relevant entities, effects, evidence, alternatives, and time horizons</w:t>
            </w:r>
          </w:p>
        </w:tc>
      </w:tr>
      <w:tr>
        <w:trPr/>
        <w:tc>
          <w:tcPr>
            <w:tcW w:w="2529" w:type="dxa"/>
            <w:tcBorders/>
            <w:vAlign w:val="center"/>
          </w:tcPr>
          <w:p>
            <w:pPr>
              <w:pStyle w:val="TableContents"/>
              <w:widowControl w:val="false"/>
              <w:suppressLineNumbers/>
              <w:spacing w:before="0" w:after="200"/>
              <w:rPr/>
            </w:pPr>
            <w:r>
              <w:rPr>
                <w:rStyle w:val="Strong"/>
              </w:rPr>
              <w:t>Boundary critique</w:t>
            </w:r>
          </w:p>
        </w:tc>
        <w:tc>
          <w:tcPr>
            <w:tcW w:w="6111" w:type="dxa"/>
            <w:tcBorders/>
            <w:vAlign w:val="center"/>
          </w:tcPr>
          <w:p>
            <w:pPr>
              <w:pStyle w:val="TableContents"/>
              <w:widowControl w:val="false"/>
              <w:suppressLineNumbers/>
              <w:spacing w:before="0" w:after="200"/>
              <w:rPr/>
            </w:pPr>
            <w:r>
              <w:rPr/>
              <w:t>Adapted as a procedure for challenging who and what has been included or excluded from an assessment</w:t>
            </w:r>
          </w:p>
        </w:tc>
      </w:tr>
      <w:tr>
        <w:trPr/>
        <w:tc>
          <w:tcPr>
            <w:tcW w:w="2529" w:type="dxa"/>
            <w:tcBorders/>
            <w:vAlign w:val="center"/>
          </w:tcPr>
          <w:p>
            <w:pPr>
              <w:pStyle w:val="TableContents"/>
              <w:widowControl w:val="false"/>
              <w:suppressLineNumbers/>
              <w:spacing w:before="0" w:after="200"/>
              <w:rPr/>
            </w:pPr>
            <w:r>
              <w:rPr>
                <w:rStyle w:val="Strong"/>
              </w:rPr>
              <w:t>Soft systems perspectives</w:t>
            </w:r>
          </w:p>
        </w:tc>
        <w:tc>
          <w:tcPr>
            <w:tcW w:w="6111" w:type="dxa"/>
            <w:tcBorders/>
            <w:vAlign w:val="center"/>
          </w:tcPr>
          <w:p>
            <w:pPr>
              <w:pStyle w:val="TableContents"/>
              <w:widowControl w:val="false"/>
              <w:suppressLineNumbers/>
              <w:spacing w:before="0" w:after="200"/>
              <w:rPr/>
            </w:pPr>
            <w:r>
              <w:rPr/>
              <w:t>Incorporated through multiple, potentially conflicting descriptions of the problem situation</w:t>
            </w:r>
          </w:p>
        </w:tc>
      </w:tr>
      <w:tr>
        <w:trPr/>
        <w:tc>
          <w:tcPr>
            <w:tcW w:w="2529" w:type="dxa"/>
            <w:tcBorders/>
            <w:vAlign w:val="center"/>
          </w:tcPr>
          <w:p>
            <w:pPr>
              <w:pStyle w:val="TableContents"/>
              <w:widowControl w:val="false"/>
              <w:suppressLineNumbers/>
              <w:spacing w:before="0" w:after="200"/>
              <w:rPr/>
            </w:pPr>
            <w:r>
              <w:rPr>
                <w:rStyle w:val="Strong"/>
              </w:rPr>
              <w:t>Stakeholder participation</w:t>
            </w:r>
          </w:p>
        </w:tc>
        <w:tc>
          <w:tcPr>
            <w:tcW w:w="6111" w:type="dxa"/>
            <w:tcBorders/>
            <w:vAlign w:val="center"/>
          </w:tcPr>
          <w:p>
            <w:pPr>
              <w:pStyle w:val="TableContents"/>
              <w:widowControl w:val="false"/>
              <w:suppressLineNumbers/>
              <w:spacing w:before="0" w:after="200"/>
              <w:rPr/>
            </w:pPr>
            <w:r>
              <w:rPr/>
              <w:t>Adapted as both an evidentiary input and a legitimacy safeguard</w:t>
            </w:r>
          </w:p>
        </w:tc>
      </w:tr>
      <w:tr>
        <w:trPr/>
        <w:tc>
          <w:tcPr>
            <w:tcW w:w="2529" w:type="dxa"/>
            <w:tcBorders/>
            <w:vAlign w:val="center"/>
          </w:tcPr>
          <w:p>
            <w:pPr>
              <w:pStyle w:val="TableContents"/>
              <w:widowControl w:val="false"/>
              <w:suppressLineNumbers/>
              <w:spacing w:before="0" w:after="200"/>
              <w:rPr/>
            </w:pPr>
            <w:r>
              <w:rPr>
                <w:rStyle w:val="Strong"/>
              </w:rPr>
              <w:t>System viability</w:t>
            </w:r>
          </w:p>
        </w:tc>
        <w:tc>
          <w:tcPr>
            <w:tcW w:w="6111" w:type="dxa"/>
            <w:tcBorders/>
            <w:vAlign w:val="center"/>
          </w:tcPr>
          <w:p>
            <w:pPr>
              <w:pStyle w:val="TableContents"/>
              <w:widowControl w:val="false"/>
              <w:suppressLineNumbers/>
              <w:spacing w:before="0" w:after="200"/>
              <w:rPr/>
            </w:pPr>
            <w:r>
              <w:rPr/>
              <w:t>Adapted as the sustained capacity of relevant entities and systems to maintain essential functions</w:t>
            </w:r>
          </w:p>
        </w:tc>
      </w:tr>
      <w:tr>
        <w:trPr/>
        <w:tc>
          <w:tcPr>
            <w:tcW w:w="2529" w:type="dxa"/>
            <w:tcBorders/>
            <w:vAlign w:val="center"/>
          </w:tcPr>
          <w:p>
            <w:pPr>
              <w:pStyle w:val="TableContents"/>
              <w:widowControl w:val="false"/>
              <w:suppressLineNumbers/>
              <w:spacing w:before="0" w:after="200"/>
              <w:rPr/>
            </w:pPr>
            <w:r>
              <w:rPr>
                <w:rStyle w:val="Strong"/>
              </w:rPr>
              <w:t>Resilience</w:t>
            </w:r>
          </w:p>
        </w:tc>
        <w:tc>
          <w:tcPr>
            <w:tcW w:w="6111" w:type="dxa"/>
            <w:tcBorders/>
            <w:vAlign w:val="center"/>
          </w:tcPr>
          <w:p>
            <w:pPr>
              <w:pStyle w:val="TableContents"/>
              <w:widowControl w:val="false"/>
              <w:suppressLineNumbers/>
              <w:spacing w:before="0" w:after="200"/>
              <w:rPr/>
            </w:pPr>
            <w:r>
              <w:rPr/>
              <w:t>Treated as ethically conditional: valuable when it preserves beneficial capacities, suspect when it entrenches harmful structures</w:t>
            </w:r>
          </w:p>
        </w:tc>
      </w:tr>
      <w:tr>
        <w:trPr/>
        <w:tc>
          <w:tcPr>
            <w:tcW w:w="2529" w:type="dxa"/>
            <w:tcBorders/>
            <w:vAlign w:val="center"/>
          </w:tcPr>
          <w:p>
            <w:pPr>
              <w:pStyle w:val="TableContents"/>
              <w:widowControl w:val="false"/>
              <w:suppressLineNumbers/>
              <w:spacing w:before="0" w:after="200"/>
              <w:rPr/>
            </w:pPr>
            <w:r>
              <w:rPr>
                <w:rStyle w:val="Strong"/>
              </w:rPr>
              <w:t>Autopoiesis</w:t>
            </w:r>
          </w:p>
        </w:tc>
        <w:tc>
          <w:tcPr>
            <w:tcW w:w="6111" w:type="dxa"/>
            <w:tcBorders/>
            <w:vAlign w:val="center"/>
          </w:tcPr>
          <w:p>
            <w:pPr>
              <w:pStyle w:val="TableContents"/>
              <w:widowControl w:val="false"/>
              <w:suppressLineNumbers/>
              <w:spacing w:before="0" w:after="200"/>
              <w:rPr/>
            </w:pPr>
            <w:r>
              <w:rPr/>
              <w:t>Incorporated as a scientifically informed category of self-producing and self-maintaining living organization</w:t>
            </w:r>
          </w:p>
        </w:tc>
      </w:tr>
      <w:tr>
        <w:trPr/>
        <w:tc>
          <w:tcPr>
            <w:tcW w:w="2529" w:type="dxa"/>
            <w:tcBorders/>
            <w:vAlign w:val="center"/>
          </w:tcPr>
          <w:p>
            <w:pPr>
              <w:pStyle w:val="TableContents"/>
              <w:widowControl w:val="false"/>
              <w:suppressLineNumbers/>
              <w:spacing w:before="0" w:after="200"/>
              <w:rPr/>
            </w:pPr>
            <w:r>
              <w:rPr>
                <w:rStyle w:val="Strong"/>
              </w:rPr>
              <w:t>Structural coupling</w:t>
            </w:r>
          </w:p>
        </w:tc>
        <w:tc>
          <w:tcPr>
            <w:tcW w:w="6111" w:type="dxa"/>
            <w:tcBorders/>
            <w:vAlign w:val="center"/>
          </w:tcPr>
          <w:p>
            <w:pPr>
              <w:pStyle w:val="TableContents"/>
              <w:widowControl w:val="false"/>
              <w:suppressLineNumbers/>
              <w:spacing w:before="0" w:after="200"/>
              <w:rPr/>
            </w:pPr>
            <w:r>
              <w:rPr/>
              <w:t>Adapted as persistent reciprocal interaction through which an entity and environment change in relation to one another</w:t>
            </w:r>
          </w:p>
        </w:tc>
      </w:tr>
      <w:tr>
        <w:trPr/>
        <w:tc>
          <w:tcPr>
            <w:tcW w:w="2529" w:type="dxa"/>
            <w:tcBorders/>
            <w:vAlign w:val="center"/>
          </w:tcPr>
          <w:p>
            <w:pPr>
              <w:pStyle w:val="TableContents"/>
              <w:widowControl w:val="false"/>
              <w:suppressLineNumbers/>
              <w:spacing w:before="0" w:after="200"/>
              <w:rPr/>
            </w:pPr>
            <w:r>
              <w:rPr>
                <w:rStyle w:val="Strong"/>
              </w:rPr>
              <w:t>Adaptation</w:t>
            </w:r>
          </w:p>
        </w:tc>
        <w:tc>
          <w:tcPr>
            <w:tcW w:w="6111" w:type="dxa"/>
            <w:tcBorders/>
            <w:vAlign w:val="center"/>
          </w:tcPr>
          <w:p>
            <w:pPr>
              <w:pStyle w:val="TableContents"/>
              <w:widowControl w:val="false"/>
              <w:suppressLineNumbers/>
              <w:spacing w:before="0" w:after="200"/>
              <w:rPr/>
            </w:pPr>
            <w:r>
              <w:rPr/>
              <w:t>Reflected in changes to capabilities, policies, behavior, and future possibilities</w:t>
            </w:r>
          </w:p>
        </w:tc>
      </w:tr>
      <w:tr>
        <w:trPr/>
        <w:tc>
          <w:tcPr>
            <w:tcW w:w="2529" w:type="dxa"/>
            <w:tcBorders/>
            <w:vAlign w:val="center"/>
          </w:tcPr>
          <w:p>
            <w:pPr>
              <w:pStyle w:val="TableContents"/>
              <w:widowControl w:val="false"/>
              <w:suppressLineNumbers/>
              <w:spacing w:before="0" w:after="200"/>
              <w:rPr/>
            </w:pPr>
            <w:r>
              <w:rPr>
                <w:rStyle w:val="Strong"/>
              </w:rPr>
              <w:t>System dynamics</w:t>
            </w:r>
          </w:p>
        </w:tc>
        <w:tc>
          <w:tcPr>
            <w:tcW w:w="6111" w:type="dxa"/>
            <w:tcBorders/>
            <w:vAlign w:val="center"/>
          </w:tcPr>
          <w:p>
            <w:pPr>
              <w:pStyle w:val="TableContents"/>
              <w:widowControl w:val="false"/>
              <w:suppressLineNumbers/>
              <w:spacing w:before="0" w:after="200"/>
              <w:rPr/>
            </w:pPr>
            <w:r>
              <w:rPr/>
              <w:t>Incorporated through feedback, delay, threshold, accumulation, scenario, and time-horizon analysis</w:t>
            </w:r>
          </w:p>
        </w:tc>
      </w:tr>
      <w:tr>
        <w:trPr/>
        <w:tc>
          <w:tcPr>
            <w:tcW w:w="2529" w:type="dxa"/>
            <w:tcBorders/>
            <w:vAlign w:val="center"/>
          </w:tcPr>
          <w:p>
            <w:pPr>
              <w:pStyle w:val="TableContents"/>
              <w:widowControl w:val="false"/>
              <w:suppressLineNumbers/>
              <w:spacing w:before="0" w:after="200"/>
              <w:rPr/>
            </w:pPr>
            <w:r>
              <w:rPr>
                <w:rStyle w:val="Strong"/>
              </w:rPr>
              <w:t>Stocks and flows</w:t>
            </w:r>
          </w:p>
        </w:tc>
        <w:tc>
          <w:tcPr>
            <w:tcW w:w="6111" w:type="dxa"/>
            <w:tcBorders/>
            <w:vAlign w:val="center"/>
          </w:tcPr>
          <w:p>
            <w:pPr>
              <w:pStyle w:val="TableContents"/>
              <w:widowControl w:val="false"/>
              <w:suppressLineNumbers/>
              <w:spacing w:before="0" w:after="200"/>
              <w:rPr/>
            </w:pPr>
            <w:r>
              <w:rPr/>
              <w:t>Adapted to resources, trust, knowledge, capacity, risk, ecological assets, and other quantities that accumulate or diminish</w:t>
            </w:r>
          </w:p>
        </w:tc>
      </w:tr>
      <w:tr>
        <w:trPr/>
        <w:tc>
          <w:tcPr>
            <w:tcW w:w="2529" w:type="dxa"/>
            <w:tcBorders/>
            <w:vAlign w:val="center"/>
          </w:tcPr>
          <w:p>
            <w:pPr>
              <w:pStyle w:val="TableContents"/>
              <w:widowControl w:val="false"/>
              <w:suppressLineNumbers/>
              <w:spacing w:before="0" w:after="200"/>
              <w:rPr/>
            </w:pPr>
            <w:r>
              <w:rPr>
                <w:rStyle w:val="Strong"/>
              </w:rPr>
              <w:t>Leverage points</w:t>
            </w:r>
          </w:p>
        </w:tc>
        <w:tc>
          <w:tcPr>
            <w:tcW w:w="6111" w:type="dxa"/>
            <w:tcBorders/>
            <w:vAlign w:val="center"/>
          </w:tcPr>
          <w:p>
            <w:pPr>
              <w:pStyle w:val="TableContents"/>
              <w:widowControl w:val="false"/>
              <w:suppressLineNumbers/>
              <w:spacing w:before="0" w:after="200"/>
              <w:rPr/>
            </w:pPr>
            <w:r>
              <w:rPr/>
              <w:t>Incorporated through identification of interventions that change rules, information, incentives, goals, or underlying policies</w:t>
            </w:r>
          </w:p>
        </w:tc>
      </w:tr>
      <w:tr>
        <w:trPr/>
        <w:tc>
          <w:tcPr>
            <w:tcW w:w="2529" w:type="dxa"/>
            <w:tcBorders/>
            <w:vAlign w:val="center"/>
          </w:tcPr>
          <w:p>
            <w:pPr>
              <w:pStyle w:val="TableContents"/>
              <w:widowControl w:val="false"/>
              <w:suppressLineNumbers/>
              <w:spacing w:before="0" w:after="200"/>
              <w:rPr/>
            </w:pPr>
            <w:r>
              <w:rPr>
                <w:rStyle w:val="Strong"/>
              </w:rPr>
              <w:t>System traps</w:t>
            </w:r>
          </w:p>
        </w:tc>
        <w:tc>
          <w:tcPr>
            <w:tcW w:w="6111" w:type="dxa"/>
            <w:tcBorders/>
            <w:vAlign w:val="center"/>
          </w:tcPr>
          <w:p>
            <w:pPr>
              <w:pStyle w:val="TableContents"/>
              <w:widowControl w:val="false"/>
              <w:suppressLineNumbers/>
              <w:spacing w:before="0" w:after="200"/>
              <w:rPr/>
            </w:pPr>
            <w:r>
              <w:rPr/>
              <w:t>Adapted as recurring structures that produce escalation, dependence, burden shifting, policy resistance, or resource depletion</w:t>
            </w:r>
          </w:p>
        </w:tc>
      </w:tr>
      <w:tr>
        <w:trPr/>
        <w:tc>
          <w:tcPr>
            <w:tcW w:w="2529" w:type="dxa"/>
            <w:tcBorders/>
            <w:vAlign w:val="center"/>
          </w:tcPr>
          <w:p>
            <w:pPr>
              <w:pStyle w:val="TableContents"/>
              <w:widowControl w:val="false"/>
              <w:suppressLineNumbers/>
              <w:spacing w:before="0" w:after="200"/>
              <w:rPr/>
            </w:pPr>
            <w:r>
              <w:rPr>
                <w:rStyle w:val="Strong"/>
              </w:rPr>
              <w:t>Local optimization failure</w:t>
            </w:r>
          </w:p>
        </w:tc>
        <w:tc>
          <w:tcPr>
            <w:tcW w:w="6111" w:type="dxa"/>
            <w:tcBorders/>
            <w:vAlign w:val="center"/>
          </w:tcPr>
          <w:p>
            <w:pPr>
              <w:pStyle w:val="TableContents"/>
              <w:widowControl w:val="false"/>
              <w:suppressLineNumbers/>
              <w:spacing w:before="0" w:after="200"/>
              <w:rPr/>
            </w:pPr>
            <w:r>
              <w:rPr/>
              <w:t>Incorporated through comparison of component objectives with effects on the broader World Context</w:t>
            </w:r>
          </w:p>
        </w:tc>
      </w:tr>
      <w:tr>
        <w:trPr/>
        <w:tc>
          <w:tcPr>
            <w:tcW w:w="2529" w:type="dxa"/>
            <w:tcBorders/>
            <w:vAlign w:val="center"/>
          </w:tcPr>
          <w:p>
            <w:pPr>
              <w:pStyle w:val="TableContents"/>
              <w:widowControl w:val="false"/>
              <w:suppressLineNumbers/>
              <w:spacing w:before="0" w:after="200"/>
              <w:rPr/>
            </w:pPr>
            <w:r>
              <w:rPr>
                <w:rStyle w:val="Strong"/>
              </w:rPr>
              <w:t>Inquiring systems</w:t>
            </w:r>
          </w:p>
        </w:tc>
        <w:tc>
          <w:tcPr>
            <w:tcW w:w="6111" w:type="dxa"/>
            <w:tcBorders/>
            <w:vAlign w:val="center"/>
          </w:tcPr>
          <w:p>
            <w:pPr>
              <w:pStyle w:val="TableContents"/>
              <w:widowControl w:val="false"/>
              <w:suppressLineNumbers/>
              <w:spacing w:before="0" w:after="200"/>
              <w:rPr/>
            </w:pPr>
            <w:r>
              <w:rPr/>
              <w:t>Reflected in evidence gathering, competing representations, learning, correction, and revision</w:t>
            </w:r>
          </w:p>
        </w:tc>
      </w:tr>
      <w:tr>
        <w:trPr/>
        <w:tc>
          <w:tcPr>
            <w:tcW w:w="2529" w:type="dxa"/>
            <w:tcBorders/>
            <w:vAlign w:val="center"/>
          </w:tcPr>
          <w:p>
            <w:pPr>
              <w:pStyle w:val="TableContents"/>
              <w:widowControl w:val="false"/>
              <w:suppressLineNumbers/>
              <w:spacing w:before="0" w:after="200"/>
              <w:rPr/>
            </w:pPr>
            <w:r>
              <w:rPr>
                <w:rStyle w:val="Strong"/>
              </w:rPr>
              <w:t>Second-order observation</w:t>
            </w:r>
          </w:p>
        </w:tc>
        <w:tc>
          <w:tcPr>
            <w:tcW w:w="6111" w:type="dxa"/>
            <w:tcBorders/>
            <w:vAlign w:val="center"/>
          </w:tcPr>
          <w:p>
            <w:pPr>
              <w:pStyle w:val="TableContents"/>
              <w:widowControl w:val="false"/>
              <w:suppressLineNumbers/>
              <w:spacing w:before="0" w:after="200"/>
              <w:rPr/>
            </w:pPr>
            <w:r>
              <w:rPr/>
              <w:t>Adapted as examination of how the assessor’s categories, values, tools, and participation affect the assessment</w:t>
            </w:r>
          </w:p>
        </w:tc>
      </w:tr>
      <w:tr>
        <w:trPr/>
        <w:tc>
          <w:tcPr>
            <w:tcW w:w="2529" w:type="dxa"/>
            <w:tcBorders/>
            <w:vAlign w:val="center"/>
          </w:tcPr>
          <w:p>
            <w:pPr>
              <w:pStyle w:val="TableContents"/>
              <w:widowControl w:val="false"/>
              <w:suppressLineNumbers/>
              <w:spacing w:before="0" w:after="200"/>
              <w:rPr/>
            </w:pPr>
            <w:r>
              <w:rPr>
                <w:rStyle w:val="Strong"/>
              </w:rPr>
              <w:t>Requisite variety</w:t>
            </w:r>
          </w:p>
        </w:tc>
        <w:tc>
          <w:tcPr>
            <w:tcW w:w="6111" w:type="dxa"/>
            <w:tcBorders/>
            <w:vAlign w:val="center"/>
          </w:tcPr>
          <w:p>
            <w:pPr>
              <w:pStyle w:val="TableContents"/>
              <w:widowControl w:val="false"/>
              <w:suppressLineNumbers/>
              <w:spacing w:before="0" w:after="200"/>
              <w:rPr/>
            </w:pPr>
            <w:r>
              <w:rPr/>
              <w:t>Adapted as the need for governance and response capabilities sufficiently diverse to address the range of relevant system conditions</w:t>
            </w:r>
          </w:p>
        </w:tc>
      </w:tr>
      <w:tr>
        <w:trPr/>
        <w:tc>
          <w:tcPr>
            <w:tcW w:w="2529" w:type="dxa"/>
            <w:tcBorders/>
            <w:vAlign w:val="center"/>
          </w:tcPr>
          <w:p>
            <w:pPr>
              <w:pStyle w:val="TableContents"/>
              <w:widowControl w:val="false"/>
              <w:suppressLineNumbers/>
              <w:spacing w:before="0" w:after="200"/>
              <w:rPr/>
            </w:pPr>
            <w:r>
              <w:rPr>
                <w:rStyle w:val="Strong"/>
              </w:rPr>
              <w:t>Equifinality</w:t>
            </w:r>
          </w:p>
        </w:tc>
        <w:tc>
          <w:tcPr>
            <w:tcW w:w="6111" w:type="dxa"/>
            <w:tcBorders/>
            <w:vAlign w:val="center"/>
          </w:tcPr>
          <w:p>
            <w:pPr>
              <w:pStyle w:val="TableContents"/>
              <w:widowControl w:val="false"/>
              <w:suppressLineNumbers/>
              <w:spacing w:before="0" w:after="200"/>
              <w:rPr/>
            </w:pPr>
            <w:r>
              <w:rPr/>
              <w:t>Reflected in the possibility that different paths or implementations may reach similar ethically desirable states</w:t>
            </w:r>
          </w:p>
        </w:tc>
      </w:tr>
      <w:tr>
        <w:trPr/>
        <w:tc>
          <w:tcPr>
            <w:tcW w:w="2529" w:type="dxa"/>
            <w:tcBorders/>
            <w:vAlign w:val="center"/>
          </w:tcPr>
          <w:p>
            <w:pPr>
              <w:pStyle w:val="TableContents"/>
              <w:widowControl w:val="false"/>
              <w:suppressLineNumbers/>
              <w:spacing w:before="0" w:after="200"/>
              <w:rPr/>
            </w:pPr>
            <w:r>
              <w:rPr>
                <w:rStyle w:val="Strong"/>
              </w:rPr>
              <w:t>Multifinality</w:t>
            </w:r>
          </w:p>
        </w:tc>
        <w:tc>
          <w:tcPr>
            <w:tcW w:w="6111" w:type="dxa"/>
            <w:tcBorders/>
            <w:vAlign w:val="center"/>
          </w:tcPr>
          <w:p>
            <w:pPr>
              <w:pStyle w:val="TableContents"/>
              <w:widowControl w:val="false"/>
              <w:suppressLineNumbers/>
              <w:spacing w:before="0" w:after="200"/>
              <w:rPr/>
            </w:pPr>
            <w:r>
              <w:rPr/>
              <w:t>Reflected in the possibility that similar actions may lead to different outcomes under different contextual conditions</w:t>
            </w:r>
          </w:p>
        </w:tc>
      </w:tr>
      <w:tr>
        <w:trPr/>
        <w:tc>
          <w:tcPr>
            <w:tcW w:w="2529" w:type="dxa"/>
            <w:tcBorders/>
            <w:vAlign w:val="center"/>
          </w:tcPr>
          <w:p>
            <w:pPr>
              <w:pStyle w:val="TableContents"/>
              <w:widowControl w:val="false"/>
              <w:suppressLineNumbers/>
              <w:spacing w:before="0" w:after="200"/>
              <w:rPr/>
            </w:pPr>
            <w:r>
              <w:rPr>
                <w:rStyle w:val="Strong"/>
              </w:rPr>
              <w:t>Unintended consequences</w:t>
            </w:r>
          </w:p>
        </w:tc>
        <w:tc>
          <w:tcPr>
            <w:tcW w:w="6111" w:type="dxa"/>
            <w:tcBorders/>
            <w:vAlign w:val="center"/>
          </w:tcPr>
          <w:p>
            <w:pPr>
              <w:pStyle w:val="TableContents"/>
              <w:widowControl w:val="false"/>
              <w:suppressLineNumbers/>
              <w:spacing w:before="0" w:after="200"/>
              <w:rPr/>
            </w:pPr>
            <w:r>
              <w:rPr/>
              <w:t>Incorporated through scenario analysis, probability, indirect effects, and post-action monitoring</w:t>
            </w:r>
          </w:p>
        </w:tc>
      </w:tr>
      <w:tr>
        <w:trPr/>
        <w:tc>
          <w:tcPr>
            <w:tcW w:w="2529" w:type="dxa"/>
            <w:tcBorders/>
            <w:vAlign w:val="center"/>
          </w:tcPr>
          <w:p>
            <w:pPr>
              <w:pStyle w:val="TableContents"/>
              <w:widowControl w:val="false"/>
              <w:suppressLineNumbers/>
              <w:spacing w:before="0" w:after="200"/>
              <w:rPr/>
            </w:pPr>
            <w:r>
              <w:rPr>
                <w:rStyle w:val="Strong"/>
              </w:rPr>
              <w:t>Systemic intervention</w:t>
            </w:r>
          </w:p>
        </w:tc>
        <w:tc>
          <w:tcPr>
            <w:tcW w:w="6111" w:type="dxa"/>
            <w:tcBorders/>
            <w:vAlign w:val="center"/>
          </w:tcPr>
          <w:p>
            <w:pPr>
              <w:pStyle w:val="TableContents"/>
              <w:widowControl w:val="false"/>
              <w:suppressLineNumbers/>
              <w:spacing w:before="0" w:after="200"/>
              <w:rPr/>
            </w:pPr>
            <w:r>
              <w:rPr/>
              <w:t>Adapted as action that changes not only entities but also relationships, rules, information, incentives, and future policies</w:t>
            </w:r>
          </w:p>
        </w:tc>
      </w:tr>
    </w:tbl>
    <w:p>
      <w:pPr>
        <w:pStyle w:val="Heading4"/>
        <w:ind w:hanging="0" w:left="0"/>
        <w:rPr>
          <w:rFonts w:ascii="Aptos" w:hAnsi="Aptos"/>
          <w:color w:val="auto"/>
        </w:rPr>
      </w:pPr>
      <w:r>
        <w:rPr/>
        <w:t>Similarities</w:t>
      </w:r>
    </w:p>
    <w:p>
      <w:pPr>
        <w:pStyle w:val="BodyText"/>
        <w:numPr>
          <w:ilvl w:val="0"/>
          <w:numId w:val="134"/>
        </w:numPr>
        <w:tabs>
          <w:tab w:val="clear" w:pos="720"/>
          <w:tab w:val="left" w:pos="0" w:leader="none"/>
        </w:tabs>
        <w:spacing w:before="0" w:after="200"/>
        <w:ind w:hanging="283" w:left="709"/>
        <w:rPr/>
      </w:pPr>
      <w:r>
        <w:rPr>
          <w:rStyle w:val="Strong"/>
        </w:rPr>
        <w:t>Both reject isolated action analysis.</w:t>
      </w:r>
      <w:r>
        <w:rPr/>
        <w:br/>
        <w:t>Ethical significance depends on the wider network of entities, relationships, constraints, institutions, and future effects.</w:t>
      </w:r>
    </w:p>
    <w:p>
      <w:pPr>
        <w:pStyle w:val="BodyText"/>
        <w:numPr>
          <w:ilvl w:val="0"/>
          <w:numId w:val="134"/>
        </w:numPr>
        <w:tabs>
          <w:tab w:val="clear" w:pos="720"/>
          <w:tab w:val="left" w:pos="0" w:leader="none"/>
        </w:tabs>
        <w:spacing w:before="0" w:after="200"/>
        <w:ind w:hanging="283" w:left="709"/>
        <w:rPr/>
      </w:pPr>
      <w:r>
        <w:rPr>
          <w:rStyle w:val="Strong"/>
        </w:rPr>
        <w:t>Both emphasize interdependence.</w:t>
      </w:r>
      <w:r>
        <w:rPr/>
        <w:br/>
        <w:t>The flourishing of one entity often depends on the capacities and behavior of other entities and on the condition of the surrounding system.</w:t>
      </w:r>
    </w:p>
    <w:p>
      <w:pPr>
        <w:pStyle w:val="BodyText"/>
        <w:numPr>
          <w:ilvl w:val="0"/>
          <w:numId w:val="134"/>
        </w:numPr>
        <w:tabs>
          <w:tab w:val="clear" w:pos="720"/>
          <w:tab w:val="left" w:pos="0" w:leader="none"/>
        </w:tabs>
        <w:spacing w:before="0" w:after="200"/>
        <w:ind w:hanging="283" w:left="709"/>
        <w:rPr/>
      </w:pPr>
      <w:r>
        <w:rPr>
          <w:rStyle w:val="Strong"/>
        </w:rPr>
        <w:t>Both examine indirect and distributed effects.</w:t>
      </w:r>
      <w:r>
        <w:rPr/>
        <w:br/>
        <w:t>Consequences may arise through observers, markets, institutional learning, social norms, technologies, and ecological processes.</w:t>
      </w:r>
    </w:p>
    <w:p>
      <w:pPr>
        <w:pStyle w:val="BodyText"/>
        <w:numPr>
          <w:ilvl w:val="0"/>
          <w:numId w:val="134"/>
        </w:numPr>
        <w:tabs>
          <w:tab w:val="clear" w:pos="720"/>
          <w:tab w:val="left" w:pos="0" w:leader="none"/>
        </w:tabs>
        <w:spacing w:before="0" w:after="200"/>
        <w:ind w:hanging="283" w:left="709"/>
        <w:rPr/>
      </w:pPr>
      <w:r>
        <w:rPr>
          <w:rStyle w:val="Strong"/>
        </w:rPr>
        <w:t>Both recognize feedback.</w:t>
      </w:r>
      <w:r>
        <w:rPr/>
        <w:br/>
        <w:t>Actions change the conditions that shape later action. This is central to Distributed Policy Effects.</w:t>
      </w:r>
    </w:p>
    <w:p>
      <w:pPr>
        <w:pStyle w:val="BodyText"/>
        <w:numPr>
          <w:ilvl w:val="0"/>
          <w:numId w:val="134"/>
        </w:numPr>
        <w:tabs>
          <w:tab w:val="clear" w:pos="720"/>
          <w:tab w:val="left" w:pos="0" w:leader="none"/>
        </w:tabs>
        <w:spacing w:before="0" w:after="200"/>
        <w:ind w:hanging="283" w:left="709"/>
        <w:rPr/>
      </w:pPr>
      <w:r>
        <w:rPr>
          <w:rStyle w:val="Strong"/>
        </w:rPr>
        <w:t>Both use multiple time horizons.</w:t>
      </w:r>
      <w:r>
        <w:rPr/>
        <w:br/>
        <w:t>Immediate success may create delayed instability, while short-term costs may build long-term capacity.</w:t>
      </w:r>
    </w:p>
    <w:p>
      <w:pPr>
        <w:pStyle w:val="BodyText"/>
        <w:numPr>
          <w:ilvl w:val="0"/>
          <w:numId w:val="134"/>
        </w:numPr>
        <w:tabs>
          <w:tab w:val="clear" w:pos="720"/>
          <w:tab w:val="left" w:pos="0" w:leader="none"/>
        </w:tabs>
        <w:spacing w:before="0" w:after="200"/>
        <w:ind w:hanging="283" w:left="709"/>
        <w:rPr/>
      </w:pPr>
      <w:r>
        <w:rPr>
          <w:rStyle w:val="Strong"/>
        </w:rPr>
        <w:t>Both reject narrow local optimization.</w:t>
      </w:r>
      <w:r>
        <w:rPr/>
        <w:br/>
        <w:t>An action is not ethically justified simply because it improves one actor’s preferred metric or one subsystem’s performance.</w:t>
      </w:r>
    </w:p>
    <w:p>
      <w:pPr>
        <w:pStyle w:val="BodyText"/>
        <w:numPr>
          <w:ilvl w:val="0"/>
          <w:numId w:val="134"/>
        </w:numPr>
        <w:tabs>
          <w:tab w:val="clear" w:pos="720"/>
          <w:tab w:val="left" w:pos="0" w:leader="none"/>
        </w:tabs>
        <w:spacing w:before="0" w:after="200"/>
        <w:ind w:hanging="283" w:left="709"/>
        <w:rPr/>
      </w:pPr>
      <w:r>
        <w:rPr>
          <w:rStyle w:val="Strong"/>
        </w:rPr>
        <w:t>Both treat system boundaries as consequential.</w:t>
      </w:r>
      <w:r>
        <w:rPr/>
        <w:br/>
        <w:t>The selection of affected entities and relevant effects can determine whether an action appears beneficial or harmful.</w:t>
      </w:r>
    </w:p>
    <w:p>
      <w:pPr>
        <w:pStyle w:val="BodyText"/>
        <w:numPr>
          <w:ilvl w:val="0"/>
          <w:numId w:val="134"/>
        </w:numPr>
        <w:tabs>
          <w:tab w:val="clear" w:pos="720"/>
          <w:tab w:val="left" w:pos="0" w:leader="none"/>
        </w:tabs>
        <w:spacing w:before="0" w:after="200"/>
        <w:ind w:hanging="283" w:left="709"/>
        <w:rPr/>
      </w:pPr>
      <w:r>
        <w:rPr>
          <w:rStyle w:val="Strong"/>
        </w:rPr>
        <w:t>Both recognize emergence.</w:t>
      </w:r>
      <w:r>
        <w:rPr/>
        <w:br/>
        <w:t>System-level properties can arise from interactions even when no participant directly intends them.</w:t>
      </w:r>
    </w:p>
    <w:p>
      <w:pPr>
        <w:pStyle w:val="BodyText"/>
        <w:numPr>
          <w:ilvl w:val="0"/>
          <w:numId w:val="134"/>
        </w:numPr>
        <w:tabs>
          <w:tab w:val="clear" w:pos="720"/>
          <w:tab w:val="left" w:pos="0" w:leader="none"/>
        </w:tabs>
        <w:spacing w:before="0" w:after="200"/>
        <w:ind w:hanging="283" w:left="709"/>
        <w:rPr/>
      </w:pPr>
      <w:r>
        <w:rPr>
          <w:rStyle w:val="Strong"/>
        </w:rPr>
        <w:t>Both emphasize adaptation and learning.</w:t>
      </w:r>
      <w:r>
        <w:rPr/>
        <w:br/>
        <w:t>Ethical systems must respond to evidence, errors, changed conditions, and unanticipated effects.</w:t>
      </w:r>
    </w:p>
    <w:p>
      <w:pPr>
        <w:pStyle w:val="BodyText"/>
        <w:numPr>
          <w:ilvl w:val="0"/>
          <w:numId w:val="134"/>
        </w:numPr>
        <w:tabs>
          <w:tab w:val="clear" w:pos="720"/>
          <w:tab w:val="left" w:pos="0" w:leader="none"/>
        </w:tabs>
        <w:spacing w:before="0" w:after="200"/>
        <w:ind w:hanging="283" w:left="709"/>
        <w:rPr/>
      </w:pPr>
      <w:r>
        <w:rPr>
          <w:rStyle w:val="Strong"/>
        </w:rPr>
        <w:t>Both recognize uncertainty.</w:t>
      </w:r>
      <w:r>
        <w:rPr/>
        <w:br/>
        <w:t>Neither approach assumes that all consequences can be predicted with certainty. Both support probabilistic reasoning, monitoring, and revision.</w:t>
      </w:r>
    </w:p>
    <w:p>
      <w:pPr>
        <w:pStyle w:val="BodyText"/>
        <w:numPr>
          <w:ilvl w:val="0"/>
          <w:numId w:val="134"/>
        </w:numPr>
        <w:tabs>
          <w:tab w:val="clear" w:pos="720"/>
          <w:tab w:val="left" w:pos="0" w:leader="none"/>
        </w:tabs>
        <w:spacing w:before="0" w:after="200"/>
        <w:ind w:hanging="283" w:left="709"/>
        <w:rPr/>
      </w:pPr>
      <w:r>
        <w:rPr>
          <w:rStyle w:val="Strong"/>
        </w:rPr>
        <w:t>Both examine roles and institutions.</w:t>
      </w:r>
      <w:r>
        <w:rPr/>
        <w:br/>
        <w:t>Ethical responsibility is not confined to the person who performs the final action. Designers, leaders, regulators, and organizations may have substantial responsibility.</w:t>
      </w:r>
    </w:p>
    <w:p>
      <w:pPr>
        <w:pStyle w:val="BodyText"/>
        <w:numPr>
          <w:ilvl w:val="0"/>
          <w:numId w:val="134"/>
        </w:numPr>
        <w:tabs>
          <w:tab w:val="clear" w:pos="720"/>
          <w:tab w:val="left" w:pos="0" w:leader="none"/>
        </w:tabs>
        <w:spacing w:before="0" w:after="200"/>
        <w:ind w:hanging="283" w:left="709"/>
        <w:rPr/>
      </w:pPr>
      <w:r>
        <w:rPr>
          <w:rStyle w:val="Strong"/>
        </w:rPr>
        <w:t>Both consider sustainability and viability.</w:t>
      </w:r>
      <w:r>
        <w:rPr/>
        <w:br/>
        <w:t>Ethical action should preserve or expand capacities needed for beneficial future states.</w:t>
      </w:r>
    </w:p>
    <w:p>
      <w:pPr>
        <w:pStyle w:val="BodyText"/>
        <w:numPr>
          <w:ilvl w:val="0"/>
          <w:numId w:val="134"/>
        </w:numPr>
        <w:tabs>
          <w:tab w:val="clear" w:pos="720"/>
          <w:tab w:val="left" w:pos="0" w:leader="none"/>
        </w:tabs>
        <w:spacing w:before="0" w:after="200"/>
        <w:ind w:hanging="283" w:left="709"/>
        <w:rPr/>
      </w:pPr>
      <w:r>
        <w:rPr>
          <w:rStyle w:val="Strong"/>
        </w:rPr>
        <w:t>Both can include nonhuman entities.</w:t>
      </w:r>
      <w:r>
        <w:rPr/>
        <w:br/>
        <w:t>Ecosystems, organisms, and other adaptive or autopoietic entities can be included in the relevant context.</w:t>
      </w:r>
    </w:p>
    <w:p>
      <w:pPr>
        <w:pStyle w:val="BodyText"/>
        <w:numPr>
          <w:ilvl w:val="0"/>
          <w:numId w:val="134"/>
        </w:numPr>
        <w:tabs>
          <w:tab w:val="clear" w:pos="720"/>
          <w:tab w:val="left" w:pos="0" w:leader="none"/>
        </w:tabs>
        <w:spacing w:before="0" w:after="200"/>
        <w:ind w:hanging="283" w:left="709"/>
        <w:rPr/>
      </w:pPr>
      <w:r>
        <w:rPr>
          <w:rStyle w:val="Strong"/>
        </w:rPr>
        <w:t>Both recognize that models are incomplete.</w:t>
      </w:r>
      <w:r>
        <w:rPr/>
        <w:br/>
        <w:t>Explicit assumptions and limitations are necessary for responsible use.</w:t>
      </w:r>
    </w:p>
    <w:p>
      <w:pPr>
        <w:pStyle w:val="BodyText"/>
        <w:numPr>
          <w:ilvl w:val="0"/>
          <w:numId w:val="134"/>
        </w:numPr>
        <w:tabs>
          <w:tab w:val="clear" w:pos="720"/>
          <w:tab w:val="left" w:pos="0" w:leader="none"/>
        </w:tabs>
        <w:spacing w:before="0" w:after="200"/>
        <w:ind w:hanging="283" w:left="709"/>
        <w:rPr/>
      </w:pPr>
      <w:r>
        <w:rPr>
          <w:rStyle w:val="Strong"/>
        </w:rPr>
        <w:t>Both distinguish system behavior from individual intention.</w:t>
      </w:r>
      <w:r>
        <w:rPr/>
        <w:br/>
        <w:t>Harmful systemic results can emerge even when participants do not intend harm.</w:t>
      </w:r>
    </w:p>
    <w:p>
      <w:pPr>
        <w:pStyle w:val="BodyText"/>
        <w:numPr>
          <w:ilvl w:val="0"/>
          <w:numId w:val="134"/>
        </w:numPr>
        <w:tabs>
          <w:tab w:val="clear" w:pos="720"/>
          <w:tab w:val="left" w:pos="0" w:leader="none"/>
        </w:tabs>
        <w:spacing w:before="0" w:after="200"/>
        <w:ind w:hanging="283" w:left="709"/>
        <w:rPr/>
      </w:pPr>
      <w:r>
        <w:rPr>
          <w:rStyle w:val="Strong"/>
        </w:rPr>
        <w:t>Both support intervention at structural leverage points.</w:t>
      </w:r>
      <w:r>
        <w:rPr/>
        <w:br/>
        <w:t>Changing incentives, information flows, feedback, authority, or governing objectives may be more effective than repeatedly correcting symptoms.</w:t>
      </w:r>
    </w:p>
    <w:p>
      <w:pPr>
        <w:pStyle w:val="BodyText"/>
        <w:numPr>
          <w:ilvl w:val="0"/>
          <w:numId w:val="134"/>
        </w:numPr>
        <w:tabs>
          <w:tab w:val="clear" w:pos="720"/>
          <w:tab w:val="left" w:pos="0" w:leader="none"/>
        </w:tabs>
        <w:spacing w:before="0" w:after="200"/>
        <w:ind w:hanging="283" w:left="709"/>
        <w:rPr/>
      </w:pPr>
      <w:r>
        <w:rPr>
          <w:rStyle w:val="Strong"/>
        </w:rPr>
        <w:t>Both connect ethics with system design.</w:t>
      </w:r>
      <w:r>
        <w:rPr/>
        <w:br/>
        <w:t>Technologies and institutions embed assumptions about purpose, acceptable risk, authority, participation, and value.</w:t>
      </w:r>
    </w:p>
    <w:p>
      <w:pPr>
        <w:pStyle w:val="BodyText"/>
        <w:numPr>
          <w:ilvl w:val="0"/>
          <w:numId w:val="134"/>
        </w:numPr>
        <w:tabs>
          <w:tab w:val="clear" w:pos="720"/>
          <w:tab w:val="left" w:pos="0" w:leader="none"/>
        </w:tabs>
        <w:spacing w:before="0" w:after="200"/>
        <w:ind w:hanging="283" w:left="709"/>
        <w:rPr/>
      </w:pPr>
      <w:r>
        <w:rPr>
          <w:rStyle w:val="Strong"/>
        </w:rPr>
        <w:t>Both are compatible with methodological pluralism.</w:t>
      </w:r>
      <w:r>
        <w:rPr/>
        <w:br/>
        <w:t>Quantitative models, qualitative evidence, stakeholder testimony, simulations, causal maps, and historical analysis may all contribute.</w:t>
      </w:r>
    </w:p>
    <w:p>
      <w:pPr>
        <w:pStyle w:val="Heading4"/>
        <w:ind w:hanging="0" w:left="0"/>
        <w:rPr>
          <w:rFonts w:ascii="Aptos" w:hAnsi="Aptos"/>
          <w:color w:val="auto"/>
        </w:rPr>
      </w:pPr>
      <w:r>
        <w:rPr/>
        <w:t>Differences</w:t>
      </w:r>
    </w:p>
    <w:tbl>
      <w:tblPr>
        <w:tblW w:w="8640" w:type="dxa"/>
        <w:jc w:val="left"/>
        <w:tblInd w:w="28" w:type="dxa"/>
        <w:tblLayout w:type="fixed"/>
        <w:tblCellMar>
          <w:top w:w="28" w:type="dxa"/>
          <w:left w:w="28" w:type="dxa"/>
          <w:bottom w:w="28" w:type="dxa"/>
          <w:right w:w="28" w:type="dxa"/>
        </w:tblCellMar>
      </w:tblPr>
      <w:tblGrid>
        <w:gridCol w:w="1938"/>
        <w:gridCol w:w="3234"/>
        <w:gridCol w:w="3468"/>
      </w:tblGrid>
      <w:tr>
        <w:trPr>
          <w:tblHeader w:val="true"/>
        </w:trPr>
        <w:tc>
          <w:tcPr>
            <w:tcW w:w="1938" w:type="dxa"/>
            <w:tcBorders/>
            <w:vAlign w:val="center"/>
          </w:tcPr>
          <w:p>
            <w:pPr>
              <w:pStyle w:val="TableHeading"/>
              <w:suppressLineNumbers/>
              <w:spacing w:before="0" w:after="200"/>
              <w:jc w:val="center"/>
              <w:rPr/>
            </w:pPr>
            <w:r>
              <w:rPr/>
              <w:t>Dimension</w:t>
            </w:r>
          </w:p>
        </w:tc>
        <w:tc>
          <w:tcPr>
            <w:tcW w:w="3234" w:type="dxa"/>
            <w:tcBorders/>
            <w:vAlign w:val="center"/>
          </w:tcPr>
          <w:p>
            <w:pPr>
              <w:pStyle w:val="TableHeading"/>
              <w:suppressLineNumbers/>
              <w:spacing w:before="0" w:after="200"/>
              <w:jc w:val="center"/>
              <w:rPr/>
            </w:pPr>
            <w:r>
              <w:rPr/>
              <w:t>Systems Ethics</w:t>
            </w:r>
          </w:p>
        </w:tc>
        <w:tc>
          <w:tcPr>
            <w:tcW w:w="3468" w:type="dxa"/>
            <w:tcBorders/>
            <w:vAlign w:val="center"/>
          </w:tcPr>
          <w:p>
            <w:pPr>
              <w:pStyle w:val="TableHeading"/>
              <w:suppressLineNumbers/>
              <w:spacing w:before="0" w:after="200"/>
              <w:jc w:val="center"/>
              <w:rPr/>
            </w:pPr>
            <w:r>
              <w:rPr/>
              <w:t>This framework</w:t>
            </w:r>
          </w:p>
        </w:tc>
      </w:tr>
      <w:tr>
        <w:trPr/>
        <w:tc>
          <w:tcPr>
            <w:tcW w:w="1938" w:type="dxa"/>
            <w:tcBorders/>
            <w:vAlign w:val="center"/>
          </w:tcPr>
          <w:p>
            <w:pPr>
              <w:pStyle w:val="TableContents"/>
              <w:widowControl w:val="false"/>
              <w:suppressLineNumbers/>
              <w:spacing w:before="0" w:after="200"/>
              <w:rPr/>
            </w:pPr>
            <w:r>
              <w:rPr>
                <w:rStyle w:val="Strong"/>
              </w:rPr>
              <w:t>Status as an ethical theory</w:t>
            </w:r>
          </w:p>
        </w:tc>
        <w:tc>
          <w:tcPr>
            <w:tcW w:w="3234" w:type="dxa"/>
            <w:tcBorders/>
            <w:vAlign w:val="center"/>
          </w:tcPr>
          <w:p>
            <w:pPr>
              <w:pStyle w:val="TableContents"/>
              <w:widowControl w:val="false"/>
              <w:suppressLineNumbers/>
              <w:spacing w:before="0" w:after="200"/>
              <w:rPr/>
            </w:pPr>
            <w:r>
              <w:rPr/>
              <w:t>A diverse family of systems-informed methods and ethical orientations</w:t>
            </w:r>
          </w:p>
        </w:tc>
        <w:tc>
          <w:tcPr>
            <w:tcW w:w="3468" w:type="dxa"/>
            <w:tcBorders/>
            <w:vAlign w:val="center"/>
          </w:tcPr>
          <w:p>
            <w:pPr>
              <w:pStyle w:val="TableContents"/>
              <w:widowControl w:val="false"/>
              <w:suppressLineNumbers/>
              <w:spacing w:before="0" w:after="200"/>
              <w:rPr/>
            </w:pPr>
            <w:r>
              <w:rPr/>
              <w:t>A defined ethical architecture organized around a Foundational Axiom</w:t>
            </w:r>
          </w:p>
        </w:tc>
      </w:tr>
      <w:tr>
        <w:trPr/>
        <w:tc>
          <w:tcPr>
            <w:tcW w:w="1938" w:type="dxa"/>
            <w:tcBorders/>
            <w:vAlign w:val="center"/>
          </w:tcPr>
          <w:p>
            <w:pPr>
              <w:pStyle w:val="TableContents"/>
              <w:widowControl w:val="false"/>
              <w:suppressLineNumbers/>
              <w:spacing w:before="0" w:after="200"/>
              <w:rPr/>
            </w:pPr>
            <w:r>
              <w:rPr>
                <w:rStyle w:val="Strong"/>
              </w:rPr>
              <w:t>Normative foundation</w:t>
            </w:r>
          </w:p>
        </w:tc>
        <w:tc>
          <w:tcPr>
            <w:tcW w:w="3234" w:type="dxa"/>
            <w:tcBorders/>
            <w:vAlign w:val="center"/>
          </w:tcPr>
          <w:p>
            <w:pPr>
              <w:pStyle w:val="TableContents"/>
              <w:widowControl w:val="false"/>
              <w:suppressLineNumbers/>
              <w:spacing w:before="0" w:after="200"/>
              <w:rPr/>
            </w:pPr>
            <w:r>
              <w:rPr/>
              <w:t>Often leaves the meaning of improvement, justice, or value open to stakeholder and philosophical inquiry</w:t>
            </w:r>
          </w:p>
        </w:tc>
        <w:tc>
          <w:tcPr>
            <w:tcW w:w="3468" w:type="dxa"/>
            <w:tcBorders/>
            <w:vAlign w:val="center"/>
          </w:tcPr>
          <w:p>
            <w:pPr>
              <w:pStyle w:val="TableContents"/>
              <w:widowControl w:val="false"/>
              <w:suppressLineNumbers/>
              <w:spacing w:before="0" w:after="200"/>
              <w:rPr/>
            </w:pPr>
            <w:r>
              <w:rPr/>
              <w:t>Defines ethical stability in terms of compatible long-term flourishing and moral-agent development</w:t>
            </w:r>
          </w:p>
        </w:tc>
      </w:tr>
      <w:tr>
        <w:trPr/>
        <w:tc>
          <w:tcPr>
            <w:tcW w:w="1938" w:type="dxa"/>
            <w:tcBorders/>
            <w:vAlign w:val="center"/>
          </w:tcPr>
          <w:p>
            <w:pPr>
              <w:pStyle w:val="TableContents"/>
              <w:widowControl w:val="false"/>
              <w:suppressLineNumbers/>
              <w:spacing w:before="0" w:after="200"/>
              <w:rPr/>
            </w:pPr>
            <w:r>
              <w:rPr>
                <w:rStyle w:val="Strong"/>
              </w:rPr>
              <w:t>Primary object of inquiry</w:t>
            </w:r>
          </w:p>
        </w:tc>
        <w:tc>
          <w:tcPr>
            <w:tcW w:w="3234" w:type="dxa"/>
            <w:tcBorders/>
            <w:vAlign w:val="center"/>
          </w:tcPr>
          <w:p>
            <w:pPr>
              <w:pStyle w:val="TableContents"/>
              <w:widowControl w:val="false"/>
              <w:suppressLineNumbers/>
              <w:spacing w:before="0" w:after="200"/>
              <w:rPr/>
            </w:pPr>
            <w:r>
              <w:rPr/>
              <w:t>Problem situations, systems, organizations, and interventions</w:t>
            </w:r>
          </w:p>
        </w:tc>
        <w:tc>
          <w:tcPr>
            <w:tcW w:w="3468" w:type="dxa"/>
            <w:tcBorders/>
            <w:vAlign w:val="center"/>
          </w:tcPr>
          <w:p>
            <w:pPr>
              <w:pStyle w:val="TableContents"/>
              <w:widowControl w:val="false"/>
              <w:suppressLineNumbers/>
              <w:spacing w:before="0" w:after="200"/>
              <w:rPr/>
            </w:pPr>
            <w:r>
              <w:rPr/>
              <w:t>An Assessed Action and its complete World Context Transition</w:t>
            </w:r>
          </w:p>
        </w:tc>
      </w:tr>
      <w:tr>
        <w:trPr/>
        <w:tc>
          <w:tcPr>
            <w:tcW w:w="1938" w:type="dxa"/>
            <w:tcBorders/>
            <w:vAlign w:val="center"/>
          </w:tcPr>
          <w:p>
            <w:pPr>
              <w:pStyle w:val="TableContents"/>
              <w:widowControl w:val="false"/>
              <w:suppressLineNumbers/>
              <w:spacing w:before="0" w:after="200"/>
              <w:rPr/>
            </w:pPr>
            <w:r>
              <w:rPr>
                <w:rStyle w:val="Strong"/>
              </w:rPr>
              <w:t>Objectives</w:t>
            </w:r>
          </w:p>
        </w:tc>
        <w:tc>
          <w:tcPr>
            <w:tcW w:w="3234" w:type="dxa"/>
            <w:tcBorders/>
            <w:vAlign w:val="center"/>
          </w:tcPr>
          <w:p>
            <w:pPr>
              <w:pStyle w:val="TableContents"/>
              <w:widowControl w:val="false"/>
              <w:suppressLineNumbers/>
              <w:spacing w:before="0" w:after="200"/>
              <w:rPr/>
            </w:pPr>
            <w:r>
              <w:rPr/>
              <w:t>Often treats purposes as plural, contested, and constructed</w:t>
            </w:r>
          </w:p>
        </w:tc>
        <w:tc>
          <w:tcPr>
            <w:tcW w:w="3468" w:type="dxa"/>
            <w:tcBorders/>
            <w:vAlign w:val="center"/>
          </w:tcPr>
          <w:p>
            <w:pPr>
              <w:pStyle w:val="TableContents"/>
              <w:widowControl w:val="false"/>
              <w:suppressLineNumbers/>
              <w:spacing w:before="0" w:after="200"/>
              <w:rPr/>
            </w:pPr>
            <w:r>
              <w:rPr/>
              <w:t>Gives objectives a central analytical role but subjects them to ethical evaluation</w:t>
            </w:r>
          </w:p>
        </w:tc>
      </w:tr>
      <w:tr>
        <w:trPr/>
        <w:tc>
          <w:tcPr>
            <w:tcW w:w="1938" w:type="dxa"/>
            <w:tcBorders/>
            <w:vAlign w:val="center"/>
          </w:tcPr>
          <w:p>
            <w:pPr>
              <w:pStyle w:val="TableContents"/>
              <w:widowControl w:val="false"/>
              <w:suppressLineNumbers/>
              <w:spacing w:before="0" w:after="200"/>
              <w:rPr/>
            </w:pPr>
            <w:r>
              <w:rPr>
                <w:rStyle w:val="Strong"/>
              </w:rPr>
              <w:t>Boundary treatment</w:t>
            </w:r>
          </w:p>
        </w:tc>
        <w:tc>
          <w:tcPr>
            <w:tcW w:w="3234" w:type="dxa"/>
            <w:tcBorders/>
            <w:vAlign w:val="center"/>
          </w:tcPr>
          <w:p>
            <w:pPr>
              <w:pStyle w:val="TableContents"/>
              <w:widowControl w:val="false"/>
              <w:suppressLineNumbers/>
              <w:spacing w:before="0" w:after="200"/>
              <w:rPr/>
            </w:pPr>
            <w:r>
              <w:rPr/>
              <w:t>Emphasizes that all boundaries are selective and contestable</w:t>
            </w:r>
          </w:p>
        </w:tc>
        <w:tc>
          <w:tcPr>
            <w:tcW w:w="3468" w:type="dxa"/>
            <w:tcBorders/>
            <w:vAlign w:val="center"/>
          </w:tcPr>
          <w:p>
            <w:pPr>
              <w:pStyle w:val="TableContents"/>
              <w:widowControl w:val="false"/>
              <w:suppressLineNumbers/>
              <w:spacing w:before="0" w:after="200"/>
              <w:rPr/>
            </w:pPr>
            <w:r>
              <w:rPr/>
              <w:t>Seeks a sufficiently complete set of relevant entities and effects while acknowledging uncertainty</w:t>
            </w:r>
          </w:p>
        </w:tc>
      </w:tr>
      <w:tr>
        <w:trPr/>
        <w:tc>
          <w:tcPr>
            <w:tcW w:w="1938" w:type="dxa"/>
            <w:tcBorders/>
            <w:vAlign w:val="center"/>
          </w:tcPr>
          <w:p>
            <w:pPr>
              <w:pStyle w:val="TableContents"/>
              <w:widowControl w:val="false"/>
              <w:suppressLineNumbers/>
              <w:spacing w:before="0" w:after="200"/>
              <w:rPr/>
            </w:pPr>
            <w:r>
              <w:rPr>
                <w:rStyle w:val="Strong"/>
              </w:rPr>
              <w:t>Methodological form</w:t>
            </w:r>
          </w:p>
        </w:tc>
        <w:tc>
          <w:tcPr>
            <w:tcW w:w="3234" w:type="dxa"/>
            <w:tcBorders/>
            <w:vAlign w:val="center"/>
          </w:tcPr>
          <w:p>
            <w:pPr>
              <w:pStyle w:val="TableContents"/>
              <w:widowControl w:val="false"/>
              <w:suppressLineNumbers/>
              <w:spacing w:before="0" w:after="200"/>
              <w:rPr/>
            </w:pPr>
            <w:r>
              <w:rPr/>
              <w:t>Frequently dialogical, participatory, qualitative, and iterative</w:t>
            </w:r>
          </w:p>
        </w:tc>
        <w:tc>
          <w:tcPr>
            <w:tcW w:w="3468" w:type="dxa"/>
            <w:tcBorders/>
            <w:vAlign w:val="center"/>
          </w:tcPr>
          <w:p>
            <w:pPr>
              <w:pStyle w:val="TableContents"/>
              <w:widowControl w:val="false"/>
              <w:suppressLineNumbers/>
              <w:spacing w:before="0" w:after="200"/>
              <w:rPr/>
            </w:pPr>
            <w:r>
              <w:rPr/>
              <w:t>Intended to support explicit and potentially computational representation</w:t>
            </w:r>
          </w:p>
        </w:tc>
      </w:tr>
      <w:tr>
        <w:trPr/>
        <w:tc>
          <w:tcPr>
            <w:tcW w:w="1938" w:type="dxa"/>
            <w:tcBorders/>
            <w:vAlign w:val="center"/>
          </w:tcPr>
          <w:p>
            <w:pPr>
              <w:pStyle w:val="TableContents"/>
              <w:widowControl w:val="false"/>
              <w:suppressLineNumbers/>
              <w:spacing w:before="0" w:after="200"/>
              <w:rPr/>
            </w:pPr>
            <w:r>
              <w:rPr>
                <w:rStyle w:val="Strong"/>
              </w:rPr>
              <w:t>Stakeholder participation</w:t>
            </w:r>
          </w:p>
        </w:tc>
        <w:tc>
          <w:tcPr>
            <w:tcW w:w="3234" w:type="dxa"/>
            <w:tcBorders/>
            <w:vAlign w:val="center"/>
          </w:tcPr>
          <w:p>
            <w:pPr>
              <w:pStyle w:val="TableContents"/>
              <w:widowControl w:val="false"/>
              <w:suppressLineNumbers/>
              <w:spacing w:before="0" w:after="200"/>
              <w:rPr/>
            </w:pPr>
            <w:r>
              <w:rPr/>
              <w:t>Often treated as integral to defining the problem and improvement</w:t>
            </w:r>
          </w:p>
        </w:tc>
        <w:tc>
          <w:tcPr>
            <w:tcW w:w="3468" w:type="dxa"/>
            <w:tcBorders/>
            <w:vAlign w:val="center"/>
          </w:tcPr>
          <w:p>
            <w:pPr>
              <w:pStyle w:val="TableContents"/>
              <w:widowControl w:val="false"/>
              <w:suppressLineNumbers/>
              <w:spacing w:before="0" w:after="200"/>
              <w:rPr/>
            </w:pPr>
            <w:r>
              <w:rPr/>
              <w:t>Supported but not inherently guaranteed by the abstract architecture</w:t>
            </w:r>
          </w:p>
        </w:tc>
      </w:tr>
      <w:tr>
        <w:trPr/>
        <w:tc>
          <w:tcPr>
            <w:tcW w:w="1938" w:type="dxa"/>
            <w:tcBorders/>
            <w:vAlign w:val="center"/>
          </w:tcPr>
          <w:p>
            <w:pPr>
              <w:pStyle w:val="TableContents"/>
              <w:widowControl w:val="false"/>
              <w:suppressLineNumbers/>
              <w:spacing w:before="0" w:after="200"/>
              <w:rPr/>
            </w:pPr>
            <w:r>
              <w:rPr>
                <w:rStyle w:val="Strong"/>
              </w:rPr>
              <w:t>System viability</w:t>
            </w:r>
          </w:p>
        </w:tc>
        <w:tc>
          <w:tcPr>
            <w:tcW w:w="3234" w:type="dxa"/>
            <w:tcBorders/>
            <w:vAlign w:val="center"/>
          </w:tcPr>
          <w:p>
            <w:pPr>
              <w:pStyle w:val="TableContents"/>
              <w:widowControl w:val="false"/>
              <w:suppressLineNumbers/>
              <w:spacing w:before="0" w:after="200"/>
              <w:rPr/>
            </w:pPr>
            <w:r>
              <w:rPr/>
              <w:t>May emphasize sustainability, resilience, or continued functioning</w:t>
            </w:r>
          </w:p>
        </w:tc>
        <w:tc>
          <w:tcPr>
            <w:tcW w:w="3468" w:type="dxa"/>
            <w:tcBorders/>
            <w:vAlign w:val="center"/>
          </w:tcPr>
          <w:p>
            <w:pPr>
              <w:pStyle w:val="TableContents"/>
              <w:widowControl w:val="false"/>
              <w:suppressLineNumbers/>
              <w:spacing w:before="0" w:after="200"/>
              <w:rPr/>
            </w:pPr>
            <w:r>
              <w:rPr/>
              <w:t>Treats viability as one component of flourishing rather than a sufficient moral objective</w:t>
            </w:r>
          </w:p>
        </w:tc>
      </w:tr>
      <w:tr>
        <w:trPr/>
        <w:tc>
          <w:tcPr>
            <w:tcW w:w="1938" w:type="dxa"/>
            <w:tcBorders/>
            <w:vAlign w:val="center"/>
          </w:tcPr>
          <w:p>
            <w:pPr>
              <w:pStyle w:val="TableContents"/>
              <w:widowControl w:val="false"/>
              <w:suppressLineNumbers/>
              <w:spacing w:before="0" w:after="200"/>
              <w:rPr/>
            </w:pPr>
            <w:r>
              <w:rPr>
                <w:rStyle w:val="Strong"/>
              </w:rPr>
              <w:t>Moral patients</w:t>
            </w:r>
          </w:p>
        </w:tc>
        <w:tc>
          <w:tcPr>
            <w:tcW w:w="3234" w:type="dxa"/>
            <w:tcBorders/>
            <w:vAlign w:val="center"/>
          </w:tcPr>
          <w:p>
            <w:pPr>
              <w:pStyle w:val="TableContents"/>
              <w:widowControl w:val="false"/>
              <w:suppressLineNumbers/>
              <w:spacing w:before="0" w:after="200"/>
              <w:rPr/>
            </w:pPr>
            <w:r>
              <w:rPr/>
              <w:t>Varies among applications; often stakeholder- or human-centered</w:t>
            </w:r>
          </w:p>
        </w:tc>
        <w:tc>
          <w:tcPr>
            <w:tcW w:w="3468" w:type="dxa"/>
            <w:tcBorders/>
            <w:vAlign w:val="center"/>
          </w:tcPr>
          <w:p>
            <w:pPr>
              <w:pStyle w:val="TableContents"/>
              <w:widowControl w:val="false"/>
              <w:suppressLineNumbers/>
              <w:spacing w:before="0" w:after="200"/>
              <w:rPr/>
            </w:pPr>
            <w:r>
              <w:rPr/>
              <w:t>Explicitly extends to relevant persistent adaptive entities, including autopoietic entities</w:t>
            </w:r>
          </w:p>
        </w:tc>
      </w:tr>
      <w:tr>
        <w:trPr/>
        <w:tc>
          <w:tcPr>
            <w:tcW w:w="1938" w:type="dxa"/>
            <w:tcBorders/>
            <w:vAlign w:val="center"/>
          </w:tcPr>
          <w:p>
            <w:pPr>
              <w:pStyle w:val="TableContents"/>
              <w:widowControl w:val="false"/>
              <w:suppressLineNumbers/>
              <w:spacing w:before="0" w:after="200"/>
              <w:rPr/>
            </w:pPr>
            <w:r>
              <w:rPr>
                <w:rStyle w:val="Strong"/>
              </w:rPr>
              <w:t>Responsibility</w:t>
            </w:r>
          </w:p>
        </w:tc>
        <w:tc>
          <w:tcPr>
            <w:tcW w:w="3234" w:type="dxa"/>
            <w:tcBorders/>
            <w:vAlign w:val="center"/>
          </w:tcPr>
          <w:p>
            <w:pPr>
              <w:pStyle w:val="TableContents"/>
              <w:widowControl w:val="false"/>
              <w:suppressLineNumbers/>
              <w:spacing w:before="0" w:after="200"/>
              <w:rPr/>
            </w:pPr>
            <w:r>
              <w:rPr/>
              <w:t>Often analyzes structural and distributed causation without one standardized responsibility model</w:t>
            </w:r>
          </w:p>
        </w:tc>
        <w:tc>
          <w:tcPr>
            <w:tcW w:w="3468" w:type="dxa"/>
            <w:tcBorders/>
            <w:vAlign w:val="center"/>
          </w:tcPr>
          <w:p>
            <w:pPr>
              <w:pStyle w:val="TableContents"/>
              <w:widowControl w:val="false"/>
              <w:suppressLineNumbers/>
              <w:spacing w:before="0" w:after="200"/>
              <w:rPr/>
            </w:pPr>
            <w:r>
              <w:rPr/>
              <w:t>Separates causal effect from responsibility and considers role, authority, knowledge, intent, alternatives, and foreseeability</w:t>
            </w:r>
          </w:p>
        </w:tc>
      </w:tr>
      <w:tr>
        <w:trPr/>
        <w:tc>
          <w:tcPr>
            <w:tcW w:w="1938" w:type="dxa"/>
            <w:tcBorders/>
            <w:vAlign w:val="center"/>
          </w:tcPr>
          <w:p>
            <w:pPr>
              <w:pStyle w:val="TableContents"/>
              <w:widowControl w:val="false"/>
              <w:suppressLineNumbers/>
              <w:spacing w:before="0" w:after="200"/>
              <w:rPr/>
            </w:pPr>
            <w:r>
              <w:rPr>
                <w:rStyle w:val="Strong"/>
              </w:rPr>
              <w:t>Quantification</w:t>
            </w:r>
          </w:p>
        </w:tc>
        <w:tc>
          <w:tcPr>
            <w:tcW w:w="3234" w:type="dxa"/>
            <w:tcBorders/>
            <w:vAlign w:val="center"/>
          </w:tcPr>
          <w:p>
            <w:pPr>
              <w:pStyle w:val="TableContents"/>
              <w:widowControl w:val="false"/>
              <w:suppressLineNumbers/>
              <w:spacing w:before="0" w:after="200"/>
              <w:rPr/>
            </w:pPr>
            <w:r>
              <w:rPr/>
              <w:t>May resist premature quantification of plural or contested situations</w:t>
            </w:r>
          </w:p>
        </w:tc>
        <w:tc>
          <w:tcPr>
            <w:tcW w:w="3468" w:type="dxa"/>
            <w:tcBorders/>
            <w:vAlign w:val="center"/>
          </w:tcPr>
          <w:p>
            <w:pPr>
              <w:pStyle w:val="TableContents"/>
              <w:widowControl w:val="false"/>
              <w:suppressLineNumbers/>
              <w:spacing w:before="0" w:after="200"/>
              <w:rPr/>
            </w:pPr>
            <w:r>
              <w:rPr/>
              <w:t>Uses aggregate metrics and probabilities as inputs while rejecting their use as complete substitutes for the transition</w:t>
            </w:r>
          </w:p>
        </w:tc>
      </w:tr>
      <w:tr>
        <w:trPr/>
        <w:tc>
          <w:tcPr>
            <w:tcW w:w="1938" w:type="dxa"/>
            <w:tcBorders/>
            <w:vAlign w:val="center"/>
          </w:tcPr>
          <w:p>
            <w:pPr>
              <w:pStyle w:val="TableContents"/>
              <w:widowControl w:val="false"/>
              <w:suppressLineNumbers/>
              <w:spacing w:before="0" w:after="200"/>
              <w:rPr/>
            </w:pPr>
            <w:r>
              <w:rPr>
                <w:rStyle w:val="Strong"/>
              </w:rPr>
              <w:t>Power and emancipation</w:t>
            </w:r>
          </w:p>
        </w:tc>
        <w:tc>
          <w:tcPr>
            <w:tcW w:w="3234" w:type="dxa"/>
            <w:tcBorders/>
            <w:vAlign w:val="center"/>
          </w:tcPr>
          <w:p>
            <w:pPr>
              <w:pStyle w:val="TableContents"/>
              <w:widowControl w:val="false"/>
              <w:suppressLineNumbers/>
              <w:spacing w:before="0" w:after="200"/>
              <w:rPr/>
            </w:pPr>
            <w:r>
              <w:rPr/>
              <w:t>Critical systems approaches may give power and emancipation a central role</w:t>
            </w:r>
          </w:p>
        </w:tc>
        <w:tc>
          <w:tcPr>
            <w:tcW w:w="3468" w:type="dxa"/>
            <w:tcBorders/>
            <w:vAlign w:val="center"/>
          </w:tcPr>
          <w:p>
            <w:pPr>
              <w:pStyle w:val="TableContents"/>
              <w:widowControl w:val="false"/>
              <w:suppressLineNumbers/>
              <w:spacing w:before="0" w:after="200"/>
              <w:rPr/>
            </w:pPr>
            <w:r>
              <w:rPr/>
              <w:t>Can represent power and exclusion but is not committed to a single emancipatory political theory</w:t>
            </w:r>
          </w:p>
        </w:tc>
      </w:tr>
      <w:tr>
        <w:trPr/>
        <w:tc>
          <w:tcPr>
            <w:tcW w:w="1938" w:type="dxa"/>
            <w:tcBorders/>
            <w:vAlign w:val="center"/>
          </w:tcPr>
          <w:p>
            <w:pPr>
              <w:pStyle w:val="TableContents"/>
              <w:widowControl w:val="false"/>
              <w:suppressLineNumbers/>
              <w:spacing w:before="0" w:after="200"/>
              <w:rPr/>
            </w:pPr>
            <w:r>
              <w:rPr>
                <w:rStyle w:val="Strong"/>
              </w:rPr>
              <w:t>Model purpose</w:t>
            </w:r>
          </w:p>
        </w:tc>
        <w:tc>
          <w:tcPr>
            <w:tcW w:w="3234" w:type="dxa"/>
            <w:tcBorders/>
            <w:vAlign w:val="center"/>
          </w:tcPr>
          <w:p>
            <w:pPr>
              <w:pStyle w:val="TableContents"/>
              <w:widowControl w:val="false"/>
              <w:suppressLineNumbers/>
              <w:spacing w:before="0" w:after="200"/>
              <w:rPr/>
            </w:pPr>
            <w:r>
              <w:rPr/>
              <w:t>Often treats models as learning devices for structured debate</w:t>
            </w:r>
          </w:p>
        </w:tc>
        <w:tc>
          <w:tcPr>
            <w:tcW w:w="3468" w:type="dxa"/>
            <w:tcBorders/>
            <w:vAlign w:val="center"/>
          </w:tcPr>
          <w:p>
            <w:pPr>
              <w:pStyle w:val="TableContents"/>
              <w:widowControl w:val="false"/>
              <w:suppressLineNumbers/>
              <w:spacing w:before="0" w:after="200"/>
              <w:rPr/>
            </w:pPr>
            <w:r>
              <w:rPr/>
              <w:t>May also use models to produce a comparative ethical assessment</w:t>
            </w:r>
          </w:p>
        </w:tc>
      </w:tr>
      <w:tr>
        <w:trPr/>
        <w:tc>
          <w:tcPr>
            <w:tcW w:w="1938" w:type="dxa"/>
            <w:tcBorders/>
            <w:vAlign w:val="center"/>
          </w:tcPr>
          <w:p>
            <w:pPr>
              <w:pStyle w:val="TableContents"/>
              <w:widowControl w:val="false"/>
              <w:suppressLineNumbers/>
              <w:spacing w:before="0" w:after="200"/>
              <w:rPr/>
            </w:pPr>
            <w:r>
              <w:rPr>
                <w:rStyle w:val="Strong"/>
              </w:rPr>
              <w:t>Ethical pluralism</w:t>
            </w:r>
          </w:p>
        </w:tc>
        <w:tc>
          <w:tcPr>
            <w:tcW w:w="3234" w:type="dxa"/>
            <w:tcBorders/>
            <w:vAlign w:val="center"/>
          </w:tcPr>
          <w:p>
            <w:pPr>
              <w:pStyle w:val="TableContents"/>
              <w:widowControl w:val="false"/>
              <w:suppressLineNumbers/>
              <w:spacing w:before="0" w:after="200"/>
              <w:rPr/>
            </w:pPr>
            <w:r>
              <w:rPr/>
              <w:t>Frequently accepts several competing definitions of improvement</w:t>
            </w:r>
          </w:p>
        </w:tc>
        <w:tc>
          <w:tcPr>
            <w:tcW w:w="3468" w:type="dxa"/>
            <w:tcBorders/>
            <w:vAlign w:val="center"/>
          </w:tcPr>
          <w:p>
            <w:pPr>
              <w:pStyle w:val="TableContents"/>
              <w:widowControl w:val="false"/>
              <w:suppressLineNumbers/>
              <w:spacing w:before="0" w:after="200"/>
              <w:rPr/>
            </w:pPr>
            <w:r>
              <w:rPr/>
              <w:t>Provides a high-level unifying criterion while permitting plural implementations</w:t>
            </w:r>
          </w:p>
        </w:tc>
      </w:tr>
      <w:tr>
        <w:trPr/>
        <w:tc>
          <w:tcPr>
            <w:tcW w:w="1938" w:type="dxa"/>
            <w:tcBorders/>
            <w:vAlign w:val="center"/>
          </w:tcPr>
          <w:p>
            <w:pPr>
              <w:pStyle w:val="TableContents"/>
              <w:widowControl w:val="false"/>
              <w:suppressLineNumbers/>
              <w:spacing w:before="0" w:after="200"/>
              <w:rPr/>
            </w:pPr>
            <w:r>
              <w:rPr>
                <w:rStyle w:val="Strong"/>
              </w:rPr>
              <w:t>Action versus structure</w:t>
            </w:r>
          </w:p>
        </w:tc>
        <w:tc>
          <w:tcPr>
            <w:tcW w:w="3234" w:type="dxa"/>
            <w:tcBorders/>
            <w:vAlign w:val="center"/>
          </w:tcPr>
          <w:p>
            <w:pPr>
              <w:pStyle w:val="TableContents"/>
              <w:widowControl w:val="false"/>
              <w:suppressLineNumbers/>
              <w:spacing w:before="0" w:after="200"/>
              <w:rPr/>
            </w:pPr>
            <w:r>
              <w:rPr/>
              <w:t>Often begins with the larger system or problem situation</w:t>
            </w:r>
          </w:p>
        </w:tc>
        <w:tc>
          <w:tcPr>
            <w:tcW w:w="3468" w:type="dxa"/>
            <w:tcBorders/>
            <w:vAlign w:val="center"/>
          </w:tcPr>
          <w:p>
            <w:pPr>
              <w:pStyle w:val="TableContents"/>
              <w:widowControl w:val="false"/>
              <w:suppressLineNumbers/>
              <w:spacing w:before="0" w:after="200"/>
              <w:rPr/>
            </w:pPr>
            <w:r>
              <w:rPr/>
              <w:t>Begins with an action but expands evaluation to the structures and policies altered by it</w:t>
            </w:r>
          </w:p>
        </w:tc>
      </w:tr>
      <w:tr>
        <w:trPr/>
        <w:tc>
          <w:tcPr>
            <w:tcW w:w="1938" w:type="dxa"/>
            <w:tcBorders/>
            <w:vAlign w:val="center"/>
          </w:tcPr>
          <w:p>
            <w:pPr>
              <w:pStyle w:val="TableContents"/>
              <w:widowControl w:val="false"/>
              <w:suppressLineNumbers/>
              <w:spacing w:before="0" w:after="200"/>
              <w:rPr/>
            </w:pPr>
            <w:r>
              <w:rPr>
                <w:rStyle w:val="Strong"/>
              </w:rPr>
              <w:t>Persistence</w:t>
            </w:r>
          </w:p>
        </w:tc>
        <w:tc>
          <w:tcPr>
            <w:tcW w:w="3234" w:type="dxa"/>
            <w:tcBorders/>
            <w:vAlign w:val="center"/>
          </w:tcPr>
          <w:p>
            <w:pPr>
              <w:pStyle w:val="TableContents"/>
              <w:widowControl w:val="false"/>
              <w:suppressLineNumbers/>
              <w:spacing w:before="0" w:after="200"/>
              <w:rPr/>
            </w:pPr>
            <w:r>
              <w:rPr/>
              <w:t>May regard system preservation as a practical goal</w:t>
            </w:r>
          </w:p>
        </w:tc>
        <w:tc>
          <w:tcPr>
            <w:tcW w:w="3468" w:type="dxa"/>
            <w:tcBorders/>
            <w:vAlign w:val="center"/>
          </w:tcPr>
          <w:p>
            <w:pPr>
              <w:pStyle w:val="TableContents"/>
              <w:widowControl w:val="false"/>
              <w:suppressLineNumbers/>
              <w:spacing w:before="0" w:after="200"/>
              <w:rPr/>
            </w:pPr>
            <w:r>
              <w:rPr/>
              <w:t>Requires preservation to be justified by the flourishing the system supports</w:t>
            </w:r>
          </w:p>
        </w:tc>
      </w:tr>
      <w:tr>
        <w:trPr/>
        <w:tc>
          <w:tcPr>
            <w:tcW w:w="1938" w:type="dxa"/>
            <w:tcBorders/>
            <w:vAlign w:val="center"/>
          </w:tcPr>
          <w:p>
            <w:pPr>
              <w:pStyle w:val="TableContents"/>
              <w:widowControl w:val="false"/>
              <w:suppressLineNumbers/>
              <w:spacing w:before="0" w:after="200"/>
              <w:rPr/>
            </w:pPr>
            <w:r>
              <w:rPr>
                <w:rStyle w:val="Strong"/>
              </w:rPr>
              <w:t>Artificial agents</w:t>
            </w:r>
          </w:p>
        </w:tc>
        <w:tc>
          <w:tcPr>
            <w:tcW w:w="3234" w:type="dxa"/>
            <w:tcBorders/>
            <w:vAlign w:val="center"/>
          </w:tcPr>
          <w:p>
            <w:pPr>
              <w:pStyle w:val="TableContents"/>
              <w:widowControl w:val="false"/>
              <w:suppressLineNumbers/>
              <w:spacing w:before="0" w:after="200"/>
              <w:rPr/>
            </w:pPr>
            <w:r>
              <w:rPr/>
              <w:t>Historically focused on human organizations, cybernetics, and technological control</w:t>
            </w:r>
          </w:p>
        </w:tc>
        <w:tc>
          <w:tcPr>
            <w:tcW w:w="3468" w:type="dxa"/>
            <w:tcBorders/>
            <w:vAlign w:val="center"/>
          </w:tcPr>
          <w:p>
            <w:pPr>
              <w:pStyle w:val="TableContents"/>
              <w:widowControl w:val="false"/>
              <w:suppressLineNumbers/>
              <w:spacing w:before="0" w:after="200"/>
              <w:rPr/>
            </w:pPr>
            <w:r>
              <w:rPr/>
              <w:t>Explicitly capable of evaluating artificial systems as actors, observers, policy carriers, or relevant entities</w:t>
            </w:r>
          </w:p>
        </w:tc>
      </w:tr>
    </w:tbl>
    <w:p>
      <w:pPr>
        <w:pStyle w:val="BodyText"/>
        <w:spacing w:before="0" w:after="200"/>
        <w:rPr/>
      </w:pPr>
      <w:r>
        <w:rPr/>
        <w:t>The primary tension concerns whether a single Foundational Axiom can remain sufficiently open to competing perspectives. Critical systems thinkers may argue that any definition of flourishing or relevance already reflects boundary choices and power. The framework responds by making those judgments explicit and revisable, but it cannot claim to eliminate them.</w:t>
      </w:r>
    </w:p>
    <w:p>
      <w:pPr>
        <w:pStyle w:val="BodyText"/>
        <w:spacing w:before="0" w:after="200"/>
        <w:rPr/>
      </w:pPr>
      <w:r>
        <w:rPr/>
        <w:t>A second tension concerns comprehensiveness. Systems Ethics cautions that there is no final view of the whole system. The proposed framework’s reference to a complete World Context Transition should therefore be interpreted as an obligation to pursue relevant completeness, not as a claim that an assessor possesses exhaustive knowledge.</w:t>
      </w:r>
    </w:p>
    <w:p>
      <w:pPr>
        <w:pStyle w:val="Heading4"/>
        <w:ind w:hanging="0" w:left="0"/>
        <w:rPr>
          <w:rFonts w:ascii="Aptos" w:hAnsi="Aptos"/>
          <w:color w:val="auto"/>
        </w:rPr>
      </w:pPr>
      <w:r>
        <w:rPr/>
        <w:t>Potential integration opportunities</w:t>
      </w:r>
    </w:p>
    <w:p>
      <w:pPr>
        <w:pStyle w:val="BodyText"/>
        <w:numPr>
          <w:ilvl w:val="0"/>
          <w:numId w:val="135"/>
        </w:numPr>
        <w:tabs>
          <w:tab w:val="clear" w:pos="720"/>
          <w:tab w:val="left" w:pos="0" w:leader="none"/>
        </w:tabs>
        <w:spacing w:before="0" w:after="200"/>
        <w:ind w:hanging="283" w:left="709"/>
        <w:rPr/>
      </w:pPr>
      <w:r>
        <w:rPr>
          <w:rStyle w:val="Strong"/>
        </w:rPr>
        <w:t>Require an explicit boundary critique.</w:t>
      </w:r>
      <w:r>
        <w:rPr/>
        <w:br/>
        <w:t>Every assessment should state:</w:t>
      </w:r>
    </w:p>
    <w:p>
      <w:pPr>
        <w:pStyle w:val="BodyText"/>
        <w:numPr>
          <w:ilvl w:val="1"/>
          <w:numId w:val="135"/>
        </w:numPr>
        <w:tabs>
          <w:tab w:val="clear" w:pos="720"/>
          <w:tab w:val="left" w:pos="0" w:leader="none"/>
        </w:tabs>
        <w:spacing w:before="0" w:after="200"/>
        <w:ind w:hanging="283" w:left="1418"/>
        <w:rPr/>
      </w:pPr>
      <w:r>
        <w:rPr/>
        <w:t>Which entities are included;</w:t>
      </w:r>
    </w:p>
    <w:p>
      <w:pPr>
        <w:pStyle w:val="BodyText"/>
        <w:numPr>
          <w:ilvl w:val="1"/>
          <w:numId w:val="135"/>
        </w:numPr>
        <w:tabs>
          <w:tab w:val="clear" w:pos="720"/>
          <w:tab w:val="left" w:pos="0" w:leader="none"/>
        </w:tabs>
        <w:spacing w:before="0" w:after="200"/>
        <w:ind w:hanging="283" w:left="1418"/>
        <w:rPr/>
      </w:pPr>
      <w:r>
        <w:rPr/>
        <w:t>Which entities are excluded;</w:t>
      </w:r>
    </w:p>
    <w:p>
      <w:pPr>
        <w:pStyle w:val="BodyText"/>
        <w:numPr>
          <w:ilvl w:val="1"/>
          <w:numId w:val="135"/>
        </w:numPr>
        <w:tabs>
          <w:tab w:val="clear" w:pos="720"/>
          <w:tab w:val="left" w:pos="0" w:leader="none"/>
        </w:tabs>
        <w:spacing w:before="0" w:after="200"/>
        <w:ind w:hanging="283" w:left="1418"/>
        <w:rPr/>
      </w:pPr>
      <w:r>
        <w:rPr/>
        <w:t>Which relationships are modeled;</w:t>
      </w:r>
    </w:p>
    <w:p>
      <w:pPr>
        <w:pStyle w:val="BodyText"/>
        <w:numPr>
          <w:ilvl w:val="1"/>
          <w:numId w:val="135"/>
        </w:numPr>
        <w:tabs>
          <w:tab w:val="clear" w:pos="720"/>
          <w:tab w:val="left" w:pos="0" w:leader="none"/>
        </w:tabs>
        <w:spacing w:before="0" w:after="200"/>
        <w:ind w:hanging="283" w:left="1418"/>
        <w:rPr/>
      </w:pPr>
      <w:r>
        <w:rPr/>
        <w:t>Which effects count as material;</w:t>
      </w:r>
    </w:p>
    <w:p>
      <w:pPr>
        <w:pStyle w:val="BodyText"/>
        <w:numPr>
          <w:ilvl w:val="1"/>
          <w:numId w:val="135"/>
        </w:numPr>
        <w:tabs>
          <w:tab w:val="clear" w:pos="720"/>
          <w:tab w:val="left" w:pos="0" w:leader="none"/>
        </w:tabs>
        <w:spacing w:before="0" w:after="200"/>
        <w:ind w:hanging="283" w:left="1418"/>
        <w:rPr/>
      </w:pPr>
      <w:r>
        <w:rPr/>
        <w:t>Which time horizons are used;</w:t>
      </w:r>
    </w:p>
    <w:p>
      <w:pPr>
        <w:pStyle w:val="BodyText"/>
        <w:numPr>
          <w:ilvl w:val="1"/>
          <w:numId w:val="135"/>
        </w:numPr>
        <w:tabs>
          <w:tab w:val="clear" w:pos="720"/>
          <w:tab w:val="left" w:pos="0" w:leader="none"/>
        </w:tabs>
        <w:spacing w:before="0" w:after="200"/>
        <w:ind w:hanging="283" w:left="1418"/>
        <w:rPr/>
      </w:pPr>
      <w:r>
        <w:rPr/>
        <w:t>Which geographic and institutional boundaries apply; and</w:t>
      </w:r>
    </w:p>
    <w:p>
      <w:pPr>
        <w:pStyle w:val="BodyText"/>
        <w:numPr>
          <w:ilvl w:val="1"/>
          <w:numId w:val="135"/>
        </w:numPr>
        <w:tabs>
          <w:tab w:val="clear" w:pos="720"/>
          <w:tab w:val="left" w:pos="0" w:leader="none"/>
        </w:tabs>
        <w:spacing w:before="0" w:after="200"/>
        <w:ind w:hanging="283" w:left="1418"/>
        <w:rPr/>
      </w:pPr>
      <w:r>
        <w:rPr/>
        <w:t>Who participated in making those selections.</w:t>
      </w:r>
    </w:p>
    <w:p>
      <w:pPr>
        <w:pStyle w:val="BodyText"/>
        <w:numPr>
          <w:ilvl w:val="0"/>
          <w:numId w:val="135"/>
        </w:numPr>
        <w:tabs>
          <w:tab w:val="clear" w:pos="720"/>
          <w:tab w:val="left" w:pos="0" w:leader="none"/>
        </w:tabs>
        <w:spacing w:before="0" w:after="200"/>
        <w:ind w:hanging="283" w:left="709"/>
        <w:rPr/>
      </w:pPr>
      <w:r>
        <w:rPr>
          <w:rStyle w:val="Strong"/>
        </w:rPr>
        <w:t>Incorporate Critical Systems Heuristics.</w:t>
      </w:r>
      <w:r>
        <w:rPr/>
        <w:br/>
        <w:t>Ulrich’s approach can be adapted into four boundary-question categories:</w:t>
      </w:r>
    </w:p>
    <w:p>
      <w:pPr>
        <w:pStyle w:val="BodyText"/>
        <w:numPr>
          <w:ilvl w:val="1"/>
          <w:numId w:val="135"/>
        </w:numPr>
        <w:tabs>
          <w:tab w:val="clear" w:pos="720"/>
          <w:tab w:val="left" w:pos="0" w:leader="none"/>
        </w:tabs>
        <w:spacing w:before="0" w:after="200"/>
        <w:ind w:hanging="283" w:left="1418"/>
        <w:rPr/>
      </w:pPr>
      <w:r>
        <w:rPr>
          <w:rStyle w:val="Strong"/>
        </w:rPr>
        <w:t>Motivation:</w:t>
      </w:r>
      <w:r>
        <w:rPr/>
        <w:t xml:space="preserve"> Who should benefit, what is the purpose, and what counts as improvement?</w:t>
      </w:r>
    </w:p>
    <w:p>
      <w:pPr>
        <w:pStyle w:val="BodyText"/>
        <w:numPr>
          <w:ilvl w:val="1"/>
          <w:numId w:val="135"/>
        </w:numPr>
        <w:tabs>
          <w:tab w:val="clear" w:pos="720"/>
          <w:tab w:val="left" w:pos="0" w:leader="none"/>
        </w:tabs>
        <w:spacing w:before="0" w:after="200"/>
        <w:ind w:hanging="283" w:left="1418"/>
        <w:rPr/>
      </w:pPr>
      <w:r>
        <w:rPr>
          <w:rStyle w:val="Strong"/>
        </w:rPr>
        <w:t>Control:</w:t>
      </w:r>
      <w:r>
        <w:rPr/>
        <w:t xml:space="preserve"> Who can decide, what resources are controlled, and what constraints are outside that control?</w:t>
      </w:r>
    </w:p>
    <w:p>
      <w:pPr>
        <w:pStyle w:val="BodyText"/>
        <w:numPr>
          <w:ilvl w:val="1"/>
          <w:numId w:val="135"/>
        </w:numPr>
        <w:tabs>
          <w:tab w:val="clear" w:pos="720"/>
          <w:tab w:val="left" w:pos="0" w:leader="none"/>
        </w:tabs>
        <w:spacing w:before="0" w:after="200"/>
        <w:ind w:hanging="283" w:left="1418"/>
        <w:rPr/>
      </w:pPr>
      <w:r>
        <w:rPr>
          <w:rStyle w:val="Strong"/>
        </w:rPr>
        <w:t>Knowledge:</w:t>
      </w:r>
      <w:r>
        <w:rPr/>
        <w:t xml:space="preserve"> Who counts as an expert, what expertise is relevant, and what supports or challenges claims of knowledge?</w:t>
      </w:r>
    </w:p>
    <w:p>
      <w:pPr>
        <w:pStyle w:val="BodyText"/>
        <w:numPr>
          <w:ilvl w:val="1"/>
          <w:numId w:val="135"/>
        </w:numPr>
        <w:tabs>
          <w:tab w:val="clear" w:pos="720"/>
          <w:tab w:val="left" w:pos="0" w:leader="none"/>
        </w:tabs>
        <w:spacing w:before="0" w:after="200"/>
        <w:ind w:hanging="283" w:left="1418"/>
        <w:rPr/>
      </w:pPr>
      <w:r>
        <w:rPr>
          <w:rStyle w:val="Strong"/>
        </w:rPr>
        <w:t>Legitimacy:</w:t>
      </w:r>
      <w:r>
        <w:rPr/>
        <w:t xml:space="preserve"> Who represents affected but excluded parties, what opportunities for emancipation or voice exist, and what worldview defines the analysis?</w:t>
      </w:r>
    </w:p>
    <w:p>
      <w:pPr>
        <w:pStyle w:val="BodyText"/>
        <w:numPr>
          <w:ilvl w:val="0"/>
          <w:numId w:val="135"/>
        </w:numPr>
        <w:tabs>
          <w:tab w:val="clear" w:pos="720"/>
          <w:tab w:val="left" w:pos="0" w:leader="none"/>
        </w:tabs>
        <w:spacing w:before="0" w:after="200"/>
        <w:ind w:hanging="283" w:left="709"/>
        <w:rPr/>
      </w:pPr>
      <w:r>
        <w:rPr>
          <w:rStyle w:val="Strong"/>
        </w:rPr>
        <w:t>Compare “is” and “ought” boundary profiles.</w:t>
      </w:r>
      <w:r>
        <w:rPr/>
        <w:br/>
        <w:t>The framework could separately document who currently benefits, decides, knows, and speaks, and who ethically ought to occupy those positions. The differences would identify structural reform requirements.</w:t>
      </w:r>
    </w:p>
    <w:p>
      <w:pPr>
        <w:pStyle w:val="BodyText"/>
        <w:numPr>
          <w:ilvl w:val="0"/>
          <w:numId w:val="135"/>
        </w:numPr>
        <w:tabs>
          <w:tab w:val="clear" w:pos="720"/>
          <w:tab w:val="left" w:pos="0" w:leader="none"/>
        </w:tabs>
        <w:spacing w:before="0" w:after="200"/>
        <w:ind w:hanging="283" w:left="709"/>
        <w:rPr/>
      </w:pPr>
      <w:r>
        <w:rPr>
          <w:rStyle w:val="Strong"/>
        </w:rPr>
        <w:t>Add a declared-purpose versus enacted-purpose audit.</w:t>
      </w:r>
      <w:r>
        <w:rPr/>
        <w:br/>
        <w:t>The assessment should compare formal mission statements with incentives, resource allocations, decision patterns, and actual outcomes.</w:t>
      </w:r>
    </w:p>
    <w:p>
      <w:pPr>
        <w:pStyle w:val="BodyText"/>
        <w:numPr>
          <w:ilvl w:val="0"/>
          <w:numId w:val="135"/>
        </w:numPr>
        <w:tabs>
          <w:tab w:val="clear" w:pos="720"/>
          <w:tab w:val="left" w:pos="0" w:leader="none"/>
        </w:tabs>
        <w:spacing w:before="0" w:after="200"/>
        <w:ind w:hanging="283" w:left="709"/>
        <w:rPr/>
      </w:pPr>
      <w:r>
        <w:rPr>
          <w:rStyle w:val="Strong"/>
        </w:rPr>
        <w:t>Require multiple system definitions.</w:t>
      </w:r>
      <w:r>
        <w:rPr/>
        <w:br/>
        <w:t>Where the situation is contested, the assessment should construct alternative descriptions from the perspectives of operators, beneficiaries, affected outsiders, regulators, future entities, and nonhuman interests.</w:t>
      </w:r>
    </w:p>
    <w:p>
      <w:pPr>
        <w:pStyle w:val="BodyText"/>
        <w:numPr>
          <w:ilvl w:val="0"/>
          <w:numId w:val="135"/>
        </w:numPr>
        <w:tabs>
          <w:tab w:val="clear" w:pos="720"/>
          <w:tab w:val="left" w:pos="0" w:leader="none"/>
        </w:tabs>
        <w:spacing w:before="0" w:after="200"/>
        <w:ind w:hanging="283" w:left="709"/>
        <w:rPr/>
      </w:pPr>
      <w:r>
        <w:rPr>
          <w:rStyle w:val="Strong"/>
        </w:rPr>
        <w:t>Use a problem-situation phase before action comparison.</w:t>
      </w:r>
      <w:r>
        <w:rPr/>
        <w:br/>
        <w:t>Before identifying discrete alternatives, assessors should examine whether participants agree on what the problem is. Prematurely defining the problem can exclude ethically important interpretations.</w:t>
      </w:r>
    </w:p>
    <w:p>
      <w:pPr>
        <w:pStyle w:val="BodyText"/>
        <w:numPr>
          <w:ilvl w:val="0"/>
          <w:numId w:val="135"/>
        </w:numPr>
        <w:tabs>
          <w:tab w:val="clear" w:pos="720"/>
          <w:tab w:val="left" w:pos="0" w:leader="none"/>
        </w:tabs>
        <w:spacing w:before="0" w:after="200"/>
        <w:ind w:hanging="283" w:left="709"/>
        <w:rPr/>
      </w:pPr>
      <w:r>
        <w:rPr>
          <w:rStyle w:val="Strong"/>
        </w:rPr>
        <w:t>Create a stakeholder and affected-entity map.</w:t>
      </w:r>
      <w:r>
        <w:rPr/>
        <w:br/>
        <w:t>This map should distinguish:</w:t>
      </w:r>
    </w:p>
    <w:p>
      <w:pPr>
        <w:pStyle w:val="BodyText"/>
        <w:numPr>
          <w:ilvl w:val="1"/>
          <w:numId w:val="135"/>
        </w:numPr>
        <w:tabs>
          <w:tab w:val="clear" w:pos="720"/>
          <w:tab w:val="left" w:pos="0" w:leader="none"/>
        </w:tabs>
        <w:spacing w:before="0" w:after="200"/>
        <w:ind w:hanging="283" w:left="1418"/>
        <w:rPr/>
      </w:pPr>
      <w:r>
        <w:rPr/>
        <w:t>Decision-makers;</w:t>
      </w:r>
    </w:p>
    <w:p>
      <w:pPr>
        <w:pStyle w:val="BodyText"/>
        <w:numPr>
          <w:ilvl w:val="1"/>
          <w:numId w:val="135"/>
        </w:numPr>
        <w:tabs>
          <w:tab w:val="clear" w:pos="720"/>
          <w:tab w:val="left" w:pos="0" w:leader="none"/>
        </w:tabs>
        <w:spacing w:before="0" w:after="200"/>
        <w:ind w:hanging="283" w:left="1418"/>
        <w:rPr/>
      </w:pPr>
      <w:r>
        <w:rPr/>
        <w:t>Operators;</w:t>
      </w:r>
    </w:p>
    <w:p>
      <w:pPr>
        <w:pStyle w:val="BodyText"/>
        <w:numPr>
          <w:ilvl w:val="1"/>
          <w:numId w:val="135"/>
        </w:numPr>
        <w:tabs>
          <w:tab w:val="clear" w:pos="720"/>
          <w:tab w:val="left" w:pos="0" w:leader="none"/>
        </w:tabs>
        <w:spacing w:before="0" w:after="200"/>
        <w:ind w:hanging="283" w:left="1418"/>
        <w:rPr/>
      </w:pPr>
      <w:r>
        <w:rPr/>
        <w:t>Direct beneficiaries;</w:t>
      </w:r>
    </w:p>
    <w:p>
      <w:pPr>
        <w:pStyle w:val="BodyText"/>
        <w:numPr>
          <w:ilvl w:val="1"/>
          <w:numId w:val="135"/>
        </w:numPr>
        <w:tabs>
          <w:tab w:val="clear" w:pos="720"/>
          <w:tab w:val="left" w:pos="0" w:leader="none"/>
        </w:tabs>
        <w:spacing w:before="0" w:after="200"/>
        <w:ind w:hanging="283" w:left="1418"/>
        <w:rPr/>
      </w:pPr>
      <w:r>
        <w:rPr/>
        <w:t>Directly burdened entities;</w:t>
      </w:r>
    </w:p>
    <w:p>
      <w:pPr>
        <w:pStyle w:val="BodyText"/>
        <w:numPr>
          <w:ilvl w:val="1"/>
          <w:numId w:val="135"/>
        </w:numPr>
        <w:tabs>
          <w:tab w:val="clear" w:pos="720"/>
          <w:tab w:val="left" w:pos="0" w:leader="none"/>
        </w:tabs>
        <w:spacing w:before="0" w:after="200"/>
        <w:ind w:hanging="283" w:left="1418"/>
        <w:rPr/>
      </w:pPr>
      <w:r>
        <w:rPr/>
        <w:t>Indirectly affected entities;</w:t>
      </w:r>
    </w:p>
    <w:p>
      <w:pPr>
        <w:pStyle w:val="BodyText"/>
        <w:numPr>
          <w:ilvl w:val="1"/>
          <w:numId w:val="135"/>
        </w:numPr>
        <w:tabs>
          <w:tab w:val="clear" w:pos="720"/>
          <w:tab w:val="left" w:pos="0" w:leader="none"/>
        </w:tabs>
        <w:spacing w:before="0" w:after="200"/>
        <w:ind w:hanging="283" w:left="1418"/>
        <w:rPr/>
      </w:pPr>
      <w:r>
        <w:rPr/>
        <w:t>Those unable to represent themselves;</w:t>
      </w:r>
    </w:p>
    <w:p>
      <w:pPr>
        <w:pStyle w:val="BodyText"/>
        <w:numPr>
          <w:ilvl w:val="1"/>
          <w:numId w:val="135"/>
        </w:numPr>
        <w:tabs>
          <w:tab w:val="clear" w:pos="720"/>
          <w:tab w:val="left" w:pos="0" w:leader="none"/>
        </w:tabs>
        <w:spacing w:before="0" w:after="200"/>
        <w:ind w:hanging="283" w:left="1418"/>
        <w:rPr/>
      </w:pPr>
      <w:r>
        <w:rPr/>
        <w:t>Future entities; and</w:t>
      </w:r>
    </w:p>
    <w:p>
      <w:pPr>
        <w:pStyle w:val="BodyText"/>
        <w:numPr>
          <w:ilvl w:val="1"/>
          <w:numId w:val="135"/>
        </w:numPr>
        <w:tabs>
          <w:tab w:val="clear" w:pos="720"/>
          <w:tab w:val="left" w:pos="0" w:leader="none"/>
        </w:tabs>
        <w:spacing w:before="0" w:after="200"/>
        <w:ind w:hanging="283" w:left="1418"/>
        <w:rPr/>
      </w:pPr>
      <w:r>
        <w:rPr/>
        <w:t>Entities with formal authority but little exposure to the consequences.</w:t>
      </w:r>
    </w:p>
    <w:p>
      <w:pPr>
        <w:pStyle w:val="BodyText"/>
        <w:numPr>
          <w:ilvl w:val="0"/>
          <w:numId w:val="135"/>
        </w:numPr>
        <w:tabs>
          <w:tab w:val="clear" w:pos="720"/>
          <w:tab w:val="left" w:pos="0" w:leader="none"/>
        </w:tabs>
        <w:spacing w:before="0" w:after="200"/>
        <w:ind w:hanging="283" w:left="709"/>
        <w:rPr/>
      </w:pPr>
      <w:r>
        <w:rPr>
          <w:rStyle w:val="Strong"/>
        </w:rPr>
        <w:t>Add a power and voice assessment.</w:t>
      </w:r>
      <w:r>
        <w:rPr/>
        <w:br/>
        <w:t>The analysis should identify who controls information, models, resources, classification, participation, appeal, and implementation. Formal participation should not be treated as meaningful when participants lack influence.</w:t>
      </w:r>
    </w:p>
    <w:p>
      <w:pPr>
        <w:pStyle w:val="BodyText"/>
        <w:numPr>
          <w:ilvl w:val="0"/>
          <w:numId w:val="135"/>
        </w:numPr>
        <w:tabs>
          <w:tab w:val="clear" w:pos="720"/>
          <w:tab w:val="left" w:pos="0" w:leader="none"/>
        </w:tabs>
        <w:spacing w:before="0" w:after="200"/>
        <w:ind w:hanging="283" w:left="709"/>
        <w:rPr/>
      </w:pPr>
      <w:r>
        <w:rPr>
          <w:rStyle w:val="Strong"/>
        </w:rPr>
        <w:t>Develop feedback-loop analysis.</w:t>
      </w:r>
      <w:r>
        <w:rPr/>
        <w:br/>
        <w:t>For complex assessments, causal-loop models can identify reinforcing and balancing processes, normalization, resistance, escalation, resource depletion, and self-correction.</w:t>
      </w:r>
    </w:p>
    <w:p>
      <w:pPr>
        <w:pStyle w:val="BodyText"/>
        <w:numPr>
          <w:ilvl w:val="0"/>
          <w:numId w:val="135"/>
        </w:numPr>
        <w:tabs>
          <w:tab w:val="clear" w:pos="720"/>
          <w:tab w:val="left" w:pos="0" w:leader="none"/>
        </w:tabs>
        <w:spacing w:before="0" w:after="200"/>
        <w:ind w:hanging="283" w:left="709"/>
        <w:rPr/>
      </w:pPr>
      <w:r>
        <w:rPr>
          <w:rStyle w:val="Strong"/>
        </w:rPr>
        <w:t>Include stock-and-flow analysis when accumulation matters.</w:t>
      </w:r>
      <w:r>
        <w:rPr/>
        <w:br/>
        <w:t>Relevant stocks may include trust, knowledge, workforce capacity, ecological resources, institutional legitimacy, infrastructure condition, unresolved risk, and social resentment.</w:t>
      </w:r>
    </w:p>
    <w:p>
      <w:pPr>
        <w:pStyle w:val="BodyText"/>
        <w:numPr>
          <w:ilvl w:val="0"/>
          <w:numId w:val="135"/>
        </w:numPr>
        <w:tabs>
          <w:tab w:val="clear" w:pos="720"/>
          <w:tab w:val="left" w:pos="0" w:leader="none"/>
        </w:tabs>
        <w:spacing w:before="0" w:after="200"/>
        <w:ind w:hanging="283" w:left="709"/>
        <w:rPr/>
      </w:pPr>
      <w:r>
        <w:rPr>
          <w:rStyle w:val="Strong"/>
        </w:rPr>
        <w:t>Require delay analysis.</w:t>
      </w:r>
      <w:r>
        <w:rPr/>
        <w:br/>
        <w:t>Each significant causal relationship should be examined for delays that could obscure responsibility or produce misleading short-term indicators.</w:t>
      </w:r>
    </w:p>
    <w:p>
      <w:pPr>
        <w:pStyle w:val="BodyText"/>
        <w:numPr>
          <w:ilvl w:val="0"/>
          <w:numId w:val="135"/>
        </w:numPr>
        <w:tabs>
          <w:tab w:val="clear" w:pos="720"/>
          <w:tab w:val="left" w:pos="0" w:leader="none"/>
        </w:tabs>
        <w:spacing w:before="0" w:after="200"/>
        <w:ind w:hanging="283" w:left="709"/>
        <w:rPr/>
      </w:pPr>
      <w:r>
        <w:rPr>
          <w:rStyle w:val="Strong"/>
        </w:rPr>
        <w:t>Add threshold and tipping-point scenarios.</w:t>
      </w:r>
      <w:r>
        <w:rPr/>
        <w:br/>
        <w:t>The framework should identify circumstances in which gradual change may trigger abrupt ecological, institutional, technological, or behavioral transitions.</w:t>
      </w:r>
    </w:p>
    <w:p>
      <w:pPr>
        <w:pStyle w:val="BodyText"/>
        <w:numPr>
          <w:ilvl w:val="0"/>
          <w:numId w:val="135"/>
        </w:numPr>
        <w:tabs>
          <w:tab w:val="clear" w:pos="720"/>
          <w:tab w:val="left" w:pos="0" w:leader="none"/>
        </w:tabs>
        <w:spacing w:before="0" w:after="200"/>
        <w:ind w:hanging="283" w:left="709"/>
        <w:rPr/>
      </w:pPr>
      <w:r>
        <w:rPr>
          <w:rStyle w:val="Strong"/>
        </w:rPr>
        <w:t>Conduct a local-optimization audit.</w:t>
      </w:r>
      <w:r>
        <w:rPr/>
        <w:br/>
        <w:t>Every claimed improvement should be tested for cost transfers across departments, organizations, populations, geographic regions, generations, and ecosystems.</w:t>
      </w:r>
    </w:p>
    <w:p>
      <w:pPr>
        <w:pStyle w:val="BodyText"/>
        <w:numPr>
          <w:ilvl w:val="0"/>
          <w:numId w:val="135"/>
        </w:numPr>
        <w:tabs>
          <w:tab w:val="clear" w:pos="720"/>
          <w:tab w:val="left" w:pos="0" w:leader="none"/>
        </w:tabs>
        <w:spacing w:before="0" w:after="200"/>
        <w:ind w:hanging="283" w:left="709"/>
        <w:rPr/>
      </w:pPr>
      <w:r>
        <w:rPr>
          <w:rStyle w:val="Strong"/>
        </w:rPr>
        <w:t>Build a systems-trap library.</w:t>
      </w:r>
      <w:r>
        <w:rPr/>
        <w:br/>
        <w:t>Common patterns could include:</w:t>
      </w:r>
    </w:p>
    <w:p>
      <w:pPr>
        <w:pStyle w:val="BodyText"/>
        <w:numPr>
          <w:ilvl w:val="1"/>
          <w:numId w:val="135"/>
        </w:numPr>
        <w:tabs>
          <w:tab w:val="clear" w:pos="720"/>
          <w:tab w:val="left" w:pos="0" w:leader="none"/>
        </w:tabs>
        <w:spacing w:before="0" w:after="200"/>
        <w:ind w:hanging="283" w:left="1418"/>
        <w:rPr/>
      </w:pPr>
      <w:r>
        <w:rPr/>
        <w:t>Fixes that fail;</w:t>
      </w:r>
    </w:p>
    <w:p>
      <w:pPr>
        <w:pStyle w:val="BodyText"/>
        <w:numPr>
          <w:ilvl w:val="1"/>
          <w:numId w:val="135"/>
        </w:numPr>
        <w:tabs>
          <w:tab w:val="clear" w:pos="720"/>
          <w:tab w:val="left" w:pos="0" w:leader="none"/>
        </w:tabs>
        <w:spacing w:before="0" w:after="200"/>
        <w:ind w:hanging="283" w:left="1418"/>
        <w:rPr/>
      </w:pPr>
      <w:r>
        <w:rPr/>
        <w:t>Shifting the burden;</w:t>
      </w:r>
    </w:p>
    <w:p>
      <w:pPr>
        <w:pStyle w:val="BodyText"/>
        <w:numPr>
          <w:ilvl w:val="1"/>
          <w:numId w:val="135"/>
        </w:numPr>
        <w:tabs>
          <w:tab w:val="clear" w:pos="720"/>
          <w:tab w:val="left" w:pos="0" w:leader="none"/>
        </w:tabs>
        <w:spacing w:before="0" w:after="200"/>
        <w:ind w:hanging="283" w:left="1418"/>
        <w:rPr/>
      </w:pPr>
      <w:r>
        <w:rPr/>
        <w:t>Escalation;</w:t>
      </w:r>
    </w:p>
    <w:p>
      <w:pPr>
        <w:pStyle w:val="BodyText"/>
        <w:numPr>
          <w:ilvl w:val="1"/>
          <w:numId w:val="135"/>
        </w:numPr>
        <w:tabs>
          <w:tab w:val="clear" w:pos="720"/>
          <w:tab w:val="left" w:pos="0" w:leader="none"/>
        </w:tabs>
        <w:spacing w:before="0" w:after="200"/>
        <w:ind w:hanging="283" w:left="1418"/>
        <w:rPr/>
      </w:pPr>
      <w:r>
        <w:rPr/>
        <w:t>Success to the successful;</w:t>
      </w:r>
    </w:p>
    <w:p>
      <w:pPr>
        <w:pStyle w:val="BodyText"/>
        <w:numPr>
          <w:ilvl w:val="1"/>
          <w:numId w:val="135"/>
        </w:numPr>
        <w:tabs>
          <w:tab w:val="clear" w:pos="720"/>
          <w:tab w:val="left" w:pos="0" w:leader="none"/>
        </w:tabs>
        <w:spacing w:before="0" w:after="200"/>
        <w:ind w:hanging="283" w:left="1418"/>
        <w:rPr/>
      </w:pPr>
      <w:r>
        <w:rPr/>
        <w:t>Tragedy of the commons;</w:t>
      </w:r>
    </w:p>
    <w:p>
      <w:pPr>
        <w:pStyle w:val="BodyText"/>
        <w:numPr>
          <w:ilvl w:val="1"/>
          <w:numId w:val="135"/>
        </w:numPr>
        <w:tabs>
          <w:tab w:val="clear" w:pos="720"/>
          <w:tab w:val="left" w:pos="0" w:leader="none"/>
        </w:tabs>
        <w:spacing w:before="0" w:after="200"/>
        <w:ind w:hanging="283" w:left="1418"/>
        <w:rPr/>
      </w:pPr>
      <w:r>
        <w:rPr/>
        <w:t>Drift toward lower standards;</w:t>
      </w:r>
    </w:p>
    <w:p>
      <w:pPr>
        <w:pStyle w:val="BodyText"/>
        <w:numPr>
          <w:ilvl w:val="1"/>
          <w:numId w:val="135"/>
        </w:numPr>
        <w:tabs>
          <w:tab w:val="clear" w:pos="720"/>
          <w:tab w:val="left" w:pos="0" w:leader="none"/>
        </w:tabs>
        <w:spacing w:before="0" w:after="200"/>
        <w:ind w:hanging="283" w:left="1418"/>
        <w:rPr/>
      </w:pPr>
      <w:r>
        <w:rPr/>
        <w:t>Policy resistance;</w:t>
      </w:r>
    </w:p>
    <w:p>
      <w:pPr>
        <w:pStyle w:val="BodyText"/>
        <w:numPr>
          <w:ilvl w:val="1"/>
          <w:numId w:val="135"/>
        </w:numPr>
        <w:tabs>
          <w:tab w:val="clear" w:pos="720"/>
          <w:tab w:val="left" w:pos="0" w:leader="none"/>
        </w:tabs>
        <w:spacing w:before="0" w:after="200"/>
        <w:ind w:hanging="283" w:left="1418"/>
        <w:rPr/>
      </w:pPr>
      <w:r>
        <w:rPr/>
        <w:t>Goal displacement; and</w:t>
      </w:r>
    </w:p>
    <w:p>
      <w:pPr>
        <w:pStyle w:val="BodyText"/>
        <w:numPr>
          <w:ilvl w:val="1"/>
          <w:numId w:val="135"/>
        </w:numPr>
        <w:tabs>
          <w:tab w:val="clear" w:pos="720"/>
          <w:tab w:val="left" w:pos="0" w:leader="none"/>
        </w:tabs>
        <w:spacing w:before="0" w:after="200"/>
        <w:ind w:hanging="283" w:left="1418"/>
        <w:rPr/>
      </w:pPr>
      <w:r>
        <w:rPr/>
        <w:t>Metric gaming.</w:t>
      </w:r>
    </w:p>
    <w:p>
      <w:pPr>
        <w:pStyle w:val="BodyText"/>
        <w:numPr>
          <w:ilvl w:val="0"/>
          <w:numId w:val="135"/>
        </w:numPr>
        <w:tabs>
          <w:tab w:val="clear" w:pos="720"/>
          <w:tab w:val="left" w:pos="0" w:leader="none"/>
        </w:tabs>
        <w:spacing w:before="0" w:after="200"/>
        <w:ind w:hanging="283" w:left="709"/>
        <w:rPr/>
      </w:pPr>
      <w:r>
        <w:rPr>
          <w:rStyle w:val="Strong"/>
        </w:rPr>
        <w:t>Add leverage-point analysis.</w:t>
      </w:r>
      <w:r>
        <w:rPr/>
        <w:br/>
        <w:t>Assessments should distinguish interventions that alter:</w:t>
      </w:r>
    </w:p>
    <w:p>
      <w:pPr>
        <w:pStyle w:val="BodyText"/>
        <w:numPr>
          <w:ilvl w:val="1"/>
          <w:numId w:val="135"/>
        </w:numPr>
        <w:tabs>
          <w:tab w:val="clear" w:pos="720"/>
          <w:tab w:val="left" w:pos="0" w:leader="none"/>
        </w:tabs>
        <w:spacing w:before="0" w:after="200"/>
        <w:ind w:hanging="283" w:left="1418"/>
        <w:rPr/>
      </w:pPr>
      <w:r>
        <w:rPr/>
        <w:t>Parameters;</w:t>
      </w:r>
    </w:p>
    <w:p>
      <w:pPr>
        <w:pStyle w:val="BodyText"/>
        <w:numPr>
          <w:ilvl w:val="1"/>
          <w:numId w:val="135"/>
        </w:numPr>
        <w:tabs>
          <w:tab w:val="clear" w:pos="720"/>
          <w:tab w:val="left" w:pos="0" w:leader="none"/>
        </w:tabs>
        <w:spacing w:before="0" w:after="200"/>
        <w:ind w:hanging="283" w:left="1418"/>
        <w:rPr/>
      </w:pPr>
      <w:r>
        <w:rPr/>
        <w:t>Resource flows;</w:t>
      </w:r>
    </w:p>
    <w:p>
      <w:pPr>
        <w:pStyle w:val="BodyText"/>
        <w:numPr>
          <w:ilvl w:val="1"/>
          <w:numId w:val="135"/>
        </w:numPr>
        <w:tabs>
          <w:tab w:val="clear" w:pos="720"/>
          <w:tab w:val="left" w:pos="0" w:leader="none"/>
        </w:tabs>
        <w:spacing w:before="0" w:after="200"/>
        <w:ind w:hanging="283" w:left="1418"/>
        <w:rPr/>
      </w:pPr>
      <w:r>
        <w:rPr/>
        <w:t>Feedback strength;</w:t>
      </w:r>
    </w:p>
    <w:p>
      <w:pPr>
        <w:pStyle w:val="BodyText"/>
        <w:numPr>
          <w:ilvl w:val="1"/>
          <w:numId w:val="135"/>
        </w:numPr>
        <w:tabs>
          <w:tab w:val="clear" w:pos="720"/>
          <w:tab w:val="left" w:pos="0" w:leader="none"/>
        </w:tabs>
        <w:spacing w:before="0" w:after="200"/>
        <w:ind w:hanging="283" w:left="1418"/>
        <w:rPr/>
      </w:pPr>
      <w:r>
        <w:rPr/>
        <w:t>Information access;</w:t>
      </w:r>
    </w:p>
    <w:p>
      <w:pPr>
        <w:pStyle w:val="BodyText"/>
        <w:numPr>
          <w:ilvl w:val="1"/>
          <w:numId w:val="135"/>
        </w:numPr>
        <w:tabs>
          <w:tab w:val="clear" w:pos="720"/>
          <w:tab w:val="left" w:pos="0" w:leader="none"/>
        </w:tabs>
        <w:spacing w:before="0" w:after="200"/>
        <w:ind w:hanging="283" w:left="1418"/>
        <w:rPr/>
      </w:pPr>
      <w:r>
        <w:rPr/>
        <w:t>Rules and incentives;</w:t>
      </w:r>
    </w:p>
    <w:p>
      <w:pPr>
        <w:pStyle w:val="BodyText"/>
        <w:numPr>
          <w:ilvl w:val="1"/>
          <w:numId w:val="135"/>
        </w:numPr>
        <w:tabs>
          <w:tab w:val="clear" w:pos="720"/>
          <w:tab w:val="left" w:pos="0" w:leader="none"/>
        </w:tabs>
        <w:spacing w:before="0" w:after="200"/>
        <w:ind w:hanging="283" w:left="1418"/>
        <w:rPr/>
      </w:pPr>
      <w:r>
        <w:rPr/>
        <w:t>Authority;</w:t>
      </w:r>
    </w:p>
    <w:p>
      <w:pPr>
        <w:pStyle w:val="BodyText"/>
        <w:numPr>
          <w:ilvl w:val="1"/>
          <w:numId w:val="135"/>
        </w:numPr>
        <w:tabs>
          <w:tab w:val="clear" w:pos="720"/>
          <w:tab w:val="left" w:pos="0" w:leader="none"/>
        </w:tabs>
        <w:spacing w:before="0" w:after="200"/>
        <w:ind w:hanging="283" w:left="1418"/>
        <w:rPr/>
      </w:pPr>
      <w:r>
        <w:rPr/>
        <w:t>System goals; or</w:t>
      </w:r>
    </w:p>
    <w:p>
      <w:pPr>
        <w:pStyle w:val="BodyText"/>
        <w:numPr>
          <w:ilvl w:val="1"/>
          <w:numId w:val="135"/>
        </w:numPr>
        <w:tabs>
          <w:tab w:val="clear" w:pos="720"/>
          <w:tab w:val="left" w:pos="0" w:leader="none"/>
        </w:tabs>
        <w:spacing w:before="0" w:after="200"/>
        <w:ind w:hanging="283" w:left="1418"/>
        <w:rPr/>
      </w:pPr>
      <w:r>
        <w:rPr/>
        <w:t>The underlying assumptions from which goals arise.</w:t>
      </w:r>
    </w:p>
    <w:p>
      <w:pPr>
        <w:pStyle w:val="BodyText"/>
        <w:numPr>
          <w:ilvl w:val="0"/>
          <w:numId w:val="135"/>
        </w:numPr>
        <w:tabs>
          <w:tab w:val="clear" w:pos="720"/>
          <w:tab w:val="left" w:pos="0" w:leader="none"/>
        </w:tabs>
        <w:spacing w:before="0" w:after="200"/>
        <w:ind w:hanging="283" w:left="709"/>
        <w:rPr/>
      </w:pPr>
      <w:r>
        <w:rPr>
          <w:rStyle w:val="Strong"/>
        </w:rPr>
        <w:t>Distinguish preservation, adaptation, transformation, and dissolution.</w:t>
      </w:r>
      <w:r>
        <w:rPr/>
        <w:br/>
        <w:t>A system facing instability should not automatically be preserved. The framework should compare whether ethical flourishing is best served by maintaining the system, adapting it, transforming its structure, or ending it.</w:t>
      </w:r>
    </w:p>
    <w:p>
      <w:pPr>
        <w:pStyle w:val="BodyText"/>
        <w:numPr>
          <w:ilvl w:val="0"/>
          <w:numId w:val="135"/>
        </w:numPr>
        <w:tabs>
          <w:tab w:val="clear" w:pos="720"/>
          <w:tab w:val="left" w:pos="0" w:leader="none"/>
        </w:tabs>
        <w:spacing w:before="0" w:after="200"/>
        <w:ind w:hanging="283" w:left="709"/>
        <w:rPr/>
      </w:pPr>
      <w:r>
        <w:rPr>
          <w:rStyle w:val="Strong"/>
        </w:rPr>
        <w:t>Condition resilience on ethical function.</w:t>
      </w:r>
      <w:r>
        <w:rPr/>
        <w:br/>
        <w:t>Resilience should be evaluated according to what is being made resilient. Increasing the resilience of an exploitative institution is not an ethical improvement.</w:t>
      </w:r>
    </w:p>
    <w:p>
      <w:pPr>
        <w:pStyle w:val="BodyText"/>
        <w:numPr>
          <w:ilvl w:val="0"/>
          <w:numId w:val="135"/>
        </w:numPr>
        <w:tabs>
          <w:tab w:val="clear" w:pos="720"/>
          <w:tab w:val="left" w:pos="0" w:leader="none"/>
        </w:tabs>
        <w:spacing w:before="0" w:after="200"/>
        <w:ind w:hanging="283" w:left="709"/>
        <w:rPr/>
      </w:pPr>
      <w:r>
        <w:rPr>
          <w:rStyle w:val="Strong"/>
        </w:rPr>
        <w:t>Add a minimum-versus-optimal-viability distinction.</w:t>
      </w:r>
      <w:r>
        <w:rPr/>
        <w:br/>
        <w:t>The framework should identify the minimum functions required to avoid collapse while separately evaluating whether the resulting system supports meaningful flourishing.</w:t>
      </w:r>
    </w:p>
    <w:p>
      <w:pPr>
        <w:pStyle w:val="BodyText"/>
        <w:numPr>
          <w:ilvl w:val="0"/>
          <w:numId w:val="135"/>
        </w:numPr>
        <w:tabs>
          <w:tab w:val="clear" w:pos="720"/>
          <w:tab w:val="left" w:pos="0" w:leader="none"/>
        </w:tabs>
        <w:spacing w:before="0" w:after="200"/>
        <w:ind w:hanging="283" w:left="709"/>
        <w:rPr/>
      </w:pPr>
      <w:r>
        <w:rPr>
          <w:rStyle w:val="Strong"/>
        </w:rPr>
        <w:t>Strengthen representation of autopoietic entities.</w:t>
      </w:r>
      <w:r>
        <w:rPr/>
        <w:br/>
        <w:t>The framework could distinguish biological self-production from broader adaptive persistence and avoid treating every self-maintaining organization as autopoietic in the original biological sense.</w:t>
      </w:r>
    </w:p>
    <w:p>
      <w:pPr>
        <w:pStyle w:val="BodyText"/>
        <w:numPr>
          <w:ilvl w:val="0"/>
          <w:numId w:val="135"/>
        </w:numPr>
        <w:tabs>
          <w:tab w:val="clear" w:pos="720"/>
          <w:tab w:val="left" w:pos="0" w:leader="none"/>
        </w:tabs>
        <w:spacing w:before="0" w:after="200"/>
        <w:ind w:hanging="283" w:left="709"/>
        <w:rPr/>
      </w:pPr>
      <w:r>
        <w:rPr>
          <w:rStyle w:val="Strong"/>
        </w:rPr>
        <w:t>Model structural coupling.</w:t>
      </w:r>
      <w:r>
        <w:rPr/>
        <w:br/>
        <w:t>Long-standing reciprocal relationships between entities and environments should be examined for co-development, dependency, lock-in, and mutual adaptation.</w:t>
      </w:r>
    </w:p>
    <w:p>
      <w:pPr>
        <w:pStyle w:val="BodyText"/>
        <w:numPr>
          <w:ilvl w:val="0"/>
          <w:numId w:val="135"/>
        </w:numPr>
        <w:tabs>
          <w:tab w:val="clear" w:pos="720"/>
          <w:tab w:val="left" w:pos="0" w:leader="none"/>
        </w:tabs>
        <w:spacing w:before="0" w:after="200"/>
        <w:ind w:hanging="283" w:left="709"/>
        <w:rPr/>
      </w:pPr>
      <w:r>
        <w:rPr>
          <w:rStyle w:val="Strong"/>
        </w:rPr>
        <w:t>Add second-order model review.</w:t>
      </w:r>
      <w:r>
        <w:rPr/>
        <w:br/>
        <w:t>A separate review should ask how the framework, assessor, data collection process, or published conclusion will change the behavior of the system being assessed.</w:t>
      </w:r>
    </w:p>
    <w:p>
      <w:pPr>
        <w:pStyle w:val="BodyText"/>
        <w:numPr>
          <w:ilvl w:val="0"/>
          <w:numId w:val="135"/>
        </w:numPr>
        <w:tabs>
          <w:tab w:val="clear" w:pos="720"/>
          <w:tab w:val="left" w:pos="0" w:leader="none"/>
        </w:tabs>
        <w:spacing w:before="0" w:after="200"/>
        <w:ind w:hanging="283" w:left="709"/>
        <w:rPr/>
      </w:pPr>
      <w:r>
        <w:rPr>
          <w:rStyle w:val="Strong"/>
        </w:rPr>
        <w:t>Use adversarial or plural model comparison.</w:t>
      </w:r>
      <w:r>
        <w:rPr/>
        <w:br/>
        <w:t>Where stakes are high, multiple teams or stakeholder groups could construct independent models. Differences in boundaries, causal assumptions, and priorities would become part of the ethical evidence.</w:t>
      </w:r>
    </w:p>
    <w:p>
      <w:pPr>
        <w:pStyle w:val="BodyText"/>
        <w:numPr>
          <w:ilvl w:val="0"/>
          <w:numId w:val="135"/>
        </w:numPr>
        <w:tabs>
          <w:tab w:val="clear" w:pos="720"/>
          <w:tab w:val="left" w:pos="0" w:leader="none"/>
        </w:tabs>
        <w:spacing w:before="0" w:after="200"/>
        <w:ind w:hanging="283" w:left="709"/>
        <w:rPr/>
      </w:pPr>
      <w:r>
        <w:rPr>
          <w:rStyle w:val="Strong"/>
        </w:rPr>
        <w:t>Create an evidence-diversity requirement.</w:t>
      </w:r>
      <w:r>
        <w:rPr/>
        <w:br/>
        <w:t>Systemic assessment should combine relevant quantitative data with qualitative testimony, institutional history, contextual expertise, observed behavior, and evidence from less powerful participants.</w:t>
      </w:r>
    </w:p>
    <w:p>
      <w:pPr>
        <w:pStyle w:val="BodyText"/>
        <w:numPr>
          <w:ilvl w:val="0"/>
          <w:numId w:val="135"/>
        </w:numPr>
        <w:tabs>
          <w:tab w:val="clear" w:pos="720"/>
          <w:tab w:val="left" w:pos="0" w:leader="none"/>
        </w:tabs>
        <w:spacing w:before="0" w:after="200"/>
        <w:ind w:hanging="283" w:left="709"/>
        <w:rPr/>
      </w:pPr>
      <w:r>
        <w:rPr>
          <w:rStyle w:val="Strong"/>
        </w:rPr>
        <w:t>Support safe-to-learn interventions.</w:t>
      </w:r>
      <w:r>
        <w:rPr/>
        <w:br/>
        <w:t>Under substantial uncertainty, the framework should prefer bounded, reversible, monitored experiments when delay does not expose affected entities to unacceptable harm.</w:t>
      </w:r>
    </w:p>
    <w:p>
      <w:pPr>
        <w:pStyle w:val="BodyText"/>
        <w:numPr>
          <w:ilvl w:val="0"/>
          <w:numId w:val="135"/>
        </w:numPr>
        <w:tabs>
          <w:tab w:val="clear" w:pos="720"/>
          <w:tab w:val="left" w:pos="0" w:leader="none"/>
        </w:tabs>
        <w:spacing w:before="0" w:after="200"/>
        <w:ind w:hanging="283" w:left="709"/>
        <w:rPr/>
      </w:pPr>
      <w:r>
        <w:rPr>
          <w:rStyle w:val="Strong"/>
        </w:rPr>
        <w:t>Require feedback and revision plans.</w:t>
      </w:r>
      <w:r>
        <w:rPr/>
        <w:br/>
        <w:t>Every implemented action should identify indicators, monitoring frequency, responsible parties, correction thresholds, and mechanisms for repair.</w:t>
      </w:r>
    </w:p>
    <w:p>
      <w:pPr>
        <w:pStyle w:val="BodyText"/>
        <w:numPr>
          <w:ilvl w:val="0"/>
          <w:numId w:val="135"/>
        </w:numPr>
        <w:tabs>
          <w:tab w:val="clear" w:pos="720"/>
          <w:tab w:val="left" w:pos="0" w:leader="none"/>
        </w:tabs>
        <w:spacing w:before="0" w:after="200"/>
        <w:ind w:hanging="283" w:left="709"/>
        <w:rPr/>
      </w:pPr>
      <w:r>
        <w:rPr>
          <w:rStyle w:val="Strong"/>
        </w:rPr>
        <w:t>Establish a responsibility network.</w:t>
      </w:r>
      <w:r>
        <w:rPr/>
        <w:br/>
        <w:t>Responsibility should be mapped across designers, funders, executives, operators, regulators, users, auditors, and institutions rather than assigned only to the final actor in a causal chain.</w:t>
      </w:r>
    </w:p>
    <w:p>
      <w:pPr>
        <w:pStyle w:val="BodyText"/>
        <w:numPr>
          <w:ilvl w:val="0"/>
          <w:numId w:val="135"/>
        </w:numPr>
        <w:tabs>
          <w:tab w:val="clear" w:pos="720"/>
          <w:tab w:val="left" w:pos="0" w:leader="none"/>
        </w:tabs>
        <w:spacing w:before="0" w:after="200"/>
        <w:ind w:hanging="283" w:left="709"/>
        <w:rPr/>
      </w:pPr>
      <w:r>
        <w:rPr>
          <w:rStyle w:val="Strong"/>
        </w:rPr>
        <w:t>Evaluate requisite governance capacity.</w:t>
      </w:r>
      <w:r>
        <w:rPr/>
        <w:br/>
        <w:t>The system’s monitoring, response, and learning capabilities should be compared with the variety and complexity of the risks it is expected to manage.</w:t>
      </w:r>
    </w:p>
    <w:p>
      <w:pPr>
        <w:pStyle w:val="BodyText"/>
        <w:numPr>
          <w:ilvl w:val="0"/>
          <w:numId w:val="135"/>
        </w:numPr>
        <w:tabs>
          <w:tab w:val="clear" w:pos="720"/>
          <w:tab w:val="left" w:pos="0" w:leader="none"/>
        </w:tabs>
        <w:spacing w:before="0" w:after="200"/>
        <w:ind w:hanging="283" w:left="709"/>
        <w:rPr/>
      </w:pPr>
      <w:r>
        <w:rPr>
          <w:rStyle w:val="Strong"/>
        </w:rPr>
        <w:t>Add failure-containment analysis.</w:t>
      </w:r>
      <w:r>
        <w:rPr/>
        <w:br/>
        <w:t>The framework should assess whether failures remain localized or cascade through tightly coupled dependencies.</w:t>
      </w:r>
    </w:p>
    <w:p>
      <w:pPr>
        <w:pStyle w:val="BodyText"/>
        <w:numPr>
          <w:ilvl w:val="0"/>
          <w:numId w:val="135"/>
        </w:numPr>
        <w:tabs>
          <w:tab w:val="clear" w:pos="720"/>
          <w:tab w:val="left" w:pos="0" w:leader="none"/>
        </w:tabs>
        <w:spacing w:before="0" w:after="200"/>
        <w:ind w:hanging="283" w:left="709"/>
        <w:rPr/>
      </w:pPr>
      <w:r>
        <w:rPr>
          <w:rStyle w:val="Strong"/>
        </w:rPr>
        <w:t>Protect affected parties who cannot participate.</w:t>
      </w:r>
      <w:r>
        <w:rPr/>
        <w:br/>
        <w:t>Future generations, ecosystems, animals, children, and some artificial or institutional entities may require designated representatives, trustees, or evidence-based proxies.</w:t>
      </w:r>
    </w:p>
    <w:p>
      <w:pPr>
        <w:pStyle w:val="BodyText"/>
        <w:numPr>
          <w:ilvl w:val="0"/>
          <w:numId w:val="135"/>
        </w:numPr>
        <w:tabs>
          <w:tab w:val="clear" w:pos="720"/>
          <w:tab w:val="left" w:pos="0" w:leader="none"/>
        </w:tabs>
        <w:spacing w:before="0" w:after="200"/>
        <w:ind w:hanging="283" w:left="709"/>
        <w:rPr/>
      </w:pPr>
      <w:r>
        <w:rPr>
          <w:rStyle w:val="Strong"/>
        </w:rPr>
        <w:t>Prevent the whole from eclipsing its parts.</w:t>
      </w:r>
      <w:r>
        <w:rPr/>
        <w:br/>
        <w:t>Appeals to system health, public order, efficiency, or institutional survival should not automatically override severe harms to particular entities. The flourishing of the whole must be compatible with defensible treatment of its components and affected outsiders.</w:t>
      </w:r>
    </w:p>
    <w:p>
      <w:pPr>
        <w:pStyle w:val="BodyText"/>
        <w:numPr>
          <w:ilvl w:val="0"/>
          <w:numId w:val="135"/>
        </w:numPr>
        <w:tabs>
          <w:tab w:val="clear" w:pos="720"/>
          <w:tab w:val="left" w:pos="0" w:leader="none"/>
        </w:tabs>
        <w:spacing w:before="0" w:after="200"/>
        <w:ind w:hanging="283" w:left="709"/>
        <w:rPr/>
      </w:pPr>
      <w:r>
        <w:rPr>
          <w:rStyle w:val="Strong"/>
        </w:rPr>
        <w:t>Prevent components from eclipsing the whole.</w:t>
      </w:r>
      <w:r>
        <w:rPr/>
        <w:br/>
        <w:t>Conversely, narrow rights, preferences, or departmental objectives should not be interpreted without considering their cumulative effects on shared systems and future possibilities.</w:t>
      </w:r>
    </w:p>
    <w:p>
      <w:pPr>
        <w:pStyle w:val="BodyText"/>
        <w:numPr>
          <w:ilvl w:val="0"/>
          <w:numId w:val="135"/>
        </w:numPr>
        <w:tabs>
          <w:tab w:val="clear" w:pos="720"/>
          <w:tab w:val="left" w:pos="0" w:leader="none"/>
        </w:tabs>
        <w:spacing w:before="0" w:after="200"/>
        <w:ind w:hanging="283" w:left="709"/>
        <w:rPr/>
      </w:pPr>
      <w:r>
        <w:rPr>
          <w:rStyle w:val="Strong"/>
        </w:rPr>
        <w:t>Document moral and model uncertainty separately.</w:t>
      </w:r>
      <w:r>
        <w:rPr/>
        <w:br/>
        <w:t>Uncertainty about what will happen should be distinguished from disagreement about what ought to count as flourishing, harm, or justified risk.</w:t>
      </w:r>
    </w:p>
    <w:p>
      <w:pPr>
        <w:pStyle w:val="BodyText"/>
        <w:numPr>
          <w:ilvl w:val="0"/>
          <w:numId w:val="135"/>
        </w:numPr>
        <w:tabs>
          <w:tab w:val="clear" w:pos="720"/>
          <w:tab w:val="left" w:pos="0" w:leader="none"/>
        </w:tabs>
        <w:spacing w:before="0" w:after="200"/>
        <w:ind w:hanging="283" w:left="709"/>
        <w:rPr/>
      </w:pPr>
      <w:r>
        <w:rPr>
          <w:rStyle w:val="Strong"/>
        </w:rPr>
        <w:t>Make model governance part of ethical governance.</w:t>
      </w:r>
      <w:r>
        <w:rPr/>
        <w:br/>
        <w:t>Version histories, assumptions, data provenance, boundary decisions, excluded variables, conflicts of interest, appeals, and known failures should be documented.</w:t>
      </w:r>
    </w:p>
    <w:p>
      <w:pPr>
        <w:pStyle w:val="BodyText"/>
        <w:numPr>
          <w:ilvl w:val="0"/>
          <w:numId w:val="135"/>
        </w:numPr>
        <w:tabs>
          <w:tab w:val="clear" w:pos="720"/>
          <w:tab w:val="left" w:pos="0" w:leader="none"/>
        </w:tabs>
        <w:spacing w:before="0" w:after="200"/>
        <w:ind w:hanging="283" w:left="709"/>
        <w:rPr/>
      </w:pPr>
      <w:r>
        <w:rPr>
          <w:rStyle w:val="Strong"/>
        </w:rPr>
        <w:t>Include systemic repair.</w:t>
      </w:r>
      <w:r>
        <w:rPr/>
        <w:br/>
        <w:t>When harm emerges from distributed structures, remedies should address both individual losses and the rules, incentives, information flows, and power arrangements that reproduce the harm.</w:t>
      </w:r>
    </w:p>
    <w:p>
      <w:pPr>
        <w:pStyle w:val="BodyText"/>
        <w:numPr>
          <w:ilvl w:val="0"/>
          <w:numId w:val="135"/>
        </w:numPr>
        <w:tabs>
          <w:tab w:val="clear" w:pos="720"/>
          <w:tab w:val="left" w:pos="0" w:leader="none"/>
        </w:tabs>
        <w:spacing w:before="0" w:after="200"/>
        <w:ind w:hanging="283" w:left="709"/>
        <w:rPr/>
      </w:pPr>
      <w:r>
        <w:rPr>
          <w:rStyle w:val="Strong"/>
        </w:rPr>
        <w:t>Treat assessment as an inquiring system.</w:t>
      </w:r>
      <w:r>
        <w:rPr/>
        <w:br/>
        <w:t>The framework should be capable of learning from prediction errors, stakeholder challenges, implementation failures, and newly recognized entities. Its classifications and procedures should remain open to structured revision.</w:t>
      </w:r>
    </w:p>
    <w:p>
      <w:pPr>
        <w:pStyle w:val="BodyText"/>
        <w:spacing w:before="0" w:after="200"/>
        <w:rPr/>
      </w:pPr>
      <w:r>
        <w:rPr/>
        <w:t>Systems Ethics therefore provides both a major foundation and an important internal critique of the proposed framework. It supports the framework’s attention to context, interdependence, feedback, adaptation, and long-term flourishing while warning that no system boundary, objective, model, or definition of improvement is ethically neutral. Its strongest contribution is the requirement that the framework continually examine not only what its models conclude, but also who defined the system, whose purposes are being served, which entities remain outside the boundary, and how the assessment itself changes the world it is attempting to evaluate.</w:t>
      </w:r>
    </w:p>
    <w:p>
      <w:pPr>
        <w:pStyle w:val="BodyText"/>
        <w:spacing w:before="0" w:after="200"/>
        <w:rPr/>
      </w:pPr>
      <w:r>
        <w:rPr/>
      </w:r>
    </w:p>
    <w:p>
      <w:pPr>
        <w:pStyle w:val="Heading3"/>
        <w:ind w:hanging="0" w:left="0"/>
        <w:rPr>
          <w:rFonts w:ascii="Aptos" w:hAnsi="Aptos"/>
          <w:color w:val="auto"/>
          <w:kern w:val="0"/>
          <w:sz w:val="21"/>
          <w:szCs w:val="22"/>
          <w:lang w:val="en-US" w:eastAsia="en-US" w:bidi="ar-SA"/>
        </w:rPr>
      </w:pPr>
      <w:r>
        <w:rPr/>
        <w:t>Capability Approach</w:t>
      </w:r>
    </w:p>
    <w:p>
      <w:pPr>
        <w:pStyle w:val="BodyText"/>
        <w:spacing w:before="0" w:after="200"/>
        <w:rPr/>
      </w:pPr>
      <w:r>
        <w:rPr/>
        <w:t>The Capability Approach evaluates ethical and social arrangements according to what persons are genuinely able to do and to be. It shifts attention away from resources, income, subjective satisfaction, formal rights, or achieved outcomes considered separately and toward people’s substantive freedoms to pursue forms of life they have reason to value.</w:t>
      </w:r>
    </w:p>
    <w:p>
      <w:pPr>
        <w:pStyle w:val="BodyText"/>
        <w:spacing w:before="0" w:after="200"/>
        <w:rPr/>
      </w:pPr>
      <w:r>
        <w:rPr/>
        <w:t>A person may possess a resource without being able to use it, hold a formal right without being able to exercise it, or report satisfaction after adapting expectations to deprivation. Conversely, two people receiving identical resources may possess substantially different opportunities because of disability, discrimination, caregiving duties, environmental conditions, social norms, or unequal access to institutions. The Capability Approach therefore asks not only, “What did the person receive?” or “What outcome occurred?” but also, “What real opportunities were available, what barriers affected their use, and did the person have meaningful agency in determining the resulting life?”</w:t>
      </w:r>
    </w:p>
    <w:p>
      <w:pPr>
        <w:pStyle w:val="BodyText"/>
        <w:spacing w:before="0" w:after="200"/>
        <w:rPr/>
      </w:pPr>
      <w:r>
        <w:rPr/>
        <w:t>This creates a strong relationship with the proposed framework. Its definition of Long-Term Flourishing as a sustained capacity to preserve and expand beneficial future state space closely resembles a capability set: the valuable states and activities that remain genuinely available to an entity. The Capability Approach can consequently provide substantive detail about what “flourishing,” “capacity,” “agency,” and “beneficial future possibilities” should mean in human applications.</w:t>
      </w:r>
    </w:p>
    <w:p>
      <w:pPr>
        <w:pStyle w:val="BodyText"/>
        <w:spacing w:before="0" w:after="200"/>
        <w:rPr/>
      </w:pPr>
      <w:r>
        <w:rPr/>
        <w:t xml:space="preserve">The </w:t>
      </w:r>
      <w:hyperlink r:id="rId208">
        <w:r>
          <w:rPr>
            <w:rStyle w:val="Hyperlink"/>
          </w:rPr>
          <w:t>Stanford Encyclopedia of Philosophy</w:t>
        </w:r>
      </w:hyperlink>
      <w:r>
        <w:rPr/>
        <w:t xml:space="preserve"> characterizes the Capability Approach as a flexible normative framework centered on functionings, capabilities, real freedoms, human diversity, and conversion factors. The </w:t>
      </w:r>
      <w:hyperlink r:id="rId209">
        <w:r>
          <w:rPr>
            <w:rStyle w:val="Hyperlink"/>
          </w:rPr>
          <w:t>Human Development and Capability Association</w:t>
        </w:r>
      </w:hyperlink>
      <w:r>
        <w:rPr/>
        <w:t xml:space="preserve"> similarly distinguishes achieved functionings from the realistic opportunities represented by capabilities.</w:t>
      </w:r>
    </w:p>
    <w:p>
      <w:pPr>
        <w:pStyle w:val="Heading4"/>
        <w:ind w:hanging="0" w:left="0"/>
        <w:rPr>
          <w:rFonts w:ascii="Aptos" w:hAnsi="Aptos"/>
          <w:color w:val="auto"/>
        </w:rPr>
      </w:pPr>
      <w:r>
        <w:rPr/>
        <w:t>Primary expert(s)</w:t>
      </w:r>
    </w:p>
    <w:p>
      <w:pPr>
        <w:pStyle w:val="BodyText"/>
        <w:spacing w:before="0" w:after="200"/>
        <w:rPr/>
      </w:pPr>
      <w:r>
        <w:rPr/>
        <w:t>The first two figures are the principal philosophical founders. The others substantially developed, clarified, or operationalized the approach.</w:t>
      </w:r>
    </w:p>
    <w:tbl>
      <w:tblPr>
        <w:tblW w:w="8640" w:type="dxa"/>
        <w:jc w:val="left"/>
        <w:tblInd w:w="28" w:type="dxa"/>
        <w:tblLayout w:type="fixed"/>
        <w:tblCellMar>
          <w:top w:w="28" w:type="dxa"/>
          <w:left w:w="28" w:type="dxa"/>
          <w:bottom w:w="28" w:type="dxa"/>
          <w:right w:w="28" w:type="dxa"/>
        </w:tblCellMar>
      </w:tblPr>
      <w:tblGrid>
        <w:gridCol w:w="1334"/>
        <w:gridCol w:w="719"/>
        <w:gridCol w:w="2544"/>
        <w:gridCol w:w="4043"/>
      </w:tblGrid>
      <w:tr>
        <w:trPr>
          <w:tblHeader w:val="true"/>
        </w:trPr>
        <w:tc>
          <w:tcPr>
            <w:tcW w:w="1334" w:type="dxa"/>
            <w:tcBorders/>
            <w:vAlign w:val="center"/>
          </w:tcPr>
          <w:p>
            <w:pPr>
              <w:pStyle w:val="TableHeading"/>
              <w:suppressLineNumbers/>
              <w:spacing w:before="0" w:after="200"/>
              <w:jc w:val="center"/>
              <w:rPr/>
            </w:pPr>
            <w:r>
              <w:rPr/>
              <w:t>Expert</w:t>
            </w:r>
          </w:p>
        </w:tc>
        <w:tc>
          <w:tcPr>
            <w:tcW w:w="719" w:type="dxa"/>
            <w:tcBorders/>
            <w:vAlign w:val="center"/>
          </w:tcPr>
          <w:p>
            <w:pPr>
              <w:pStyle w:val="TableHeading"/>
              <w:spacing w:before="0" w:after="200"/>
              <w:jc w:val="right"/>
              <w:rPr/>
            </w:pPr>
            <w:r>
              <w:rPr/>
              <w:t>Life</w:t>
            </w:r>
          </w:p>
        </w:tc>
        <w:tc>
          <w:tcPr>
            <w:tcW w:w="2544" w:type="dxa"/>
            <w:tcBorders/>
            <w:vAlign w:val="center"/>
          </w:tcPr>
          <w:p>
            <w:pPr>
              <w:pStyle w:val="TableHeading"/>
              <w:suppressLineNumbers/>
              <w:spacing w:before="0" w:after="200"/>
              <w:jc w:val="center"/>
              <w:rPr/>
            </w:pPr>
            <w:r>
              <w:rPr/>
              <w:t>Associated institution(s)</w:t>
            </w:r>
          </w:p>
        </w:tc>
        <w:tc>
          <w:tcPr>
            <w:tcW w:w="4043" w:type="dxa"/>
            <w:tcBorders/>
            <w:vAlign w:val="center"/>
          </w:tcPr>
          <w:p>
            <w:pPr>
              <w:pStyle w:val="TableHeading"/>
              <w:suppressLineNumbers/>
              <w:spacing w:before="0" w:after="200"/>
              <w:jc w:val="center"/>
              <w:rPr/>
            </w:pPr>
            <w:r>
              <w:rPr/>
              <w:t>Principal contribution</w:t>
            </w:r>
          </w:p>
        </w:tc>
      </w:tr>
      <w:tr>
        <w:trPr/>
        <w:tc>
          <w:tcPr>
            <w:tcW w:w="1334" w:type="dxa"/>
            <w:tcBorders/>
            <w:vAlign w:val="center"/>
          </w:tcPr>
          <w:p>
            <w:pPr>
              <w:pStyle w:val="TableContents"/>
              <w:widowControl w:val="false"/>
              <w:suppressLineNumbers/>
              <w:spacing w:before="0" w:after="200"/>
              <w:rPr/>
            </w:pPr>
            <w:r>
              <w:rPr>
                <w:rStyle w:val="Strong"/>
              </w:rPr>
              <w:t>Amartya Sen</w:t>
            </w:r>
          </w:p>
        </w:tc>
        <w:tc>
          <w:tcPr>
            <w:tcW w:w="719" w:type="dxa"/>
            <w:tcBorders/>
            <w:vAlign w:val="center"/>
          </w:tcPr>
          <w:p>
            <w:pPr>
              <w:pStyle w:val="TableContents"/>
              <w:spacing w:before="0" w:after="200"/>
              <w:jc w:val="right"/>
              <w:rPr/>
            </w:pPr>
            <w:r>
              <w:rPr>
                <w:rStyle w:val="Strong"/>
              </w:rPr>
              <w:t>1933–</w:t>
            </w:r>
          </w:p>
        </w:tc>
        <w:tc>
          <w:tcPr>
            <w:tcW w:w="2544" w:type="dxa"/>
            <w:tcBorders/>
            <w:vAlign w:val="center"/>
          </w:tcPr>
          <w:p>
            <w:pPr>
              <w:pStyle w:val="TableContents"/>
              <w:widowControl w:val="false"/>
              <w:suppressLineNumbers/>
              <w:spacing w:before="0" w:after="200"/>
              <w:rPr/>
            </w:pPr>
            <w:r>
              <w:rPr/>
              <w:t>Harvard University; formerly Trinity College, Cambridge, London School of Economics, University of Oxford, and Delhi School of Economics</w:t>
            </w:r>
          </w:p>
        </w:tc>
        <w:tc>
          <w:tcPr>
            <w:tcW w:w="4043" w:type="dxa"/>
            <w:tcBorders/>
            <w:vAlign w:val="center"/>
          </w:tcPr>
          <w:p>
            <w:pPr>
              <w:pStyle w:val="TableContents"/>
              <w:widowControl w:val="false"/>
              <w:suppressLineNumbers/>
              <w:spacing w:before="0" w:after="200"/>
              <w:rPr/>
            </w:pPr>
            <w:r>
              <w:rPr/>
              <w:t>Founded the modern Capability Approach. Distinguished capabilities from functionings, emphasized substantive freedom, agency, human diversity, public reasoning, and the need to evaluate what people are actually able to do and be.</w:t>
            </w:r>
          </w:p>
        </w:tc>
      </w:tr>
      <w:tr>
        <w:trPr/>
        <w:tc>
          <w:tcPr>
            <w:tcW w:w="1334" w:type="dxa"/>
            <w:tcBorders/>
            <w:vAlign w:val="center"/>
          </w:tcPr>
          <w:p>
            <w:pPr>
              <w:pStyle w:val="TableContents"/>
              <w:widowControl w:val="false"/>
              <w:suppressLineNumbers/>
              <w:spacing w:before="0" w:after="200"/>
              <w:rPr/>
            </w:pPr>
            <w:r>
              <w:rPr>
                <w:rStyle w:val="Strong"/>
              </w:rPr>
              <w:t>Martha C. Nussbaum</w:t>
            </w:r>
          </w:p>
        </w:tc>
        <w:tc>
          <w:tcPr>
            <w:tcW w:w="719" w:type="dxa"/>
            <w:tcBorders/>
            <w:vAlign w:val="center"/>
          </w:tcPr>
          <w:p>
            <w:pPr>
              <w:pStyle w:val="TableContents"/>
              <w:spacing w:before="0" w:after="200"/>
              <w:jc w:val="right"/>
              <w:rPr/>
            </w:pPr>
            <w:r>
              <w:rPr>
                <w:rStyle w:val="Strong"/>
              </w:rPr>
              <w:t>1947–</w:t>
            </w:r>
          </w:p>
        </w:tc>
        <w:tc>
          <w:tcPr>
            <w:tcW w:w="2544" w:type="dxa"/>
            <w:tcBorders/>
            <w:vAlign w:val="center"/>
          </w:tcPr>
          <w:p>
            <w:pPr>
              <w:pStyle w:val="TableContents"/>
              <w:widowControl w:val="false"/>
              <w:suppressLineNumbers/>
              <w:spacing w:before="0" w:after="200"/>
              <w:rPr/>
            </w:pPr>
            <w:r>
              <w:rPr/>
              <w:t>University of Chicago; formerly Brown University and Harvard University</w:t>
            </w:r>
          </w:p>
        </w:tc>
        <w:tc>
          <w:tcPr>
            <w:tcW w:w="4043" w:type="dxa"/>
            <w:tcBorders/>
            <w:vAlign w:val="center"/>
          </w:tcPr>
          <w:p>
            <w:pPr>
              <w:pStyle w:val="TableContents"/>
              <w:widowControl w:val="false"/>
              <w:suppressLineNumbers/>
              <w:spacing w:before="0" w:after="200"/>
              <w:rPr/>
            </w:pPr>
            <w:r>
              <w:rPr/>
              <w:t>Developed a dignity-based capabilities theory and a list of ten Central Capabilities that political institutions should secure above a threshold for each person. Extended the approach to disability, gender justice, animals, education, and global justice.</w:t>
            </w:r>
          </w:p>
        </w:tc>
      </w:tr>
      <w:tr>
        <w:trPr/>
        <w:tc>
          <w:tcPr>
            <w:tcW w:w="1334" w:type="dxa"/>
            <w:tcBorders/>
            <w:vAlign w:val="center"/>
          </w:tcPr>
          <w:p>
            <w:pPr>
              <w:pStyle w:val="TableContents"/>
              <w:widowControl w:val="false"/>
              <w:suppressLineNumbers/>
              <w:spacing w:before="0" w:after="200"/>
              <w:rPr/>
            </w:pPr>
            <w:r>
              <w:rPr>
                <w:rStyle w:val="Strong"/>
              </w:rPr>
              <w:t>Mahbub ul Haq</w:t>
            </w:r>
          </w:p>
        </w:tc>
        <w:tc>
          <w:tcPr>
            <w:tcW w:w="719" w:type="dxa"/>
            <w:tcBorders/>
            <w:vAlign w:val="center"/>
          </w:tcPr>
          <w:p>
            <w:pPr>
              <w:pStyle w:val="TableContents"/>
              <w:spacing w:before="0" w:after="200"/>
              <w:jc w:val="right"/>
              <w:rPr/>
            </w:pPr>
            <w:r>
              <w:rPr>
                <w:rStyle w:val="Strong"/>
              </w:rPr>
              <w:t>1934–1998</w:t>
            </w:r>
          </w:p>
        </w:tc>
        <w:tc>
          <w:tcPr>
            <w:tcW w:w="2544" w:type="dxa"/>
            <w:tcBorders/>
            <w:vAlign w:val="center"/>
          </w:tcPr>
          <w:p>
            <w:pPr>
              <w:pStyle w:val="TableContents"/>
              <w:widowControl w:val="false"/>
              <w:suppressLineNumbers/>
              <w:spacing w:before="0" w:after="200"/>
              <w:rPr/>
            </w:pPr>
            <w:r>
              <w:rPr/>
              <w:t>United Nations Development Programme; World Bank; Government of Pakistan; Human Development Centre</w:t>
            </w:r>
          </w:p>
        </w:tc>
        <w:tc>
          <w:tcPr>
            <w:tcW w:w="4043" w:type="dxa"/>
            <w:tcBorders/>
            <w:vAlign w:val="center"/>
          </w:tcPr>
          <w:p>
            <w:pPr>
              <w:pStyle w:val="TableContents"/>
              <w:widowControl w:val="false"/>
              <w:suppressLineNumbers/>
              <w:spacing w:before="0" w:after="200"/>
              <w:rPr/>
            </w:pPr>
            <w:r>
              <w:rPr/>
              <w:t>Translated capability-oriented human development into public policy and led the creation of the Human Development Reports and Human Development Index as alternatives to development assessment based primarily on income or GDP.</w:t>
            </w:r>
          </w:p>
        </w:tc>
      </w:tr>
      <w:tr>
        <w:trPr/>
        <w:tc>
          <w:tcPr>
            <w:tcW w:w="1334" w:type="dxa"/>
            <w:tcBorders/>
            <w:vAlign w:val="center"/>
          </w:tcPr>
          <w:p>
            <w:pPr>
              <w:pStyle w:val="TableContents"/>
              <w:widowControl w:val="false"/>
              <w:suppressLineNumbers/>
              <w:spacing w:before="0" w:after="200"/>
              <w:rPr/>
            </w:pPr>
            <w:r>
              <w:rPr>
                <w:rStyle w:val="Strong"/>
              </w:rPr>
              <w:t>Ingrid Robeyns</w:t>
            </w:r>
          </w:p>
        </w:tc>
        <w:tc>
          <w:tcPr>
            <w:tcW w:w="719" w:type="dxa"/>
            <w:tcBorders/>
            <w:vAlign w:val="center"/>
          </w:tcPr>
          <w:p>
            <w:pPr>
              <w:pStyle w:val="TableContents"/>
              <w:spacing w:before="0" w:after="200"/>
              <w:jc w:val="right"/>
              <w:rPr/>
            </w:pPr>
            <w:r>
              <w:rPr>
                <w:rStyle w:val="Strong"/>
              </w:rPr>
              <w:t>1972–</w:t>
            </w:r>
          </w:p>
        </w:tc>
        <w:tc>
          <w:tcPr>
            <w:tcW w:w="2544" w:type="dxa"/>
            <w:tcBorders/>
            <w:vAlign w:val="center"/>
          </w:tcPr>
          <w:p>
            <w:pPr>
              <w:pStyle w:val="TableContents"/>
              <w:widowControl w:val="false"/>
              <w:suppressLineNumbers/>
              <w:spacing w:before="0" w:after="200"/>
              <w:rPr/>
            </w:pPr>
            <w:r>
              <w:rPr/>
              <w:t>Utrecht University; formerly Erasmus University Rotterdam</w:t>
            </w:r>
          </w:p>
        </w:tc>
        <w:tc>
          <w:tcPr>
            <w:tcW w:w="4043" w:type="dxa"/>
            <w:tcBorders/>
            <w:vAlign w:val="center"/>
          </w:tcPr>
          <w:p>
            <w:pPr>
              <w:pStyle w:val="TableContents"/>
              <w:widowControl w:val="false"/>
              <w:suppressLineNumbers/>
              <w:spacing w:before="0" w:after="200"/>
              <w:rPr/>
            </w:pPr>
            <w:r>
              <w:rPr/>
              <w:t>Systematized the Capability Approach as a flexible, modular normative framework. Developed capability-based analysis of gender, inequality, institutions, justice, and the selection of relevant capabilities.</w:t>
            </w:r>
          </w:p>
        </w:tc>
      </w:tr>
      <w:tr>
        <w:trPr/>
        <w:tc>
          <w:tcPr>
            <w:tcW w:w="1334" w:type="dxa"/>
            <w:tcBorders/>
            <w:vAlign w:val="center"/>
          </w:tcPr>
          <w:p>
            <w:pPr>
              <w:pStyle w:val="TableContents"/>
              <w:widowControl w:val="false"/>
              <w:suppressLineNumbers/>
              <w:spacing w:before="0" w:after="200"/>
              <w:rPr/>
            </w:pPr>
            <w:r>
              <w:rPr>
                <w:rStyle w:val="Strong"/>
              </w:rPr>
              <w:t>Sabina Alkire</w:t>
            </w:r>
          </w:p>
        </w:tc>
        <w:tc>
          <w:tcPr>
            <w:tcW w:w="719" w:type="dxa"/>
            <w:tcBorders/>
            <w:vAlign w:val="center"/>
          </w:tcPr>
          <w:p>
            <w:pPr>
              <w:pStyle w:val="TableContents"/>
              <w:spacing w:before="0" w:after="200"/>
              <w:jc w:val="right"/>
              <w:rPr/>
            </w:pPr>
            <w:r>
              <w:rPr>
                <w:rStyle w:val="Strong"/>
              </w:rPr>
              <w:t>1969–</w:t>
            </w:r>
          </w:p>
        </w:tc>
        <w:tc>
          <w:tcPr>
            <w:tcW w:w="2544" w:type="dxa"/>
            <w:tcBorders/>
            <w:vAlign w:val="center"/>
          </w:tcPr>
          <w:p>
            <w:pPr>
              <w:pStyle w:val="TableContents"/>
              <w:widowControl w:val="false"/>
              <w:suppressLineNumbers/>
              <w:spacing w:before="0" w:after="200"/>
              <w:rPr/>
            </w:pPr>
            <w:r>
              <w:rPr/>
              <w:t>Oxford Poverty and Human Development Initiative, University of Oxford</w:t>
            </w:r>
          </w:p>
        </w:tc>
        <w:tc>
          <w:tcPr>
            <w:tcW w:w="4043" w:type="dxa"/>
            <w:tcBorders/>
            <w:vAlign w:val="center"/>
          </w:tcPr>
          <w:p>
            <w:pPr>
              <w:pStyle w:val="TableContents"/>
              <w:widowControl w:val="false"/>
              <w:suppressLineNumbers/>
              <w:spacing w:before="0" w:after="200"/>
              <w:rPr/>
            </w:pPr>
            <w:r>
              <w:rPr/>
              <w:t>Developed methods for selecting, evaluating, and measuring capabilities and multidimensional poverty. Co-developed the Alkire–Foster method.</w:t>
            </w:r>
          </w:p>
        </w:tc>
      </w:tr>
      <w:tr>
        <w:trPr/>
        <w:tc>
          <w:tcPr>
            <w:tcW w:w="1334" w:type="dxa"/>
            <w:tcBorders/>
            <w:vAlign w:val="center"/>
          </w:tcPr>
          <w:p>
            <w:pPr>
              <w:pStyle w:val="TableContents"/>
              <w:widowControl w:val="false"/>
              <w:suppressLineNumbers/>
              <w:spacing w:before="0" w:after="200"/>
              <w:rPr/>
            </w:pPr>
            <w:r>
              <w:rPr>
                <w:rStyle w:val="Strong"/>
              </w:rPr>
              <w:t>James E. Foster</w:t>
            </w:r>
          </w:p>
        </w:tc>
        <w:tc>
          <w:tcPr>
            <w:tcW w:w="719" w:type="dxa"/>
            <w:tcBorders/>
            <w:vAlign w:val="center"/>
          </w:tcPr>
          <w:p>
            <w:pPr>
              <w:pStyle w:val="TableContents"/>
              <w:spacing w:before="0" w:after="200"/>
              <w:jc w:val="right"/>
              <w:rPr/>
            </w:pPr>
            <w:r>
              <w:rPr>
                <w:rStyle w:val="Strong"/>
              </w:rPr>
              <w:t>1955–</w:t>
            </w:r>
          </w:p>
        </w:tc>
        <w:tc>
          <w:tcPr>
            <w:tcW w:w="2544" w:type="dxa"/>
            <w:tcBorders/>
            <w:vAlign w:val="center"/>
          </w:tcPr>
          <w:p>
            <w:pPr>
              <w:pStyle w:val="TableContents"/>
              <w:widowControl w:val="false"/>
              <w:suppressLineNumbers/>
              <w:spacing w:before="0" w:after="200"/>
              <w:rPr/>
            </w:pPr>
            <w:r>
              <w:rPr/>
              <w:t>George Washington University; Oxford Poverty and Human Development Initiative</w:t>
            </w:r>
          </w:p>
        </w:tc>
        <w:tc>
          <w:tcPr>
            <w:tcW w:w="4043" w:type="dxa"/>
            <w:tcBorders/>
            <w:vAlign w:val="center"/>
          </w:tcPr>
          <w:p>
            <w:pPr>
              <w:pStyle w:val="TableContents"/>
              <w:widowControl w:val="false"/>
              <w:suppressLineNumbers/>
              <w:spacing w:before="0" w:after="200"/>
              <w:rPr/>
            </w:pPr>
            <w:r>
              <w:rPr/>
              <w:t>Co-developed influential multidimensional poverty measures, including the Alkire–Foster method, allowing deprivation to be assessed across several dimensions and disaggregated by population group.</w:t>
            </w:r>
          </w:p>
        </w:tc>
      </w:tr>
    </w:tbl>
    <w:p>
      <w:pPr>
        <w:pStyle w:val="BodyText"/>
        <w:spacing w:before="0" w:after="200"/>
        <w:rPr/>
      </w:pPr>
      <w:r>
        <w:rPr/>
        <w:t xml:space="preserve">Sen is the Thomas W. Lamont University Professor of Economics and Philosophy at Harvard, according to his </w:t>
      </w:r>
      <w:hyperlink r:id="rId210">
        <w:r>
          <w:rPr>
            <w:rStyle w:val="Hyperlink"/>
          </w:rPr>
          <w:t>Harvard biographical profile</w:t>
        </w:r>
      </w:hyperlink>
      <w:r>
        <w:rPr/>
        <w:t xml:space="preserve">. Nussbaum is the Ernst Freund Distinguished Service Professor of Law and Ethics at the University of Chicago, with appointments in philosophy and law, as documented by the </w:t>
      </w:r>
      <w:hyperlink r:id="rId211">
        <w:r>
          <w:rPr>
            <w:rStyle w:val="Hyperlink"/>
          </w:rPr>
          <w:t>University of Chicago</w:t>
        </w:r>
      </w:hyperlink>
      <w:r>
        <w:rPr/>
        <w:t xml:space="preserve">. Robeyns holds the Chair in Ethics of Institutions at </w:t>
      </w:r>
      <w:hyperlink r:id="rId212">
        <w:r>
          <w:rPr>
            <w:rStyle w:val="Hyperlink"/>
          </w:rPr>
          <w:t>Utrecht University</w:t>
        </w:r>
      </w:hyperlink>
      <w:r>
        <w:rPr/>
        <w:t xml:space="preserve">. Alkire directs OPHI at Oxford, as recorded by </w:t>
      </w:r>
      <w:hyperlink r:id="rId213">
        <w:r>
          <w:rPr>
            <w:rStyle w:val="Hyperlink"/>
          </w:rPr>
          <w:t>OPHI</w:t>
        </w:r>
      </w:hyperlink>
      <w:r>
        <w:rPr/>
        <w:t xml:space="preserve">, while Foster is a professor at </w:t>
      </w:r>
      <w:hyperlink r:id="rId214">
        <w:r>
          <w:rPr>
            <w:rStyle w:val="Hyperlink"/>
          </w:rPr>
          <w:t>George Washington University</w:t>
        </w:r>
      </w:hyperlink>
      <w:r>
        <w:rPr/>
        <w:t xml:space="preserve"> and an OPHI research associate. The UNDP describes its human development approach as developed by Mahbub ul Haq and anchored in Sen’s work on capabilities in its </w:t>
      </w:r>
      <w:hyperlink r:id="rId215">
        <w:r>
          <w:rPr>
            <w:rStyle w:val="Hyperlink"/>
          </w:rPr>
          <w:t>overview of human development</w:t>
        </w:r>
      </w:hyperlink>
      <w:r>
        <w:rPr/>
        <w:t>.</w:t>
      </w:r>
    </w:p>
    <w:p>
      <w:pPr>
        <w:pStyle w:val="Heading4"/>
        <w:ind w:hanging="0" w:left="0"/>
        <w:rPr>
          <w:rFonts w:ascii="Aptos" w:hAnsi="Aptos"/>
          <w:color w:val="auto"/>
        </w:rPr>
      </w:pPr>
      <w:r>
        <w:rPr/>
        <w:t>Core assumptions</w:t>
      </w:r>
    </w:p>
    <w:p>
      <w:pPr>
        <w:pStyle w:val="BodyText"/>
        <w:numPr>
          <w:ilvl w:val="0"/>
          <w:numId w:val="139"/>
        </w:numPr>
        <w:tabs>
          <w:tab w:val="clear" w:pos="720"/>
          <w:tab w:val="left" w:pos="0" w:leader="none"/>
        </w:tabs>
        <w:spacing w:before="0" w:after="200"/>
        <w:ind w:hanging="283" w:left="709"/>
        <w:rPr/>
      </w:pPr>
      <w:r>
        <w:rPr>
          <w:rStyle w:val="Strong"/>
        </w:rPr>
        <w:t>The primary evaluative space is capabilities and functionings.</w:t>
      </w:r>
      <w:r>
        <w:rPr/>
        <w:br/>
        <w:t>Ethical evaluation should focus on the valuable things an entity is genuinely able to do or be and, when relevant, the valuable states or activities it actually achieves.</w:t>
      </w:r>
    </w:p>
    <w:p>
      <w:pPr>
        <w:pStyle w:val="BodyText"/>
        <w:numPr>
          <w:ilvl w:val="0"/>
          <w:numId w:val="139"/>
        </w:numPr>
        <w:tabs>
          <w:tab w:val="clear" w:pos="720"/>
          <w:tab w:val="left" w:pos="0" w:leader="none"/>
        </w:tabs>
        <w:spacing w:before="0" w:after="200"/>
        <w:ind w:hanging="283" w:left="709"/>
        <w:rPr/>
      </w:pPr>
      <w:r>
        <w:rPr>
          <w:rStyle w:val="Strong"/>
        </w:rPr>
        <w:t>Functionings are achieved “beings and doings.”</w:t>
      </w:r>
      <w:r>
        <w:rPr/>
        <w:br/>
        <w:t>Examples include being nourished, being healthy, being safe, being educated, caring for others, participating in political life, maintaining self-respect, and engaging in meaningful work or relationships.</w:t>
      </w:r>
    </w:p>
    <w:p>
      <w:pPr>
        <w:pStyle w:val="BodyText"/>
        <w:numPr>
          <w:ilvl w:val="0"/>
          <w:numId w:val="139"/>
        </w:numPr>
        <w:tabs>
          <w:tab w:val="clear" w:pos="720"/>
          <w:tab w:val="left" w:pos="0" w:leader="none"/>
        </w:tabs>
        <w:spacing w:before="0" w:after="200"/>
        <w:ind w:hanging="283" w:left="709"/>
        <w:rPr/>
      </w:pPr>
      <w:r>
        <w:rPr>
          <w:rStyle w:val="Strong"/>
        </w:rPr>
        <w:t>Capabilities are real opportunities to achieve functionings.</w:t>
      </w:r>
      <w:r>
        <w:rPr/>
        <w:br/>
        <w:t>A capability is not merely a legal permission or theoretical possibility. It must be realistically available given the person’s characteristics and circumstances.</w:t>
      </w:r>
    </w:p>
    <w:p>
      <w:pPr>
        <w:pStyle w:val="BodyText"/>
        <w:numPr>
          <w:ilvl w:val="0"/>
          <w:numId w:val="139"/>
        </w:numPr>
        <w:tabs>
          <w:tab w:val="clear" w:pos="720"/>
          <w:tab w:val="left" w:pos="0" w:leader="none"/>
        </w:tabs>
        <w:spacing w:before="0" w:after="200"/>
        <w:ind w:hanging="283" w:left="709"/>
        <w:rPr/>
      </w:pPr>
      <w:r>
        <w:rPr>
          <w:rStyle w:val="Strong"/>
        </w:rPr>
        <w:t>A capability set contains the valuable alternatives open to a person.</w:t>
      </w:r>
      <w:r>
        <w:rPr/>
        <w:br/>
        <w:t>Two people may achieve the same functioning while possessing different capability sets. One may have chosen that functioning from several meaningful alternatives, while the other may have had no acceptable alternative.</w:t>
      </w:r>
    </w:p>
    <w:p>
      <w:pPr>
        <w:pStyle w:val="BodyText"/>
        <w:numPr>
          <w:ilvl w:val="0"/>
          <w:numId w:val="139"/>
        </w:numPr>
        <w:tabs>
          <w:tab w:val="clear" w:pos="720"/>
          <w:tab w:val="left" w:pos="0" w:leader="none"/>
        </w:tabs>
        <w:spacing w:before="0" w:after="200"/>
        <w:ind w:hanging="283" w:left="709"/>
        <w:rPr/>
      </w:pPr>
      <w:r>
        <w:rPr>
          <w:rStyle w:val="Strong"/>
        </w:rPr>
        <w:t>Freedom has intrinsic value.</w:t>
      </w:r>
      <w:r>
        <w:rPr/>
        <w:br/>
        <w:t>Having a meaningful choice can matter independently of the selected outcome. A person who fasts and a person who is involuntarily hungry may exhibit the same observable functioning but possess radically different capabilities.</w:t>
      </w:r>
    </w:p>
    <w:p>
      <w:pPr>
        <w:pStyle w:val="BodyText"/>
        <w:numPr>
          <w:ilvl w:val="0"/>
          <w:numId w:val="139"/>
        </w:numPr>
        <w:tabs>
          <w:tab w:val="clear" w:pos="720"/>
          <w:tab w:val="left" w:pos="0" w:leader="none"/>
        </w:tabs>
        <w:spacing w:before="0" w:after="200"/>
        <w:ind w:hanging="283" w:left="709"/>
        <w:rPr/>
      </w:pPr>
      <w:r>
        <w:rPr>
          <w:rStyle w:val="Strong"/>
        </w:rPr>
        <w:t>Agency and well-being are related but distinct.</w:t>
      </w:r>
      <w:r>
        <w:rPr/>
        <w:br/>
        <w:t>Well-being concerns the quality of a person’s life. Agency concerns the person’s ability to pursue goals they have reason to value, including goals that do not maximize their personal welfare.</w:t>
      </w:r>
    </w:p>
    <w:p>
      <w:pPr>
        <w:pStyle w:val="BodyText"/>
        <w:numPr>
          <w:ilvl w:val="0"/>
          <w:numId w:val="139"/>
        </w:numPr>
        <w:tabs>
          <w:tab w:val="clear" w:pos="720"/>
          <w:tab w:val="left" w:pos="0" w:leader="none"/>
        </w:tabs>
        <w:spacing w:before="0" w:after="200"/>
        <w:ind w:hanging="283" w:left="709"/>
        <w:rPr/>
      </w:pPr>
      <w:r>
        <w:rPr>
          <w:rStyle w:val="Strong"/>
        </w:rPr>
        <w:t>Resources are means, not final measures of advantage.</w:t>
      </w:r>
      <w:r>
        <w:rPr/>
        <w:br/>
        <w:t>Income, commodities, services, technology, and legal rights matter because they may support valuable capabilities. Their ethical value depends partly on whether people can convert them into real opportunities.</w:t>
      </w:r>
    </w:p>
    <w:p>
      <w:pPr>
        <w:pStyle w:val="BodyText"/>
        <w:numPr>
          <w:ilvl w:val="0"/>
          <w:numId w:val="139"/>
        </w:numPr>
        <w:tabs>
          <w:tab w:val="clear" w:pos="720"/>
          <w:tab w:val="left" w:pos="0" w:leader="none"/>
        </w:tabs>
        <w:spacing w:before="0" w:after="200"/>
        <w:ind w:hanging="283" w:left="709"/>
        <w:rPr/>
      </w:pPr>
      <w:r>
        <w:rPr>
          <w:rStyle w:val="Strong"/>
        </w:rPr>
        <w:t>People differ in their ability to convert resources into capabilities.</w:t>
      </w:r>
      <w:r>
        <w:rPr/>
        <w:br/>
        <w:t>Equal resources do not necessarily create equal freedom. Personal, social, and environmental conditions affect what a person can achieve with a given resource.</w:t>
      </w:r>
    </w:p>
    <w:p>
      <w:pPr>
        <w:pStyle w:val="BodyText"/>
        <w:numPr>
          <w:ilvl w:val="0"/>
          <w:numId w:val="139"/>
        </w:numPr>
        <w:tabs>
          <w:tab w:val="clear" w:pos="720"/>
          <w:tab w:val="left" w:pos="0" w:leader="none"/>
        </w:tabs>
        <w:spacing w:before="0" w:after="200"/>
        <w:ind w:hanging="283" w:left="709"/>
        <w:rPr/>
      </w:pPr>
      <w:r>
        <w:rPr>
          <w:rStyle w:val="Strong"/>
        </w:rPr>
        <w:t>Personal conversion factors matter.</w:t>
      </w:r>
      <w:r>
        <w:rPr/>
        <w:br/>
        <w:t>Age, physical condition, disability, knowledge, skills, metabolism, health, sex, and other personal characteristics can affect resource use.</w:t>
      </w:r>
    </w:p>
    <w:p>
      <w:pPr>
        <w:pStyle w:val="BodyText"/>
        <w:numPr>
          <w:ilvl w:val="0"/>
          <w:numId w:val="139"/>
        </w:numPr>
        <w:tabs>
          <w:tab w:val="clear" w:pos="720"/>
          <w:tab w:val="left" w:pos="0" w:leader="none"/>
        </w:tabs>
        <w:spacing w:before="0" w:after="200"/>
        <w:ind w:hanging="283" w:left="709"/>
        <w:rPr/>
      </w:pPr>
      <w:r>
        <w:rPr>
          <w:rStyle w:val="Strong"/>
        </w:rPr>
        <w:t>Social conversion factors matter.</w:t>
      </w:r>
      <w:r>
        <w:rPr/>
        <w:br/>
        <w:t>Institutions, discrimination, gender expectations, caste, class, law, public policy, family structure, social norms, power, and access to networks can enable or restrict capabilities.</w:t>
      </w:r>
    </w:p>
    <w:p>
      <w:pPr>
        <w:pStyle w:val="BodyText"/>
        <w:numPr>
          <w:ilvl w:val="0"/>
          <w:numId w:val="139"/>
        </w:numPr>
        <w:tabs>
          <w:tab w:val="clear" w:pos="720"/>
          <w:tab w:val="left" w:pos="0" w:leader="none"/>
        </w:tabs>
        <w:spacing w:before="0" w:after="200"/>
        <w:ind w:hanging="283" w:left="709"/>
        <w:rPr/>
      </w:pPr>
      <w:r>
        <w:rPr>
          <w:rStyle w:val="Strong"/>
        </w:rPr>
        <w:t>Environmental conversion factors matter.</w:t>
      </w:r>
      <w:r>
        <w:rPr/>
        <w:br/>
        <w:t xml:space="preserve">Climate, geography, pollution, infrastructure, transportation, housing, communications, and exposure to hazards affect the conversion of resources into functionings. These categories are explained in the </w:t>
      </w:r>
      <w:hyperlink r:id="rId216">
        <w:r>
          <w:rPr>
            <w:rStyle w:val="Hyperlink"/>
          </w:rPr>
          <w:t>SEP account of conversion factors</w:t>
        </w:r>
      </w:hyperlink>
      <w:r>
        <w:rPr/>
        <w:t>.</w:t>
      </w:r>
    </w:p>
    <w:p>
      <w:pPr>
        <w:pStyle w:val="BodyText"/>
        <w:numPr>
          <w:ilvl w:val="0"/>
          <w:numId w:val="139"/>
        </w:numPr>
        <w:tabs>
          <w:tab w:val="clear" w:pos="720"/>
          <w:tab w:val="left" w:pos="0" w:leader="none"/>
        </w:tabs>
        <w:spacing w:before="0" w:after="200"/>
        <w:ind w:hanging="283" w:left="709"/>
        <w:rPr/>
      </w:pPr>
      <w:r>
        <w:rPr>
          <w:rStyle w:val="Strong"/>
        </w:rPr>
        <w:t>Formal freedom is not sufficient.</w:t>
      </w:r>
      <w:r>
        <w:rPr/>
        <w:br/>
        <w:t>A person may formally possess freedom of movement but lack safe transportation, accessible infrastructure, legal documentation, financial resources, or protection against violence.</w:t>
      </w:r>
    </w:p>
    <w:p>
      <w:pPr>
        <w:pStyle w:val="BodyText"/>
        <w:numPr>
          <w:ilvl w:val="0"/>
          <w:numId w:val="139"/>
        </w:numPr>
        <w:tabs>
          <w:tab w:val="clear" w:pos="720"/>
          <w:tab w:val="left" w:pos="0" w:leader="none"/>
        </w:tabs>
        <w:spacing w:before="0" w:after="200"/>
        <w:ind w:hanging="283" w:left="709"/>
        <w:rPr/>
      </w:pPr>
      <w:r>
        <w:rPr>
          <w:rStyle w:val="Strong"/>
        </w:rPr>
        <w:t>Preference satisfaction may conceal deprivation.</w:t>
      </w:r>
      <w:r>
        <w:rPr/>
        <w:br/>
        <w:t>People who experience persistent injustice may reduce their expectations or adapt their preferences to what appears possible. Reported satisfaction therefore cannot be treated as conclusive evidence of flourishing.</w:t>
      </w:r>
    </w:p>
    <w:p>
      <w:pPr>
        <w:pStyle w:val="BodyText"/>
        <w:numPr>
          <w:ilvl w:val="0"/>
          <w:numId w:val="139"/>
        </w:numPr>
        <w:tabs>
          <w:tab w:val="clear" w:pos="720"/>
          <w:tab w:val="left" w:pos="0" w:leader="none"/>
        </w:tabs>
        <w:spacing w:before="0" w:after="200"/>
        <w:ind w:hanging="283" w:left="709"/>
        <w:rPr/>
      </w:pPr>
      <w:r>
        <w:rPr>
          <w:rStyle w:val="Strong"/>
        </w:rPr>
        <w:t>Human diversity is ethically central.</w:t>
      </w:r>
      <w:r>
        <w:rPr/>
        <w:br/>
        <w:t>Differences among people should not be treated merely as statistical noise. They affect needs, opportunities, burdens, and the resources required to reach comparable capability levels.</w:t>
      </w:r>
    </w:p>
    <w:p>
      <w:pPr>
        <w:pStyle w:val="BodyText"/>
        <w:numPr>
          <w:ilvl w:val="0"/>
          <w:numId w:val="139"/>
        </w:numPr>
        <w:tabs>
          <w:tab w:val="clear" w:pos="720"/>
          <w:tab w:val="left" w:pos="0" w:leader="none"/>
        </w:tabs>
        <w:spacing w:before="0" w:after="200"/>
        <w:ind w:hanging="283" w:left="709"/>
        <w:rPr/>
      </w:pPr>
      <w:r>
        <w:rPr>
          <w:rStyle w:val="Strong"/>
        </w:rPr>
        <w:t>Well-being is multidimensional.</w:t>
      </w:r>
      <w:r>
        <w:rPr/>
        <w:br/>
        <w:t>Health, education, bodily integrity, affiliation, political participation, practical reason, emotional development, recreation, environmental relationship, and material security cannot be adequately reduced to income or subjective utility.</w:t>
      </w:r>
    </w:p>
    <w:p>
      <w:pPr>
        <w:pStyle w:val="BodyText"/>
        <w:numPr>
          <w:ilvl w:val="0"/>
          <w:numId w:val="139"/>
        </w:numPr>
        <w:tabs>
          <w:tab w:val="clear" w:pos="720"/>
          <w:tab w:val="left" w:pos="0" w:leader="none"/>
        </w:tabs>
        <w:spacing w:before="0" w:after="200"/>
        <w:ind w:hanging="283" w:left="709"/>
        <w:rPr/>
      </w:pPr>
      <w:r>
        <w:rPr>
          <w:rStyle w:val="Strong"/>
        </w:rPr>
        <w:t>Some capabilities may resist full substitution.</w:t>
      </w:r>
      <w:r>
        <w:rPr/>
        <w:br/>
        <w:t>Severe deprivation in bodily integrity or political freedom may not be ethically compensated by additional income, entertainment, or another unrelated benefit.</w:t>
      </w:r>
    </w:p>
    <w:p>
      <w:pPr>
        <w:pStyle w:val="BodyText"/>
        <w:numPr>
          <w:ilvl w:val="0"/>
          <w:numId w:val="139"/>
        </w:numPr>
        <w:tabs>
          <w:tab w:val="clear" w:pos="720"/>
          <w:tab w:val="left" w:pos="0" w:leader="none"/>
        </w:tabs>
        <w:spacing w:before="0" w:after="200"/>
        <w:ind w:hanging="283" w:left="709"/>
        <w:rPr/>
      </w:pPr>
      <w:r>
        <w:rPr>
          <w:rStyle w:val="Strong"/>
        </w:rPr>
        <w:t>Distribution matters.</w:t>
      </w:r>
      <w:r>
        <w:rPr/>
        <w:br/>
        <w:t>High average capability can coexist with severe deprivation among particular individuals or groups. Evaluation should therefore be disaggregated.</w:t>
      </w:r>
    </w:p>
    <w:p>
      <w:pPr>
        <w:pStyle w:val="BodyText"/>
        <w:numPr>
          <w:ilvl w:val="0"/>
          <w:numId w:val="139"/>
        </w:numPr>
        <w:tabs>
          <w:tab w:val="clear" w:pos="720"/>
          <w:tab w:val="left" w:pos="0" w:leader="none"/>
        </w:tabs>
        <w:spacing w:before="0" w:after="200"/>
        <w:ind w:hanging="283" w:left="709"/>
        <w:rPr/>
      </w:pPr>
      <w:r>
        <w:rPr>
          <w:rStyle w:val="Strong"/>
        </w:rPr>
        <w:t>Each person should be considered as an end.</w:t>
      </w:r>
      <w:r>
        <w:rPr/>
        <w:br/>
        <w:t>Nussbaum’s version places particular emphasis on securing capabilities for each person rather than treating the family, institution, or population average as the exclusive unit of evaluation.</w:t>
      </w:r>
    </w:p>
    <w:p>
      <w:pPr>
        <w:pStyle w:val="BodyText"/>
        <w:numPr>
          <w:ilvl w:val="0"/>
          <w:numId w:val="139"/>
        </w:numPr>
        <w:tabs>
          <w:tab w:val="clear" w:pos="720"/>
          <w:tab w:val="left" w:pos="0" w:leader="none"/>
        </w:tabs>
        <w:spacing w:before="0" w:after="200"/>
        <w:ind w:hanging="283" w:left="709"/>
        <w:rPr/>
      </w:pPr>
      <w:r>
        <w:rPr>
          <w:rStyle w:val="Strong"/>
        </w:rPr>
        <w:t>Thresholds may matter more than maximization.</w:t>
      </w:r>
      <w:r>
        <w:rPr/>
        <w:br/>
        <w:t>Nussbaum argues that political institutions should secure at least a threshold level of central capabilities. Below such a threshold, a person may lack the minimum conditions of a life compatible with dignity.</w:t>
      </w:r>
    </w:p>
    <w:p>
      <w:pPr>
        <w:pStyle w:val="BodyText"/>
        <w:numPr>
          <w:ilvl w:val="0"/>
          <w:numId w:val="139"/>
        </w:numPr>
        <w:tabs>
          <w:tab w:val="clear" w:pos="720"/>
          <w:tab w:val="left" w:pos="0" w:leader="none"/>
        </w:tabs>
        <w:spacing w:before="0" w:after="200"/>
        <w:ind w:hanging="283" w:left="709"/>
        <w:rPr/>
      </w:pPr>
      <w:r>
        <w:rPr>
          <w:rStyle w:val="Strong"/>
        </w:rPr>
        <w:t>Capability selection requires justification.</w:t>
      </w:r>
      <w:r>
        <w:rPr/>
        <w:br/>
        <w:t>Sen generally resists prescribing one universally fixed list, emphasizing public reasoning and context. Nussbaum proposes a defined but revisable list of Central Capabilities.</w:t>
      </w:r>
    </w:p>
    <w:p>
      <w:pPr>
        <w:pStyle w:val="BodyText"/>
        <w:numPr>
          <w:ilvl w:val="0"/>
          <w:numId w:val="139"/>
        </w:numPr>
        <w:tabs>
          <w:tab w:val="clear" w:pos="720"/>
          <w:tab w:val="left" w:pos="0" w:leader="none"/>
        </w:tabs>
        <w:spacing w:before="0" w:after="200"/>
        <w:ind w:hanging="283" w:left="709"/>
        <w:rPr/>
      </w:pPr>
      <w:r>
        <w:rPr>
          <w:rStyle w:val="Strong"/>
        </w:rPr>
        <w:t>Public reasoning is part of ethical evaluation.</w:t>
      </w:r>
      <w:r>
        <w:rPr/>
        <w:br/>
        <w:t>Decisions about which capabilities matter, how they should be weighted, and what policies should support them should be open to public scrutiny and participation.</w:t>
      </w:r>
    </w:p>
    <w:p>
      <w:pPr>
        <w:pStyle w:val="BodyText"/>
        <w:numPr>
          <w:ilvl w:val="0"/>
          <w:numId w:val="139"/>
        </w:numPr>
        <w:tabs>
          <w:tab w:val="clear" w:pos="720"/>
          <w:tab w:val="left" w:pos="0" w:leader="none"/>
        </w:tabs>
        <w:spacing w:before="0" w:after="200"/>
        <w:ind w:hanging="283" w:left="709"/>
        <w:rPr/>
      </w:pPr>
      <w:r>
        <w:rPr>
          <w:rStyle w:val="Strong"/>
        </w:rPr>
        <w:t>Choice must be meaningful rather than nominal.</w:t>
      </w:r>
      <w:r>
        <w:rPr/>
        <w:br/>
        <w:t>An option is not a genuine capability when it is inaccessible, unsafe, socially prohibited, prohibitively costly, or available only through unacceptable sacrifice.</w:t>
      </w:r>
    </w:p>
    <w:p>
      <w:pPr>
        <w:pStyle w:val="BodyText"/>
        <w:numPr>
          <w:ilvl w:val="0"/>
          <w:numId w:val="139"/>
        </w:numPr>
        <w:tabs>
          <w:tab w:val="clear" w:pos="720"/>
          <w:tab w:val="left" w:pos="0" w:leader="none"/>
        </w:tabs>
        <w:spacing w:before="0" w:after="200"/>
        <w:ind w:hanging="283" w:left="709"/>
        <w:rPr/>
      </w:pPr>
      <w:r>
        <w:rPr>
          <w:rStyle w:val="Strong"/>
        </w:rPr>
        <w:t>Capabilities should generally be expanded without prescribing functionings.</w:t>
      </w:r>
      <w:r>
        <w:rPr/>
        <w:br/>
        <w:t>Ethical institutions should normally make valuable ways of living available while respecting a person’s decision not to exercise a particular capability.</w:t>
      </w:r>
    </w:p>
    <w:p>
      <w:pPr>
        <w:pStyle w:val="BodyText"/>
        <w:numPr>
          <w:ilvl w:val="0"/>
          <w:numId w:val="139"/>
        </w:numPr>
        <w:tabs>
          <w:tab w:val="clear" w:pos="720"/>
          <w:tab w:val="left" w:pos="0" w:leader="none"/>
        </w:tabs>
        <w:spacing w:before="0" w:after="200"/>
        <w:ind w:hanging="283" w:left="709"/>
        <w:rPr/>
      </w:pPr>
      <w:r>
        <w:rPr>
          <w:rStyle w:val="Strong"/>
        </w:rPr>
        <w:t>Functionings may sometimes require direct attention.</w:t>
      </w:r>
      <w:r>
        <w:rPr/>
        <w:br/>
        <w:t>Where meaningful choice is absent or undeveloped—as with young children, severe cognitive impairment, coercion, or immediate survival needs—achieved functionings may be ethically important in addition to capability.</w:t>
      </w:r>
    </w:p>
    <w:p>
      <w:pPr>
        <w:pStyle w:val="BodyText"/>
        <w:numPr>
          <w:ilvl w:val="0"/>
          <w:numId w:val="139"/>
        </w:numPr>
        <w:tabs>
          <w:tab w:val="clear" w:pos="720"/>
          <w:tab w:val="left" w:pos="0" w:leader="none"/>
        </w:tabs>
        <w:spacing w:before="0" w:after="200"/>
        <w:ind w:hanging="283" w:left="709"/>
        <w:rPr/>
      </w:pPr>
      <w:r>
        <w:rPr>
          <w:rStyle w:val="Strong"/>
        </w:rPr>
        <w:t>Structural conditions shape individual freedom.</w:t>
      </w:r>
      <w:r>
        <w:rPr/>
        <w:br/>
        <w:t>Although capability evaluation often focuses on individuals, capabilities are produced through families, communities, public services, markets, legal systems, technologies, and collective action.</w:t>
      </w:r>
    </w:p>
    <w:p>
      <w:pPr>
        <w:pStyle w:val="BodyText"/>
        <w:numPr>
          <w:ilvl w:val="0"/>
          <w:numId w:val="139"/>
        </w:numPr>
        <w:tabs>
          <w:tab w:val="clear" w:pos="720"/>
          <w:tab w:val="left" w:pos="0" w:leader="none"/>
        </w:tabs>
        <w:spacing w:before="0" w:after="200"/>
        <w:ind w:hanging="283" w:left="709"/>
        <w:rPr/>
      </w:pPr>
      <w:r>
        <w:rPr>
          <w:rStyle w:val="Strong"/>
        </w:rPr>
        <w:t>Some capabilities are relational or collective.</w:t>
      </w:r>
      <w:r>
        <w:rPr/>
        <w:br/>
        <w:t>Political participation, social affiliation, cultural membership, public safety, and environmental quality cannot be created by an individual acting alone.</w:t>
      </w:r>
    </w:p>
    <w:p>
      <w:pPr>
        <w:pStyle w:val="BodyText"/>
        <w:numPr>
          <w:ilvl w:val="0"/>
          <w:numId w:val="139"/>
        </w:numPr>
        <w:tabs>
          <w:tab w:val="clear" w:pos="720"/>
          <w:tab w:val="left" w:pos="0" w:leader="none"/>
        </w:tabs>
        <w:spacing w:before="0" w:after="200"/>
        <w:ind w:hanging="283" w:left="709"/>
        <w:rPr/>
      </w:pPr>
      <w:r>
        <w:rPr>
          <w:rStyle w:val="Strong"/>
        </w:rPr>
        <w:t>Capability security matters.</w:t>
      </w:r>
      <w:r>
        <w:rPr/>
        <w:br/>
        <w:t>A fragile opportunity that may disappear unpredictably is ethically different from a secure and sustainable capability.</w:t>
      </w:r>
    </w:p>
    <w:p>
      <w:pPr>
        <w:pStyle w:val="BodyText"/>
        <w:numPr>
          <w:ilvl w:val="0"/>
          <w:numId w:val="139"/>
        </w:numPr>
        <w:tabs>
          <w:tab w:val="clear" w:pos="720"/>
          <w:tab w:val="left" w:pos="0" w:leader="none"/>
        </w:tabs>
        <w:spacing w:before="0" w:after="200"/>
        <w:ind w:hanging="283" w:left="709"/>
        <w:rPr/>
      </w:pPr>
      <w:r>
        <w:rPr>
          <w:rStyle w:val="Strong"/>
        </w:rPr>
        <w:t>Development should be evaluated as expansion of substantive freedom.</w:t>
      </w:r>
      <w:r>
        <w:rPr/>
        <w:br/>
        <w:t>Economic growth is ethically important only insofar as it supports valuable capabilities rather than functioning as the ultimate objective.</w:t>
      </w:r>
    </w:p>
    <w:p>
      <w:pPr>
        <w:pStyle w:val="Heading4"/>
        <w:ind w:hanging="0" w:left="0"/>
        <w:rPr>
          <w:rFonts w:ascii="Aptos" w:hAnsi="Aptos"/>
          <w:color w:val="auto"/>
        </w:rPr>
      </w:pPr>
      <w:r>
        <w:rPr/>
        <w:t>Nussbaum’s Central Capabilities</w:t>
      </w:r>
    </w:p>
    <w:p>
      <w:pPr>
        <w:pStyle w:val="BodyText"/>
        <w:spacing w:before="0" w:after="200"/>
        <w:rPr/>
      </w:pPr>
      <w:r>
        <w:rPr/>
        <w:t>Nussbaum’s specific capabilities theory identifies ten broad domains that a dignified political order should protect above an appropriate threshold:</w:t>
      </w:r>
    </w:p>
    <w:p>
      <w:pPr>
        <w:pStyle w:val="BodyText"/>
        <w:numPr>
          <w:ilvl w:val="0"/>
          <w:numId w:val="140"/>
        </w:numPr>
        <w:tabs>
          <w:tab w:val="clear" w:pos="720"/>
          <w:tab w:val="left" w:pos="0" w:leader="none"/>
        </w:tabs>
        <w:spacing w:before="0" w:after="200"/>
        <w:ind w:hanging="283" w:left="709"/>
        <w:rPr/>
      </w:pPr>
      <w:r>
        <w:rPr>
          <w:rStyle w:val="Strong"/>
        </w:rPr>
        <w:t>Life</w:t>
      </w:r>
      <w:r>
        <w:rPr/>
        <w:t xml:space="preserve"> — being able to live a life of normal length and not die prematurely.</w:t>
      </w:r>
    </w:p>
    <w:p>
      <w:pPr>
        <w:pStyle w:val="BodyText"/>
        <w:numPr>
          <w:ilvl w:val="0"/>
          <w:numId w:val="140"/>
        </w:numPr>
        <w:tabs>
          <w:tab w:val="clear" w:pos="720"/>
          <w:tab w:val="left" w:pos="0" w:leader="none"/>
        </w:tabs>
        <w:spacing w:before="0" w:after="200"/>
        <w:ind w:hanging="283" w:left="709"/>
        <w:rPr/>
      </w:pPr>
      <w:r>
        <w:rPr>
          <w:rStyle w:val="Strong"/>
        </w:rPr>
        <w:t>Bodily health</w:t>
      </w:r>
      <w:r>
        <w:rPr/>
        <w:t xml:space="preserve"> — being adequately nourished, sheltered, and able to maintain health.</w:t>
      </w:r>
    </w:p>
    <w:p>
      <w:pPr>
        <w:pStyle w:val="BodyText"/>
        <w:numPr>
          <w:ilvl w:val="0"/>
          <w:numId w:val="140"/>
        </w:numPr>
        <w:tabs>
          <w:tab w:val="clear" w:pos="720"/>
          <w:tab w:val="left" w:pos="0" w:leader="none"/>
        </w:tabs>
        <w:spacing w:before="0" w:after="200"/>
        <w:ind w:hanging="283" w:left="709"/>
        <w:rPr/>
      </w:pPr>
      <w:r>
        <w:rPr>
          <w:rStyle w:val="Strong"/>
        </w:rPr>
        <w:t>Bodily integrity</w:t>
      </w:r>
      <w:r>
        <w:rPr/>
        <w:t xml:space="preserve"> — being able to move freely, remain secure against violence, and exercise meaningful reproductive and bodily choice.</w:t>
      </w:r>
    </w:p>
    <w:p>
      <w:pPr>
        <w:pStyle w:val="BodyText"/>
        <w:numPr>
          <w:ilvl w:val="0"/>
          <w:numId w:val="140"/>
        </w:numPr>
        <w:tabs>
          <w:tab w:val="clear" w:pos="720"/>
          <w:tab w:val="left" w:pos="0" w:leader="none"/>
        </w:tabs>
        <w:spacing w:before="0" w:after="200"/>
        <w:ind w:hanging="283" w:left="709"/>
        <w:rPr/>
      </w:pPr>
      <w:r>
        <w:rPr>
          <w:rStyle w:val="Strong"/>
        </w:rPr>
        <w:t>Senses, imagination, and thought</w:t>
      </w:r>
      <w:r>
        <w:rPr/>
        <w:t xml:space="preserve"> — being able to learn, reason, create, communicate, and exercise freedom of expression and religion.</w:t>
      </w:r>
    </w:p>
    <w:p>
      <w:pPr>
        <w:pStyle w:val="BodyText"/>
        <w:numPr>
          <w:ilvl w:val="0"/>
          <w:numId w:val="140"/>
        </w:numPr>
        <w:tabs>
          <w:tab w:val="clear" w:pos="720"/>
          <w:tab w:val="left" w:pos="0" w:leader="none"/>
        </w:tabs>
        <w:spacing w:before="0" w:after="200"/>
        <w:ind w:hanging="283" w:left="709"/>
        <w:rPr/>
      </w:pPr>
      <w:r>
        <w:rPr>
          <w:rStyle w:val="Strong"/>
        </w:rPr>
        <w:t>Emotions</w:t>
      </w:r>
      <w:r>
        <w:rPr/>
        <w:t xml:space="preserve"> — being able to form attachments, love, grieve, experience gratitude, and avoid emotional development dominated by fear or anxiety.</w:t>
      </w:r>
    </w:p>
    <w:p>
      <w:pPr>
        <w:pStyle w:val="BodyText"/>
        <w:numPr>
          <w:ilvl w:val="0"/>
          <w:numId w:val="140"/>
        </w:numPr>
        <w:tabs>
          <w:tab w:val="clear" w:pos="720"/>
          <w:tab w:val="left" w:pos="0" w:leader="none"/>
        </w:tabs>
        <w:spacing w:before="0" w:after="200"/>
        <w:ind w:hanging="283" w:left="709"/>
        <w:rPr/>
      </w:pPr>
      <w:r>
        <w:rPr>
          <w:rStyle w:val="Strong"/>
        </w:rPr>
        <w:t>Practical reason</w:t>
      </w:r>
      <w:r>
        <w:rPr/>
        <w:t xml:space="preserve"> — being able to form a conception of the good and reflect critically on one’s life.</w:t>
      </w:r>
    </w:p>
    <w:p>
      <w:pPr>
        <w:pStyle w:val="BodyText"/>
        <w:numPr>
          <w:ilvl w:val="0"/>
          <w:numId w:val="140"/>
        </w:numPr>
        <w:tabs>
          <w:tab w:val="clear" w:pos="720"/>
          <w:tab w:val="left" w:pos="0" w:leader="none"/>
        </w:tabs>
        <w:spacing w:before="0" w:after="200"/>
        <w:ind w:hanging="283" w:left="709"/>
        <w:rPr/>
      </w:pPr>
      <w:r>
        <w:rPr>
          <w:rStyle w:val="Strong"/>
        </w:rPr>
        <w:t>Affiliation</w:t>
      </w:r>
      <w:r>
        <w:rPr/>
        <w:t xml:space="preserve"> — being able to live with others, participate socially, receive equal respect, and avoid humiliation and discrimination.</w:t>
      </w:r>
    </w:p>
    <w:p>
      <w:pPr>
        <w:pStyle w:val="BodyText"/>
        <w:numPr>
          <w:ilvl w:val="0"/>
          <w:numId w:val="140"/>
        </w:numPr>
        <w:tabs>
          <w:tab w:val="clear" w:pos="720"/>
          <w:tab w:val="left" w:pos="0" w:leader="none"/>
        </w:tabs>
        <w:spacing w:before="0" w:after="200"/>
        <w:ind w:hanging="283" w:left="709"/>
        <w:rPr/>
      </w:pPr>
      <w:r>
        <w:rPr>
          <w:rStyle w:val="Strong"/>
        </w:rPr>
        <w:t>Other species</w:t>
      </w:r>
      <w:r>
        <w:rPr/>
        <w:t xml:space="preserve"> — being able to live with concern for animals, plants, and the natural world.</w:t>
      </w:r>
    </w:p>
    <w:p>
      <w:pPr>
        <w:pStyle w:val="BodyText"/>
        <w:numPr>
          <w:ilvl w:val="0"/>
          <w:numId w:val="140"/>
        </w:numPr>
        <w:tabs>
          <w:tab w:val="clear" w:pos="720"/>
          <w:tab w:val="left" w:pos="0" w:leader="none"/>
        </w:tabs>
        <w:spacing w:before="0" w:after="200"/>
        <w:ind w:hanging="283" w:left="709"/>
        <w:rPr/>
      </w:pPr>
      <w:r>
        <w:rPr>
          <w:rStyle w:val="Strong"/>
        </w:rPr>
        <w:t>Play</w:t>
      </w:r>
      <w:r>
        <w:rPr/>
        <w:t xml:space="preserve"> — being able to laugh, recreate, and enjoy leisure.</w:t>
      </w:r>
    </w:p>
    <w:p>
      <w:pPr>
        <w:pStyle w:val="BodyText"/>
        <w:numPr>
          <w:ilvl w:val="0"/>
          <w:numId w:val="140"/>
        </w:numPr>
        <w:tabs>
          <w:tab w:val="clear" w:pos="720"/>
          <w:tab w:val="left" w:pos="0" w:leader="none"/>
        </w:tabs>
        <w:spacing w:before="0" w:after="200"/>
        <w:ind w:hanging="283" w:left="709"/>
        <w:rPr/>
      </w:pPr>
      <w:r>
        <w:rPr>
          <w:rStyle w:val="Strong"/>
        </w:rPr>
        <w:t>Control over one’s environment</w:t>
      </w:r>
      <w:r>
        <w:rPr/>
        <w:t xml:space="preserve"> — having meaningful political participation and material control, including opportunities to work and hold property.</w:t>
      </w:r>
    </w:p>
    <w:p>
      <w:pPr>
        <w:pStyle w:val="BodyText"/>
        <w:spacing w:before="0" w:after="200"/>
        <w:rPr/>
      </w:pPr>
      <w:r>
        <w:rPr/>
        <w:t xml:space="preserve">Nussbaum’s list and Sen’s more open, public-reasoning-oriented approach are compared in the </w:t>
      </w:r>
      <w:hyperlink r:id="rId217">
        <w:r>
          <w:rPr>
            <w:rStyle w:val="Hyperlink"/>
          </w:rPr>
          <w:t>Stanford Encyclopedia of Philosophy</w:t>
        </w:r>
      </w:hyperlink>
      <w:r>
        <w:rPr/>
        <w:t>.</w:t>
      </w:r>
    </w:p>
    <w:p>
      <w:pPr>
        <w:pStyle w:val="Heading4"/>
        <w:ind w:hanging="0" w:left="0"/>
        <w:rPr>
          <w:rFonts w:ascii="Aptos" w:hAnsi="Aptos"/>
          <w:color w:val="auto"/>
        </w:rPr>
      </w:pPr>
      <w:r>
        <w:rPr/>
        <w:t>Relationship to this framework</w:t>
      </w:r>
    </w:p>
    <w:p>
      <w:pPr>
        <w:pStyle w:val="BodyText"/>
        <w:spacing w:before="0" w:after="200"/>
        <w:rPr/>
      </w:pPr>
      <w:r>
        <w:rPr/>
        <w:t>The Capability Approach provides one of the strongest substantive interpretations of this framework’s concept of Long-Term Flourishing. The relationship is especially close because the proposed framework defines flourishing partly through the preservation and expansion of beneficial future state space. A capability set is similarly concerned with the valuable future beings and doings genuinely available to a person.</w:t>
      </w:r>
    </w:p>
    <w:tbl>
      <w:tblPr>
        <w:tblW w:w="8640" w:type="dxa"/>
        <w:jc w:val="left"/>
        <w:tblInd w:w="28" w:type="dxa"/>
        <w:tblLayout w:type="fixed"/>
        <w:tblCellMar>
          <w:top w:w="28" w:type="dxa"/>
          <w:left w:w="28" w:type="dxa"/>
          <w:bottom w:w="28" w:type="dxa"/>
          <w:right w:w="28" w:type="dxa"/>
        </w:tblCellMar>
      </w:tblPr>
      <w:tblGrid>
        <w:gridCol w:w="2462"/>
        <w:gridCol w:w="6178"/>
      </w:tblGrid>
      <w:tr>
        <w:trPr>
          <w:tblHeader w:val="true"/>
        </w:trPr>
        <w:tc>
          <w:tcPr>
            <w:tcW w:w="2462" w:type="dxa"/>
            <w:tcBorders/>
            <w:vAlign w:val="center"/>
          </w:tcPr>
          <w:p>
            <w:pPr>
              <w:pStyle w:val="TableHeading"/>
              <w:suppressLineNumbers/>
              <w:spacing w:before="0" w:after="200"/>
              <w:jc w:val="center"/>
              <w:rPr/>
            </w:pPr>
            <w:r>
              <w:rPr/>
              <w:t>Capability Approach emphasis</w:t>
            </w:r>
          </w:p>
        </w:tc>
        <w:tc>
          <w:tcPr>
            <w:tcW w:w="6178" w:type="dxa"/>
            <w:tcBorders/>
            <w:vAlign w:val="center"/>
          </w:tcPr>
          <w:p>
            <w:pPr>
              <w:pStyle w:val="TableHeading"/>
              <w:suppressLineNumbers/>
              <w:spacing w:before="0" w:after="200"/>
              <w:jc w:val="center"/>
              <w:rPr/>
            </w:pPr>
            <w:r>
              <w:rPr/>
              <w:t>Relationship to this framework</w:t>
            </w:r>
          </w:p>
        </w:tc>
      </w:tr>
      <w:tr>
        <w:trPr/>
        <w:tc>
          <w:tcPr>
            <w:tcW w:w="2462" w:type="dxa"/>
            <w:tcBorders/>
            <w:vAlign w:val="center"/>
          </w:tcPr>
          <w:p>
            <w:pPr>
              <w:pStyle w:val="TableContents"/>
              <w:widowControl w:val="false"/>
              <w:suppressLineNumbers/>
              <w:spacing w:before="0" w:after="200"/>
              <w:rPr/>
            </w:pPr>
            <w:r>
              <w:rPr/>
              <w:t>Capability set</w:t>
            </w:r>
          </w:p>
        </w:tc>
        <w:tc>
          <w:tcPr>
            <w:tcW w:w="6178" w:type="dxa"/>
            <w:tcBorders/>
            <w:vAlign w:val="center"/>
          </w:tcPr>
          <w:p>
            <w:pPr>
              <w:pStyle w:val="TableContents"/>
              <w:widowControl w:val="false"/>
              <w:suppressLineNumbers/>
              <w:spacing w:before="0" w:after="200"/>
              <w:rPr/>
            </w:pPr>
            <w:r>
              <w:rPr/>
              <w:t>Corresponds to the beneficial future states and activities genuinely available to an entity</w:t>
            </w:r>
          </w:p>
        </w:tc>
      </w:tr>
      <w:tr>
        <w:trPr/>
        <w:tc>
          <w:tcPr>
            <w:tcW w:w="2462" w:type="dxa"/>
            <w:tcBorders/>
            <w:vAlign w:val="center"/>
          </w:tcPr>
          <w:p>
            <w:pPr>
              <w:pStyle w:val="TableContents"/>
              <w:widowControl w:val="false"/>
              <w:suppressLineNumbers/>
              <w:spacing w:before="0" w:after="200"/>
              <w:rPr/>
            </w:pPr>
            <w:r>
              <w:rPr/>
              <w:t>Functionings</w:t>
            </w:r>
          </w:p>
        </w:tc>
        <w:tc>
          <w:tcPr>
            <w:tcW w:w="6178" w:type="dxa"/>
            <w:tcBorders/>
            <w:vAlign w:val="center"/>
          </w:tcPr>
          <w:p>
            <w:pPr>
              <w:pStyle w:val="TableContents"/>
              <w:widowControl w:val="false"/>
              <w:suppressLineNumbers/>
              <w:spacing w:before="0" w:after="200"/>
              <w:rPr/>
            </w:pPr>
            <w:r>
              <w:rPr/>
              <w:t>Correspond to achieved entity states and activities within the World Context</w:t>
            </w:r>
          </w:p>
        </w:tc>
      </w:tr>
      <w:tr>
        <w:trPr/>
        <w:tc>
          <w:tcPr>
            <w:tcW w:w="2462" w:type="dxa"/>
            <w:tcBorders/>
            <w:vAlign w:val="center"/>
          </w:tcPr>
          <w:p>
            <w:pPr>
              <w:pStyle w:val="TableContents"/>
              <w:widowControl w:val="false"/>
              <w:suppressLineNumbers/>
              <w:spacing w:before="0" w:after="200"/>
              <w:rPr/>
            </w:pPr>
            <w:r>
              <w:rPr/>
              <w:t>Real freedom</w:t>
            </w:r>
          </w:p>
        </w:tc>
        <w:tc>
          <w:tcPr>
            <w:tcW w:w="6178" w:type="dxa"/>
            <w:tcBorders/>
            <w:vAlign w:val="center"/>
          </w:tcPr>
          <w:p>
            <w:pPr>
              <w:pStyle w:val="TableContents"/>
              <w:widowControl w:val="false"/>
              <w:suppressLineNumbers/>
              <w:spacing w:before="0" w:after="200"/>
              <w:rPr/>
            </w:pPr>
            <w:r>
              <w:rPr/>
              <w:t>Provides a standard for distinguishing formal possibility from practically reachable future states</w:t>
            </w:r>
          </w:p>
        </w:tc>
      </w:tr>
      <w:tr>
        <w:trPr/>
        <w:tc>
          <w:tcPr>
            <w:tcW w:w="2462" w:type="dxa"/>
            <w:tcBorders/>
            <w:vAlign w:val="center"/>
          </w:tcPr>
          <w:p>
            <w:pPr>
              <w:pStyle w:val="TableContents"/>
              <w:widowControl w:val="false"/>
              <w:suppressLineNumbers/>
              <w:spacing w:before="0" w:after="200"/>
              <w:rPr/>
            </w:pPr>
            <w:r>
              <w:rPr/>
              <w:t>Agency</w:t>
            </w:r>
          </w:p>
        </w:tc>
        <w:tc>
          <w:tcPr>
            <w:tcW w:w="6178" w:type="dxa"/>
            <w:tcBorders/>
            <w:vAlign w:val="center"/>
          </w:tcPr>
          <w:p>
            <w:pPr>
              <w:pStyle w:val="TableContents"/>
              <w:widowControl w:val="false"/>
              <w:suppressLineNumbers/>
              <w:spacing w:before="0" w:after="200"/>
              <w:rPr/>
            </w:pPr>
            <w:r>
              <w:rPr/>
              <w:t>Corresponds to an entity’s ability to form, revise, and pursue objectives</w:t>
            </w:r>
          </w:p>
        </w:tc>
      </w:tr>
      <w:tr>
        <w:trPr/>
        <w:tc>
          <w:tcPr>
            <w:tcW w:w="2462" w:type="dxa"/>
            <w:tcBorders/>
            <w:vAlign w:val="center"/>
          </w:tcPr>
          <w:p>
            <w:pPr>
              <w:pStyle w:val="TableContents"/>
              <w:widowControl w:val="false"/>
              <w:suppressLineNumbers/>
              <w:spacing w:before="0" w:after="200"/>
              <w:rPr/>
            </w:pPr>
            <w:r>
              <w:rPr/>
              <w:t>Well-being</w:t>
            </w:r>
          </w:p>
        </w:tc>
        <w:tc>
          <w:tcPr>
            <w:tcW w:w="6178" w:type="dxa"/>
            <w:tcBorders/>
            <w:vAlign w:val="center"/>
          </w:tcPr>
          <w:p>
            <w:pPr>
              <w:pStyle w:val="TableContents"/>
              <w:widowControl w:val="false"/>
              <w:suppressLineNumbers/>
              <w:spacing w:before="0" w:after="200"/>
              <w:rPr/>
            </w:pPr>
            <w:r>
              <w:rPr/>
              <w:t>Corresponds to dimensions of entity flourishing</w:t>
            </w:r>
          </w:p>
        </w:tc>
      </w:tr>
      <w:tr>
        <w:trPr/>
        <w:tc>
          <w:tcPr>
            <w:tcW w:w="2462" w:type="dxa"/>
            <w:tcBorders/>
            <w:vAlign w:val="center"/>
          </w:tcPr>
          <w:p>
            <w:pPr>
              <w:pStyle w:val="TableContents"/>
              <w:widowControl w:val="false"/>
              <w:suppressLineNumbers/>
              <w:spacing w:before="0" w:after="200"/>
              <w:rPr/>
            </w:pPr>
            <w:r>
              <w:rPr/>
              <w:t>Conversion factors</w:t>
            </w:r>
          </w:p>
        </w:tc>
        <w:tc>
          <w:tcPr>
            <w:tcW w:w="6178" w:type="dxa"/>
            <w:tcBorders/>
            <w:vAlign w:val="center"/>
          </w:tcPr>
          <w:p>
            <w:pPr>
              <w:pStyle w:val="TableContents"/>
              <w:widowControl w:val="false"/>
              <w:suppressLineNumbers/>
              <w:spacing w:before="0" w:after="200"/>
              <w:rPr/>
            </w:pPr>
            <w:r>
              <w:rPr/>
              <w:t>Correspond to personal attributes, Associations, institutions, environmental conditions, and constraints within the World Context</w:t>
            </w:r>
          </w:p>
        </w:tc>
      </w:tr>
      <w:tr>
        <w:trPr/>
        <w:tc>
          <w:tcPr>
            <w:tcW w:w="2462" w:type="dxa"/>
            <w:tcBorders/>
            <w:vAlign w:val="center"/>
          </w:tcPr>
          <w:p>
            <w:pPr>
              <w:pStyle w:val="TableContents"/>
              <w:widowControl w:val="false"/>
              <w:suppressLineNumbers/>
              <w:spacing w:before="0" w:after="200"/>
              <w:rPr/>
            </w:pPr>
            <w:r>
              <w:rPr/>
              <w:t>Capability deprivation</w:t>
            </w:r>
          </w:p>
        </w:tc>
        <w:tc>
          <w:tcPr>
            <w:tcW w:w="6178" w:type="dxa"/>
            <w:tcBorders/>
            <w:vAlign w:val="center"/>
          </w:tcPr>
          <w:p>
            <w:pPr>
              <w:pStyle w:val="TableContents"/>
              <w:widowControl w:val="false"/>
              <w:suppressLineNumbers/>
              <w:spacing w:before="0" w:after="200"/>
              <w:rPr/>
            </w:pPr>
            <w:r>
              <w:rPr/>
              <w:t>Corresponds to a material contraction of beneficial future state space</w:t>
            </w:r>
          </w:p>
        </w:tc>
      </w:tr>
      <w:tr>
        <w:trPr/>
        <w:tc>
          <w:tcPr>
            <w:tcW w:w="2462" w:type="dxa"/>
            <w:tcBorders/>
            <w:vAlign w:val="center"/>
          </w:tcPr>
          <w:p>
            <w:pPr>
              <w:pStyle w:val="TableContents"/>
              <w:widowControl w:val="false"/>
              <w:suppressLineNumbers/>
              <w:spacing w:before="0" w:after="200"/>
              <w:rPr/>
            </w:pPr>
            <w:r>
              <w:rPr/>
              <w:t>Capability expansion</w:t>
            </w:r>
          </w:p>
        </w:tc>
        <w:tc>
          <w:tcPr>
            <w:tcW w:w="6178" w:type="dxa"/>
            <w:tcBorders/>
            <w:vAlign w:val="center"/>
          </w:tcPr>
          <w:p>
            <w:pPr>
              <w:pStyle w:val="TableContents"/>
              <w:widowControl w:val="false"/>
              <w:suppressLineNumbers/>
              <w:spacing w:before="0" w:after="200"/>
              <w:rPr/>
            </w:pPr>
            <w:r>
              <w:rPr/>
              <w:t>Corresponds to an ethically beneficial expansion of reachable, valuable future states</w:t>
            </w:r>
          </w:p>
        </w:tc>
      </w:tr>
      <w:tr>
        <w:trPr/>
        <w:tc>
          <w:tcPr>
            <w:tcW w:w="2462" w:type="dxa"/>
            <w:tcBorders/>
            <w:vAlign w:val="center"/>
          </w:tcPr>
          <w:p>
            <w:pPr>
              <w:pStyle w:val="TableContents"/>
              <w:widowControl w:val="false"/>
              <w:suppressLineNumbers/>
              <w:spacing w:before="0" w:after="200"/>
              <w:rPr/>
            </w:pPr>
            <w:r>
              <w:rPr/>
              <w:t>Adaptive preferences</w:t>
            </w:r>
          </w:p>
        </w:tc>
        <w:tc>
          <w:tcPr>
            <w:tcW w:w="6178" w:type="dxa"/>
            <w:tcBorders/>
            <w:vAlign w:val="center"/>
          </w:tcPr>
          <w:p>
            <w:pPr>
              <w:pStyle w:val="TableContents"/>
              <w:widowControl w:val="false"/>
              <w:suppressLineNumbers/>
              <w:spacing w:before="0" w:after="200"/>
              <w:rPr/>
            </w:pPr>
            <w:r>
              <w:rPr/>
              <w:t>Provides a warning against treating stated satisfaction or current objectives as complete evidence of flourishing</w:t>
            </w:r>
          </w:p>
        </w:tc>
      </w:tr>
      <w:tr>
        <w:trPr/>
        <w:tc>
          <w:tcPr>
            <w:tcW w:w="2462" w:type="dxa"/>
            <w:tcBorders/>
            <w:vAlign w:val="center"/>
          </w:tcPr>
          <w:p>
            <w:pPr>
              <w:pStyle w:val="TableContents"/>
              <w:widowControl w:val="false"/>
              <w:suppressLineNumbers/>
              <w:spacing w:before="0" w:after="200"/>
              <w:rPr/>
            </w:pPr>
            <w:r>
              <w:rPr/>
              <w:t>Human diversity</w:t>
            </w:r>
          </w:p>
        </w:tc>
        <w:tc>
          <w:tcPr>
            <w:tcW w:w="6178" w:type="dxa"/>
            <w:tcBorders/>
            <w:vAlign w:val="center"/>
          </w:tcPr>
          <w:p>
            <w:pPr>
              <w:pStyle w:val="TableContents"/>
              <w:widowControl w:val="false"/>
              <w:suppressLineNumbers/>
              <w:spacing w:before="0" w:after="200"/>
              <w:rPr/>
            </w:pPr>
            <w:r>
              <w:rPr/>
              <w:t>Supports entity-specific analysis rather than assuming identical effects from identical resources</w:t>
            </w:r>
          </w:p>
        </w:tc>
      </w:tr>
      <w:tr>
        <w:trPr/>
        <w:tc>
          <w:tcPr>
            <w:tcW w:w="2462" w:type="dxa"/>
            <w:tcBorders/>
            <w:vAlign w:val="center"/>
          </w:tcPr>
          <w:p>
            <w:pPr>
              <w:pStyle w:val="TableContents"/>
              <w:widowControl w:val="false"/>
              <w:suppressLineNumbers/>
              <w:spacing w:before="0" w:after="200"/>
              <w:rPr/>
            </w:pPr>
            <w:r>
              <w:rPr/>
              <w:t>Public reasoning</w:t>
            </w:r>
          </w:p>
        </w:tc>
        <w:tc>
          <w:tcPr>
            <w:tcW w:w="6178" w:type="dxa"/>
            <w:tcBorders/>
            <w:vAlign w:val="center"/>
          </w:tcPr>
          <w:p>
            <w:pPr>
              <w:pStyle w:val="TableContents"/>
              <w:widowControl w:val="false"/>
              <w:suppressLineNumbers/>
              <w:spacing w:before="0" w:after="200"/>
              <w:rPr/>
            </w:pPr>
            <w:r>
              <w:rPr/>
              <w:t>Supports participatory validation of capability dimensions, assumptions, weights, and thresholds</w:t>
            </w:r>
          </w:p>
        </w:tc>
      </w:tr>
      <w:tr>
        <w:trPr/>
        <w:tc>
          <w:tcPr>
            <w:tcW w:w="2462" w:type="dxa"/>
            <w:tcBorders/>
            <w:vAlign w:val="center"/>
          </w:tcPr>
          <w:p>
            <w:pPr>
              <w:pStyle w:val="TableContents"/>
              <w:widowControl w:val="false"/>
              <w:suppressLineNumbers/>
              <w:spacing w:before="0" w:after="200"/>
              <w:rPr/>
            </w:pPr>
            <w:r>
              <w:rPr/>
              <w:t>Capability thresholds</w:t>
            </w:r>
          </w:p>
        </w:tc>
        <w:tc>
          <w:tcPr>
            <w:tcW w:w="6178" w:type="dxa"/>
            <w:tcBorders/>
            <w:vAlign w:val="center"/>
          </w:tcPr>
          <w:p>
            <w:pPr>
              <w:pStyle w:val="TableContents"/>
              <w:widowControl w:val="false"/>
              <w:suppressLineNumbers/>
              <w:spacing w:before="0" w:after="200"/>
              <w:rPr/>
            </w:pPr>
            <w:r>
              <w:rPr/>
              <w:t>Can provide non-compensable minimum safeguards within transition analysis</w:t>
            </w:r>
          </w:p>
        </w:tc>
      </w:tr>
      <w:tr>
        <w:trPr/>
        <w:tc>
          <w:tcPr>
            <w:tcW w:w="2462" w:type="dxa"/>
            <w:tcBorders/>
            <w:vAlign w:val="center"/>
          </w:tcPr>
          <w:p>
            <w:pPr>
              <w:pStyle w:val="TableContents"/>
              <w:widowControl w:val="false"/>
              <w:suppressLineNumbers/>
              <w:spacing w:before="0" w:after="200"/>
              <w:rPr/>
            </w:pPr>
            <w:r>
              <w:rPr/>
              <w:t>Individual disaggregation</w:t>
            </w:r>
          </w:p>
        </w:tc>
        <w:tc>
          <w:tcPr>
            <w:tcW w:w="6178" w:type="dxa"/>
            <w:tcBorders/>
            <w:vAlign w:val="center"/>
          </w:tcPr>
          <w:p>
            <w:pPr>
              <w:pStyle w:val="TableContents"/>
              <w:widowControl w:val="false"/>
              <w:suppressLineNumbers/>
              <w:spacing w:before="0" w:after="200"/>
              <w:rPr/>
            </w:pPr>
            <w:r>
              <w:rPr/>
              <w:t>Supports examination of each affected entity rather than relying only on aggregate outcomes</w:t>
            </w:r>
          </w:p>
        </w:tc>
      </w:tr>
      <w:tr>
        <w:trPr/>
        <w:tc>
          <w:tcPr>
            <w:tcW w:w="2462" w:type="dxa"/>
            <w:tcBorders/>
            <w:vAlign w:val="center"/>
          </w:tcPr>
          <w:p>
            <w:pPr>
              <w:pStyle w:val="TableContents"/>
              <w:widowControl w:val="false"/>
              <w:suppressLineNumbers/>
              <w:spacing w:before="0" w:after="200"/>
              <w:rPr/>
            </w:pPr>
            <w:r>
              <w:rPr/>
              <w:t>Capability security</w:t>
            </w:r>
          </w:p>
        </w:tc>
        <w:tc>
          <w:tcPr>
            <w:tcW w:w="6178" w:type="dxa"/>
            <w:tcBorders/>
            <w:vAlign w:val="center"/>
          </w:tcPr>
          <w:p>
            <w:pPr>
              <w:pStyle w:val="TableContents"/>
              <w:widowControl w:val="false"/>
              <w:suppressLineNumbers/>
              <w:spacing w:before="0" w:after="200"/>
              <w:rPr/>
            </w:pPr>
            <w:r>
              <w:rPr/>
              <w:t>Corresponds to the durability and long-term availability of beneficial future states</w:t>
            </w:r>
          </w:p>
        </w:tc>
      </w:tr>
      <w:tr>
        <w:trPr/>
        <w:tc>
          <w:tcPr>
            <w:tcW w:w="2462" w:type="dxa"/>
            <w:tcBorders/>
            <w:vAlign w:val="center"/>
          </w:tcPr>
          <w:p>
            <w:pPr>
              <w:pStyle w:val="TableContents"/>
              <w:widowControl w:val="false"/>
              <w:suppressLineNumbers/>
              <w:spacing w:before="0" w:after="200"/>
              <w:rPr/>
            </w:pPr>
            <w:r>
              <w:rPr/>
              <w:t>Collective capabilities</w:t>
            </w:r>
          </w:p>
        </w:tc>
        <w:tc>
          <w:tcPr>
            <w:tcW w:w="6178" w:type="dxa"/>
            <w:tcBorders/>
            <w:vAlign w:val="center"/>
          </w:tcPr>
          <w:p>
            <w:pPr>
              <w:pStyle w:val="TableContents"/>
              <w:widowControl w:val="false"/>
              <w:suppressLineNumbers/>
              <w:spacing w:before="0" w:after="200"/>
              <w:rPr/>
            </w:pPr>
            <w:r>
              <w:rPr/>
              <w:t>Correspond to beneficial possibilities that arise through Associations and institutional coordination</w:t>
            </w:r>
          </w:p>
        </w:tc>
      </w:tr>
      <w:tr>
        <w:trPr/>
        <w:tc>
          <w:tcPr>
            <w:tcW w:w="2462" w:type="dxa"/>
            <w:tcBorders/>
            <w:vAlign w:val="center"/>
          </w:tcPr>
          <w:p>
            <w:pPr>
              <w:pStyle w:val="TableContents"/>
              <w:widowControl w:val="false"/>
              <w:suppressLineNumbers/>
              <w:spacing w:before="0" w:after="200"/>
              <w:rPr/>
            </w:pPr>
            <w:r>
              <w:rPr/>
              <w:t>Multidimensional poverty</w:t>
            </w:r>
          </w:p>
        </w:tc>
        <w:tc>
          <w:tcPr>
            <w:tcW w:w="6178" w:type="dxa"/>
            <w:tcBorders/>
            <w:vAlign w:val="center"/>
          </w:tcPr>
          <w:p>
            <w:pPr>
              <w:pStyle w:val="TableContents"/>
              <w:widowControl w:val="false"/>
              <w:suppressLineNumbers/>
              <w:spacing w:before="0" w:after="200"/>
              <w:rPr/>
            </w:pPr>
            <w:r>
              <w:rPr/>
              <w:t>Provides an operational model for analyzing simultaneous deprivation across several state dimensions</w:t>
            </w:r>
          </w:p>
        </w:tc>
      </w:tr>
      <w:tr>
        <w:trPr/>
        <w:tc>
          <w:tcPr>
            <w:tcW w:w="2462" w:type="dxa"/>
            <w:tcBorders/>
            <w:vAlign w:val="center"/>
          </w:tcPr>
          <w:p>
            <w:pPr>
              <w:pStyle w:val="TableContents"/>
              <w:widowControl w:val="false"/>
              <w:suppressLineNumbers/>
              <w:spacing w:before="0" w:after="200"/>
              <w:rPr/>
            </w:pPr>
            <w:r>
              <w:rPr/>
              <w:t>Agency development</w:t>
            </w:r>
          </w:p>
        </w:tc>
        <w:tc>
          <w:tcPr>
            <w:tcW w:w="6178" w:type="dxa"/>
            <w:tcBorders/>
            <w:vAlign w:val="center"/>
          </w:tcPr>
          <w:p>
            <w:pPr>
              <w:pStyle w:val="TableContents"/>
              <w:widowControl w:val="false"/>
              <w:suppressLineNumbers/>
              <w:spacing w:before="0" w:after="200"/>
              <w:rPr/>
            </w:pPr>
            <w:r>
              <w:rPr/>
              <w:t>Corresponds to the adaptive development of moral agents</w:t>
            </w:r>
          </w:p>
        </w:tc>
      </w:tr>
      <w:tr>
        <w:trPr/>
        <w:tc>
          <w:tcPr>
            <w:tcW w:w="2462" w:type="dxa"/>
            <w:tcBorders/>
            <w:vAlign w:val="center"/>
          </w:tcPr>
          <w:p>
            <w:pPr>
              <w:pStyle w:val="TableContents"/>
              <w:widowControl w:val="false"/>
              <w:suppressLineNumbers/>
              <w:spacing w:before="0" w:after="200"/>
              <w:rPr/>
            </w:pPr>
            <w:r>
              <w:rPr/>
              <w:t>Structural barriers</w:t>
            </w:r>
          </w:p>
        </w:tc>
        <w:tc>
          <w:tcPr>
            <w:tcW w:w="6178" w:type="dxa"/>
            <w:tcBorders/>
            <w:vAlign w:val="center"/>
          </w:tcPr>
          <w:p>
            <w:pPr>
              <w:pStyle w:val="TableContents"/>
              <w:widowControl w:val="false"/>
              <w:suppressLineNumbers/>
              <w:spacing w:before="0" w:after="200"/>
              <w:rPr/>
            </w:pPr>
            <w:r>
              <w:rPr/>
              <w:t>Correspond to constraints, policies, institutions, and Distributed Policy Effects that limit future choices</w:t>
            </w:r>
          </w:p>
        </w:tc>
      </w:tr>
    </w:tbl>
    <w:p>
      <w:pPr>
        <w:pStyle w:val="BodyText"/>
        <w:spacing w:before="0" w:after="200"/>
        <w:rPr/>
      </w:pPr>
      <w:r>
        <w:rPr/>
        <w:t>The Capability Approach strengthens the framework’s distinction between an entity’s current state and its future possibilities. A person who is currently healthy but lacks access to future healthcare may possess an insecure health capability. A person who is currently employed but cannot leave an abusive employer without losing housing, healthcare, or legal status may exhibit the functioning of employment without possessing meaningful occupational freedom.</w:t>
      </w:r>
    </w:p>
    <w:p>
      <w:pPr>
        <w:pStyle w:val="BodyText"/>
        <w:spacing w:before="0" w:after="200"/>
        <w:rPr/>
      </w:pPr>
      <w:r>
        <w:rPr/>
        <w:t>The approach also clarifies that expanding the number of options is not automatically ethical. Capabilities concern valuable and realistically usable options. Trivial choices, manipulative options, or alternatives available only through unacceptable risk do not necessarily enlarge flourishing.</w:t>
      </w:r>
    </w:p>
    <w:p>
      <w:pPr>
        <w:pStyle w:val="Heading4"/>
        <w:ind w:hanging="0" w:left="0"/>
        <w:rPr>
          <w:rFonts w:ascii="Aptos" w:hAnsi="Aptos"/>
          <w:color w:val="auto"/>
        </w:rPr>
      </w:pPr>
      <w:r>
        <w:rPr/>
        <w:t>Concepts adopted or adapted by this framework</w:t>
      </w:r>
    </w:p>
    <w:tbl>
      <w:tblPr>
        <w:tblW w:w="8640" w:type="dxa"/>
        <w:jc w:val="left"/>
        <w:tblInd w:w="28" w:type="dxa"/>
        <w:tblLayout w:type="fixed"/>
        <w:tblCellMar>
          <w:top w:w="28" w:type="dxa"/>
          <w:left w:w="28" w:type="dxa"/>
          <w:bottom w:w="28" w:type="dxa"/>
          <w:right w:w="28" w:type="dxa"/>
        </w:tblCellMar>
      </w:tblPr>
      <w:tblGrid>
        <w:gridCol w:w="2465"/>
        <w:gridCol w:w="6175"/>
      </w:tblGrid>
      <w:tr>
        <w:trPr>
          <w:tblHeader w:val="true"/>
        </w:trPr>
        <w:tc>
          <w:tcPr>
            <w:tcW w:w="2465" w:type="dxa"/>
            <w:tcBorders/>
            <w:vAlign w:val="center"/>
          </w:tcPr>
          <w:p>
            <w:pPr>
              <w:pStyle w:val="TableHeading"/>
              <w:suppressLineNumbers/>
              <w:spacing w:before="0" w:after="200"/>
              <w:jc w:val="center"/>
              <w:rPr/>
            </w:pPr>
            <w:r>
              <w:rPr/>
              <w:t>Capability concept</w:t>
            </w:r>
          </w:p>
        </w:tc>
        <w:tc>
          <w:tcPr>
            <w:tcW w:w="6175" w:type="dxa"/>
            <w:tcBorders/>
            <w:vAlign w:val="center"/>
          </w:tcPr>
          <w:p>
            <w:pPr>
              <w:pStyle w:val="TableHeading"/>
              <w:suppressLineNumbers/>
              <w:spacing w:before="0" w:after="200"/>
              <w:jc w:val="center"/>
              <w:rPr/>
            </w:pPr>
            <w:r>
              <w:rPr/>
              <w:t>Adoption or adaptation within this framework</w:t>
            </w:r>
          </w:p>
        </w:tc>
      </w:tr>
      <w:tr>
        <w:trPr/>
        <w:tc>
          <w:tcPr>
            <w:tcW w:w="2465" w:type="dxa"/>
            <w:tcBorders/>
            <w:vAlign w:val="center"/>
          </w:tcPr>
          <w:p>
            <w:pPr>
              <w:pStyle w:val="TableContents"/>
              <w:widowControl w:val="false"/>
              <w:suppressLineNumbers/>
              <w:spacing w:before="0" w:after="200"/>
              <w:rPr/>
            </w:pPr>
            <w:r>
              <w:rPr>
                <w:rStyle w:val="Strong"/>
              </w:rPr>
              <w:t>Functionings</w:t>
            </w:r>
          </w:p>
        </w:tc>
        <w:tc>
          <w:tcPr>
            <w:tcW w:w="6175" w:type="dxa"/>
            <w:tcBorders/>
            <w:vAlign w:val="center"/>
          </w:tcPr>
          <w:p>
            <w:pPr>
              <w:pStyle w:val="TableContents"/>
              <w:widowControl w:val="false"/>
              <w:suppressLineNumbers/>
              <w:spacing w:before="0" w:after="200"/>
              <w:rPr/>
            </w:pPr>
            <w:r>
              <w:rPr/>
              <w:t>Represented as actual states and activities achieved by an entity</w:t>
            </w:r>
          </w:p>
        </w:tc>
      </w:tr>
      <w:tr>
        <w:trPr/>
        <w:tc>
          <w:tcPr>
            <w:tcW w:w="2465" w:type="dxa"/>
            <w:tcBorders/>
            <w:vAlign w:val="center"/>
          </w:tcPr>
          <w:p>
            <w:pPr>
              <w:pStyle w:val="TableContents"/>
              <w:widowControl w:val="false"/>
              <w:suppressLineNumbers/>
              <w:spacing w:before="0" w:after="200"/>
              <w:rPr/>
            </w:pPr>
            <w:r>
              <w:rPr>
                <w:rStyle w:val="Strong"/>
              </w:rPr>
              <w:t>Capabilities</w:t>
            </w:r>
          </w:p>
        </w:tc>
        <w:tc>
          <w:tcPr>
            <w:tcW w:w="6175" w:type="dxa"/>
            <w:tcBorders/>
            <w:vAlign w:val="center"/>
          </w:tcPr>
          <w:p>
            <w:pPr>
              <w:pStyle w:val="TableContents"/>
              <w:widowControl w:val="false"/>
              <w:suppressLineNumbers/>
              <w:spacing w:before="0" w:after="200"/>
              <w:rPr/>
            </w:pPr>
            <w:r>
              <w:rPr/>
              <w:t>Represented as valuable and realistically reachable states or activities</w:t>
            </w:r>
          </w:p>
        </w:tc>
      </w:tr>
      <w:tr>
        <w:trPr/>
        <w:tc>
          <w:tcPr>
            <w:tcW w:w="2465" w:type="dxa"/>
            <w:tcBorders/>
            <w:vAlign w:val="center"/>
          </w:tcPr>
          <w:p>
            <w:pPr>
              <w:pStyle w:val="TableContents"/>
              <w:widowControl w:val="false"/>
              <w:suppressLineNumbers/>
              <w:spacing w:before="0" w:after="200"/>
              <w:rPr/>
            </w:pPr>
            <w:r>
              <w:rPr>
                <w:rStyle w:val="Strong"/>
              </w:rPr>
              <w:t>Capability set</w:t>
            </w:r>
          </w:p>
        </w:tc>
        <w:tc>
          <w:tcPr>
            <w:tcW w:w="6175" w:type="dxa"/>
            <w:tcBorders/>
            <w:vAlign w:val="center"/>
          </w:tcPr>
          <w:p>
            <w:pPr>
              <w:pStyle w:val="TableContents"/>
              <w:widowControl w:val="false"/>
              <w:suppressLineNumbers/>
              <w:spacing w:before="0" w:after="200"/>
              <w:rPr/>
            </w:pPr>
            <w:r>
              <w:rPr/>
              <w:t>Adapted as the entity’s beneficial reachable future state space</w:t>
            </w:r>
          </w:p>
        </w:tc>
      </w:tr>
      <w:tr>
        <w:trPr/>
        <w:tc>
          <w:tcPr>
            <w:tcW w:w="2465" w:type="dxa"/>
            <w:tcBorders/>
            <w:vAlign w:val="center"/>
          </w:tcPr>
          <w:p>
            <w:pPr>
              <w:pStyle w:val="TableContents"/>
              <w:widowControl w:val="false"/>
              <w:suppressLineNumbers/>
              <w:spacing w:before="0" w:after="200"/>
              <w:rPr/>
            </w:pPr>
            <w:r>
              <w:rPr>
                <w:rStyle w:val="Strong"/>
              </w:rPr>
              <w:t>Substantive freedom</w:t>
            </w:r>
          </w:p>
        </w:tc>
        <w:tc>
          <w:tcPr>
            <w:tcW w:w="6175" w:type="dxa"/>
            <w:tcBorders/>
            <w:vAlign w:val="center"/>
          </w:tcPr>
          <w:p>
            <w:pPr>
              <w:pStyle w:val="TableContents"/>
              <w:widowControl w:val="false"/>
              <w:suppressLineNumbers/>
              <w:spacing w:before="0" w:after="200"/>
              <w:rPr/>
            </w:pPr>
            <w:r>
              <w:rPr/>
              <w:t>Incorporated as practical, not merely nominal, access to a valuable future state</w:t>
            </w:r>
          </w:p>
        </w:tc>
      </w:tr>
      <w:tr>
        <w:trPr/>
        <w:tc>
          <w:tcPr>
            <w:tcW w:w="2465" w:type="dxa"/>
            <w:tcBorders/>
            <w:vAlign w:val="center"/>
          </w:tcPr>
          <w:p>
            <w:pPr>
              <w:pStyle w:val="TableContents"/>
              <w:widowControl w:val="false"/>
              <w:suppressLineNumbers/>
              <w:spacing w:before="0" w:after="200"/>
              <w:rPr/>
            </w:pPr>
            <w:r>
              <w:rPr>
                <w:rStyle w:val="Strong"/>
              </w:rPr>
              <w:t>Agency</w:t>
            </w:r>
          </w:p>
        </w:tc>
        <w:tc>
          <w:tcPr>
            <w:tcW w:w="6175" w:type="dxa"/>
            <w:tcBorders/>
            <w:vAlign w:val="center"/>
          </w:tcPr>
          <w:p>
            <w:pPr>
              <w:pStyle w:val="TableContents"/>
              <w:widowControl w:val="false"/>
              <w:suppressLineNumbers/>
              <w:spacing w:before="0" w:after="200"/>
              <w:rPr/>
            </w:pPr>
            <w:r>
              <w:rPr/>
              <w:t>Reflected in the ability to establish, revise, and pursue objectives and participate in decisions</w:t>
            </w:r>
          </w:p>
        </w:tc>
      </w:tr>
      <w:tr>
        <w:trPr/>
        <w:tc>
          <w:tcPr>
            <w:tcW w:w="2465" w:type="dxa"/>
            <w:tcBorders/>
            <w:vAlign w:val="center"/>
          </w:tcPr>
          <w:p>
            <w:pPr>
              <w:pStyle w:val="TableContents"/>
              <w:widowControl w:val="false"/>
              <w:suppressLineNumbers/>
              <w:spacing w:before="0" w:after="200"/>
              <w:rPr/>
            </w:pPr>
            <w:r>
              <w:rPr>
                <w:rStyle w:val="Strong"/>
              </w:rPr>
              <w:t>Well-being freedom</w:t>
            </w:r>
          </w:p>
        </w:tc>
        <w:tc>
          <w:tcPr>
            <w:tcW w:w="6175" w:type="dxa"/>
            <w:tcBorders/>
            <w:vAlign w:val="center"/>
          </w:tcPr>
          <w:p>
            <w:pPr>
              <w:pStyle w:val="TableContents"/>
              <w:widowControl w:val="false"/>
              <w:suppressLineNumbers/>
              <w:spacing w:before="0" w:after="200"/>
              <w:rPr/>
            </w:pPr>
            <w:r>
              <w:rPr/>
              <w:t>Reflected in opportunities to achieve states that contribute to the entity’s own flourishing</w:t>
            </w:r>
          </w:p>
        </w:tc>
      </w:tr>
      <w:tr>
        <w:trPr/>
        <w:tc>
          <w:tcPr>
            <w:tcW w:w="2465" w:type="dxa"/>
            <w:tcBorders/>
            <w:vAlign w:val="center"/>
          </w:tcPr>
          <w:p>
            <w:pPr>
              <w:pStyle w:val="TableContents"/>
              <w:widowControl w:val="false"/>
              <w:suppressLineNumbers/>
              <w:spacing w:before="0" w:after="200"/>
              <w:rPr/>
            </w:pPr>
            <w:r>
              <w:rPr>
                <w:rStyle w:val="Strong"/>
              </w:rPr>
              <w:t>Agency freedom</w:t>
            </w:r>
          </w:p>
        </w:tc>
        <w:tc>
          <w:tcPr>
            <w:tcW w:w="6175" w:type="dxa"/>
            <w:tcBorders/>
            <w:vAlign w:val="center"/>
          </w:tcPr>
          <w:p>
            <w:pPr>
              <w:pStyle w:val="TableContents"/>
              <w:widowControl w:val="false"/>
              <w:suppressLineNumbers/>
              <w:spacing w:before="0" w:after="200"/>
              <w:rPr/>
            </w:pPr>
            <w:r>
              <w:rPr/>
              <w:t>Reflected in opportunities to pursue ethically legitimate objectives, including concern for others</w:t>
            </w:r>
          </w:p>
        </w:tc>
      </w:tr>
      <w:tr>
        <w:trPr/>
        <w:tc>
          <w:tcPr>
            <w:tcW w:w="2465" w:type="dxa"/>
            <w:tcBorders/>
            <w:vAlign w:val="center"/>
          </w:tcPr>
          <w:p>
            <w:pPr>
              <w:pStyle w:val="TableContents"/>
              <w:widowControl w:val="false"/>
              <w:suppressLineNumbers/>
              <w:spacing w:before="0" w:after="200"/>
              <w:rPr/>
            </w:pPr>
            <w:r>
              <w:rPr>
                <w:rStyle w:val="Strong"/>
              </w:rPr>
              <w:t>Opportunity freedom</w:t>
            </w:r>
          </w:p>
        </w:tc>
        <w:tc>
          <w:tcPr>
            <w:tcW w:w="6175" w:type="dxa"/>
            <w:tcBorders/>
            <w:vAlign w:val="center"/>
          </w:tcPr>
          <w:p>
            <w:pPr>
              <w:pStyle w:val="TableContents"/>
              <w:widowControl w:val="false"/>
              <w:suppressLineNumbers/>
              <w:spacing w:before="0" w:after="200"/>
              <w:rPr/>
            </w:pPr>
            <w:r>
              <w:rPr/>
              <w:t>Incorporated through analysis of the quality and range of available alternatives</w:t>
            </w:r>
          </w:p>
        </w:tc>
      </w:tr>
      <w:tr>
        <w:trPr/>
        <w:tc>
          <w:tcPr>
            <w:tcW w:w="2465" w:type="dxa"/>
            <w:tcBorders/>
            <w:vAlign w:val="center"/>
          </w:tcPr>
          <w:p>
            <w:pPr>
              <w:pStyle w:val="TableContents"/>
              <w:widowControl w:val="false"/>
              <w:suppressLineNumbers/>
              <w:spacing w:before="0" w:after="200"/>
              <w:rPr/>
            </w:pPr>
            <w:r>
              <w:rPr>
                <w:rStyle w:val="Strong"/>
              </w:rPr>
              <w:t>Process freedom</w:t>
            </w:r>
          </w:p>
        </w:tc>
        <w:tc>
          <w:tcPr>
            <w:tcW w:w="6175" w:type="dxa"/>
            <w:tcBorders/>
            <w:vAlign w:val="center"/>
          </w:tcPr>
          <w:p>
            <w:pPr>
              <w:pStyle w:val="TableContents"/>
              <w:widowControl w:val="false"/>
              <w:suppressLineNumbers/>
              <w:spacing w:before="0" w:after="200"/>
              <w:rPr/>
            </w:pPr>
            <w:r>
              <w:rPr/>
              <w:t>Incorporated through evaluation of whether decisions are made without coercion, deception, or exclusion</w:t>
            </w:r>
          </w:p>
        </w:tc>
      </w:tr>
      <w:tr>
        <w:trPr/>
        <w:tc>
          <w:tcPr>
            <w:tcW w:w="2465" w:type="dxa"/>
            <w:tcBorders/>
            <w:vAlign w:val="center"/>
          </w:tcPr>
          <w:p>
            <w:pPr>
              <w:pStyle w:val="TableContents"/>
              <w:widowControl w:val="false"/>
              <w:suppressLineNumbers/>
              <w:spacing w:before="0" w:after="200"/>
              <w:rPr/>
            </w:pPr>
            <w:r>
              <w:rPr>
                <w:rStyle w:val="Strong"/>
              </w:rPr>
              <w:t>Conversion factors</w:t>
            </w:r>
          </w:p>
        </w:tc>
        <w:tc>
          <w:tcPr>
            <w:tcW w:w="6175" w:type="dxa"/>
            <w:tcBorders/>
            <w:vAlign w:val="center"/>
          </w:tcPr>
          <w:p>
            <w:pPr>
              <w:pStyle w:val="TableContents"/>
              <w:widowControl w:val="false"/>
              <w:suppressLineNumbers/>
              <w:spacing w:before="0" w:after="200"/>
              <w:rPr/>
            </w:pPr>
            <w:r>
              <w:rPr/>
              <w:t>Adapted as personal, social, institutional, technological, and environmental conditions affecting what an entity can do with available resources</w:t>
            </w:r>
          </w:p>
        </w:tc>
      </w:tr>
      <w:tr>
        <w:trPr/>
        <w:tc>
          <w:tcPr>
            <w:tcW w:w="2465" w:type="dxa"/>
            <w:tcBorders/>
            <w:vAlign w:val="center"/>
          </w:tcPr>
          <w:p>
            <w:pPr>
              <w:pStyle w:val="TableContents"/>
              <w:widowControl w:val="false"/>
              <w:suppressLineNumbers/>
              <w:spacing w:before="0" w:after="200"/>
              <w:rPr/>
            </w:pPr>
            <w:r>
              <w:rPr>
                <w:rStyle w:val="Strong"/>
              </w:rPr>
              <w:t>Means–ends distinction</w:t>
            </w:r>
          </w:p>
        </w:tc>
        <w:tc>
          <w:tcPr>
            <w:tcW w:w="6175" w:type="dxa"/>
            <w:tcBorders/>
            <w:vAlign w:val="center"/>
          </w:tcPr>
          <w:p>
            <w:pPr>
              <w:pStyle w:val="TableContents"/>
              <w:widowControl w:val="false"/>
              <w:suppressLineNumbers/>
              <w:spacing w:before="0" w:after="200"/>
              <w:rPr/>
            </w:pPr>
            <w:r>
              <w:rPr/>
              <w:t>Incorporated by treating resources, wealth, technology, and services as inputs rather than final ethical outcomes</w:t>
            </w:r>
          </w:p>
        </w:tc>
      </w:tr>
      <w:tr>
        <w:trPr/>
        <w:tc>
          <w:tcPr>
            <w:tcW w:w="2465" w:type="dxa"/>
            <w:tcBorders/>
            <w:vAlign w:val="center"/>
          </w:tcPr>
          <w:p>
            <w:pPr>
              <w:pStyle w:val="TableContents"/>
              <w:widowControl w:val="false"/>
              <w:suppressLineNumbers/>
              <w:spacing w:before="0" w:after="200"/>
              <w:rPr/>
            </w:pPr>
            <w:r>
              <w:rPr>
                <w:rStyle w:val="Strong"/>
              </w:rPr>
              <w:t>Capability deprivation</w:t>
            </w:r>
          </w:p>
        </w:tc>
        <w:tc>
          <w:tcPr>
            <w:tcW w:w="6175" w:type="dxa"/>
            <w:tcBorders/>
            <w:vAlign w:val="center"/>
          </w:tcPr>
          <w:p>
            <w:pPr>
              <w:pStyle w:val="TableContents"/>
              <w:widowControl w:val="false"/>
              <w:suppressLineNumbers/>
              <w:spacing w:before="0" w:after="200"/>
              <w:rPr/>
            </w:pPr>
            <w:r>
              <w:rPr/>
              <w:t>Adapted as the loss or absence of valuable future possibilities</w:t>
            </w:r>
          </w:p>
        </w:tc>
      </w:tr>
      <w:tr>
        <w:trPr/>
        <w:tc>
          <w:tcPr>
            <w:tcW w:w="2465" w:type="dxa"/>
            <w:tcBorders/>
            <w:vAlign w:val="center"/>
          </w:tcPr>
          <w:p>
            <w:pPr>
              <w:pStyle w:val="TableContents"/>
              <w:widowControl w:val="false"/>
              <w:suppressLineNumbers/>
              <w:spacing w:before="0" w:after="200"/>
              <w:rPr/>
            </w:pPr>
            <w:r>
              <w:rPr>
                <w:rStyle w:val="Strong"/>
              </w:rPr>
              <w:t>Adaptive preferences</w:t>
            </w:r>
          </w:p>
        </w:tc>
        <w:tc>
          <w:tcPr>
            <w:tcW w:w="6175" w:type="dxa"/>
            <w:tcBorders/>
            <w:vAlign w:val="center"/>
          </w:tcPr>
          <w:p>
            <w:pPr>
              <w:pStyle w:val="TableContents"/>
              <w:widowControl w:val="false"/>
              <w:suppressLineNumbers/>
              <w:spacing w:before="0" w:after="200"/>
              <w:rPr/>
            </w:pPr>
            <w:r>
              <w:rPr/>
              <w:t>Incorporated as a warning that preferences may reflect deprivation, manipulation, or restricted expectations</w:t>
            </w:r>
          </w:p>
        </w:tc>
      </w:tr>
      <w:tr>
        <w:trPr/>
        <w:tc>
          <w:tcPr>
            <w:tcW w:w="2465" w:type="dxa"/>
            <w:tcBorders/>
            <w:vAlign w:val="center"/>
          </w:tcPr>
          <w:p>
            <w:pPr>
              <w:pStyle w:val="TableContents"/>
              <w:widowControl w:val="false"/>
              <w:suppressLineNumbers/>
              <w:spacing w:before="0" w:after="200"/>
              <w:rPr/>
            </w:pPr>
            <w:r>
              <w:rPr>
                <w:rStyle w:val="Strong"/>
              </w:rPr>
              <w:t>Capability security</w:t>
            </w:r>
          </w:p>
        </w:tc>
        <w:tc>
          <w:tcPr>
            <w:tcW w:w="6175" w:type="dxa"/>
            <w:tcBorders/>
            <w:vAlign w:val="center"/>
          </w:tcPr>
          <w:p>
            <w:pPr>
              <w:pStyle w:val="TableContents"/>
              <w:widowControl w:val="false"/>
              <w:suppressLineNumbers/>
              <w:spacing w:before="0" w:after="200"/>
              <w:rPr/>
            </w:pPr>
            <w:r>
              <w:rPr/>
              <w:t>Reflected in the durability, reliability, and resilience of valuable opportunities over time</w:t>
            </w:r>
          </w:p>
        </w:tc>
      </w:tr>
      <w:tr>
        <w:trPr/>
        <w:tc>
          <w:tcPr>
            <w:tcW w:w="2465" w:type="dxa"/>
            <w:tcBorders/>
            <w:vAlign w:val="center"/>
          </w:tcPr>
          <w:p>
            <w:pPr>
              <w:pStyle w:val="TableContents"/>
              <w:widowControl w:val="false"/>
              <w:suppressLineNumbers/>
              <w:spacing w:before="0" w:after="200"/>
              <w:rPr/>
            </w:pPr>
            <w:r>
              <w:rPr>
                <w:rStyle w:val="Strong"/>
              </w:rPr>
              <w:t>Thresholds</w:t>
            </w:r>
          </w:p>
        </w:tc>
        <w:tc>
          <w:tcPr>
            <w:tcW w:w="6175" w:type="dxa"/>
            <w:tcBorders/>
            <w:vAlign w:val="center"/>
          </w:tcPr>
          <w:p>
            <w:pPr>
              <w:pStyle w:val="TableContents"/>
              <w:widowControl w:val="false"/>
              <w:suppressLineNumbers/>
              <w:spacing w:before="0" w:after="200"/>
              <w:rPr/>
            </w:pPr>
            <w:r>
              <w:rPr/>
              <w:t>Adapted as minimum capability conditions below which trade-offs require special justification</w:t>
            </w:r>
          </w:p>
        </w:tc>
      </w:tr>
      <w:tr>
        <w:trPr/>
        <w:tc>
          <w:tcPr>
            <w:tcW w:w="2465" w:type="dxa"/>
            <w:tcBorders/>
            <w:vAlign w:val="center"/>
          </w:tcPr>
          <w:p>
            <w:pPr>
              <w:pStyle w:val="TableContents"/>
              <w:widowControl w:val="false"/>
              <w:suppressLineNumbers/>
              <w:spacing w:before="0" w:after="200"/>
              <w:rPr/>
            </w:pPr>
            <w:r>
              <w:rPr>
                <w:rStyle w:val="Strong"/>
              </w:rPr>
              <w:t>Central capabilities</w:t>
            </w:r>
          </w:p>
        </w:tc>
        <w:tc>
          <w:tcPr>
            <w:tcW w:w="6175" w:type="dxa"/>
            <w:tcBorders/>
            <w:vAlign w:val="center"/>
          </w:tcPr>
          <w:p>
            <w:pPr>
              <w:pStyle w:val="TableContents"/>
              <w:widowControl w:val="false"/>
              <w:suppressLineNumbers/>
              <w:spacing w:before="0" w:after="200"/>
              <w:rPr/>
            </w:pPr>
            <w:r>
              <w:rPr/>
              <w:t>Available as a human-specific dimensional profile for interpreting Long-Term Flourishing</w:t>
            </w:r>
          </w:p>
        </w:tc>
      </w:tr>
      <w:tr>
        <w:trPr/>
        <w:tc>
          <w:tcPr>
            <w:tcW w:w="2465" w:type="dxa"/>
            <w:tcBorders/>
            <w:vAlign w:val="center"/>
          </w:tcPr>
          <w:p>
            <w:pPr>
              <w:pStyle w:val="TableContents"/>
              <w:widowControl w:val="false"/>
              <w:suppressLineNumbers/>
              <w:spacing w:before="0" w:after="200"/>
              <w:rPr/>
            </w:pPr>
            <w:r>
              <w:rPr>
                <w:rStyle w:val="Strong"/>
              </w:rPr>
              <w:t>Each person as an end</w:t>
            </w:r>
          </w:p>
        </w:tc>
        <w:tc>
          <w:tcPr>
            <w:tcW w:w="6175" w:type="dxa"/>
            <w:tcBorders/>
            <w:vAlign w:val="center"/>
          </w:tcPr>
          <w:p>
            <w:pPr>
              <w:pStyle w:val="TableContents"/>
              <w:widowControl w:val="false"/>
              <w:suppressLineNumbers/>
              <w:spacing w:before="0" w:after="200"/>
              <w:rPr/>
            </w:pPr>
            <w:r>
              <w:rPr/>
              <w:t>Incorporated through entity-level disaggregation and protection against sacrificing individuals to aggregate improvement</w:t>
            </w:r>
          </w:p>
        </w:tc>
      </w:tr>
      <w:tr>
        <w:trPr/>
        <w:tc>
          <w:tcPr>
            <w:tcW w:w="2465" w:type="dxa"/>
            <w:tcBorders/>
            <w:vAlign w:val="center"/>
          </w:tcPr>
          <w:p>
            <w:pPr>
              <w:pStyle w:val="TableContents"/>
              <w:widowControl w:val="false"/>
              <w:suppressLineNumbers/>
              <w:spacing w:before="0" w:after="200"/>
              <w:rPr/>
            </w:pPr>
            <w:r>
              <w:rPr>
                <w:rStyle w:val="Strong"/>
              </w:rPr>
              <w:t>Public reasoning</w:t>
            </w:r>
          </w:p>
        </w:tc>
        <w:tc>
          <w:tcPr>
            <w:tcW w:w="6175" w:type="dxa"/>
            <w:tcBorders/>
            <w:vAlign w:val="center"/>
          </w:tcPr>
          <w:p>
            <w:pPr>
              <w:pStyle w:val="TableContents"/>
              <w:widowControl w:val="false"/>
              <w:suppressLineNumbers/>
              <w:spacing w:before="0" w:after="200"/>
              <w:rPr/>
            </w:pPr>
            <w:r>
              <w:rPr/>
              <w:t>Adapted as participatory review of values, thresholds, evidence, and capability selection</w:t>
            </w:r>
          </w:p>
        </w:tc>
      </w:tr>
      <w:tr>
        <w:trPr/>
        <w:tc>
          <w:tcPr>
            <w:tcW w:w="2465" w:type="dxa"/>
            <w:tcBorders/>
            <w:vAlign w:val="center"/>
          </w:tcPr>
          <w:p>
            <w:pPr>
              <w:pStyle w:val="TableContents"/>
              <w:widowControl w:val="false"/>
              <w:suppressLineNumbers/>
              <w:spacing w:before="0" w:after="200"/>
              <w:rPr/>
            </w:pPr>
            <w:r>
              <w:rPr>
                <w:rStyle w:val="Strong"/>
              </w:rPr>
              <w:t>Collective capabilities</w:t>
            </w:r>
          </w:p>
        </w:tc>
        <w:tc>
          <w:tcPr>
            <w:tcW w:w="6175" w:type="dxa"/>
            <w:tcBorders/>
            <w:vAlign w:val="center"/>
          </w:tcPr>
          <w:p>
            <w:pPr>
              <w:pStyle w:val="TableContents"/>
              <w:widowControl w:val="false"/>
              <w:suppressLineNumbers/>
              <w:spacing w:before="0" w:after="200"/>
              <w:rPr/>
            </w:pPr>
            <w:r>
              <w:rPr/>
              <w:t>Represented as opportunities that depend on relationships, institutions, shared infrastructure, or collective action</w:t>
            </w:r>
          </w:p>
        </w:tc>
      </w:tr>
      <w:tr>
        <w:trPr/>
        <w:tc>
          <w:tcPr>
            <w:tcW w:w="2465" w:type="dxa"/>
            <w:tcBorders/>
            <w:vAlign w:val="center"/>
          </w:tcPr>
          <w:p>
            <w:pPr>
              <w:pStyle w:val="TableContents"/>
              <w:widowControl w:val="false"/>
              <w:suppressLineNumbers/>
              <w:spacing w:before="0" w:after="200"/>
              <w:rPr/>
            </w:pPr>
            <w:r>
              <w:rPr>
                <w:rStyle w:val="Strong"/>
              </w:rPr>
              <w:t>Multidimensional evaluation</w:t>
            </w:r>
          </w:p>
        </w:tc>
        <w:tc>
          <w:tcPr>
            <w:tcW w:w="6175" w:type="dxa"/>
            <w:tcBorders/>
            <w:vAlign w:val="center"/>
          </w:tcPr>
          <w:p>
            <w:pPr>
              <w:pStyle w:val="TableContents"/>
              <w:widowControl w:val="false"/>
              <w:suppressLineNumbers/>
              <w:spacing w:before="0" w:after="200"/>
              <w:rPr/>
            </w:pPr>
            <w:r>
              <w:rPr/>
              <w:t>Reflected in the state-vector conception of flourishing</w:t>
            </w:r>
          </w:p>
        </w:tc>
      </w:tr>
      <w:tr>
        <w:trPr/>
        <w:tc>
          <w:tcPr>
            <w:tcW w:w="2465" w:type="dxa"/>
            <w:tcBorders/>
            <w:vAlign w:val="center"/>
          </w:tcPr>
          <w:p>
            <w:pPr>
              <w:pStyle w:val="TableContents"/>
              <w:widowControl w:val="false"/>
              <w:suppressLineNumbers/>
              <w:spacing w:before="0" w:after="200"/>
              <w:rPr/>
            </w:pPr>
            <w:r>
              <w:rPr>
                <w:rStyle w:val="Strong"/>
              </w:rPr>
              <w:t>Multidimensional deprivation</w:t>
            </w:r>
          </w:p>
        </w:tc>
        <w:tc>
          <w:tcPr>
            <w:tcW w:w="6175" w:type="dxa"/>
            <w:tcBorders/>
            <w:vAlign w:val="center"/>
          </w:tcPr>
          <w:p>
            <w:pPr>
              <w:pStyle w:val="TableContents"/>
              <w:widowControl w:val="false"/>
              <w:suppressLineNumbers/>
              <w:spacing w:before="0" w:after="200"/>
              <w:rPr/>
            </w:pPr>
            <w:r>
              <w:rPr/>
              <w:t>Adapted as simultaneous shortfalls across multiple ethically important state dimensions</w:t>
            </w:r>
          </w:p>
        </w:tc>
      </w:tr>
      <w:tr>
        <w:trPr/>
        <w:tc>
          <w:tcPr>
            <w:tcW w:w="2465" w:type="dxa"/>
            <w:tcBorders/>
            <w:vAlign w:val="center"/>
          </w:tcPr>
          <w:p>
            <w:pPr>
              <w:pStyle w:val="TableContents"/>
              <w:widowControl w:val="false"/>
              <w:suppressLineNumbers/>
              <w:spacing w:before="0" w:after="200"/>
              <w:rPr/>
            </w:pPr>
            <w:r>
              <w:rPr>
                <w:rStyle w:val="Strong"/>
              </w:rPr>
              <w:t>Capability selection</w:t>
            </w:r>
          </w:p>
        </w:tc>
        <w:tc>
          <w:tcPr>
            <w:tcW w:w="6175" w:type="dxa"/>
            <w:tcBorders/>
            <w:vAlign w:val="center"/>
          </w:tcPr>
          <w:p>
            <w:pPr>
              <w:pStyle w:val="TableContents"/>
              <w:widowControl w:val="false"/>
              <w:suppressLineNumbers/>
              <w:spacing w:before="0" w:after="200"/>
              <w:rPr/>
            </w:pPr>
            <w:r>
              <w:rPr/>
              <w:t>Incorporated through context-sensitive identification of valuable entity-specific possibilities</w:t>
            </w:r>
          </w:p>
        </w:tc>
      </w:tr>
      <w:tr>
        <w:trPr/>
        <w:tc>
          <w:tcPr>
            <w:tcW w:w="2465" w:type="dxa"/>
            <w:tcBorders/>
            <w:vAlign w:val="center"/>
          </w:tcPr>
          <w:p>
            <w:pPr>
              <w:pStyle w:val="TableContents"/>
              <w:widowControl w:val="false"/>
              <w:suppressLineNumbers/>
              <w:spacing w:before="0" w:after="200"/>
              <w:rPr/>
            </w:pPr>
            <w:r>
              <w:rPr>
                <w:rStyle w:val="Strong"/>
              </w:rPr>
              <w:t>Capability weighting</w:t>
            </w:r>
          </w:p>
        </w:tc>
        <w:tc>
          <w:tcPr>
            <w:tcW w:w="6175" w:type="dxa"/>
            <w:tcBorders/>
            <w:vAlign w:val="center"/>
          </w:tcPr>
          <w:p>
            <w:pPr>
              <w:pStyle w:val="TableContents"/>
              <w:widowControl w:val="false"/>
              <w:suppressLineNumbers/>
              <w:spacing w:before="0" w:after="200"/>
              <w:rPr/>
            </w:pPr>
            <w:r>
              <w:rPr/>
              <w:t>Treated as an explicit, contestable ethical judgment rather than an automatic technical output</w:t>
            </w:r>
          </w:p>
        </w:tc>
      </w:tr>
      <w:tr>
        <w:trPr/>
        <w:tc>
          <w:tcPr>
            <w:tcW w:w="2465" w:type="dxa"/>
            <w:tcBorders/>
            <w:vAlign w:val="center"/>
          </w:tcPr>
          <w:p>
            <w:pPr>
              <w:pStyle w:val="TableContents"/>
              <w:widowControl w:val="false"/>
              <w:suppressLineNumbers/>
              <w:spacing w:before="0" w:after="200"/>
              <w:rPr/>
            </w:pPr>
            <w:r>
              <w:rPr>
                <w:rStyle w:val="Strong"/>
              </w:rPr>
              <w:t>Human diversity</w:t>
            </w:r>
          </w:p>
        </w:tc>
        <w:tc>
          <w:tcPr>
            <w:tcW w:w="6175" w:type="dxa"/>
            <w:tcBorders/>
            <w:vAlign w:val="center"/>
          </w:tcPr>
          <w:p>
            <w:pPr>
              <w:pStyle w:val="TableContents"/>
              <w:widowControl w:val="false"/>
              <w:suppressLineNumbers/>
              <w:spacing w:before="0" w:after="200"/>
              <w:rPr/>
            </w:pPr>
            <w:r>
              <w:rPr/>
              <w:t>Incorporated through entity-specific conversion factors and differentiated effects</w:t>
            </w:r>
          </w:p>
        </w:tc>
      </w:tr>
      <w:tr>
        <w:trPr/>
        <w:tc>
          <w:tcPr>
            <w:tcW w:w="2465" w:type="dxa"/>
            <w:tcBorders/>
            <w:vAlign w:val="center"/>
          </w:tcPr>
          <w:p>
            <w:pPr>
              <w:pStyle w:val="TableContents"/>
              <w:widowControl w:val="false"/>
              <w:suppressLineNumbers/>
              <w:spacing w:before="0" w:after="200"/>
              <w:rPr/>
            </w:pPr>
            <w:r>
              <w:rPr>
                <w:rStyle w:val="Strong"/>
              </w:rPr>
              <w:t>Control over environment</w:t>
            </w:r>
          </w:p>
        </w:tc>
        <w:tc>
          <w:tcPr>
            <w:tcW w:w="6175" w:type="dxa"/>
            <w:tcBorders/>
            <w:vAlign w:val="center"/>
          </w:tcPr>
          <w:p>
            <w:pPr>
              <w:pStyle w:val="TableContents"/>
              <w:widowControl w:val="false"/>
              <w:suppressLineNumbers/>
              <w:spacing w:before="0" w:after="200"/>
              <w:rPr/>
            </w:pPr>
            <w:r>
              <w:rPr/>
              <w:t>Reflected in meaningful participation, political voice, material security, and influence over relevant decisions</w:t>
            </w:r>
          </w:p>
        </w:tc>
      </w:tr>
      <w:tr>
        <w:trPr/>
        <w:tc>
          <w:tcPr>
            <w:tcW w:w="2465" w:type="dxa"/>
            <w:tcBorders/>
            <w:vAlign w:val="center"/>
          </w:tcPr>
          <w:p>
            <w:pPr>
              <w:pStyle w:val="TableContents"/>
              <w:widowControl w:val="false"/>
              <w:suppressLineNumbers/>
              <w:spacing w:before="0" w:after="200"/>
              <w:rPr/>
            </w:pPr>
            <w:r>
              <w:rPr>
                <w:rStyle w:val="Strong"/>
              </w:rPr>
              <w:t>Practical reason</w:t>
            </w:r>
          </w:p>
        </w:tc>
        <w:tc>
          <w:tcPr>
            <w:tcW w:w="6175" w:type="dxa"/>
            <w:tcBorders/>
            <w:vAlign w:val="center"/>
          </w:tcPr>
          <w:p>
            <w:pPr>
              <w:pStyle w:val="TableContents"/>
              <w:widowControl w:val="false"/>
              <w:suppressLineNumbers/>
              <w:spacing w:before="0" w:after="200"/>
              <w:rPr/>
            </w:pPr>
            <w:r>
              <w:rPr/>
              <w:t>Reflected in the adaptive development of moral agency and critical reflection</w:t>
            </w:r>
          </w:p>
        </w:tc>
      </w:tr>
      <w:tr>
        <w:trPr/>
        <w:tc>
          <w:tcPr>
            <w:tcW w:w="2465" w:type="dxa"/>
            <w:tcBorders/>
            <w:vAlign w:val="center"/>
          </w:tcPr>
          <w:p>
            <w:pPr>
              <w:pStyle w:val="TableContents"/>
              <w:widowControl w:val="false"/>
              <w:suppressLineNumbers/>
              <w:spacing w:before="0" w:after="200"/>
              <w:rPr/>
            </w:pPr>
            <w:r>
              <w:rPr>
                <w:rStyle w:val="Strong"/>
              </w:rPr>
              <w:t>Affiliation</w:t>
            </w:r>
          </w:p>
        </w:tc>
        <w:tc>
          <w:tcPr>
            <w:tcW w:w="6175" w:type="dxa"/>
            <w:tcBorders/>
            <w:vAlign w:val="center"/>
          </w:tcPr>
          <w:p>
            <w:pPr>
              <w:pStyle w:val="TableContents"/>
              <w:widowControl w:val="false"/>
              <w:suppressLineNumbers/>
              <w:spacing w:before="0" w:after="200"/>
              <w:rPr/>
            </w:pPr>
            <w:r>
              <w:rPr/>
              <w:t>Reflected in Associations, belonging, participation, non-humiliation, and reciprocal social support</w:t>
            </w:r>
          </w:p>
        </w:tc>
      </w:tr>
    </w:tbl>
    <w:p>
      <w:pPr>
        <w:pStyle w:val="Heading4"/>
        <w:ind w:hanging="0" w:left="0"/>
        <w:rPr>
          <w:rFonts w:ascii="Aptos" w:hAnsi="Aptos"/>
          <w:color w:val="auto"/>
        </w:rPr>
      </w:pPr>
      <w:r>
        <w:rPr/>
        <w:t>Similarities</w:t>
      </w:r>
    </w:p>
    <w:p>
      <w:pPr>
        <w:pStyle w:val="BodyText"/>
        <w:numPr>
          <w:ilvl w:val="0"/>
          <w:numId w:val="141"/>
        </w:numPr>
        <w:tabs>
          <w:tab w:val="clear" w:pos="720"/>
          <w:tab w:val="left" w:pos="0" w:leader="none"/>
        </w:tabs>
        <w:spacing w:before="0" w:after="200"/>
        <w:ind w:hanging="283" w:left="709"/>
        <w:rPr/>
      </w:pPr>
      <w:r>
        <w:rPr>
          <w:rStyle w:val="Strong"/>
        </w:rPr>
        <w:t>Both define flourishing as multidimensional.</w:t>
      </w:r>
      <w:r>
        <w:rPr/>
        <w:br/>
        <w:t>Neither approach reduces a good state to income, preference satisfaction, pleasure, or survival.</w:t>
      </w:r>
    </w:p>
    <w:p>
      <w:pPr>
        <w:pStyle w:val="BodyText"/>
        <w:numPr>
          <w:ilvl w:val="0"/>
          <w:numId w:val="141"/>
        </w:numPr>
        <w:tabs>
          <w:tab w:val="clear" w:pos="720"/>
          <w:tab w:val="left" w:pos="0" w:leader="none"/>
        </w:tabs>
        <w:spacing w:before="0" w:after="200"/>
        <w:ind w:hanging="283" w:left="709"/>
        <w:rPr/>
      </w:pPr>
      <w:r>
        <w:rPr>
          <w:rStyle w:val="Strong"/>
        </w:rPr>
        <w:t>Both distinguish means from ends.</w:t>
      </w:r>
      <w:r>
        <w:rPr/>
        <w:br/>
        <w:t>Resources and technologies are ethically valuable partly because of the beneficial states and capacities they make possible.</w:t>
      </w:r>
    </w:p>
    <w:p>
      <w:pPr>
        <w:pStyle w:val="BodyText"/>
        <w:numPr>
          <w:ilvl w:val="0"/>
          <w:numId w:val="141"/>
        </w:numPr>
        <w:tabs>
          <w:tab w:val="clear" w:pos="720"/>
          <w:tab w:val="left" w:pos="0" w:leader="none"/>
        </w:tabs>
        <w:spacing w:before="0" w:after="200"/>
        <w:ind w:hanging="283" w:left="709"/>
        <w:rPr/>
      </w:pPr>
      <w:r>
        <w:rPr>
          <w:rStyle w:val="Strong"/>
        </w:rPr>
        <w:t>Both focus on future possibilities.</w:t>
      </w:r>
      <w:r>
        <w:rPr/>
        <w:br/>
        <w:t>The framework’s beneficial future state space closely parallels a capability set.</w:t>
      </w:r>
    </w:p>
    <w:p>
      <w:pPr>
        <w:pStyle w:val="BodyText"/>
        <w:numPr>
          <w:ilvl w:val="0"/>
          <w:numId w:val="141"/>
        </w:numPr>
        <w:tabs>
          <w:tab w:val="clear" w:pos="720"/>
          <w:tab w:val="left" w:pos="0" w:leader="none"/>
        </w:tabs>
        <w:spacing w:before="0" w:after="200"/>
        <w:ind w:hanging="283" w:left="709"/>
        <w:rPr/>
      </w:pPr>
      <w:r>
        <w:rPr>
          <w:rStyle w:val="Strong"/>
        </w:rPr>
        <w:t>Both recognize entity diversity.</w:t>
      </w:r>
      <w:r>
        <w:rPr/>
        <w:br/>
        <w:t>Identical interventions can produce different effects because entities have different characteristics, relationships, and environments.</w:t>
      </w:r>
    </w:p>
    <w:p>
      <w:pPr>
        <w:pStyle w:val="BodyText"/>
        <w:numPr>
          <w:ilvl w:val="0"/>
          <w:numId w:val="141"/>
        </w:numPr>
        <w:tabs>
          <w:tab w:val="clear" w:pos="720"/>
          <w:tab w:val="left" w:pos="0" w:leader="none"/>
        </w:tabs>
        <w:spacing w:before="0" w:after="200"/>
        <w:ind w:hanging="283" w:left="709"/>
        <w:rPr/>
      </w:pPr>
      <w:r>
        <w:rPr>
          <w:rStyle w:val="Strong"/>
        </w:rPr>
        <w:t>Both examine contextual constraints.</w:t>
      </w:r>
      <w:r>
        <w:rPr/>
        <w:br/>
        <w:t>Formal opportunity is insufficient when social, institutional, physical, or informational conditions make the opportunity unusable.</w:t>
      </w:r>
    </w:p>
    <w:p>
      <w:pPr>
        <w:pStyle w:val="BodyText"/>
        <w:numPr>
          <w:ilvl w:val="0"/>
          <w:numId w:val="141"/>
        </w:numPr>
        <w:tabs>
          <w:tab w:val="clear" w:pos="720"/>
          <w:tab w:val="left" w:pos="0" w:leader="none"/>
        </w:tabs>
        <w:spacing w:before="0" w:after="200"/>
        <w:ind w:hanging="283" w:left="709"/>
        <w:rPr/>
      </w:pPr>
      <w:r>
        <w:rPr>
          <w:rStyle w:val="Strong"/>
        </w:rPr>
        <w:t>Both recognize agency as part of flourishing.</w:t>
      </w:r>
      <w:r>
        <w:rPr/>
        <w:br/>
        <w:t>A person’s ability to participate in shaping their future matters in addition to the resulting welfare state.</w:t>
      </w:r>
    </w:p>
    <w:p>
      <w:pPr>
        <w:pStyle w:val="BodyText"/>
        <w:numPr>
          <w:ilvl w:val="0"/>
          <w:numId w:val="141"/>
        </w:numPr>
        <w:tabs>
          <w:tab w:val="clear" w:pos="720"/>
          <w:tab w:val="left" w:pos="0" w:leader="none"/>
        </w:tabs>
        <w:spacing w:before="0" w:after="200"/>
        <w:ind w:hanging="283" w:left="709"/>
        <w:rPr/>
      </w:pPr>
      <w:r>
        <w:rPr>
          <w:rStyle w:val="Strong"/>
        </w:rPr>
        <w:t>Both resist exclusive reliance on achieved outcomes.</w:t>
      </w:r>
      <w:r>
        <w:rPr/>
        <w:br/>
        <w:t>The pathway, available alternatives, coercion, and opportunity set remain ethically relevant.</w:t>
      </w:r>
    </w:p>
    <w:p>
      <w:pPr>
        <w:pStyle w:val="BodyText"/>
        <w:numPr>
          <w:ilvl w:val="0"/>
          <w:numId w:val="141"/>
        </w:numPr>
        <w:tabs>
          <w:tab w:val="clear" w:pos="720"/>
          <w:tab w:val="left" w:pos="0" w:leader="none"/>
        </w:tabs>
        <w:spacing w:before="0" w:after="200"/>
        <w:ind w:hanging="283" w:left="709"/>
        <w:rPr/>
      </w:pPr>
      <w:r>
        <w:rPr>
          <w:rStyle w:val="Strong"/>
        </w:rPr>
        <w:t>Both resist exclusive reliance on subjective satisfaction.</w:t>
      </w:r>
      <w:r>
        <w:rPr/>
        <w:br/>
        <w:t>Satisfaction may reflect adaptation to deprivation, manipulation, lack of information, or restricted expectations.</w:t>
      </w:r>
    </w:p>
    <w:p>
      <w:pPr>
        <w:pStyle w:val="BodyText"/>
        <w:numPr>
          <w:ilvl w:val="0"/>
          <w:numId w:val="141"/>
        </w:numPr>
        <w:tabs>
          <w:tab w:val="clear" w:pos="720"/>
          <w:tab w:val="left" w:pos="0" w:leader="none"/>
        </w:tabs>
        <w:spacing w:before="0" w:after="200"/>
        <w:ind w:hanging="283" w:left="709"/>
        <w:rPr/>
      </w:pPr>
      <w:r>
        <w:rPr>
          <w:rStyle w:val="Strong"/>
        </w:rPr>
        <w:t>Both support disaggregated analysis.</w:t>
      </w:r>
      <w:r>
        <w:rPr/>
        <w:br/>
        <w:t>Aggregate improvement can conceal severe deprivation among particular entities.</w:t>
      </w:r>
    </w:p>
    <w:p>
      <w:pPr>
        <w:pStyle w:val="BodyText"/>
        <w:numPr>
          <w:ilvl w:val="0"/>
          <w:numId w:val="141"/>
        </w:numPr>
        <w:tabs>
          <w:tab w:val="clear" w:pos="720"/>
          <w:tab w:val="left" w:pos="0" w:leader="none"/>
        </w:tabs>
        <w:spacing w:before="0" w:after="200"/>
        <w:ind w:hanging="283" w:left="709"/>
        <w:rPr/>
      </w:pPr>
      <w:r>
        <w:rPr>
          <w:rStyle w:val="Strong"/>
        </w:rPr>
        <w:t>Both recognize long-term security.</w:t>
      </w:r>
      <w:r>
        <w:rPr/>
        <w:br/>
        <w:t>A temporary or fragile opportunity does not provide the same flourishing as a durable capability.</w:t>
      </w:r>
    </w:p>
    <w:p>
      <w:pPr>
        <w:pStyle w:val="BodyText"/>
        <w:numPr>
          <w:ilvl w:val="0"/>
          <w:numId w:val="141"/>
        </w:numPr>
        <w:tabs>
          <w:tab w:val="clear" w:pos="720"/>
          <w:tab w:val="left" w:pos="0" w:leader="none"/>
        </w:tabs>
        <w:spacing w:before="0" w:after="200"/>
        <w:ind w:hanging="283" w:left="709"/>
        <w:rPr/>
      </w:pPr>
      <w:r>
        <w:rPr>
          <w:rStyle w:val="Strong"/>
        </w:rPr>
        <w:t>Both treat institutions as conversion structures.</w:t>
      </w:r>
      <w:r>
        <w:rPr/>
        <w:br/>
        <w:t>Policies, infrastructure, norms, technology, and authority affect whether resources become usable opportunities.</w:t>
      </w:r>
    </w:p>
    <w:p>
      <w:pPr>
        <w:pStyle w:val="BodyText"/>
        <w:numPr>
          <w:ilvl w:val="0"/>
          <w:numId w:val="141"/>
        </w:numPr>
        <w:tabs>
          <w:tab w:val="clear" w:pos="720"/>
          <w:tab w:val="left" w:pos="0" w:leader="none"/>
        </w:tabs>
        <w:spacing w:before="0" w:after="200"/>
        <w:ind w:hanging="283" w:left="709"/>
        <w:rPr/>
      </w:pPr>
      <w:r>
        <w:rPr>
          <w:rStyle w:val="Strong"/>
        </w:rPr>
        <w:t>Both recognize developmental agency.</w:t>
      </w:r>
      <w:r>
        <w:rPr/>
        <w:br/>
        <w:t>Education, information, experience, and institutional support can improve an agent’s capacity to choose and act.</w:t>
      </w:r>
    </w:p>
    <w:p>
      <w:pPr>
        <w:pStyle w:val="BodyText"/>
        <w:numPr>
          <w:ilvl w:val="0"/>
          <w:numId w:val="141"/>
        </w:numPr>
        <w:tabs>
          <w:tab w:val="clear" w:pos="720"/>
          <w:tab w:val="left" w:pos="0" w:leader="none"/>
        </w:tabs>
        <w:spacing w:before="0" w:after="200"/>
        <w:ind w:hanging="283" w:left="709"/>
        <w:rPr/>
      </w:pPr>
      <w:r>
        <w:rPr>
          <w:rStyle w:val="Strong"/>
        </w:rPr>
        <w:t>Both support public and participatory reasoning.</w:t>
      </w:r>
      <w:r>
        <w:rPr/>
        <w:br/>
        <w:t>Affected parties can contribute to identifying valuable states and contextual barriers.</w:t>
      </w:r>
    </w:p>
    <w:p>
      <w:pPr>
        <w:pStyle w:val="BodyText"/>
        <w:numPr>
          <w:ilvl w:val="0"/>
          <w:numId w:val="141"/>
        </w:numPr>
        <w:tabs>
          <w:tab w:val="clear" w:pos="720"/>
          <w:tab w:val="left" w:pos="0" w:leader="none"/>
        </w:tabs>
        <w:spacing w:before="0" w:after="200"/>
        <w:ind w:hanging="283" w:left="709"/>
        <w:rPr/>
      </w:pPr>
      <w:r>
        <w:rPr>
          <w:rStyle w:val="Strong"/>
        </w:rPr>
        <w:t>Both reject simple aggregation as a complete moral test.</w:t>
      </w:r>
      <w:r>
        <w:rPr/>
        <w:br/>
        <w:t>Gains in one dimension or for one group may not compensate for severe losses elsewhere.</w:t>
      </w:r>
    </w:p>
    <w:p>
      <w:pPr>
        <w:pStyle w:val="BodyText"/>
        <w:numPr>
          <w:ilvl w:val="0"/>
          <w:numId w:val="141"/>
        </w:numPr>
        <w:tabs>
          <w:tab w:val="clear" w:pos="720"/>
          <w:tab w:val="left" w:pos="0" w:leader="none"/>
        </w:tabs>
        <w:spacing w:before="0" w:after="200"/>
        <w:ind w:hanging="283" w:left="709"/>
        <w:rPr/>
      </w:pPr>
      <w:r>
        <w:rPr>
          <w:rStyle w:val="Strong"/>
        </w:rPr>
        <w:t>Both can accommodate thresholds.</w:t>
      </w:r>
      <w:r>
        <w:rPr/>
        <w:br/>
        <w:t>Minimum capability protections can constrain otherwise favorable aggregate transitions.</w:t>
      </w:r>
    </w:p>
    <w:p>
      <w:pPr>
        <w:pStyle w:val="BodyText"/>
        <w:numPr>
          <w:ilvl w:val="0"/>
          <w:numId w:val="141"/>
        </w:numPr>
        <w:tabs>
          <w:tab w:val="clear" w:pos="720"/>
          <w:tab w:val="left" w:pos="0" w:leader="none"/>
        </w:tabs>
        <w:spacing w:before="0" w:after="200"/>
        <w:ind w:hanging="283" w:left="709"/>
        <w:rPr/>
      </w:pPr>
      <w:r>
        <w:rPr>
          <w:rStyle w:val="Strong"/>
        </w:rPr>
        <w:t>Both recognize collective and relational conditions.</w:t>
      </w:r>
      <w:r>
        <w:rPr/>
        <w:br/>
        <w:t>Many valuable opportunities depend on communities, institutions, and shared resources.</w:t>
      </w:r>
    </w:p>
    <w:p>
      <w:pPr>
        <w:pStyle w:val="BodyText"/>
        <w:numPr>
          <w:ilvl w:val="0"/>
          <w:numId w:val="141"/>
        </w:numPr>
        <w:tabs>
          <w:tab w:val="clear" w:pos="720"/>
          <w:tab w:val="left" w:pos="0" w:leader="none"/>
        </w:tabs>
        <w:spacing w:before="0" w:after="200"/>
        <w:ind w:hanging="283" w:left="709"/>
        <w:rPr/>
      </w:pPr>
      <w:r>
        <w:rPr>
          <w:rStyle w:val="Strong"/>
        </w:rPr>
        <w:t>Both can evaluate capability contraction as harm.</w:t>
      </w:r>
      <w:r>
        <w:rPr/>
        <w:br/>
        <w:t>An action may be harmful because it eliminates valuable future options even if it does not immediately worsen an observed functioning.</w:t>
      </w:r>
    </w:p>
    <w:p>
      <w:pPr>
        <w:pStyle w:val="Heading4"/>
        <w:ind w:hanging="0" w:left="0"/>
        <w:rPr>
          <w:rFonts w:ascii="Aptos" w:hAnsi="Aptos"/>
          <w:color w:val="auto"/>
        </w:rPr>
      </w:pPr>
      <w:r>
        <w:rPr/>
        <w:t>Differences</w:t>
      </w:r>
    </w:p>
    <w:tbl>
      <w:tblPr>
        <w:tblW w:w="8640" w:type="dxa"/>
        <w:jc w:val="left"/>
        <w:tblInd w:w="28" w:type="dxa"/>
        <w:tblLayout w:type="fixed"/>
        <w:tblCellMar>
          <w:top w:w="28" w:type="dxa"/>
          <w:left w:w="28" w:type="dxa"/>
          <w:bottom w:w="28" w:type="dxa"/>
          <w:right w:w="28" w:type="dxa"/>
        </w:tblCellMar>
      </w:tblPr>
      <w:tblGrid>
        <w:gridCol w:w="1976"/>
        <w:gridCol w:w="2775"/>
        <w:gridCol w:w="3889"/>
      </w:tblGrid>
      <w:tr>
        <w:trPr>
          <w:tblHeader w:val="true"/>
        </w:trPr>
        <w:tc>
          <w:tcPr>
            <w:tcW w:w="1976" w:type="dxa"/>
            <w:tcBorders/>
            <w:vAlign w:val="center"/>
          </w:tcPr>
          <w:p>
            <w:pPr>
              <w:pStyle w:val="TableHeading"/>
              <w:suppressLineNumbers/>
              <w:spacing w:before="0" w:after="200"/>
              <w:jc w:val="center"/>
              <w:rPr/>
            </w:pPr>
            <w:r>
              <w:rPr/>
              <w:t>Dimension</w:t>
            </w:r>
          </w:p>
        </w:tc>
        <w:tc>
          <w:tcPr>
            <w:tcW w:w="2775" w:type="dxa"/>
            <w:tcBorders/>
            <w:vAlign w:val="center"/>
          </w:tcPr>
          <w:p>
            <w:pPr>
              <w:pStyle w:val="TableHeading"/>
              <w:suppressLineNumbers/>
              <w:spacing w:before="0" w:after="200"/>
              <w:jc w:val="center"/>
              <w:rPr/>
            </w:pPr>
            <w:r>
              <w:rPr/>
              <w:t>Capability Approach</w:t>
            </w:r>
          </w:p>
        </w:tc>
        <w:tc>
          <w:tcPr>
            <w:tcW w:w="3889" w:type="dxa"/>
            <w:tcBorders/>
            <w:vAlign w:val="center"/>
          </w:tcPr>
          <w:p>
            <w:pPr>
              <w:pStyle w:val="TableHeading"/>
              <w:suppressLineNumbers/>
              <w:spacing w:before="0" w:after="200"/>
              <w:jc w:val="center"/>
              <w:rPr/>
            </w:pPr>
            <w:r>
              <w:rPr/>
              <w:t>This framework</w:t>
            </w:r>
          </w:p>
        </w:tc>
      </w:tr>
      <w:tr>
        <w:trPr/>
        <w:tc>
          <w:tcPr>
            <w:tcW w:w="1976" w:type="dxa"/>
            <w:tcBorders/>
            <w:vAlign w:val="center"/>
          </w:tcPr>
          <w:p>
            <w:pPr>
              <w:pStyle w:val="TableContents"/>
              <w:widowControl w:val="false"/>
              <w:suppressLineNumbers/>
              <w:spacing w:before="0" w:after="200"/>
              <w:rPr/>
            </w:pPr>
            <w:r>
              <w:rPr>
                <w:rStyle w:val="Strong"/>
              </w:rPr>
              <w:t>Primary evaluative focus</w:t>
            </w:r>
          </w:p>
        </w:tc>
        <w:tc>
          <w:tcPr>
            <w:tcW w:w="2775" w:type="dxa"/>
            <w:tcBorders/>
            <w:vAlign w:val="center"/>
          </w:tcPr>
          <w:p>
            <w:pPr>
              <w:pStyle w:val="TableContents"/>
              <w:widowControl w:val="false"/>
              <w:suppressLineNumbers/>
              <w:spacing w:before="0" w:after="200"/>
              <w:rPr/>
            </w:pPr>
            <w:r>
              <w:rPr/>
              <w:t>What persons are genuinely able to do and be</w:t>
            </w:r>
          </w:p>
        </w:tc>
        <w:tc>
          <w:tcPr>
            <w:tcW w:w="3889" w:type="dxa"/>
            <w:tcBorders/>
            <w:vAlign w:val="center"/>
          </w:tcPr>
          <w:p>
            <w:pPr>
              <w:pStyle w:val="TableContents"/>
              <w:widowControl w:val="false"/>
              <w:suppressLineNumbers/>
              <w:spacing w:before="0" w:after="200"/>
              <w:rPr/>
            </w:pPr>
            <w:r>
              <w:rPr/>
              <w:t>Complete World Context Transition produced by an Assessed Action</w:t>
            </w:r>
          </w:p>
        </w:tc>
      </w:tr>
      <w:tr>
        <w:trPr/>
        <w:tc>
          <w:tcPr>
            <w:tcW w:w="1976" w:type="dxa"/>
            <w:tcBorders/>
            <w:vAlign w:val="center"/>
          </w:tcPr>
          <w:p>
            <w:pPr>
              <w:pStyle w:val="TableContents"/>
              <w:widowControl w:val="false"/>
              <w:suppressLineNumbers/>
              <w:spacing w:before="0" w:after="200"/>
              <w:rPr/>
            </w:pPr>
            <w:r>
              <w:rPr>
                <w:rStyle w:val="Strong"/>
              </w:rPr>
              <w:t>Primary subjects</w:t>
            </w:r>
          </w:p>
        </w:tc>
        <w:tc>
          <w:tcPr>
            <w:tcW w:w="2775" w:type="dxa"/>
            <w:tcBorders/>
            <w:vAlign w:val="center"/>
          </w:tcPr>
          <w:p>
            <w:pPr>
              <w:pStyle w:val="TableContents"/>
              <w:widowControl w:val="false"/>
              <w:suppressLineNumbers/>
              <w:spacing w:before="0" w:after="200"/>
              <w:rPr/>
            </w:pPr>
            <w:r>
              <w:rPr/>
              <w:t>Predominantly individual human persons; some versions include animals and collective capabilities</w:t>
            </w:r>
          </w:p>
        </w:tc>
        <w:tc>
          <w:tcPr>
            <w:tcW w:w="3889" w:type="dxa"/>
            <w:tcBorders/>
            <w:vAlign w:val="center"/>
          </w:tcPr>
          <w:p>
            <w:pPr>
              <w:pStyle w:val="TableContents"/>
              <w:widowControl w:val="false"/>
              <w:suppressLineNumbers/>
              <w:spacing w:before="0" w:after="200"/>
              <w:rPr/>
            </w:pPr>
            <w:r>
              <w:rPr/>
              <w:t>All relevant persistent adaptive entities, potentially including humans, animals, ecosystems, institutions, and artificial systems</w:t>
            </w:r>
          </w:p>
        </w:tc>
      </w:tr>
      <w:tr>
        <w:trPr/>
        <w:tc>
          <w:tcPr>
            <w:tcW w:w="1976" w:type="dxa"/>
            <w:tcBorders/>
            <w:vAlign w:val="center"/>
          </w:tcPr>
          <w:p>
            <w:pPr>
              <w:pStyle w:val="TableContents"/>
              <w:widowControl w:val="false"/>
              <w:suppressLineNumbers/>
              <w:spacing w:before="0" w:after="200"/>
              <w:rPr/>
            </w:pPr>
            <w:r>
              <w:rPr>
                <w:rStyle w:val="Strong"/>
              </w:rPr>
              <w:t>Normative structure</w:t>
            </w:r>
          </w:p>
        </w:tc>
        <w:tc>
          <w:tcPr>
            <w:tcW w:w="2775" w:type="dxa"/>
            <w:tcBorders/>
            <w:vAlign w:val="center"/>
          </w:tcPr>
          <w:p>
            <w:pPr>
              <w:pStyle w:val="TableContents"/>
              <w:widowControl w:val="false"/>
              <w:suppressLineNumbers/>
              <w:spacing w:before="0" w:after="200"/>
              <w:rPr/>
            </w:pPr>
            <w:r>
              <w:rPr/>
              <w:t>A flexible evaluative framework; particular capability theories add further principles</w:t>
            </w:r>
          </w:p>
        </w:tc>
        <w:tc>
          <w:tcPr>
            <w:tcW w:w="3889" w:type="dxa"/>
            <w:tcBorders/>
            <w:vAlign w:val="center"/>
          </w:tcPr>
          <w:p>
            <w:pPr>
              <w:pStyle w:val="TableContents"/>
              <w:widowControl w:val="false"/>
              <w:suppressLineNumbers/>
              <w:spacing w:before="0" w:after="200"/>
              <w:rPr/>
            </w:pPr>
            <w:r>
              <w:rPr/>
              <w:t>Organized around a specified Foundational Axiom</w:t>
            </w:r>
          </w:p>
        </w:tc>
      </w:tr>
      <w:tr>
        <w:trPr/>
        <w:tc>
          <w:tcPr>
            <w:tcW w:w="1976" w:type="dxa"/>
            <w:tcBorders/>
            <w:vAlign w:val="center"/>
          </w:tcPr>
          <w:p>
            <w:pPr>
              <w:pStyle w:val="TableContents"/>
              <w:widowControl w:val="false"/>
              <w:suppressLineNumbers/>
              <w:spacing w:before="0" w:after="200"/>
              <w:rPr/>
            </w:pPr>
            <w:r>
              <w:rPr>
                <w:rStyle w:val="Strong"/>
              </w:rPr>
              <w:t>Unit of advantage</w:t>
            </w:r>
          </w:p>
        </w:tc>
        <w:tc>
          <w:tcPr>
            <w:tcW w:w="2775" w:type="dxa"/>
            <w:tcBorders/>
            <w:vAlign w:val="center"/>
          </w:tcPr>
          <w:p>
            <w:pPr>
              <w:pStyle w:val="TableContents"/>
              <w:widowControl w:val="false"/>
              <w:suppressLineNumbers/>
              <w:spacing w:before="0" w:after="200"/>
              <w:rPr/>
            </w:pPr>
            <w:r>
              <w:rPr/>
              <w:t>Capabilities and functionings</w:t>
            </w:r>
          </w:p>
        </w:tc>
        <w:tc>
          <w:tcPr>
            <w:tcW w:w="3889" w:type="dxa"/>
            <w:tcBorders/>
            <w:vAlign w:val="center"/>
          </w:tcPr>
          <w:p>
            <w:pPr>
              <w:pStyle w:val="TableContents"/>
              <w:widowControl w:val="false"/>
              <w:suppressLineNumbers/>
              <w:spacing w:before="0" w:after="200"/>
              <w:rPr/>
            </w:pPr>
            <w:r>
              <w:rPr/>
              <w:t>Multidimensional Long-Term Flourishing and beneficial future state space</w:t>
            </w:r>
          </w:p>
        </w:tc>
      </w:tr>
      <w:tr>
        <w:trPr/>
        <w:tc>
          <w:tcPr>
            <w:tcW w:w="1976" w:type="dxa"/>
            <w:tcBorders/>
            <w:vAlign w:val="center"/>
          </w:tcPr>
          <w:p>
            <w:pPr>
              <w:pStyle w:val="TableContents"/>
              <w:widowControl w:val="false"/>
              <w:suppressLineNumbers/>
              <w:spacing w:before="0" w:after="200"/>
              <w:rPr/>
            </w:pPr>
            <w:r>
              <w:rPr>
                <w:rStyle w:val="Strong"/>
              </w:rPr>
              <w:t>Freedom</w:t>
            </w:r>
          </w:p>
        </w:tc>
        <w:tc>
          <w:tcPr>
            <w:tcW w:w="2775" w:type="dxa"/>
            <w:tcBorders/>
            <w:vAlign w:val="center"/>
          </w:tcPr>
          <w:p>
            <w:pPr>
              <w:pStyle w:val="TableContents"/>
              <w:widowControl w:val="false"/>
              <w:suppressLineNumbers/>
              <w:spacing w:before="0" w:after="200"/>
              <w:rPr/>
            </w:pPr>
            <w:r>
              <w:rPr/>
              <w:t>Often treated as intrinsically and instrumentally valuable</w:t>
            </w:r>
          </w:p>
        </w:tc>
        <w:tc>
          <w:tcPr>
            <w:tcW w:w="3889" w:type="dxa"/>
            <w:tcBorders/>
            <w:vAlign w:val="center"/>
          </w:tcPr>
          <w:p>
            <w:pPr>
              <w:pStyle w:val="TableContents"/>
              <w:widowControl w:val="false"/>
              <w:suppressLineNumbers/>
              <w:spacing w:before="0" w:after="200"/>
              <w:rPr/>
            </w:pPr>
            <w:r>
              <w:rPr/>
              <w:t>Treated as one important dimension of flourishing, subject to compatibility with other entities</w:t>
            </w:r>
          </w:p>
        </w:tc>
      </w:tr>
      <w:tr>
        <w:trPr/>
        <w:tc>
          <w:tcPr>
            <w:tcW w:w="1976" w:type="dxa"/>
            <w:tcBorders/>
            <w:vAlign w:val="center"/>
          </w:tcPr>
          <w:p>
            <w:pPr>
              <w:pStyle w:val="TableContents"/>
              <w:widowControl w:val="false"/>
              <w:suppressLineNumbers/>
              <w:spacing w:before="0" w:after="200"/>
              <w:rPr/>
            </w:pPr>
            <w:r>
              <w:rPr>
                <w:rStyle w:val="Strong"/>
              </w:rPr>
              <w:t>Capability list</w:t>
            </w:r>
          </w:p>
        </w:tc>
        <w:tc>
          <w:tcPr>
            <w:tcW w:w="2775" w:type="dxa"/>
            <w:tcBorders/>
            <w:vAlign w:val="center"/>
          </w:tcPr>
          <w:p>
            <w:pPr>
              <w:pStyle w:val="TableContents"/>
              <w:widowControl w:val="false"/>
              <w:suppressLineNumbers/>
              <w:spacing w:before="0" w:after="200"/>
              <w:rPr/>
            </w:pPr>
            <w:r>
              <w:rPr/>
              <w:t>Sen avoids a universal fixed list; Nussbaum proposes ten Central Capabilities</w:t>
            </w:r>
          </w:p>
        </w:tc>
        <w:tc>
          <w:tcPr>
            <w:tcW w:w="3889" w:type="dxa"/>
            <w:tcBorders/>
            <w:vAlign w:val="center"/>
          </w:tcPr>
          <w:p>
            <w:pPr>
              <w:pStyle w:val="TableContents"/>
              <w:widowControl w:val="false"/>
              <w:suppressLineNumbers/>
              <w:spacing w:before="0" w:after="200"/>
              <w:rPr/>
            </w:pPr>
            <w:r>
              <w:rPr/>
              <w:t>Does not prescribe one universal dimensional list</w:t>
            </w:r>
          </w:p>
        </w:tc>
      </w:tr>
      <w:tr>
        <w:trPr/>
        <w:tc>
          <w:tcPr>
            <w:tcW w:w="1976" w:type="dxa"/>
            <w:tcBorders/>
            <w:vAlign w:val="center"/>
          </w:tcPr>
          <w:p>
            <w:pPr>
              <w:pStyle w:val="TableContents"/>
              <w:widowControl w:val="false"/>
              <w:suppressLineNumbers/>
              <w:spacing w:before="0" w:after="200"/>
              <w:rPr/>
            </w:pPr>
            <w:r>
              <w:rPr>
                <w:rStyle w:val="Strong"/>
              </w:rPr>
              <w:t>Thresholds</w:t>
            </w:r>
          </w:p>
        </w:tc>
        <w:tc>
          <w:tcPr>
            <w:tcW w:w="2775" w:type="dxa"/>
            <w:tcBorders/>
            <w:vAlign w:val="center"/>
          </w:tcPr>
          <w:p>
            <w:pPr>
              <w:pStyle w:val="TableContents"/>
              <w:widowControl w:val="false"/>
              <w:suppressLineNumbers/>
              <w:spacing w:before="0" w:after="200"/>
              <w:rPr/>
            </w:pPr>
            <w:r>
              <w:rPr/>
              <w:t>Central to Nussbaum’s theory; less fixed in Sen’s approach</w:t>
            </w:r>
          </w:p>
        </w:tc>
        <w:tc>
          <w:tcPr>
            <w:tcW w:w="3889" w:type="dxa"/>
            <w:tcBorders/>
            <w:vAlign w:val="center"/>
          </w:tcPr>
          <w:p>
            <w:pPr>
              <w:pStyle w:val="TableContents"/>
              <w:widowControl w:val="false"/>
              <w:suppressLineNumbers/>
              <w:spacing w:before="0" w:after="200"/>
              <w:rPr/>
            </w:pPr>
            <w:r>
              <w:rPr/>
              <w:t>Can incorporate thresholds but does not make a particular list or threshold structure foundational</w:t>
            </w:r>
          </w:p>
        </w:tc>
      </w:tr>
      <w:tr>
        <w:trPr/>
        <w:tc>
          <w:tcPr>
            <w:tcW w:w="1976" w:type="dxa"/>
            <w:tcBorders/>
            <w:vAlign w:val="center"/>
          </w:tcPr>
          <w:p>
            <w:pPr>
              <w:pStyle w:val="TableContents"/>
              <w:widowControl w:val="false"/>
              <w:suppressLineNumbers/>
              <w:spacing w:before="0" w:after="200"/>
              <w:rPr/>
            </w:pPr>
            <w:r>
              <w:rPr>
                <w:rStyle w:val="Strong"/>
              </w:rPr>
              <w:t>Public reasoning</w:t>
            </w:r>
          </w:p>
        </w:tc>
        <w:tc>
          <w:tcPr>
            <w:tcW w:w="2775" w:type="dxa"/>
            <w:tcBorders/>
            <w:vAlign w:val="center"/>
          </w:tcPr>
          <w:p>
            <w:pPr>
              <w:pStyle w:val="TableContents"/>
              <w:widowControl w:val="false"/>
              <w:suppressLineNumbers/>
              <w:spacing w:before="0" w:after="200"/>
              <w:rPr/>
            </w:pPr>
            <w:r>
              <w:rPr/>
              <w:t>Central to selecting and evaluating capabilities in Sen’s account</w:t>
            </w:r>
          </w:p>
        </w:tc>
        <w:tc>
          <w:tcPr>
            <w:tcW w:w="3889" w:type="dxa"/>
            <w:tcBorders/>
            <w:vAlign w:val="center"/>
          </w:tcPr>
          <w:p>
            <w:pPr>
              <w:pStyle w:val="TableContents"/>
              <w:widowControl w:val="false"/>
              <w:suppressLineNumbers/>
              <w:spacing w:before="0" w:after="200"/>
              <w:rPr/>
            </w:pPr>
            <w:r>
              <w:rPr/>
              <w:t>Supported but not necessarily required by the abstract architecture</w:t>
            </w:r>
          </w:p>
        </w:tc>
      </w:tr>
      <w:tr>
        <w:trPr/>
        <w:tc>
          <w:tcPr>
            <w:tcW w:w="1976" w:type="dxa"/>
            <w:tcBorders/>
            <w:vAlign w:val="center"/>
          </w:tcPr>
          <w:p>
            <w:pPr>
              <w:pStyle w:val="TableContents"/>
              <w:widowControl w:val="false"/>
              <w:suppressLineNumbers/>
              <w:spacing w:before="0" w:after="200"/>
              <w:rPr/>
            </w:pPr>
            <w:r>
              <w:rPr>
                <w:rStyle w:val="Strong"/>
              </w:rPr>
              <w:t>Functionings</w:t>
            </w:r>
          </w:p>
        </w:tc>
        <w:tc>
          <w:tcPr>
            <w:tcW w:w="2775" w:type="dxa"/>
            <w:tcBorders/>
            <w:vAlign w:val="center"/>
          </w:tcPr>
          <w:p>
            <w:pPr>
              <w:pStyle w:val="TableContents"/>
              <w:widowControl w:val="false"/>
              <w:suppressLineNumbers/>
              <w:spacing w:before="0" w:after="200"/>
              <w:rPr/>
            </w:pPr>
            <w:r>
              <w:rPr/>
              <w:t>Distinguished sharply from capabilities</w:t>
            </w:r>
          </w:p>
        </w:tc>
        <w:tc>
          <w:tcPr>
            <w:tcW w:w="3889" w:type="dxa"/>
            <w:tcBorders/>
            <w:vAlign w:val="center"/>
          </w:tcPr>
          <w:p>
            <w:pPr>
              <w:pStyle w:val="TableContents"/>
              <w:widowControl w:val="false"/>
              <w:suppressLineNumbers/>
              <w:spacing w:before="0" w:after="200"/>
              <w:rPr/>
            </w:pPr>
            <w:r>
              <w:rPr/>
              <w:t>Actual states and reachable future states can both be represented within the transition</w:t>
            </w:r>
          </w:p>
        </w:tc>
      </w:tr>
      <w:tr>
        <w:trPr/>
        <w:tc>
          <w:tcPr>
            <w:tcW w:w="1976" w:type="dxa"/>
            <w:tcBorders/>
            <w:vAlign w:val="center"/>
          </w:tcPr>
          <w:p>
            <w:pPr>
              <w:pStyle w:val="TableContents"/>
              <w:widowControl w:val="false"/>
              <w:suppressLineNumbers/>
              <w:spacing w:before="0" w:after="200"/>
              <w:rPr/>
            </w:pPr>
            <w:r>
              <w:rPr>
                <w:rStyle w:val="Strong"/>
              </w:rPr>
              <w:t>Causal modeling</w:t>
            </w:r>
          </w:p>
        </w:tc>
        <w:tc>
          <w:tcPr>
            <w:tcW w:w="2775" w:type="dxa"/>
            <w:tcBorders/>
            <w:vAlign w:val="center"/>
          </w:tcPr>
          <w:p>
            <w:pPr>
              <w:pStyle w:val="TableContents"/>
              <w:widowControl w:val="false"/>
              <w:suppressLineNumbers/>
              <w:spacing w:before="0" w:after="200"/>
              <w:rPr/>
            </w:pPr>
            <w:r>
              <w:rPr/>
              <w:t>Does not prescribe a complete causal or computational method</w:t>
            </w:r>
          </w:p>
        </w:tc>
        <w:tc>
          <w:tcPr>
            <w:tcW w:w="3889" w:type="dxa"/>
            <w:tcBorders/>
            <w:vAlign w:val="center"/>
          </w:tcPr>
          <w:p>
            <w:pPr>
              <w:pStyle w:val="TableContents"/>
              <w:widowControl w:val="false"/>
              <w:suppressLineNumbers/>
              <w:spacing w:before="0" w:after="200"/>
              <w:rPr/>
            </w:pPr>
            <w:r>
              <w:rPr/>
              <w:t>Explicitly concerned with causal transitions, uncertainty, probabilities, and alternative actions</w:t>
            </w:r>
          </w:p>
        </w:tc>
      </w:tr>
      <w:tr>
        <w:trPr/>
        <w:tc>
          <w:tcPr>
            <w:tcW w:w="1976" w:type="dxa"/>
            <w:tcBorders/>
            <w:vAlign w:val="center"/>
          </w:tcPr>
          <w:p>
            <w:pPr>
              <w:pStyle w:val="TableContents"/>
              <w:widowControl w:val="false"/>
              <w:suppressLineNumbers/>
              <w:spacing w:before="0" w:after="200"/>
              <w:rPr/>
            </w:pPr>
            <w:r>
              <w:rPr>
                <w:rStyle w:val="Strong"/>
              </w:rPr>
              <w:t>Responsibility</w:t>
            </w:r>
          </w:p>
        </w:tc>
        <w:tc>
          <w:tcPr>
            <w:tcW w:w="2775" w:type="dxa"/>
            <w:tcBorders/>
            <w:vAlign w:val="center"/>
          </w:tcPr>
          <w:p>
            <w:pPr>
              <w:pStyle w:val="TableContents"/>
              <w:widowControl w:val="false"/>
              <w:suppressLineNumbers/>
              <w:spacing w:before="0" w:after="200"/>
              <w:rPr/>
            </w:pPr>
            <w:r>
              <w:rPr/>
              <w:t>Primarily evaluates advantage, development, freedom, and social arrangements</w:t>
            </w:r>
          </w:p>
        </w:tc>
        <w:tc>
          <w:tcPr>
            <w:tcW w:w="3889" w:type="dxa"/>
            <w:tcBorders/>
            <w:vAlign w:val="center"/>
          </w:tcPr>
          <w:p>
            <w:pPr>
              <w:pStyle w:val="TableContents"/>
              <w:widowControl w:val="false"/>
              <w:suppressLineNumbers/>
              <w:spacing w:before="0" w:after="200"/>
              <w:rPr/>
            </w:pPr>
            <w:r>
              <w:rPr/>
              <w:t>Separately evaluates causal effect and responsibility</w:t>
            </w:r>
          </w:p>
        </w:tc>
      </w:tr>
      <w:tr>
        <w:trPr/>
        <w:tc>
          <w:tcPr>
            <w:tcW w:w="1976" w:type="dxa"/>
            <w:tcBorders/>
            <w:vAlign w:val="center"/>
          </w:tcPr>
          <w:p>
            <w:pPr>
              <w:pStyle w:val="TableContents"/>
              <w:widowControl w:val="false"/>
              <w:suppressLineNumbers/>
              <w:spacing w:before="0" w:after="200"/>
              <w:rPr/>
            </w:pPr>
            <w:r>
              <w:rPr>
                <w:rStyle w:val="Strong"/>
              </w:rPr>
              <w:t>System effects</w:t>
            </w:r>
          </w:p>
        </w:tc>
        <w:tc>
          <w:tcPr>
            <w:tcW w:w="2775" w:type="dxa"/>
            <w:tcBorders/>
            <w:vAlign w:val="center"/>
          </w:tcPr>
          <w:p>
            <w:pPr>
              <w:pStyle w:val="TableContents"/>
              <w:widowControl w:val="false"/>
              <w:suppressLineNumbers/>
              <w:spacing w:before="0" w:after="200"/>
              <w:rPr/>
            </w:pPr>
            <w:r>
              <w:rPr/>
              <w:t>Recognizes social and collective conditions but generally retains an individual evaluative focus</w:t>
            </w:r>
          </w:p>
        </w:tc>
        <w:tc>
          <w:tcPr>
            <w:tcW w:w="3889" w:type="dxa"/>
            <w:tcBorders/>
            <w:vAlign w:val="center"/>
          </w:tcPr>
          <w:p>
            <w:pPr>
              <w:pStyle w:val="TableContents"/>
              <w:widowControl w:val="false"/>
              <w:suppressLineNumbers/>
              <w:spacing w:before="0" w:after="200"/>
              <w:rPr/>
            </w:pPr>
            <w:r>
              <w:rPr/>
              <w:t>Explicitly evaluates system-level, institutional, ecological, and Distributed Policy Effects</w:t>
            </w:r>
          </w:p>
        </w:tc>
      </w:tr>
      <w:tr>
        <w:trPr/>
        <w:tc>
          <w:tcPr>
            <w:tcW w:w="1976" w:type="dxa"/>
            <w:tcBorders/>
            <w:vAlign w:val="center"/>
          </w:tcPr>
          <w:p>
            <w:pPr>
              <w:pStyle w:val="TableContents"/>
              <w:widowControl w:val="false"/>
              <w:suppressLineNumbers/>
              <w:spacing w:before="0" w:after="200"/>
              <w:rPr/>
            </w:pPr>
            <w:r>
              <w:rPr>
                <w:rStyle w:val="Strong"/>
              </w:rPr>
              <w:t>Adaptive systems</w:t>
            </w:r>
          </w:p>
        </w:tc>
        <w:tc>
          <w:tcPr>
            <w:tcW w:w="2775" w:type="dxa"/>
            <w:tcBorders/>
            <w:vAlign w:val="center"/>
          </w:tcPr>
          <w:p>
            <w:pPr>
              <w:pStyle w:val="TableContents"/>
              <w:widowControl w:val="false"/>
              <w:suppressLineNumbers/>
              <w:spacing w:before="0" w:after="200"/>
              <w:rPr/>
            </w:pPr>
            <w:r>
              <w:rPr/>
              <w:t>Human agency and social development are central</w:t>
            </w:r>
          </w:p>
        </w:tc>
        <w:tc>
          <w:tcPr>
            <w:tcW w:w="3889" w:type="dxa"/>
            <w:tcBorders/>
            <w:vAlign w:val="center"/>
          </w:tcPr>
          <w:p>
            <w:pPr>
              <w:pStyle w:val="TableContents"/>
              <w:widowControl w:val="false"/>
              <w:suppressLineNumbers/>
              <w:spacing w:before="0" w:after="200"/>
              <w:rPr/>
            </w:pPr>
            <w:r>
              <w:rPr/>
              <w:t>Includes broader categories of adaptive and autopoietic entities</w:t>
            </w:r>
          </w:p>
        </w:tc>
      </w:tr>
      <w:tr>
        <w:trPr/>
        <w:tc>
          <w:tcPr>
            <w:tcW w:w="1976" w:type="dxa"/>
            <w:tcBorders/>
            <w:vAlign w:val="center"/>
          </w:tcPr>
          <w:p>
            <w:pPr>
              <w:pStyle w:val="TableContents"/>
              <w:widowControl w:val="false"/>
              <w:suppressLineNumbers/>
              <w:spacing w:before="0" w:after="200"/>
              <w:rPr/>
            </w:pPr>
            <w:r>
              <w:rPr>
                <w:rStyle w:val="Strong"/>
              </w:rPr>
              <w:t>Aggregation</w:t>
            </w:r>
          </w:p>
        </w:tc>
        <w:tc>
          <w:tcPr>
            <w:tcW w:w="2775" w:type="dxa"/>
            <w:tcBorders/>
            <w:vAlign w:val="center"/>
          </w:tcPr>
          <w:p>
            <w:pPr>
              <w:pStyle w:val="TableContents"/>
              <w:widowControl w:val="false"/>
              <w:suppressLineNumbers/>
              <w:spacing w:before="0" w:after="200"/>
              <w:rPr/>
            </w:pPr>
            <w:r>
              <w:rPr/>
              <w:t>Often cautious about weighting and aggregating capabilities</w:t>
            </w:r>
          </w:p>
        </w:tc>
        <w:tc>
          <w:tcPr>
            <w:tcW w:w="3889" w:type="dxa"/>
            <w:tcBorders/>
            <w:vAlign w:val="center"/>
          </w:tcPr>
          <w:p>
            <w:pPr>
              <w:pStyle w:val="TableContents"/>
              <w:widowControl w:val="false"/>
              <w:suppressLineNumbers/>
              <w:spacing w:before="0" w:after="200"/>
              <w:rPr/>
            </w:pPr>
            <w:r>
              <w:rPr/>
              <w:t>Permits aggregate metrics as evidence but does not treat them as substitutes for the complete transition</w:t>
            </w:r>
          </w:p>
        </w:tc>
      </w:tr>
      <w:tr>
        <w:trPr/>
        <w:tc>
          <w:tcPr>
            <w:tcW w:w="1976" w:type="dxa"/>
            <w:tcBorders/>
            <w:vAlign w:val="center"/>
          </w:tcPr>
          <w:p>
            <w:pPr>
              <w:pStyle w:val="TableContents"/>
              <w:widowControl w:val="false"/>
              <w:suppressLineNumbers/>
              <w:spacing w:before="0" w:after="200"/>
              <w:rPr/>
            </w:pPr>
            <w:r>
              <w:rPr>
                <w:rStyle w:val="Strong"/>
              </w:rPr>
              <w:t>Moral-agent development</w:t>
            </w:r>
          </w:p>
        </w:tc>
        <w:tc>
          <w:tcPr>
            <w:tcW w:w="2775" w:type="dxa"/>
            <w:tcBorders/>
            <w:vAlign w:val="center"/>
          </w:tcPr>
          <w:p>
            <w:pPr>
              <w:pStyle w:val="TableContents"/>
              <w:widowControl w:val="false"/>
              <w:suppressLineNumbers/>
              <w:spacing w:before="0" w:after="200"/>
              <w:rPr/>
            </w:pPr>
            <w:r>
              <w:rPr/>
              <w:t>Agency expansion is important but not always framed as moral-policy development</w:t>
            </w:r>
          </w:p>
        </w:tc>
        <w:tc>
          <w:tcPr>
            <w:tcW w:w="3889" w:type="dxa"/>
            <w:tcBorders/>
            <w:vAlign w:val="center"/>
          </w:tcPr>
          <w:p>
            <w:pPr>
              <w:pStyle w:val="TableContents"/>
              <w:widowControl w:val="false"/>
              <w:suppressLineNumbers/>
              <w:spacing w:before="0" w:after="200"/>
              <w:rPr/>
            </w:pPr>
            <w:r>
              <w:rPr/>
              <w:t>Explicitly includes the adaptive development of moral agents</w:t>
            </w:r>
          </w:p>
        </w:tc>
      </w:tr>
      <w:tr>
        <w:trPr/>
        <w:tc>
          <w:tcPr>
            <w:tcW w:w="1976" w:type="dxa"/>
            <w:tcBorders/>
            <w:vAlign w:val="center"/>
          </w:tcPr>
          <w:p>
            <w:pPr>
              <w:pStyle w:val="TableContents"/>
              <w:widowControl w:val="false"/>
              <w:suppressLineNumbers/>
              <w:spacing w:before="0" w:after="200"/>
              <w:rPr/>
            </w:pPr>
            <w:r>
              <w:rPr>
                <w:rStyle w:val="Strong"/>
              </w:rPr>
              <w:t>Temporal emphasis</w:t>
            </w:r>
          </w:p>
        </w:tc>
        <w:tc>
          <w:tcPr>
            <w:tcW w:w="2775" w:type="dxa"/>
            <w:tcBorders/>
            <w:vAlign w:val="center"/>
          </w:tcPr>
          <w:p>
            <w:pPr>
              <w:pStyle w:val="TableContents"/>
              <w:widowControl w:val="false"/>
              <w:suppressLineNumbers/>
              <w:spacing w:before="0" w:after="200"/>
              <w:rPr/>
            </w:pPr>
            <w:r>
              <w:rPr/>
              <w:t>Can address present and future capability, but applications often evaluate current capability deprivation</w:t>
            </w:r>
          </w:p>
        </w:tc>
        <w:tc>
          <w:tcPr>
            <w:tcW w:w="3889" w:type="dxa"/>
            <w:tcBorders/>
            <w:vAlign w:val="center"/>
          </w:tcPr>
          <w:p>
            <w:pPr>
              <w:pStyle w:val="TableContents"/>
              <w:widowControl w:val="false"/>
              <w:suppressLineNumbers/>
              <w:spacing w:before="0" w:after="200"/>
              <w:rPr/>
            </w:pPr>
            <w:r>
              <w:rPr/>
              <w:t>Explicitly structured around multiple horizons and long-term effects</w:t>
            </w:r>
          </w:p>
        </w:tc>
      </w:tr>
      <w:tr>
        <w:trPr/>
        <w:tc>
          <w:tcPr>
            <w:tcW w:w="1976" w:type="dxa"/>
            <w:tcBorders/>
            <w:vAlign w:val="center"/>
          </w:tcPr>
          <w:p>
            <w:pPr>
              <w:pStyle w:val="TableContents"/>
              <w:widowControl w:val="false"/>
              <w:suppressLineNumbers/>
              <w:spacing w:before="0" w:after="200"/>
              <w:rPr/>
            </w:pPr>
            <w:r>
              <w:rPr>
                <w:rStyle w:val="Strong"/>
              </w:rPr>
              <w:t>Implementation</w:t>
            </w:r>
          </w:p>
        </w:tc>
        <w:tc>
          <w:tcPr>
            <w:tcW w:w="2775" w:type="dxa"/>
            <w:tcBorders/>
            <w:vAlign w:val="center"/>
          </w:tcPr>
          <w:p>
            <w:pPr>
              <w:pStyle w:val="TableContents"/>
              <w:widowControl w:val="false"/>
              <w:suppressLineNumbers/>
              <w:spacing w:before="0" w:after="200"/>
              <w:rPr/>
            </w:pPr>
            <w:r>
              <w:rPr/>
              <w:t>Frequently applied through public policy, development indicators, and justice analysis</w:t>
            </w:r>
          </w:p>
        </w:tc>
        <w:tc>
          <w:tcPr>
            <w:tcW w:w="3889" w:type="dxa"/>
            <w:tcBorders/>
            <w:vAlign w:val="center"/>
          </w:tcPr>
          <w:p>
            <w:pPr>
              <w:pStyle w:val="TableContents"/>
              <w:widowControl w:val="false"/>
              <w:suppressLineNumbers/>
              <w:spacing w:before="0" w:after="200"/>
              <w:rPr/>
            </w:pPr>
            <w:r>
              <w:rPr/>
              <w:t>Intended as an implementation-neutral and potentially computational ethical architecture</w:t>
            </w:r>
          </w:p>
        </w:tc>
      </w:tr>
    </w:tbl>
    <w:p>
      <w:pPr>
        <w:pStyle w:val="BodyText"/>
        <w:spacing w:before="0" w:after="200"/>
        <w:rPr/>
      </w:pPr>
      <w:r>
        <w:rPr/>
        <w:t>One important difference concerns moral scope. Capability theories usually begin with human persons. The proposed framework includes a broader category of persistent adaptive entities. A direct transfer of human capabilities to animals, ecosystems, corporations, or artificial systems would therefore be inappropriate. Each entity type requires a defensible account of what beneficial states, agency, integrity, adaptation, and flourishing mean for it.</w:t>
      </w:r>
    </w:p>
    <w:p>
      <w:pPr>
        <w:pStyle w:val="BodyText"/>
        <w:spacing w:before="0" w:after="200"/>
        <w:rPr/>
      </w:pPr>
      <w:r>
        <w:rPr/>
        <w:t>A second difference concerns option expansion. The Capability Approach values substantive freedom, but the framework must also consider the effects of an entity’s options on other entities. Expanding one agent’s capability to extract resources, manipulate others, or deploy dangerous technology is not necessarily an ethical improvement. Only valuable and mutually compatible capabilities should count positively.</w:t>
      </w:r>
    </w:p>
    <w:p>
      <w:pPr>
        <w:pStyle w:val="Heading4"/>
        <w:ind w:hanging="0" w:left="0"/>
        <w:rPr>
          <w:rFonts w:ascii="Aptos" w:hAnsi="Aptos"/>
          <w:color w:val="auto"/>
        </w:rPr>
      </w:pPr>
      <w:r>
        <w:rPr/>
        <w:t>Potential integration opportunities</w:t>
      </w:r>
    </w:p>
    <w:p>
      <w:pPr>
        <w:pStyle w:val="BodyText"/>
        <w:numPr>
          <w:ilvl w:val="0"/>
          <w:numId w:val="142"/>
        </w:numPr>
        <w:tabs>
          <w:tab w:val="clear" w:pos="720"/>
          <w:tab w:val="left" w:pos="0" w:leader="none"/>
        </w:tabs>
        <w:spacing w:before="0" w:after="200"/>
        <w:ind w:hanging="283" w:left="709"/>
        <w:rPr/>
      </w:pPr>
      <w:r>
        <w:rPr>
          <w:rStyle w:val="Strong"/>
        </w:rPr>
        <w:t>Represent capability sets explicitly.</w:t>
      </w:r>
      <w:r>
        <w:rPr/>
        <w:br/>
        <w:t>For each substantially affected entity, the framework could identify valuable reachable states before and after the Assessed Action. Ethical evaluation would then include changes to the size, quality, diversity, security, and accessibility of that capability set.</w:t>
      </w:r>
    </w:p>
    <w:p>
      <w:pPr>
        <w:pStyle w:val="BodyText"/>
        <w:numPr>
          <w:ilvl w:val="0"/>
          <w:numId w:val="142"/>
        </w:numPr>
        <w:tabs>
          <w:tab w:val="clear" w:pos="720"/>
          <w:tab w:val="left" w:pos="0" w:leader="none"/>
        </w:tabs>
        <w:spacing w:before="0" w:after="200"/>
        <w:ind w:hanging="283" w:left="709"/>
        <w:rPr/>
      </w:pPr>
      <w:r>
        <w:rPr>
          <w:rStyle w:val="Strong"/>
        </w:rPr>
        <w:t>Separate resources, capabilities, choices, and functionings.</w:t>
      </w:r>
      <w:r>
        <w:rPr/>
        <w:br/>
        <w:t>The assessment should distinguish the following sequence:</w:t>
      </w:r>
    </w:p>
    <w:p>
      <w:pPr>
        <w:pStyle w:val="BodyText"/>
        <w:numPr>
          <w:ilvl w:val="0"/>
          <w:numId w:val="0"/>
        </w:numPr>
        <w:spacing w:before="0" w:after="200"/>
        <w:ind w:hanging="0" w:left="0"/>
        <w:rPr/>
      </w:pPr>
      <w:r>
        <w:rPr>
          <w:rStyle w:val="Strong"/>
        </w:rPr>
        <w:t>Resources → Conversion factors → Capabilities → Choice → Functionings → Feedback</w:t>
      </w:r>
    </w:p>
    <w:p>
      <w:pPr>
        <w:pStyle w:val="BodyText"/>
        <w:numPr>
          <w:ilvl w:val="0"/>
          <w:numId w:val="0"/>
        </w:numPr>
        <w:spacing w:before="0" w:after="200"/>
        <w:ind w:hanging="0" w:left="0"/>
        <w:rPr/>
      </w:pPr>
      <w:r>
        <w:rPr/>
        <w:t>This would prevent a resource transfer or formal permission from being misclassified as an achieved ethical benefit.</w:t>
      </w:r>
    </w:p>
    <w:p>
      <w:pPr>
        <w:pStyle w:val="BodyText"/>
        <w:numPr>
          <w:ilvl w:val="0"/>
          <w:numId w:val="142"/>
        </w:numPr>
        <w:tabs>
          <w:tab w:val="clear" w:pos="720"/>
          <w:tab w:val="left" w:pos="0" w:leader="none"/>
        </w:tabs>
        <w:spacing w:before="0" w:after="200"/>
        <w:ind w:hanging="283" w:left="709"/>
        <w:rPr/>
      </w:pPr>
      <w:r>
        <w:rPr>
          <w:rStyle w:val="Strong"/>
        </w:rPr>
        <w:t>Create a conversion-factor registry.</w:t>
      </w:r>
      <w:r>
        <w:rPr/>
        <w:br/>
        <w:t>Relevant conversion factors could be grouped as:</w:t>
      </w:r>
    </w:p>
    <w:p>
      <w:pPr>
        <w:pStyle w:val="BodyText"/>
        <w:numPr>
          <w:ilvl w:val="1"/>
          <w:numId w:val="142"/>
        </w:numPr>
        <w:tabs>
          <w:tab w:val="clear" w:pos="720"/>
          <w:tab w:val="left" w:pos="0" w:leader="none"/>
        </w:tabs>
        <w:spacing w:before="0" w:after="200"/>
        <w:ind w:hanging="283" w:left="1418"/>
        <w:rPr/>
      </w:pPr>
      <w:r>
        <w:rPr/>
        <w:t>Personal;</w:t>
      </w:r>
    </w:p>
    <w:p>
      <w:pPr>
        <w:pStyle w:val="BodyText"/>
        <w:numPr>
          <w:ilvl w:val="1"/>
          <w:numId w:val="142"/>
        </w:numPr>
        <w:tabs>
          <w:tab w:val="clear" w:pos="720"/>
          <w:tab w:val="left" w:pos="0" w:leader="none"/>
        </w:tabs>
        <w:spacing w:before="0" w:after="200"/>
        <w:ind w:hanging="283" w:left="1418"/>
        <w:rPr/>
      </w:pPr>
      <w:r>
        <w:rPr/>
        <w:t>Social and cultural;</w:t>
      </w:r>
    </w:p>
    <w:p>
      <w:pPr>
        <w:pStyle w:val="BodyText"/>
        <w:numPr>
          <w:ilvl w:val="1"/>
          <w:numId w:val="142"/>
        </w:numPr>
        <w:tabs>
          <w:tab w:val="clear" w:pos="720"/>
          <w:tab w:val="left" w:pos="0" w:leader="none"/>
        </w:tabs>
        <w:spacing w:before="0" w:after="200"/>
        <w:ind w:hanging="283" w:left="1418"/>
        <w:rPr/>
      </w:pPr>
      <w:r>
        <w:rPr/>
        <w:t>Institutional and legal;</w:t>
      </w:r>
    </w:p>
    <w:p>
      <w:pPr>
        <w:pStyle w:val="BodyText"/>
        <w:numPr>
          <w:ilvl w:val="1"/>
          <w:numId w:val="142"/>
        </w:numPr>
        <w:tabs>
          <w:tab w:val="clear" w:pos="720"/>
          <w:tab w:val="left" w:pos="0" w:leader="none"/>
        </w:tabs>
        <w:spacing w:before="0" w:after="200"/>
        <w:ind w:hanging="283" w:left="1418"/>
        <w:rPr/>
      </w:pPr>
      <w:r>
        <w:rPr/>
        <w:t>Technological and informational;</w:t>
      </w:r>
    </w:p>
    <w:p>
      <w:pPr>
        <w:pStyle w:val="BodyText"/>
        <w:numPr>
          <w:ilvl w:val="1"/>
          <w:numId w:val="142"/>
        </w:numPr>
        <w:tabs>
          <w:tab w:val="clear" w:pos="720"/>
          <w:tab w:val="left" w:pos="0" w:leader="none"/>
        </w:tabs>
        <w:spacing w:before="0" w:after="200"/>
        <w:ind w:hanging="283" w:left="1418"/>
        <w:rPr/>
      </w:pPr>
      <w:r>
        <w:rPr/>
        <w:t>Environmental and infrastructural; and</w:t>
      </w:r>
    </w:p>
    <w:p>
      <w:pPr>
        <w:pStyle w:val="BodyText"/>
        <w:numPr>
          <w:ilvl w:val="1"/>
          <w:numId w:val="142"/>
        </w:numPr>
        <w:tabs>
          <w:tab w:val="clear" w:pos="720"/>
          <w:tab w:val="left" w:pos="0" w:leader="none"/>
        </w:tabs>
        <w:spacing w:before="0" w:after="200"/>
        <w:ind w:hanging="283" w:left="1418"/>
        <w:rPr/>
      </w:pPr>
      <w:r>
        <w:rPr/>
        <w:t>Relational.</w:t>
      </w:r>
    </w:p>
    <w:p>
      <w:pPr>
        <w:pStyle w:val="BodyText"/>
        <w:numPr>
          <w:ilvl w:val="0"/>
          <w:numId w:val="142"/>
        </w:numPr>
        <w:tabs>
          <w:tab w:val="clear" w:pos="720"/>
          <w:tab w:val="left" w:pos="0" w:leader="none"/>
        </w:tabs>
        <w:spacing w:before="0" w:after="200"/>
        <w:ind w:hanging="283" w:left="709"/>
        <w:rPr/>
      </w:pPr>
      <w:r>
        <w:rPr>
          <w:rStyle w:val="Strong"/>
        </w:rPr>
        <w:t>Add an effective-access test.</w:t>
      </w:r>
      <w:r>
        <w:rPr/>
        <w:br/>
        <w:t>For every claimed opportunity, ask whether the entity has the knowledge, skill, time, safety, infrastructure, permission, social acceptance, material resources, and practical ability required to use it.</w:t>
      </w:r>
    </w:p>
    <w:p>
      <w:pPr>
        <w:pStyle w:val="BodyText"/>
        <w:numPr>
          <w:ilvl w:val="0"/>
          <w:numId w:val="142"/>
        </w:numPr>
        <w:tabs>
          <w:tab w:val="clear" w:pos="720"/>
          <w:tab w:val="left" w:pos="0" w:leader="none"/>
        </w:tabs>
        <w:spacing w:before="0" w:after="200"/>
        <w:ind w:hanging="283" w:left="709"/>
        <w:rPr/>
      </w:pPr>
      <w:r>
        <w:rPr>
          <w:rStyle w:val="Strong"/>
        </w:rPr>
        <w:t>Distinguish formal rights from real capabilities.</w:t>
      </w:r>
      <w:r>
        <w:rPr/>
        <w:br/>
        <w:t>A right should be evaluated through both its legal recognition and its effective exercise. Barriers to use should be identified separately.</w:t>
      </w:r>
    </w:p>
    <w:p>
      <w:pPr>
        <w:pStyle w:val="BodyText"/>
        <w:numPr>
          <w:ilvl w:val="0"/>
          <w:numId w:val="142"/>
        </w:numPr>
        <w:tabs>
          <w:tab w:val="clear" w:pos="720"/>
          <w:tab w:val="left" w:pos="0" w:leader="none"/>
        </w:tabs>
        <w:spacing w:before="0" w:after="200"/>
        <w:ind w:hanging="283" w:left="709"/>
        <w:rPr/>
      </w:pPr>
      <w:r>
        <w:rPr>
          <w:rStyle w:val="Strong"/>
        </w:rPr>
        <w:t>Produce separate opportunity and achievement findings.</w:t>
      </w:r>
      <w:r>
        <w:rPr/>
        <w:br/>
        <w:t>Each assessment could report:</w:t>
      </w:r>
    </w:p>
    <w:p>
      <w:pPr>
        <w:pStyle w:val="BodyText"/>
        <w:numPr>
          <w:ilvl w:val="1"/>
          <w:numId w:val="142"/>
        </w:numPr>
        <w:tabs>
          <w:tab w:val="clear" w:pos="720"/>
          <w:tab w:val="left" w:pos="0" w:leader="none"/>
        </w:tabs>
        <w:spacing w:before="0" w:after="200"/>
        <w:ind w:hanging="283" w:left="1418"/>
        <w:rPr/>
      </w:pPr>
      <w:r>
        <w:rPr/>
        <w:t>Changes in resources;</w:t>
      </w:r>
    </w:p>
    <w:p>
      <w:pPr>
        <w:pStyle w:val="BodyText"/>
        <w:numPr>
          <w:ilvl w:val="1"/>
          <w:numId w:val="142"/>
        </w:numPr>
        <w:tabs>
          <w:tab w:val="clear" w:pos="720"/>
          <w:tab w:val="left" w:pos="0" w:leader="none"/>
        </w:tabs>
        <w:spacing w:before="0" w:after="200"/>
        <w:ind w:hanging="283" w:left="1418"/>
        <w:rPr/>
      </w:pPr>
      <w:r>
        <w:rPr/>
        <w:t>Changes in capabilities;</w:t>
      </w:r>
    </w:p>
    <w:p>
      <w:pPr>
        <w:pStyle w:val="BodyText"/>
        <w:numPr>
          <w:ilvl w:val="1"/>
          <w:numId w:val="142"/>
        </w:numPr>
        <w:tabs>
          <w:tab w:val="clear" w:pos="720"/>
          <w:tab w:val="left" w:pos="0" w:leader="none"/>
        </w:tabs>
        <w:spacing w:before="0" w:after="200"/>
        <w:ind w:hanging="283" w:left="1418"/>
        <w:rPr/>
      </w:pPr>
      <w:r>
        <w:rPr/>
        <w:t>Changes in chosen functionings;</w:t>
      </w:r>
    </w:p>
    <w:p>
      <w:pPr>
        <w:pStyle w:val="BodyText"/>
        <w:numPr>
          <w:ilvl w:val="1"/>
          <w:numId w:val="142"/>
        </w:numPr>
        <w:tabs>
          <w:tab w:val="clear" w:pos="720"/>
          <w:tab w:val="left" w:pos="0" w:leader="none"/>
        </w:tabs>
        <w:spacing w:before="0" w:after="200"/>
        <w:ind w:hanging="283" w:left="1418"/>
        <w:rPr/>
      </w:pPr>
      <w:r>
        <w:rPr/>
        <w:t>Changes in agency; and</w:t>
      </w:r>
    </w:p>
    <w:p>
      <w:pPr>
        <w:pStyle w:val="BodyText"/>
        <w:numPr>
          <w:ilvl w:val="1"/>
          <w:numId w:val="142"/>
        </w:numPr>
        <w:tabs>
          <w:tab w:val="clear" w:pos="720"/>
          <w:tab w:val="left" w:pos="0" w:leader="none"/>
        </w:tabs>
        <w:spacing w:before="0" w:after="200"/>
        <w:ind w:hanging="283" w:left="1418"/>
        <w:rPr/>
      </w:pPr>
      <w:r>
        <w:rPr/>
        <w:t>Changes in the security of future capabilities.</w:t>
      </w:r>
    </w:p>
    <w:p>
      <w:pPr>
        <w:pStyle w:val="BodyText"/>
        <w:numPr>
          <w:ilvl w:val="0"/>
          <w:numId w:val="142"/>
        </w:numPr>
        <w:tabs>
          <w:tab w:val="clear" w:pos="720"/>
          <w:tab w:val="left" w:pos="0" w:leader="none"/>
        </w:tabs>
        <w:spacing w:before="0" w:after="200"/>
        <w:ind w:hanging="283" w:left="709"/>
        <w:rPr/>
      </w:pPr>
      <w:r>
        <w:rPr>
          <w:rStyle w:val="Strong"/>
        </w:rPr>
        <w:t>Add an agency-versus-well-being analysis.</w:t>
      </w:r>
      <w:r>
        <w:rPr/>
        <w:br/>
        <w:t>An intervention may improve health or safety while reducing autonomy, or expand agency while creating personal risk. These effects should be represented separately before reaching an overall conclusion.</w:t>
      </w:r>
    </w:p>
    <w:p>
      <w:pPr>
        <w:pStyle w:val="BodyText"/>
        <w:numPr>
          <w:ilvl w:val="0"/>
          <w:numId w:val="142"/>
        </w:numPr>
        <w:tabs>
          <w:tab w:val="clear" w:pos="720"/>
          <w:tab w:val="left" w:pos="0" w:leader="none"/>
        </w:tabs>
        <w:spacing w:before="0" w:after="200"/>
        <w:ind w:hanging="283" w:left="709"/>
        <w:rPr/>
      </w:pPr>
      <w:r>
        <w:rPr>
          <w:rStyle w:val="Strong"/>
        </w:rPr>
        <w:t>Create human capability profiles.</w:t>
      </w:r>
      <w:r>
        <w:rPr/>
        <w:br/>
        <w:t>Nussbaum’s ten Central Capabilities can serve as a starting profile for human applications, subject to contextual revision and public reasoning.</w:t>
      </w:r>
    </w:p>
    <w:p>
      <w:pPr>
        <w:pStyle w:val="BodyText"/>
        <w:numPr>
          <w:ilvl w:val="0"/>
          <w:numId w:val="142"/>
        </w:numPr>
        <w:tabs>
          <w:tab w:val="clear" w:pos="720"/>
          <w:tab w:val="left" w:pos="0" w:leader="none"/>
        </w:tabs>
        <w:spacing w:before="0" w:after="200"/>
        <w:ind w:hanging="283" w:left="709"/>
        <w:rPr/>
      </w:pPr>
      <w:r>
        <w:rPr>
          <w:rStyle w:val="Strong"/>
        </w:rPr>
        <w:t>Use capability thresholds as safeguards.</w:t>
      </w:r>
      <w:r>
        <w:rPr/>
        <w:br/>
        <w:t>The framework could identify minimum conditions below which gains in other dimensions do not ordinarily compensate for the deprivation.</w:t>
      </w:r>
    </w:p>
    <w:p>
      <w:pPr>
        <w:pStyle w:val="BodyText"/>
        <w:numPr>
          <w:ilvl w:val="0"/>
          <w:numId w:val="142"/>
        </w:numPr>
        <w:tabs>
          <w:tab w:val="clear" w:pos="720"/>
          <w:tab w:val="left" w:pos="0" w:leader="none"/>
        </w:tabs>
        <w:spacing w:before="0" w:after="200"/>
        <w:ind w:hanging="283" w:left="709"/>
        <w:rPr/>
      </w:pPr>
      <w:r>
        <w:rPr>
          <w:rStyle w:val="Strong"/>
        </w:rPr>
        <w:t>Adopt an “each entity” disaggregation requirement.</w:t>
      </w:r>
      <w:r>
        <w:rPr/>
        <w:br/>
        <w:t>High-stakes assessments should examine the distribution of capabilities rather than relying on population averages or aggregate gains.</w:t>
      </w:r>
    </w:p>
    <w:p>
      <w:pPr>
        <w:pStyle w:val="BodyText"/>
        <w:numPr>
          <w:ilvl w:val="0"/>
          <w:numId w:val="142"/>
        </w:numPr>
        <w:tabs>
          <w:tab w:val="clear" w:pos="720"/>
          <w:tab w:val="left" w:pos="0" w:leader="none"/>
        </w:tabs>
        <w:spacing w:before="0" w:after="200"/>
        <w:ind w:hanging="283" w:left="709"/>
        <w:rPr/>
      </w:pPr>
      <w:r>
        <w:rPr>
          <w:rStyle w:val="Strong"/>
        </w:rPr>
        <w:t>Add multidimensional deprivation profiles.</w:t>
      </w:r>
      <w:r>
        <w:rPr/>
        <w:br/>
        <w:t xml:space="preserve">The Alkire–Foster method offers an example of identifying simultaneous deprivations using context-specific dimensions and indicators. OPHI explains its use in </w:t>
      </w:r>
      <w:hyperlink r:id="rId218">
        <w:r>
          <w:rPr>
            <w:rStyle w:val="Hyperlink"/>
          </w:rPr>
          <w:t>multidimensional poverty measurement</w:t>
        </w:r>
      </w:hyperlink>
      <w:r>
        <w:rPr/>
        <w:t>.</w:t>
      </w:r>
    </w:p>
    <w:p>
      <w:pPr>
        <w:pStyle w:val="BodyText"/>
        <w:numPr>
          <w:ilvl w:val="0"/>
          <w:numId w:val="142"/>
        </w:numPr>
        <w:tabs>
          <w:tab w:val="clear" w:pos="720"/>
          <w:tab w:val="left" w:pos="0" w:leader="none"/>
        </w:tabs>
        <w:spacing w:before="0" w:after="200"/>
        <w:ind w:hanging="283" w:left="709"/>
        <w:rPr/>
      </w:pPr>
      <w:r>
        <w:rPr>
          <w:rStyle w:val="Strong"/>
        </w:rPr>
        <w:t>Distinguish capability quantity from capability quality.</w:t>
      </w:r>
      <w:r>
        <w:rPr/>
        <w:br/>
        <w:t>Additional options should be evaluated for value, accessibility, safety, dignity, and compatibility—not counted indiscriminately.</w:t>
      </w:r>
    </w:p>
    <w:p>
      <w:pPr>
        <w:pStyle w:val="BodyText"/>
        <w:numPr>
          <w:ilvl w:val="0"/>
          <w:numId w:val="142"/>
        </w:numPr>
        <w:tabs>
          <w:tab w:val="clear" w:pos="720"/>
          <w:tab w:val="left" w:pos="0" w:leader="none"/>
        </w:tabs>
        <w:spacing w:before="0" w:after="200"/>
        <w:ind w:hanging="283" w:left="709"/>
        <w:rPr/>
      </w:pPr>
      <w:r>
        <w:rPr>
          <w:rStyle w:val="Strong"/>
        </w:rPr>
        <w:t>Evaluate option diversity.</w:t>
      </w:r>
      <w:r>
        <w:rPr/>
        <w:br/>
        <w:t>Ten minor variations of the same constrained path may provide less meaningful freedom than two substantively different and viable alternatives.</w:t>
      </w:r>
    </w:p>
    <w:p>
      <w:pPr>
        <w:pStyle w:val="BodyText"/>
        <w:numPr>
          <w:ilvl w:val="0"/>
          <w:numId w:val="142"/>
        </w:numPr>
        <w:tabs>
          <w:tab w:val="clear" w:pos="720"/>
          <w:tab w:val="left" w:pos="0" w:leader="none"/>
        </w:tabs>
        <w:spacing w:before="0" w:after="200"/>
        <w:ind w:hanging="283" w:left="709"/>
        <w:rPr/>
      </w:pPr>
      <w:r>
        <w:rPr>
          <w:rStyle w:val="Strong"/>
        </w:rPr>
        <w:t>Evaluate option independence.</w:t>
      </w:r>
      <w:r>
        <w:rPr/>
        <w:br/>
        <w:t>Options should not be treated as independent when they depend on the same fragile infrastructure, employer, institution, technology, or source of authority.</w:t>
      </w:r>
    </w:p>
    <w:p>
      <w:pPr>
        <w:pStyle w:val="BodyText"/>
        <w:numPr>
          <w:ilvl w:val="0"/>
          <w:numId w:val="142"/>
        </w:numPr>
        <w:tabs>
          <w:tab w:val="clear" w:pos="720"/>
          <w:tab w:val="left" w:pos="0" w:leader="none"/>
        </w:tabs>
        <w:spacing w:before="0" w:after="200"/>
        <w:ind w:hanging="283" w:left="709"/>
        <w:rPr/>
      </w:pPr>
      <w:r>
        <w:rPr>
          <w:rStyle w:val="Strong"/>
        </w:rPr>
        <w:t>Add a capability-security measure.</w:t>
      </w:r>
      <w:r>
        <w:rPr/>
        <w:br/>
        <w:t>Assessments should consider whether valuable opportunities are stable, predictable, legally protected, resilient to foreseeable shocks, and available over an appropriate time horizon.</w:t>
      </w:r>
    </w:p>
    <w:p>
      <w:pPr>
        <w:pStyle w:val="BodyText"/>
        <w:numPr>
          <w:ilvl w:val="0"/>
          <w:numId w:val="142"/>
        </w:numPr>
        <w:tabs>
          <w:tab w:val="clear" w:pos="720"/>
          <w:tab w:val="left" w:pos="0" w:leader="none"/>
        </w:tabs>
        <w:spacing w:before="0" w:after="200"/>
        <w:ind w:hanging="283" w:left="709"/>
        <w:rPr/>
      </w:pPr>
      <w:r>
        <w:rPr>
          <w:rStyle w:val="Strong"/>
        </w:rPr>
        <w:t>Include adaptive-preference review.</w:t>
      </w:r>
      <w:r>
        <w:rPr/>
        <w:br/>
        <w:t>When preferences appear to endorse deprivation, assessors should examine whether they were formed under coercion, discrimination, isolation, manipulation, misinformation, or a lack of visible alternatives.</w:t>
      </w:r>
    </w:p>
    <w:p>
      <w:pPr>
        <w:pStyle w:val="BodyText"/>
        <w:numPr>
          <w:ilvl w:val="0"/>
          <w:numId w:val="142"/>
        </w:numPr>
        <w:tabs>
          <w:tab w:val="clear" w:pos="720"/>
          <w:tab w:val="left" w:pos="0" w:leader="none"/>
        </w:tabs>
        <w:spacing w:before="0" w:after="200"/>
        <w:ind w:hanging="283" w:left="709"/>
        <w:rPr/>
      </w:pPr>
      <w:r>
        <w:rPr>
          <w:rStyle w:val="Strong"/>
        </w:rPr>
        <w:t>Avoid replacing preference with paternalism.</w:t>
      </w:r>
      <w:r>
        <w:rPr/>
        <w:br/>
        <w:t>Adaptive-preference analysis should prompt inquiry and capability expansion, not automatic dismissal of a person’s stated values. The goal should generally be to create meaningful alternatives and informed reflection.</w:t>
      </w:r>
    </w:p>
    <w:p>
      <w:pPr>
        <w:pStyle w:val="BodyText"/>
        <w:numPr>
          <w:ilvl w:val="0"/>
          <w:numId w:val="142"/>
        </w:numPr>
        <w:tabs>
          <w:tab w:val="clear" w:pos="720"/>
          <w:tab w:val="left" w:pos="0" w:leader="none"/>
        </w:tabs>
        <w:spacing w:before="0" w:after="200"/>
        <w:ind w:hanging="283" w:left="709"/>
        <w:rPr/>
      </w:pPr>
      <w:r>
        <w:rPr>
          <w:rStyle w:val="Strong"/>
        </w:rPr>
        <w:t>Use public reasoning to select capability dimensions.</w:t>
      </w:r>
      <w:r>
        <w:rPr/>
        <w:br/>
        <w:t>Capability lists, weights, thresholds, and indicators should be informed by affected parties, domain expertise, human rights, empirical evidence, and transparent ethical argument.</w:t>
      </w:r>
    </w:p>
    <w:p>
      <w:pPr>
        <w:pStyle w:val="BodyText"/>
        <w:numPr>
          <w:ilvl w:val="0"/>
          <w:numId w:val="142"/>
        </w:numPr>
        <w:tabs>
          <w:tab w:val="clear" w:pos="720"/>
          <w:tab w:val="left" w:pos="0" w:leader="none"/>
        </w:tabs>
        <w:spacing w:before="0" w:after="200"/>
        <w:ind w:hanging="283" w:left="709"/>
        <w:rPr/>
      </w:pPr>
      <w:r>
        <w:rPr>
          <w:rStyle w:val="Strong"/>
        </w:rPr>
        <w:t>Protect dissent within public reasoning.</w:t>
      </w:r>
      <w:r>
        <w:rPr/>
        <w:br/>
        <w:t>Majority agreement should not be treated as sufficient when minorities, dependent parties, or stigmatized groups face capability deprivation.</w:t>
      </w:r>
    </w:p>
    <w:p>
      <w:pPr>
        <w:pStyle w:val="BodyText"/>
        <w:numPr>
          <w:ilvl w:val="0"/>
          <w:numId w:val="142"/>
        </w:numPr>
        <w:tabs>
          <w:tab w:val="clear" w:pos="720"/>
          <w:tab w:val="left" w:pos="0" w:leader="none"/>
        </w:tabs>
        <w:spacing w:before="0" w:after="200"/>
        <w:ind w:hanging="283" w:left="709"/>
        <w:rPr/>
      </w:pPr>
      <w:r>
        <w:rPr>
          <w:rStyle w:val="Strong"/>
        </w:rPr>
        <w:t>Add intersectional conversion analysis.</w:t>
      </w:r>
      <w:r>
        <w:rPr/>
        <w:br/>
        <w:t>Conversion factors may interact. Disability, gender, poverty, geography, caregiving obligations, and discrimination can combine to produce barriers greater than the sum of their separate effects.</w:t>
      </w:r>
    </w:p>
    <w:p>
      <w:pPr>
        <w:pStyle w:val="BodyText"/>
        <w:numPr>
          <w:ilvl w:val="0"/>
          <w:numId w:val="142"/>
        </w:numPr>
        <w:tabs>
          <w:tab w:val="clear" w:pos="720"/>
          <w:tab w:val="left" w:pos="0" w:leader="none"/>
        </w:tabs>
        <w:spacing w:before="0" w:after="200"/>
        <w:ind w:hanging="283" w:left="709"/>
        <w:rPr/>
      </w:pPr>
      <w:r>
        <w:rPr>
          <w:rStyle w:val="Strong"/>
        </w:rPr>
        <w:t>Integrate disability and dependency explicitly.</w:t>
      </w:r>
      <w:r>
        <w:rPr/>
        <w:br/>
        <w:t>The framework should not assume an independent, fully informed, physically able agent. Capabilities may depend on care, assistance, accessible design, supported decision-making, and durable public services.</w:t>
      </w:r>
    </w:p>
    <w:p>
      <w:pPr>
        <w:pStyle w:val="BodyText"/>
        <w:numPr>
          <w:ilvl w:val="0"/>
          <w:numId w:val="142"/>
        </w:numPr>
        <w:tabs>
          <w:tab w:val="clear" w:pos="720"/>
          <w:tab w:val="left" w:pos="0" w:leader="none"/>
        </w:tabs>
        <w:spacing w:before="0" w:after="200"/>
        <w:ind w:hanging="283" w:left="709"/>
        <w:rPr/>
      </w:pPr>
      <w:r>
        <w:rPr>
          <w:rStyle w:val="Strong"/>
        </w:rPr>
        <w:t>Represent collective capabilities.</w:t>
      </w:r>
      <w:r>
        <w:rPr/>
        <w:br/>
        <w:t>Some capabilities—political participation, cultural practice, public safety, scientific inquiry, and ecological stewardship—exist only through coordinated relationships and institutions.</w:t>
      </w:r>
    </w:p>
    <w:p>
      <w:pPr>
        <w:pStyle w:val="BodyText"/>
        <w:numPr>
          <w:ilvl w:val="0"/>
          <w:numId w:val="142"/>
        </w:numPr>
        <w:tabs>
          <w:tab w:val="clear" w:pos="720"/>
          <w:tab w:val="left" w:pos="0" w:leader="none"/>
        </w:tabs>
        <w:spacing w:before="0" w:after="200"/>
        <w:ind w:hanging="283" w:left="709"/>
        <w:rPr/>
      </w:pPr>
      <w:r>
        <w:rPr>
          <w:rStyle w:val="Strong"/>
        </w:rPr>
        <w:t>Distinguish collective capability from institutional self-preservation.</w:t>
      </w:r>
      <w:r>
        <w:rPr/>
        <w:br/>
        <w:t>An institution should be valued for the capabilities it creates, not simply because it persists or expands its authority.</w:t>
      </w:r>
    </w:p>
    <w:p>
      <w:pPr>
        <w:pStyle w:val="BodyText"/>
        <w:numPr>
          <w:ilvl w:val="0"/>
          <w:numId w:val="142"/>
        </w:numPr>
        <w:tabs>
          <w:tab w:val="clear" w:pos="720"/>
          <w:tab w:val="left" w:pos="0" w:leader="none"/>
        </w:tabs>
        <w:spacing w:before="0" w:after="200"/>
        <w:ind w:hanging="283" w:left="709"/>
        <w:rPr/>
      </w:pPr>
      <w:r>
        <w:rPr>
          <w:rStyle w:val="Strong"/>
        </w:rPr>
        <w:t>Extend the approach to future generations.</w:t>
      </w:r>
      <w:r>
        <w:rPr/>
        <w:br/>
        <w:t>Environmental and institutional decisions should be evaluated according to the valuable options they preserve or eliminate for future persons.</w:t>
      </w:r>
    </w:p>
    <w:p>
      <w:pPr>
        <w:pStyle w:val="BodyText"/>
        <w:numPr>
          <w:ilvl w:val="0"/>
          <w:numId w:val="142"/>
        </w:numPr>
        <w:tabs>
          <w:tab w:val="clear" w:pos="720"/>
          <w:tab w:val="left" w:pos="0" w:leader="none"/>
        </w:tabs>
        <w:spacing w:before="0" w:after="200"/>
        <w:ind w:hanging="283" w:left="709"/>
        <w:rPr/>
      </w:pPr>
      <w:r>
        <w:rPr>
          <w:rStyle w:val="Strong"/>
        </w:rPr>
        <w:t>Develop entity-specific capability profiles.</w:t>
      </w:r>
      <w:r>
        <w:rPr/>
        <w:br/>
        <w:t>Human capability dimensions should not be automatically imposed on nonhuman entities. Biological, ecological, institutional, and artificial entities require separate, evidence-based profiles.</w:t>
      </w:r>
    </w:p>
    <w:p>
      <w:pPr>
        <w:pStyle w:val="BodyText"/>
        <w:numPr>
          <w:ilvl w:val="0"/>
          <w:numId w:val="142"/>
        </w:numPr>
        <w:tabs>
          <w:tab w:val="clear" w:pos="720"/>
          <w:tab w:val="left" w:pos="0" w:leader="none"/>
        </w:tabs>
        <w:spacing w:before="0" w:after="200"/>
        <w:ind w:hanging="283" w:left="709"/>
        <w:rPr/>
      </w:pPr>
      <w:r>
        <w:rPr>
          <w:rStyle w:val="Strong"/>
        </w:rPr>
        <w:t>Protect low-agency entities.</w:t>
      </w:r>
      <w:r>
        <w:rPr/>
        <w:br/>
        <w:t>Infants, severely impaired persons, animals, and other entities may have ethically important capabilities even when they cannot articulate preferences or exercise conventional agency.</w:t>
      </w:r>
    </w:p>
    <w:p>
      <w:pPr>
        <w:pStyle w:val="BodyText"/>
        <w:numPr>
          <w:ilvl w:val="0"/>
          <w:numId w:val="142"/>
        </w:numPr>
        <w:tabs>
          <w:tab w:val="clear" w:pos="720"/>
          <w:tab w:val="left" w:pos="0" w:leader="none"/>
        </w:tabs>
        <w:spacing w:before="0" w:after="200"/>
        <w:ind w:hanging="283" w:left="709"/>
        <w:rPr/>
      </w:pPr>
      <w:r>
        <w:rPr>
          <w:rStyle w:val="Strong"/>
        </w:rPr>
        <w:t>Connect capabilities with responsibility.</w:t>
      </w:r>
      <w:r>
        <w:rPr/>
        <w:br/>
        <w:t>The framework should distinguish between having the capability to act and having a duty to exercise that capability. Authority, role, knowledge, risk, and the needs of others affect whether an unused capability creates responsibility.</w:t>
      </w:r>
    </w:p>
    <w:p>
      <w:pPr>
        <w:pStyle w:val="BodyText"/>
        <w:numPr>
          <w:ilvl w:val="0"/>
          <w:numId w:val="142"/>
        </w:numPr>
        <w:tabs>
          <w:tab w:val="clear" w:pos="720"/>
          <w:tab w:val="left" w:pos="0" w:leader="none"/>
        </w:tabs>
        <w:spacing w:before="0" w:after="200"/>
        <w:ind w:hanging="283" w:left="709"/>
        <w:rPr/>
      </w:pPr>
      <w:r>
        <w:rPr>
          <w:rStyle w:val="Strong"/>
        </w:rPr>
        <w:t>Analyze capability concentration.</w:t>
      </w:r>
      <w:r>
        <w:rPr/>
        <w:br/>
        <w:t>Expanding the capabilities of already powerful entities may contract the capabilities of others. The distribution of control over technology, information, capital, and institutions should therefore be evaluated.</w:t>
      </w:r>
    </w:p>
    <w:p>
      <w:pPr>
        <w:pStyle w:val="BodyText"/>
        <w:numPr>
          <w:ilvl w:val="0"/>
          <w:numId w:val="142"/>
        </w:numPr>
        <w:tabs>
          <w:tab w:val="clear" w:pos="720"/>
          <w:tab w:val="left" w:pos="0" w:leader="none"/>
        </w:tabs>
        <w:spacing w:before="0" w:after="200"/>
        <w:ind w:hanging="283" w:left="709"/>
        <w:rPr/>
      </w:pPr>
      <w:r>
        <w:rPr>
          <w:rStyle w:val="Strong"/>
        </w:rPr>
        <w:t>Identify capability dependency and lock-in.</w:t>
      </w:r>
      <w:r>
        <w:rPr/>
        <w:br/>
        <w:t>A capability that depends entirely on one employer, platform, government, caregiver, or proprietary system may be fragile and vulnerable to coercion.</w:t>
      </w:r>
    </w:p>
    <w:p>
      <w:pPr>
        <w:pStyle w:val="BodyText"/>
        <w:numPr>
          <w:ilvl w:val="0"/>
          <w:numId w:val="142"/>
        </w:numPr>
        <w:tabs>
          <w:tab w:val="clear" w:pos="720"/>
          <w:tab w:val="left" w:pos="0" w:leader="none"/>
        </w:tabs>
        <w:spacing w:before="0" w:after="200"/>
        <w:ind w:hanging="283" w:left="709"/>
        <w:rPr/>
      </w:pPr>
      <w:r>
        <w:rPr>
          <w:rStyle w:val="Strong"/>
        </w:rPr>
        <w:t>Evaluate exit capabilities.</w:t>
      </w:r>
      <w:r>
        <w:rPr/>
        <w:br/>
        <w:t>The practical ability to leave an employment relationship, service, community, platform, political arrangement, or technological system is an important protection against domination.</w:t>
      </w:r>
    </w:p>
    <w:p>
      <w:pPr>
        <w:pStyle w:val="BodyText"/>
        <w:numPr>
          <w:ilvl w:val="0"/>
          <w:numId w:val="142"/>
        </w:numPr>
        <w:tabs>
          <w:tab w:val="clear" w:pos="720"/>
          <w:tab w:val="left" w:pos="0" w:leader="none"/>
        </w:tabs>
        <w:spacing w:before="0" w:after="200"/>
        <w:ind w:hanging="283" w:left="709"/>
        <w:rPr/>
      </w:pPr>
      <w:r>
        <w:rPr>
          <w:rStyle w:val="Strong"/>
        </w:rPr>
        <w:t>Evaluate voice capabilities.</w:t>
      </w:r>
      <w:r>
        <w:rPr/>
        <w:br/>
        <w:t>Where exit is impractical or undesirable, entities should possess meaningful opportunities to question, appeal, participate, and influence relevant decisions.</w:t>
      </w:r>
    </w:p>
    <w:p>
      <w:pPr>
        <w:pStyle w:val="BodyText"/>
        <w:numPr>
          <w:ilvl w:val="0"/>
          <w:numId w:val="142"/>
        </w:numPr>
        <w:tabs>
          <w:tab w:val="clear" w:pos="720"/>
          <w:tab w:val="left" w:pos="0" w:leader="none"/>
        </w:tabs>
        <w:spacing w:before="0" w:after="200"/>
        <w:ind w:hanging="283" w:left="709"/>
        <w:rPr/>
      </w:pPr>
      <w:r>
        <w:rPr>
          <w:rStyle w:val="Strong"/>
        </w:rPr>
        <w:t>Add capability repair obligations.</w:t>
      </w:r>
      <w:r>
        <w:rPr/>
        <w:br/>
        <w:t>When an action contracts an entity’s capabilities, repair should address not only compensation but also restoration of access, agency, trust, knowledge, health, relationships, or institutional standing.</w:t>
      </w:r>
    </w:p>
    <w:p>
      <w:pPr>
        <w:pStyle w:val="BodyText"/>
        <w:numPr>
          <w:ilvl w:val="0"/>
          <w:numId w:val="142"/>
        </w:numPr>
        <w:tabs>
          <w:tab w:val="clear" w:pos="720"/>
          <w:tab w:val="left" w:pos="0" w:leader="none"/>
        </w:tabs>
        <w:spacing w:before="0" w:after="200"/>
        <w:ind w:hanging="283" w:left="709"/>
        <w:rPr/>
      </w:pPr>
      <w:r>
        <w:rPr>
          <w:rStyle w:val="Strong"/>
        </w:rPr>
        <w:t>Use multi-criteria evaluation without forced commensuration.</w:t>
      </w:r>
      <w:r>
        <w:rPr/>
        <w:br/>
        <w:t>Capability dimensions should remain visible even when a summary judgment is required. Severe deprivation should not disappear inside a composite score.</w:t>
      </w:r>
    </w:p>
    <w:p>
      <w:pPr>
        <w:pStyle w:val="BodyText"/>
        <w:numPr>
          <w:ilvl w:val="0"/>
          <w:numId w:val="142"/>
        </w:numPr>
        <w:tabs>
          <w:tab w:val="clear" w:pos="720"/>
          <w:tab w:val="left" w:pos="0" w:leader="none"/>
        </w:tabs>
        <w:spacing w:before="0" w:after="200"/>
        <w:ind w:hanging="283" w:left="709"/>
        <w:rPr/>
      </w:pPr>
      <w:r>
        <w:rPr>
          <w:rStyle w:val="Strong"/>
        </w:rPr>
        <w:t>Monitor capability trajectories.</w:t>
      </w:r>
      <w:r>
        <w:rPr/>
        <w:br/>
        <w:t>Assessments should examine whether capabilities are expanding, contracting, becoming more secure, or becoming dependent on increasingly fragile conditions.</w:t>
      </w:r>
    </w:p>
    <w:p>
      <w:pPr>
        <w:pStyle w:val="BodyText"/>
        <w:numPr>
          <w:ilvl w:val="0"/>
          <w:numId w:val="142"/>
        </w:numPr>
        <w:tabs>
          <w:tab w:val="clear" w:pos="720"/>
          <w:tab w:val="left" w:pos="0" w:leader="none"/>
        </w:tabs>
        <w:spacing w:before="0" w:after="200"/>
        <w:ind w:hanging="283" w:left="709"/>
        <w:rPr/>
      </w:pPr>
      <w:r>
        <w:rPr>
          <w:rStyle w:val="Strong"/>
        </w:rPr>
        <w:t>Evaluate Distributed Policy Effects as capability effects.</w:t>
      </w:r>
      <w:r>
        <w:rPr/>
        <w:br/>
        <w:t>Actions that normalize discrimination, deception, surveillance, or arbitrary authority may reduce the future capabilities of observers and affected groups even without immediate material harm.</w:t>
      </w:r>
    </w:p>
    <w:p>
      <w:pPr>
        <w:pStyle w:val="BodyText"/>
        <w:numPr>
          <w:ilvl w:val="0"/>
          <w:numId w:val="142"/>
        </w:numPr>
        <w:tabs>
          <w:tab w:val="clear" w:pos="720"/>
          <w:tab w:val="left" w:pos="0" w:leader="none"/>
        </w:tabs>
        <w:spacing w:before="0" w:after="200"/>
        <w:ind w:hanging="283" w:left="709"/>
        <w:rPr/>
      </w:pPr>
      <w:r>
        <w:rPr>
          <w:rStyle w:val="Strong"/>
        </w:rPr>
        <w:t>Integrate capability expansion into moral-agent development.</w:t>
      </w:r>
      <w:r>
        <w:rPr/>
        <w:br/>
        <w:t>Education, access to information, critical reflection, emotional development, and participation can expand an agent’s capability to make better ethical decisions.</w:t>
      </w:r>
    </w:p>
    <w:p>
      <w:pPr>
        <w:pStyle w:val="BodyText"/>
        <w:spacing w:before="0" w:after="200"/>
        <w:rPr/>
      </w:pPr>
      <w:r>
        <w:rPr/>
        <w:t>The Capability Approach offers a particularly strong interpretation of the framework’s commitment to Long-Term Flourishing. It directs attention away from what entities merely possess or currently achieve and toward the valuable futures they can genuinely reach. Its principal contribution is the insistence that ethical assessment distinguish resources from real freedom, formal permission from effective access, observed functioning from voluntary choice, and aggregate improvement from the capabilities of each affected entity.</w:t>
      </w:r>
    </w:p>
    <w:p>
      <w:pPr>
        <w:pStyle w:val="Heading3"/>
        <w:ind w:hanging="0" w:left="0"/>
        <w:rPr>
          <w:kern w:val="0"/>
          <w:lang w:val="en-US" w:eastAsia="en-US" w:bidi="ar-SA"/>
        </w:rPr>
      </w:pPr>
      <w:bookmarkStart w:id="18" w:name="__RefHeading___Toc23492_3508477456"/>
      <w:bookmarkEnd w:id="18"/>
      <w:r>
        <w:rPr/>
        <w:t>Environmental Ethics, Including Deep Ecology</w:t>
      </w:r>
    </w:p>
    <w:p>
      <w:pPr>
        <w:pStyle w:val="BodyText"/>
        <w:spacing w:before="0" w:after="200"/>
        <w:rPr/>
      </w:pPr>
      <w:r>
        <w:rPr/>
        <w:t>Environmental ethics examines the moral relationship between human beings and the nonhuman world, including individual organisms, species, populations, ecosystems, landscapes, ecological processes, and the biosphere. Deep Ecology is a more specific ecocentric movement within this broader field. It argues that nonhuman life has value independently of its usefulness to humans and that ecological responsibility requires more than controlling pollution or managing resources for continued human consumption.</w:t>
      </w:r>
    </w:p>
    <w:p>
      <w:pPr>
        <w:pStyle w:val="BodyText"/>
        <w:spacing w:before="0" w:after="200"/>
        <w:rPr/>
      </w:pPr>
      <w:r>
        <w:rPr/>
        <w:t>Deep Ecology challenges anthropocentrism—the assumption that human interests define the ultimate measure of value. It understands humans as participants within ecological communities rather than as external owners, managers, or masters of nature. Its strongest versions emphasize the inherent worth of human and nonhuman life, biological richness and diversity, restraint of nonvital consumption, ecological self-realization, and fundamental changes to economic, technological, and ideological structures.</w:t>
      </w:r>
    </w:p>
    <w:p>
      <w:pPr>
        <w:pStyle w:val="BodyText"/>
        <w:spacing w:before="0" w:after="200"/>
        <w:rPr/>
      </w:pPr>
      <w:r>
        <w:rPr/>
        <w:t>Environmental ethics is considerably more diverse. It includes anthropocentric conservation, animal ethics, biocentrism, ecocentrism, the land ethic, ecofeminism, social ecology, environmental justice, Indigenous environmental philosophy, and theories of sustainability and intergenerational responsibility. These positions disagree about whether primary value belongs to sentient individuals, all living organisms, species, ecosystems, ecological processes, human–nature relationships, or some combination.</w:t>
      </w:r>
    </w:p>
    <w:p>
      <w:pPr>
        <w:pStyle w:val="BodyText"/>
        <w:spacing w:before="0" w:after="200"/>
        <w:rPr/>
      </w:pPr>
      <w:r>
        <w:rPr/>
        <w:t xml:space="preserve">This comparison therefore treats Environmental Ethics / Deep Ecology as a family of related approaches while identifying the distinctive claims of Deep Ecology. The </w:t>
      </w:r>
      <w:hyperlink r:id="rId219">
        <w:r>
          <w:rPr>
            <w:rStyle w:val="Hyperlink"/>
          </w:rPr>
          <w:t>Stanford Encyclopedia of Philosophy</w:t>
        </w:r>
      </w:hyperlink>
      <w:r>
        <w:rPr/>
        <w:t xml:space="preserve"> defines environmental ethics as the study of humanity’s moral relationship with the environment and the value and moral status of its nonhuman contents. It describes Deep Ecology as rejecting exclusively human-centered valuation and affirming the value of living beings independently of their usefulness to humans.</w:t>
      </w:r>
    </w:p>
    <w:p>
      <w:pPr>
        <w:pStyle w:val="Heading4"/>
        <w:ind w:hanging="0" w:left="0"/>
        <w:rPr>
          <w:rFonts w:ascii="Aptos" w:hAnsi="Aptos"/>
          <w:color w:val="auto"/>
        </w:rPr>
      </w:pPr>
      <w:bookmarkStart w:id="19" w:name="__RefHeading___Toc23535_4084717531"/>
      <w:bookmarkEnd w:id="19"/>
      <w:r>
        <w:rPr/>
        <w:t>Remaining Open Issues</w:t>
      </w:r>
    </w:p>
    <w:p>
      <w:pPr>
        <w:pStyle w:val="BodyText"/>
        <w:spacing w:before="0" w:after="200"/>
        <w:rPr/>
      </w:pPr>
      <w:r>
        <w:rPr/>
        <w:t>Several issues require further development before ethics of care can be considered fully integrated:</w:t>
      </w:r>
    </w:p>
    <w:p>
      <w:pPr>
        <w:pStyle w:val="BodyText"/>
        <w:numPr>
          <w:ilvl w:val="0"/>
          <w:numId w:val="64"/>
        </w:numPr>
        <w:tabs>
          <w:tab w:val="clear" w:pos="720"/>
          <w:tab w:val="left" w:pos="0" w:leader="none"/>
        </w:tabs>
        <w:spacing w:before="0" w:after="200"/>
        <w:ind w:hanging="283" w:left="709"/>
        <w:rPr/>
      </w:pPr>
      <w:r>
        <w:rPr>
          <w:rStyle w:val="Strong"/>
        </w:rPr>
        <w:t>Operationalizing attentiveness:</w:t>
      </w:r>
      <w:r>
        <w:rPr/>
        <w:t xml:space="preserve"> The framework must determine what constitutes a reasonable effort to discover a need and when failure to notice becomes culpable neglect.</w:t>
      </w:r>
    </w:p>
    <w:p>
      <w:pPr>
        <w:pStyle w:val="BodyText"/>
        <w:numPr>
          <w:ilvl w:val="0"/>
          <w:numId w:val="64"/>
        </w:numPr>
        <w:tabs>
          <w:tab w:val="clear" w:pos="720"/>
          <w:tab w:val="left" w:pos="0" w:leader="none"/>
        </w:tabs>
        <w:spacing w:before="0" w:after="200"/>
        <w:ind w:hanging="283" w:left="709"/>
        <w:rPr/>
      </w:pPr>
      <w:r>
        <w:rPr>
          <w:rStyle w:val="Strong"/>
        </w:rPr>
        <w:t>Representation of qualitative knowledge:</w:t>
      </w:r>
      <w:r>
        <w:rPr/>
        <w:t xml:space="preserve"> Narrative, emotional, embodied, and tacit knowledge must be preserved without false precision or arbitrary exclusion.</w:t>
      </w:r>
    </w:p>
    <w:p>
      <w:pPr>
        <w:pStyle w:val="BodyText"/>
        <w:numPr>
          <w:ilvl w:val="0"/>
          <w:numId w:val="64"/>
        </w:numPr>
        <w:tabs>
          <w:tab w:val="clear" w:pos="720"/>
          <w:tab w:val="left" w:pos="0" w:leader="none"/>
        </w:tabs>
        <w:spacing w:before="0" w:after="200"/>
        <w:ind w:hanging="283" w:left="709"/>
        <w:rPr/>
      </w:pPr>
      <w:r>
        <w:rPr>
          <w:rStyle w:val="Strong"/>
        </w:rPr>
        <w:t>Authority to define needs:</w:t>
      </w:r>
      <w:r>
        <w:rPr/>
        <w:t xml:space="preserve"> Clear procedures are needed when recipients, caregivers, professionals, families, and institutions disagree.</w:t>
      </w:r>
    </w:p>
    <w:p>
      <w:pPr>
        <w:pStyle w:val="BodyText"/>
        <w:numPr>
          <w:ilvl w:val="0"/>
          <w:numId w:val="64"/>
        </w:numPr>
        <w:tabs>
          <w:tab w:val="clear" w:pos="720"/>
          <w:tab w:val="left" w:pos="0" w:leader="none"/>
        </w:tabs>
        <w:spacing w:before="0" w:after="200"/>
        <w:ind w:hanging="283" w:left="709"/>
        <w:rPr/>
      </w:pPr>
      <w:r>
        <w:rPr>
          <w:rStyle w:val="Strong"/>
        </w:rPr>
        <w:t>Supported and substitute decision-making:</w:t>
      </w:r>
      <w:r>
        <w:rPr/>
        <w:t xml:space="preserve"> Additional safeguards are required for recipients with limited ability to communicate or provide informed consent.</w:t>
      </w:r>
    </w:p>
    <w:p>
      <w:pPr>
        <w:pStyle w:val="BodyText"/>
        <w:numPr>
          <w:ilvl w:val="0"/>
          <w:numId w:val="64"/>
        </w:numPr>
        <w:tabs>
          <w:tab w:val="clear" w:pos="720"/>
          <w:tab w:val="left" w:pos="0" w:leader="none"/>
        </w:tabs>
        <w:spacing w:before="0" w:after="200"/>
        <w:ind w:hanging="283" w:left="709"/>
        <w:rPr/>
      </w:pPr>
      <w:r>
        <w:rPr>
          <w:rStyle w:val="Strong"/>
        </w:rPr>
        <w:t>Intrinsic value of care:</w:t>
      </w:r>
      <w:r>
        <w:rPr/>
        <w:t xml:space="preserve"> The framework must determine whether caring relationships are components of flourishing, independent normative goods, or both.</w:t>
      </w:r>
    </w:p>
    <w:p>
      <w:pPr>
        <w:pStyle w:val="BodyText"/>
        <w:numPr>
          <w:ilvl w:val="0"/>
          <w:numId w:val="64"/>
        </w:numPr>
        <w:tabs>
          <w:tab w:val="clear" w:pos="720"/>
          <w:tab w:val="left" w:pos="0" w:leader="none"/>
        </w:tabs>
        <w:spacing w:before="0" w:after="200"/>
        <w:ind w:hanging="283" w:left="709"/>
        <w:rPr/>
      </w:pPr>
      <w:r>
        <w:rPr>
          <w:rStyle w:val="Strong"/>
        </w:rPr>
        <w:t>Limits of partiality:</w:t>
      </w:r>
      <w:r>
        <w:rPr/>
        <w:t xml:space="preserve"> It must distinguish legitimate relational responsibility from favoritism, nepotism, exclusion, and structural injustice.</w:t>
      </w:r>
    </w:p>
    <w:p>
      <w:pPr>
        <w:pStyle w:val="BodyText"/>
        <w:numPr>
          <w:ilvl w:val="0"/>
          <w:numId w:val="64"/>
        </w:numPr>
        <w:tabs>
          <w:tab w:val="clear" w:pos="720"/>
          <w:tab w:val="left" w:pos="0" w:leader="none"/>
        </w:tabs>
        <w:spacing w:before="0" w:after="200"/>
        <w:ind w:hanging="283" w:left="709"/>
        <w:rPr/>
      </w:pPr>
      <w:r>
        <w:rPr>
          <w:rStyle w:val="Strong"/>
        </w:rPr>
        <w:t>Care and autonomy:</w:t>
      </w:r>
      <w:r>
        <w:rPr/>
        <w:t xml:space="preserve"> More precise standards are needed for resolving conflicts between assistance, protection, refusal, risk-taking, and agency.</w:t>
      </w:r>
    </w:p>
    <w:p>
      <w:pPr>
        <w:pStyle w:val="BodyText"/>
        <w:numPr>
          <w:ilvl w:val="0"/>
          <w:numId w:val="64"/>
        </w:numPr>
        <w:tabs>
          <w:tab w:val="clear" w:pos="720"/>
          <w:tab w:val="left" w:pos="0" w:leader="none"/>
        </w:tabs>
        <w:spacing w:before="0" w:after="200"/>
        <w:ind w:hanging="283" w:left="709"/>
        <w:rPr/>
      </w:pPr>
      <w:r>
        <w:rPr>
          <w:rStyle w:val="Strong"/>
        </w:rPr>
        <w:t>Paternalism:</w:t>
      </w:r>
      <w:r>
        <w:rPr/>
        <w:t xml:space="preserve"> The framework requires reliable indicators of when beneficent intervention becomes domination or coercion.</w:t>
      </w:r>
    </w:p>
    <w:p>
      <w:pPr>
        <w:pStyle w:val="BodyText"/>
        <w:numPr>
          <w:ilvl w:val="0"/>
          <w:numId w:val="64"/>
        </w:numPr>
        <w:tabs>
          <w:tab w:val="clear" w:pos="720"/>
          <w:tab w:val="left" w:pos="0" w:leader="none"/>
        </w:tabs>
        <w:spacing w:before="0" w:after="200"/>
        <w:ind w:hanging="283" w:left="709"/>
        <w:rPr/>
      </w:pPr>
      <w:r>
        <w:rPr>
          <w:rStyle w:val="Strong"/>
        </w:rPr>
        <w:t>Caregiver limits:</w:t>
      </w:r>
      <w:r>
        <w:rPr/>
        <w:t xml:space="preserve"> Thresholds for reasonable responsibility, transfer of care, respite, and withdrawal remain to be established.</w:t>
      </w:r>
    </w:p>
    <w:p>
      <w:pPr>
        <w:pStyle w:val="BodyText"/>
        <w:numPr>
          <w:ilvl w:val="0"/>
          <w:numId w:val="64"/>
        </w:numPr>
        <w:tabs>
          <w:tab w:val="clear" w:pos="720"/>
          <w:tab w:val="left" w:pos="0" w:leader="none"/>
        </w:tabs>
        <w:spacing w:before="0" w:after="200"/>
        <w:ind w:hanging="283" w:left="709"/>
        <w:rPr/>
      </w:pPr>
      <w:r>
        <w:rPr>
          <w:rStyle w:val="Strong"/>
        </w:rPr>
        <w:t>Distribution of care labor:</w:t>
      </w:r>
      <w:r>
        <w:rPr/>
        <w:t xml:space="preserve"> The framework must identify and correct structural patterns that assign care burdens to entities with less power or fewer alternatives.</w:t>
      </w:r>
    </w:p>
    <w:p>
      <w:pPr>
        <w:pStyle w:val="BodyText"/>
        <w:numPr>
          <w:ilvl w:val="0"/>
          <w:numId w:val="64"/>
        </w:numPr>
        <w:tabs>
          <w:tab w:val="clear" w:pos="720"/>
          <w:tab w:val="left" w:pos="0" w:leader="none"/>
        </w:tabs>
        <w:spacing w:before="0" w:after="200"/>
        <w:ind w:hanging="283" w:left="709"/>
        <w:rPr/>
      </w:pPr>
      <w:r>
        <w:rPr>
          <w:rStyle w:val="Strong"/>
        </w:rPr>
        <w:t>Minimum care obligations:</w:t>
      </w:r>
      <w:r>
        <w:rPr/>
        <w:t xml:space="preserve"> It remains necessary to define what level of care cannot be denied because of cost, inefficiency, or low expected systemic return.</w:t>
      </w:r>
    </w:p>
    <w:p>
      <w:pPr>
        <w:pStyle w:val="BodyText"/>
        <w:numPr>
          <w:ilvl w:val="0"/>
          <w:numId w:val="64"/>
        </w:numPr>
        <w:tabs>
          <w:tab w:val="clear" w:pos="720"/>
          <w:tab w:val="left" w:pos="0" w:leader="none"/>
        </w:tabs>
        <w:spacing w:before="0" w:after="200"/>
        <w:ind w:hanging="283" w:left="709"/>
        <w:rPr/>
      </w:pPr>
      <w:r>
        <w:rPr>
          <w:rStyle w:val="Strong"/>
        </w:rPr>
        <w:t>Institutional responsibility:</w:t>
      </w:r>
      <w:r>
        <w:rPr/>
        <w:t xml:space="preserve"> Responsibility can become diffuse across organizations, contractors, technologies, and public agencies, leaving no actor clearly accountable.</w:t>
      </w:r>
    </w:p>
    <w:p>
      <w:pPr>
        <w:pStyle w:val="BodyText"/>
        <w:numPr>
          <w:ilvl w:val="0"/>
          <w:numId w:val="64"/>
        </w:numPr>
        <w:tabs>
          <w:tab w:val="clear" w:pos="720"/>
          <w:tab w:val="left" w:pos="0" w:leader="none"/>
        </w:tabs>
        <w:spacing w:before="0" w:after="200"/>
        <w:ind w:hanging="283" w:left="709"/>
        <w:rPr/>
      </w:pPr>
      <w:r>
        <w:rPr>
          <w:rStyle w:val="Strong"/>
        </w:rPr>
        <w:t>Continuity across time:</w:t>
      </w:r>
      <w:r>
        <w:rPr/>
        <w:t xml:space="preserve"> Care obligations may persist after a single action or formal transfer, requiring longitudinal monitoring.</w:t>
      </w:r>
    </w:p>
    <w:p>
      <w:pPr>
        <w:pStyle w:val="BodyText"/>
        <w:numPr>
          <w:ilvl w:val="0"/>
          <w:numId w:val="64"/>
        </w:numPr>
        <w:tabs>
          <w:tab w:val="clear" w:pos="720"/>
          <w:tab w:val="left" w:pos="0" w:leader="none"/>
        </w:tabs>
        <w:spacing w:before="0" w:after="200"/>
        <w:ind w:hanging="283" w:left="709"/>
        <w:rPr/>
      </w:pPr>
      <w:r>
        <w:rPr>
          <w:rStyle w:val="Strong"/>
        </w:rPr>
        <w:t>Cultural variation:</w:t>
      </w:r>
      <w:r>
        <w:rPr/>
        <w:t xml:space="preserve"> Conceptions of family responsibility, dependency, privacy, autonomy, and appropriate care differ across communities and require contextual interpretation without permitting abuse.</w:t>
      </w:r>
    </w:p>
    <w:p>
      <w:pPr>
        <w:pStyle w:val="BodyText"/>
        <w:numPr>
          <w:ilvl w:val="0"/>
          <w:numId w:val="64"/>
        </w:numPr>
        <w:tabs>
          <w:tab w:val="clear" w:pos="720"/>
          <w:tab w:val="left" w:pos="0" w:leader="none"/>
        </w:tabs>
        <w:spacing w:before="0" w:after="200"/>
        <w:ind w:hanging="283" w:left="709"/>
        <w:rPr/>
      </w:pPr>
      <w:r>
        <w:rPr>
          <w:rStyle w:val="Strong"/>
        </w:rPr>
        <w:t>Privacy and surveillance:</w:t>
      </w:r>
      <w:r>
        <w:rPr/>
        <w:t xml:space="preserve"> Systems designed to detect needs may collect sensitive information or undermine the trust they are intended to support.</w:t>
      </w:r>
    </w:p>
    <w:p>
      <w:pPr>
        <w:pStyle w:val="BodyText"/>
        <w:numPr>
          <w:ilvl w:val="0"/>
          <w:numId w:val="64"/>
        </w:numPr>
        <w:tabs>
          <w:tab w:val="clear" w:pos="720"/>
          <w:tab w:val="left" w:pos="0" w:leader="none"/>
        </w:tabs>
        <w:spacing w:before="0" w:after="200"/>
        <w:ind w:hanging="283" w:left="709"/>
        <w:rPr/>
      </w:pPr>
      <w:r>
        <w:rPr>
          <w:rStyle w:val="Strong"/>
        </w:rPr>
        <w:t>Artificial care:</w:t>
      </w:r>
      <w:r>
        <w:rPr/>
        <w:t xml:space="preserve"> The ethical status, appropriate role, and accountability of artificial caregivers remain unsettled.</w:t>
      </w:r>
    </w:p>
    <w:p>
      <w:pPr>
        <w:pStyle w:val="BodyText"/>
        <w:numPr>
          <w:ilvl w:val="0"/>
          <w:numId w:val="64"/>
        </w:numPr>
        <w:tabs>
          <w:tab w:val="clear" w:pos="720"/>
          <w:tab w:val="left" w:pos="0" w:leader="none"/>
        </w:tabs>
        <w:spacing w:before="0" w:after="200"/>
        <w:ind w:hanging="283" w:left="709"/>
        <w:rPr/>
      </w:pPr>
      <w:r>
        <w:rPr>
          <w:rStyle w:val="Strong"/>
        </w:rPr>
        <w:t>Nonhuman care relationships:</w:t>
      </w:r>
      <w:r>
        <w:rPr/>
        <w:t xml:space="preserve"> Further work is required to determine how care concepts apply to animals, ecosystems, artificial entities, and other forms of dependency.</w:t>
      </w:r>
    </w:p>
    <w:p>
      <w:pPr>
        <w:pStyle w:val="BodyText"/>
        <w:numPr>
          <w:ilvl w:val="0"/>
          <w:numId w:val="64"/>
        </w:numPr>
        <w:tabs>
          <w:tab w:val="clear" w:pos="720"/>
          <w:tab w:val="left" w:pos="0" w:leader="none"/>
        </w:tabs>
        <w:spacing w:before="0" w:after="200"/>
        <w:ind w:hanging="283" w:left="709"/>
        <w:rPr/>
      </w:pPr>
      <w:r>
        <w:rPr>
          <w:rStyle w:val="Strong"/>
        </w:rPr>
        <w:t>Measurement and gaming:</w:t>
      </w:r>
      <w:r>
        <w:rPr/>
        <w:t xml:space="preserve"> Institutional care metrics may reward superficial compliance while obscuring neglect or relational harm.</w:t>
      </w:r>
    </w:p>
    <w:p>
      <w:pPr>
        <w:pStyle w:val="BodyText"/>
        <w:numPr>
          <w:ilvl w:val="0"/>
          <w:numId w:val="64"/>
        </w:numPr>
        <w:tabs>
          <w:tab w:val="clear" w:pos="720"/>
          <w:tab w:val="left" w:pos="0" w:leader="none"/>
        </w:tabs>
        <w:spacing w:before="0" w:after="200"/>
        <w:ind w:hanging="283" w:left="709"/>
        <w:rPr/>
      </w:pPr>
      <w:r>
        <w:rPr>
          <w:rStyle w:val="Strong"/>
        </w:rPr>
        <w:t>Integration with rights and justice:</w:t>
      </w:r>
      <w:r>
        <w:rPr/>
        <w:t xml:space="preserve"> Care-related responsibilities must be coordinated with equality, due process, autonomy, and nondiscrimination.</w:t>
      </w:r>
    </w:p>
    <w:p>
      <w:pPr>
        <w:pStyle w:val="BodyText"/>
        <w:spacing w:before="0" w:after="200"/>
        <w:rPr/>
      </w:pPr>
      <w:r>
        <w:rPr/>
        <w:t>The central unresolved question is whether care will be treated as an explicit mode of moral perception and responsibility within the framework or merely as another set of effects to be included in a World Context Transition. Until attentiveness, relationship, recipient response, and the distribution of care work receive a defined normative role, a care ethicist can reasonably conclude that the framework models the consequences of care more successfully than it models caring itself.</w:t>
      </w:r>
    </w:p>
    <w:p>
      <w:pPr>
        <w:pStyle w:val="Heading4"/>
        <w:ind w:hanging="0" w:left="0"/>
        <w:rPr>
          <w:rFonts w:ascii="Aptos" w:hAnsi="Aptos"/>
          <w:color w:val="auto"/>
        </w:rPr>
      </w:pPr>
      <w:bookmarkStart w:id="20" w:name="__RefHeading___Toc23494_3508477456"/>
      <w:bookmarkEnd w:id="20"/>
      <w:r>
        <w:rPr/>
        <w:t>Primary expert(s)</w:t>
      </w:r>
    </w:p>
    <w:tbl>
      <w:tblPr>
        <w:tblW w:w="8640" w:type="dxa"/>
        <w:jc w:val="left"/>
        <w:tblInd w:w="28" w:type="dxa"/>
        <w:tblLayout w:type="fixed"/>
        <w:tblCellMar>
          <w:top w:w="28" w:type="dxa"/>
          <w:left w:w="28" w:type="dxa"/>
          <w:bottom w:w="28" w:type="dxa"/>
          <w:right w:w="28" w:type="dxa"/>
        </w:tblCellMar>
      </w:tblPr>
      <w:tblGrid>
        <w:gridCol w:w="1334"/>
        <w:gridCol w:w="730"/>
        <w:gridCol w:w="2196"/>
        <w:gridCol w:w="4380"/>
      </w:tblGrid>
      <w:tr>
        <w:trPr>
          <w:tblHeader w:val="true"/>
        </w:trPr>
        <w:tc>
          <w:tcPr>
            <w:tcW w:w="1334" w:type="dxa"/>
            <w:tcBorders/>
            <w:vAlign w:val="center"/>
          </w:tcPr>
          <w:p>
            <w:pPr>
              <w:pStyle w:val="TableHeading"/>
              <w:suppressLineNumbers/>
              <w:spacing w:before="0" w:after="200"/>
              <w:jc w:val="center"/>
              <w:rPr/>
            </w:pPr>
            <w:r>
              <w:rPr/>
              <w:t>Expert</w:t>
            </w:r>
          </w:p>
        </w:tc>
        <w:tc>
          <w:tcPr>
            <w:tcW w:w="730" w:type="dxa"/>
            <w:tcBorders/>
            <w:vAlign w:val="center"/>
          </w:tcPr>
          <w:p>
            <w:pPr>
              <w:pStyle w:val="TableHeading"/>
              <w:spacing w:before="0" w:after="200"/>
              <w:jc w:val="right"/>
              <w:rPr/>
            </w:pPr>
            <w:r>
              <w:rPr/>
              <w:t>Life</w:t>
            </w:r>
          </w:p>
        </w:tc>
        <w:tc>
          <w:tcPr>
            <w:tcW w:w="2196" w:type="dxa"/>
            <w:tcBorders/>
            <w:vAlign w:val="center"/>
          </w:tcPr>
          <w:p>
            <w:pPr>
              <w:pStyle w:val="TableHeading"/>
              <w:suppressLineNumbers/>
              <w:spacing w:before="0" w:after="200"/>
              <w:jc w:val="center"/>
              <w:rPr/>
            </w:pPr>
            <w:r>
              <w:rPr/>
              <w:t>Associated institution(s)</w:t>
            </w:r>
          </w:p>
        </w:tc>
        <w:tc>
          <w:tcPr>
            <w:tcW w:w="4380" w:type="dxa"/>
            <w:tcBorders/>
            <w:vAlign w:val="center"/>
          </w:tcPr>
          <w:p>
            <w:pPr>
              <w:pStyle w:val="TableHeading"/>
              <w:suppressLineNumbers/>
              <w:spacing w:before="0" w:after="200"/>
              <w:jc w:val="center"/>
              <w:rPr/>
            </w:pPr>
            <w:r>
              <w:rPr/>
              <w:t>Principal contribution</w:t>
            </w:r>
          </w:p>
        </w:tc>
      </w:tr>
      <w:tr>
        <w:trPr/>
        <w:tc>
          <w:tcPr>
            <w:tcW w:w="1334" w:type="dxa"/>
            <w:tcBorders/>
            <w:vAlign w:val="center"/>
          </w:tcPr>
          <w:p>
            <w:pPr>
              <w:pStyle w:val="TableContents"/>
              <w:widowControl w:val="false"/>
              <w:suppressLineNumbers/>
              <w:spacing w:before="0" w:after="200"/>
              <w:rPr/>
            </w:pPr>
            <w:r>
              <w:rPr>
                <w:rStyle w:val="Strong"/>
              </w:rPr>
              <w:t>Aldo Leopold</w:t>
            </w:r>
          </w:p>
        </w:tc>
        <w:tc>
          <w:tcPr>
            <w:tcW w:w="730" w:type="dxa"/>
            <w:tcBorders/>
            <w:vAlign w:val="center"/>
          </w:tcPr>
          <w:p>
            <w:pPr>
              <w:pStyle w:val="TableContents"/>
              <w:spacing w:before="0" w:after="200"/>
              <w:jc w:val="right"/>
              <w:rPr/>
            </w:pPr>
            <w:r>
              <w:rPr>
                <w:rStyle w:val="Strong"/>
              </w:rPr>
              <w:t>1887–1948</w:t>
            </w:r>
          </w:p>
        </w:tc>
        <w:tc>
          <w:tcPr>
            <w:tcW w:w="2196" w:type="dxa"/>
            <w:tcBorders/>
            <w:vAlign w:val="center"/>
          </w:tcPr>
          <w:p>
            <w:pPr>
              <w:pStyle w:val="TableContents"/>
              <w:widowControl w:val="false"/>
              <w:suppressLineNumbers/>
              <w:spacing w:before="0" w:after="200"/>
              <w:rPr/>
            </w:pPr>
            <w:r>
              <w:rPr/>
              <w:t>United States Forest Service; University of Wisconsin–Madison</w:t>
            </w:r>
          </w:p>
        </w:tc>
        <w:tc>
          <w:tcPr>
            <w:tcW w:w="4380" w:type="dxa"/>
            <w:tcBorders/>
            <w:vAlign w:val="center"/>
          </w:tcPr>
          <w:p>
            <w:pPr>
              <w:pStyle w:val="TableContents"/>
              <w:widowControl w:val="false"/>
              <w:suppressLineNumbers/>
              <w:spacing w:before="0" w:after="200"/>
              <w:rPr/>
            </w:pPr>
            <w:r>
              <w:rPr/>
              <w:t>Developed the land ethic, which expanded moral community to include soils, waters, plants, animals, and the interconnected land community. Emphasized ecological integrity, community membership, conservation, and ecological conscience.</w:t>
            </w:r>
          </w:p>
        </w:tc>
      </w:tr>
      <w:tr>
        <w:trPr/>
        <w:tc>
          <w:tcPr>
            <w:tcW w:w="1334" w:type="dxa"/>
            <w:tcBorders/>
            <w:vAlign w:val="center"/>
          </w:tcPr>
          <w:p>
            <w:pPr>
              <w:pStyle w:val="TableContents"/>
              <w:widowControl w:val="false"/>
              <w:suppressLineNumbers/>
              <w:spacing w:before="0" w:after="200"/>
              <w:rPr/>
            </w:pPr>
            <w:r>
              <w:rPr>
                <w:rStyle w:val="Strong"/>
              </w:rPr>
              <w:t>Rachel Carson</w:t>
            </w:r>
          </w:p>
        </w:tc>
        <w:tc>
          <w:tcPr>
            <w:tcW w:w="730" w:type="dxa"/>
            <w:tcBorders/>
            <w:vAlign w:val="center"/>
          </w:tcPr>
          <w:p>
            <w:pPr>
              <w:pStyle w:val="TableContents"/>
              <w:spacing w:before="0" w:after="200"/>
              <w:jc w:val="right"/>
              <w:rPr/>
            </w:pPr>
            <w:r>
              <w:rPr>
                <w:rStyle w:val="Strong"/>
              </w:rPr>
              <w:t>1907–1964</w:t>
            </w:r>
          </w:p>
        </w:tc>
        <w:tc>
          <w:tcPr>
            <w:tcW w:w="2196" w:type="dxa"/>
            <w:tcBorders/>
            <w:vAlign w:val="center"/>
          </w:tcPr>
          <w:p>
            <w:pPr>
              <w:pStyle w:val="TableContents"/>
              <w:widowControl w:val="false"/>
              <w:suppressLineNumbers/>
              <w:spacing w:before="0" w:after="200"/>
              <w:rPr/>
            </w:pPr>
            <w:r>
              <w:rPr/>
              <w:t>United States Bureau of Fisheries and U.S. Fish and Wildlife Service</w:t>
            </w:r>
          </w:p>
        </w:tc>
        <w:tc>
          <w:tcPr>
            <w:tcW w:w="4380" w:type="dxa"/>
            <w:tcBorders/>
            <w:vAlign w:val="center"/>
          </w:tcPr>
          <w:p>
            <w:pPr>
              <w:pStyle w:val="TableContents"/>
              <w:widowControl w:val="false"/>
              <w:suppressLineNumbers/>
              <w:spacing w:before="0" w:after="200"/>
              <w:rPr/>
            </w:pPr>
            <w:r>
              <w:rPr/>
              <w:t>Demonstrated the systemic, cumulative, and unintended ecological effects of chemical pesticides. Helped establish modern environmental awareness and precautionary analysis of technological intervention.</w:t>
            </w:r>
          </w:p>
        </w:tc>
      </w:tr>
      <w:tr>
        <w:trPr/>
        <w:tc>
          <w:tcPr>
            <w:tcW w:w="1334" w:type="dxa"/>
            <w:tcBorders/>
            <w:vAlign w:val="center"/>
          </w:tcPr>
          <w:p>
            <w:pPr>
              <w:pStyle w:val="TableContents"/>
              <w:widowControl w:val="false"/>
              <w:suppressLineNumbers/>
              <w:spacing w:before="0" w:after="200"/>
              <w:rPr/>
            </w:pPr>
            <w:r>
              <w:rPr>
                <w:rStyle w:val="Strong"/>
              </w:rPr>
              <w:t>Arne Næss</w:t>
            </w:r>
          </w:p>
        </w:tc>
        <w:tc>
          <w:tcPr>
            <w:tcW w:w="730" w:type="dxa"/>
            <w:tcBorders/>
            <w:vAlign w:val="center"/>
          </w:tcPr>
          <w:p>
            <w:pPr>
              <w:pStyle w:val="TableContents"/>
              <w:spacing w:before="0" w:after="200"/>
              <w:jc w:val="right"/>
              <w:rPr/>
            </w:pPr>
            <w:r>
              <w:rPr>
                <w:rStyle w:val="Strong"/>
              </w:rPr>
              <w:t>1912–2009</w:t>
            </w:r>
          </w:p>
        </w:tc>
        <w:tc>
          <w:tcPr>
            <w:tcW w:w="2196" w:type="dxa"/>
            <w:tcBorders/>
            <w:vAlign w:val="center"/>
          </w:tcPr>
          <w:p>
            <w:pPr>
              <w:pStyle w:val="TableContents"/>
              <w:widowControl w:val="false"/>
              <w:suppressLineNumbers/>
              <w:spacing w:before="0" w:after="200"/>
              <w:rPr/>
            </w:pPr>
            <w:r>
              <w:rPr/>
              <w:t>University of Oslo</w:t>
            </w:r>
          </w:p>
        </w:tc>
        <w:tc>
          <w:tcPr>
            <w:tcW w:w="4380" w:type="dxa"/>
            <w:tcBorders/>
            <w:vAlign w:val="center"/>
          </w:tcPr>
          <w:p>
            <w:pPr>
              <w:pStyle w:val="TableContents"/>
              <w:widowControl w:val="false"/>
              <w:suppressLineNumbers/>
              <w:spacing w:before="0" w:after="200"/>
              <w:rPr/>
            </w:pPr>
            <w:r>
              <w:rPr/>
              <w:t>Coined “Deep Ecology,” developed Ecosophy T, distinguished deep from shallow environmentalism, and emphasized ecological self-realization, relational identity, biodiversity, and the intrinsic value of human and nonhuman life.</w:t>
            </w:r>
          </w:p>
        </w:tc>
      </w:tr>
      <w:tr>
        <w:trPr/>
        <w:tc>
          <w:tcPr>
            <w:tcW w:w="1334" w:type="dxa"/>
            <w:tcBorders/>
            <w:vAlign w:val="center"/>
          </w:tcPr>
          <w:p>
            <w:pPr>
              <w:pStyle w:val="TableContents"/>
              <w:widowControl w:val="false"/>
              <w:suppressLineNumbers/>
              <w:spacing w:before="0" w:after="200"/>
              <w:rPr/>
            </w:pPr>
            <w:r>
              <w:rPr>
                <w:rStyle w:val="Strong"/>
              </w:rPr>
              <w:t>George Sessions</w:t>
            </w:r>
          </w:p>
        </w:tc>
        <w:tc>
          <w:tcPr>
            <w:tcW w:w="730" w:type="dxa"/>
            <w:tcBorders/>
            <w:vAlign w:val="center"/>
          </w:tcPr>
          <w:p>
            <w:pPr>
              <w:pStyle w:val="TableContents"/>
              <w:spacing w:before="0" w:after="200"/>
              <w:jc w:val="right"/>
              <w:rPr/>
            </w:pPr>
            <w:r>
              <w:rPr>
                <w:rStyle w:val="Strong"/>
              </w:rPr>
              <w:t>1938–2016</w:t>
            </w:r>
          </w:p>
        </w:tc>
        <w:tc>
          <w:tcPr>
            <w:tcW w:w="2196" w:type="dxa"/>
            <w:tcBorders/>
            <w:vAlign w:val="center"/>
          </w:tcPr>
          <w:p>
            <w:pPr>
              <w:pStyle w:val="TableContents"/>
              <w:widowControl w:val="false"/>
              <w:suppressLineNumbers/>
              <w:spacing w:before="0" w:after="200"/>
              <w:rPr/>
            </w:pPr>
            <w:r>
              <w:rPr/>
              <w:t>Sierra College</w:t>
            </w:r>
          </w:p>
        </w:tc>
        <w:tc>
          <w:tcPr>
            <w:tcW w:w="4380" w:type="dxa"/>
            <w:tcBorders/>
            <w:vAlign w:val="center"/>
          </w:tcPr>
          <w:p>
            <w:pPr>
              <w:pStyle w:val="TableContents"/>
              <w:widowControl w:val="false"/>
              <w:suppressLineNumbers/>
              <w:spacing w:before="0" w:after="200"/>
              <w:rPr/>
            </w:pPr>
            <w:r>
              <w:rPr/>
              <w:t>Co-developed the eight-point Deep Ecology Platform with Næss and helped articulate Deep Ecology as a broadly accessible ecological movement rather than one closed philosophical doctrine.</w:t>
            </w:r>
          </w:p>
        </w:tc>
      </w:tr>
      <w:tr>
        <w:trPr/>
        <w:tc>
          <w:tcPr>
            <w:tcW w:w="1334" w:type="dxa"/>
            <w:tcBorders/>
            <w:vAlign w:val="center"/>
          </w:tcPr>
          <w:p>
            <w:pPr>
              <w:pStyle w:val="TableContents"/>
              <w:widowControl w:val="false"/>
              <w:suppressLineNumbers/>
              <w:spacing w:before="0" w:after="200"/>
              <w:rPr/>
            </w:pPr>
            <w:r>
              <w:rPr>
                <w:rStyle w:val="Strong"/>
              </w:rPr>
              <w:t>Holmes Rolston III</w:t>
            </w:r>
          </w:p>
        </w:tc>
        <w:tc>
          <w:tcPr>
            <w:tcW w:w="730" w:type="dxa"/>
            <w:tcBorders/>
            <w:vAlign w:val="center"/>
          </w:tcPr>
          <w:p>
            <w:pPr>
              <w:pStyle w:val="TableContents"/>
              <w:spacing w:before="0" w:after="200"/>
              <w:jc w:val="right"/>
              <w:rPr/>
            </w:pPr>
            <w:r>
              <w:rPr>
                <w:rStyle w:val="Strong"/>
              </w:rPr>
              <w:t>1932–2025</w:t>
            </w:r>
          </w:p>
        </w:tc>
        <w:tc>
          <w:tcPr>
            <w:tcW w:w="2196" w:type="dxa"/>
            <w:tcBorders/>
            <w:vAlign w:val="center"/>
          </w:tcPr>
          <w:p>
            <w:pPr>
              <w:pStyle w:val="TableContents"/>
              <w:widowControl w:val="false"/>
              <w:suppressLineNumbers/>
              <w:spacing w:before="0" w:after="200"/>
              <w:rPr/>
            </w:pPr>
            <w:r>
              <w:rPr/>
              <w:t>Colorado State University</w:t>
            </w:r>
          </w:p>
        </w:tc>
        <w:tc>
          <w:tcPr>
            <w:tcW w:w="4380" w:type="dxa"/>
            <w:tcBorders/>
            <w:vAlign w:val="center"/>
          </w:tcPr>
          <w:p>
            <w:pPr>
              <w:pStyle w:val="TableContents"/>
              <w:widowControl w:val="false"/>
              <w:suppressLineNumbers/>
              <w:spacing w:before="0" w:after="200"/>
              <w:rPr/>
            </w:pPr>
            <w:r>
              <w:rPr/>
              <w:t>Developed influential accounts of intrinsic value in organisms, species, ecosystems, evolutionary processes, and wild nature. Helped establish environmental ethics as an academic discipline.</w:t>
            </w:r>
          </w:p>
        </w:tc>
      </w:tr>
      <w:tr>
        <w:trPr/>
        <w:tc>
          <w:tcPr>
            <w:tcW w:w="1334" w:type="dxa"/>
            <w:tcBorders/>
            <w:vAlign w:val="center"/>
          </w:tcPr>
          <w:p>
            <w:pPr>
              <w:pStyle w:val="TableContents"/>
              <w:widowControl w:val="false"/>
              <w:suppressLineNumbers/>
              <w:spacing w:before="0" w:after="200"/>
              <w:rPr/>
            </w:pPr>
            <w:r>
              <w:rPr>
                <w:rStyle w:val="Strong"/>
              </w:rPr>
              <w:t>J. Baird Callicott</w:t>
            </w:r>
          </w:p>
        </w:tc>
        <w:tc>
          <w:tcPr>
            <w:tcW w:w="730" w:type="dxa"/>
            <w:tcBorders/>
            <w:vAlign w:val="center"/>
          </w:tcPr>
          <w:p>
            <w:pPr>
              <w:pStyle w:val="TableContents"/>
              <w:spacing w:before="0" w:after="200"/>
              <w:jc w:val="right"/>
              <w:rPr/>
            </w:pPr>
            <w:r>
              <w:rPr>
                <w:rStyle w:val="Strong"/>
              </w:rPr>
              <w:t>1941–</w:t>
            </w:r>
          </w:p>
        </w:tc>
        <w:tc>
          <w:tcPr>
            <w:tcW w:w="2196" w:type="dxa"/>
            <w:tcBorders/>
            <w:vAlign w:val="center"/>
          </w:tcPr>
          <w:p>
            <w:pPr>
              <w:pStyle w:val="TableContents"/>
              <w:widowControl w:val="false"/>
              <w:suppressLineNumbers/>
              <w:spacing w:before="0" w:after="200"/>
              <w:rPr/>
            </w:pPr>
            <w:r>
              <w:rPr/>
              <w:t>University of Wisconsin–Stevens Point; University of North Texas</w:t>
            </w:r>
          </w:p>
        </w:tc>
        <w:tc>
          <w:tcPr>
            <w:tcW w:w="4380" w:type="dxa"/>
            <w:tcBorders/>
            <w:vAlign w:val="center"/>
          </w:tcPr>
          <w:p>
            <w:pPr>
              <w:pStyle w:val="TableContents"/>
              <w:widowControl w:val="false"/>
              <w:suppressLineNumbers/>
              <w:spacing w:before="0" w:after="200"/>
              <w:rPr/>
            </w:pPr>
            <w:r>
              <w:rPr/>
              <w:t>Became a leading interpreter and philosophical developer of Leopold’s land ethic and advanced holistic, community-based environmental ethics.</w:t>
            </w:r>
          </w:p>
        </w:tc>
      </w:tr>
      <w:tr>
        <w:trPr/>
        <w:tc>
          <w:tcPr>
            <w:tcW w:w="1334" w:type="dxa"/>
            <w:tcBorders/>
            <w:vAlign w:val="center"/>
          </w:tcPr>
          <w:p>
            <w:pPr>
              <w:pStyle w:val="TableContents"/>
              <w:widowControl w:val="false"/>
              <w:suppressLineNumbers/>
              <w:spacing w:before="0" w:after="200"/>
              <w:rPr/>
            </w:pPr>
            <w:r>
              <w:rPr>
                <w:rStyle w:val="Strong"/>
              </w:rPr>
              <w:t>Val Plumwood</w:t>
            </w:r>
          </w:p>
        </w:tc>
        <w:tc>
          <w:tcPr>
            <w:tcW w:w="730" w:type="dxa"/>
            <w:tcBorders/>
            <w:vAlign w:val="center"/>
          </w:tcPr>
          <w:p>
            <w:pPr>
              <w:pStyle w:val="TableContents"/>
              <w:spacing w:before="0" w:after="200"/>
              <w:jc w:val="right"/>
              <w:rPr/>
            </w:pPr>
            <w:r>
              <w:rPr>
                <w:rStyle w:val="Strong"/>
              </w:rPr>
              <w:t>1939–2008</w:t>
            </w:r>
          </w:p>
        </w:tc>
        <w:tc>
          <w:tcPr>
            <w:tcW w:w="2196" w:type="dxa"/>
            <w:tcBorders/>
            <w:vAlign w:val="center"/>
          </w:tcPr>
          <w:p>
            <w:pPr>
              <w:pStyle w:val="TableContents"/>
              <w:widowControl w:val="false"/>
              <w:suppressLineNumbers/>
              <w:spacing w:before="0" w:after="200"/>
              <w:rPr/>
            </w:pPr>
            <w:r>
              <w:rPr/>
              <w:t>Australian National University; University of Sydney; other visiting appointments</w:t>
            </w:r>
          </w:p>
        </w:tc>
        <w:tc>
          <w:tcPr>
            <w:tcW w:w="4380" w:type="dxa"/>
            <w:tcBorders/>
            <w:vAlign w:val="center"/>
          </w:tcPr>
          <w:p>
            <w:pPr>
              <w:pStyle w:val="TableContents"/>
              <w:widowControl w:val="false"/>
              <w:suppressLineNumbers/>
              <w:spacing w:before="0" w:after="200"/>
              <w:rPr/>
            </w:pPr>
            <w:r>
              <w:rPr/>
              <w:t>Developed an ecofeminist critique of anthropocentrism, human–nature dualism, rational mastery, colonialism, and the linked subordination of women, marginalized peoples, and nonhuman nature.</w:t>
            </w:r>
          </w:p>
        </w:tc>
      </w:tr>
      <w:tr>
        <w:trPr/>
        <w:tc>
          <w:tcPr>
            <w:tcW w:w="1334" w:type="dxa"/>
            <w:tcBorders/>
            <w:vAlign w:val="center"/>
          </w:tcPr>
          <w:p>
            <w:pPr>
              <w:pStyle w:val="TableContents"/>
              <w:widowControl w:val="false"/>
              <w:suppressLineNumbers/>
              <w:spacing w:before="0" w:after="200"/>
              <w:rPr/>
            </w:pPr>
            <w:r>
              <w:rPr>
                <w:rStyle w:val="Strong"/>
              </w:rPr>
              <w:t>Murray Bookchin</w:t>
            </w:r>
          </w:p>
        </w:tc>
        <w:tc>
          <w:tcPr>
            <w:tcW w:w="730" w:type="dxa"/>
            <w:tcBorders/>
            <w:vAlign w:val="center"/>
          </w:tcPr>
          <w:p>
            <w:pPr>
              <w:pStyle w:val="TableContents"/>
              <w:spacing w:before="0" w:after="200"/>
              <w:jc w:val="right"/>
              <w:rPr/>
            </w:pPr>
            <w:r>
              <w:rPr>
                <w:rStyle w:val="Strong"/>
              </w:rPr>
              <w:t>1921–2006</w:t>
            </w:r>
          </w:p>
        </w:tc>
        <w:tc>
          <w:tcPr>
            <w:tcW w:w="2196" w:type="dxa"/>
            <w:tcBorders/>
            <w:vAlign w:val="center"/>
          </w:tcPr>
          <w:p>
            <w:pPr>
              <w:pStyle w:val="TableContents"/>
              <w:widowControl w:val="false"/>
              <w:suppressLineNumbers/>
              <w:spacing w:before="0" w:after="200"/>
              <w:rPr/>
            </w:pPr>
            <w:r>
              <w:rPr/>
              <w:t>Institute for Social Ecology; Ramapo College of New Jersey</w:t>
            </w:r>
          </w:p>
        </w:tc>
        <w:tc>
          <w:tcPr>
            <w:tcW w:w="4380" w:type="dxa"/>
            <w:tcBorders/>
            <w:vAlign w:val="center"/>
          </w:tcPr>
          <w:p>
            <w:pPr>
              <w:pStyle w:val="TableContents"/>
              <w:widowControl w:val="false"/>
              <w:suppressLineNumbers/>
              <w:spacing w:before="0" w:after="200"/>
              <w:rPr/>
            </w:pPr>
            <w:r>
              <w:rPr/>
              <w:t>Developed social ecology and criticized versions of Deep Ecology that neglected hierarchy, domination, political economy, and social injustice. Serves as an important internal corrective to ecocentric analysis.</w:t>
            </w:r>
          </w:p>
        </w:tc>
      </w:tr>
    </w:tbl>
    <w:p>
      <w:pPr>
        <w:pStyle w:val="BodyText"/>
        <w:spacing w:before="0" w:after="200"/>
        <w:rPr/>
      </w:pPr>
      <w:r>
        <w:rPr/>
        <w:t xml:space="preserve">Leopold’s career and influence on environmental ethics are summarized by the </w:t>
      </w:r>
      <w:hyperlink r:id="rId220">
        <w:r>
          <w:rPr>
            <w:rStyle w:val="Hyperlink"/>
          </w:rPr>
          <w:t>U.S. Fish and Wildlife Service</w:t>
        </w:r>
      </w:hyperlink>
      <w:r>
        <w:rPr/>
        <w:t xml:space="preserve">. Næss is recognized as the founder of Deep Ecology by </w:t>
      </w:r>
      <w:hyperlink r:id="rId221">
        <w:r>
          <w:rPr>
            <w:rStyle w:val="Hyperlink"/>
          </w:rPr>
          <w:t>Open Air Philosophy</w:t>
        </w:r>
      </w:hyperlink>
      <w:r>
        <w:rPr/>
        <w:t xml:space="preserve">. Sessions’s work and long association with Sierra College are documented in the </w:t>
      </w:r>
      <w:hyperlink r:id="rId222">
        <w:r>
          <w:rPr>
            <w:rStyle w:val="Hyperlink"/>
          </w:rPr>
          <w:t>George Sessions archival finding aid</w:t>
        </w:r>
      </w:hyperlink>
      <w:r>
        <w:rPr/>
        <w:t xml:space="preserve">. Colorado State University describes Rolston’s role in establishing environmental ethics in its </w:t>
      </w:r>
      <w:hyperlink r:id="rId223">
        <w:r>
          <w:rPr>
            <w:rStyle w:val="Hyperlink"/>
          </w:rPr>
          <w:t>2025 memorial</w:t>
        </w:r>
      </w:hyperlink>
      <w:r>
        <w:rPr/>
        <w:t xml:space="preserve">. Callicott’s work on the land ethic is summarized by the </w:t>
      </w:r>
      <w:hyperlink r:id="rId224">
        <w:r>
          <w:rPr>
            <w:rStyle w:val="Hyperlink"/>
          </w:rPr>
          <w:t>Aldo Leopold Foundation</w:t>
        </w:r>
      </w:hyperlink>
      <w:r>
        <w:rPr/>
        <w:t xml:space="preserve">. Plumwood’s ecofeminist environmental philosophy is described by the </w:t>
      </w:r>
      <w:hyperlink r:id="rId225">
        <w:r>
          <w:rPr>
            <w:rStyle w:val="Hyperlink"/>
          </w:rPr>
          <w:t>Val Plumwood foundation</w:t>
        </w:r>
      </w:hyperlink>
      <w:r>
        <w:rPr/>
        <w:t xml:space="preserve">, while Bookchin’s work and institutional affiliations are summarized by the </w:t>
      </w:r>
      <w:hyperlink r:id="rId226">
        <w:r>
          <w:rPr>
            <w:rStyle w:val="Hyperlink"/>
          </w:rPr>
          <w:t>Institute for Social Ecology</w:t>
        </w:r>
      </w:hyperlink>
      <w:r>
        <w:rPr/>
        <w:t>.</w:t>
      </w:r>
    </w:p>
    <w:p>
      <w:pPr>
        <w:pStyle w:val="Heading4"/>
        <w:ind w:hanging="0" w:left="0"/>
        <w:rPr>
          <w:rFonts w:ascii="Aptos" w:hAnsi="Aptos"/>
          <w:color w:val="auto"/>
        </w:rPr>
      </w:pPr>
      <w:r>
        <w:rPr/>
        <w:t>Core assumptions</w:t>
      </w:r>
    </w:p>
    <w:p>
      <w:pPr>
        <w:pStyle w:val="BodyText"/>
        <w:spacing w:before="0" w:after="200"/>
        <w:rPr/>
      </w:pPr>
      <w:r>
        <w:rPr/>
        <w:t>Because the field contains competing theories, the following assumptions identify influential environmental and Deep Ecology positions rather than doctrines accepted unanimously by every environmental ethicist.</w:t>
      </w:r>
    </w:p>
    <w:p>
      <w:pPr>
        <w:pStyle w:val="BodyText"/>
        <w:numPr>
          <w:ilvl w:val="0"/>
          <w:numId w:val="148"/>
        </w:numPr>
        <w:tabs>
          <w:tab w:val="clear" w:pos="720"/>
          <w:tab w:val="left" w:pos="0" w:leader="none"/>
        </w:tabs>
        <w:spacing w:before="0" w:after="200"/>
        <w:ind w:hanging="283" w:left="709"/>
        <w:rPr/>
      </w:pPr>
      <w:r>
        <w:rPr>
          <w:rStyle w:val="Strong"/>
        </w:rPr>
        <w:t>The nonhuman world has moral significance.</w:t>
      </w:r>
      <w:r>
        <w:rPr/>
        <w:br/>
        <w:t>Ethical reasoning must extend beyond direct effects on present human beings.</w:t>
      </w:r>
    </w:p>
    <w:p>
      <w:pPr>
        <w:pStyle w:val="BodyText"/>
        <w:numPr>
          <w:ilvl w:val="0"/>
          <w:numId w:val="148"/>
        </w:numPr>
        <w:tabs>
          <w:tab w:val="clear" w:pos="720"/>
          <w:tab w:val="left" w:pos="0" w:leader="none"/>
        </w:tabs>
        <w:spacing w:before="0" w:after="200"/>
        <w:ind w:hanging="283" w:left="709"/>
        <w:rPr/>
      </w:pPr>
      <w:r>
        <w:rPr>
          <w:rStyle w:val="Strong"/>
        </w:rPr>
        <w:t>At least some nonhuman entities possess value independently of their usefulness to humans.</w:t>
      </w:r>
      <w:r>
        <w:rPr/>
        <w:br/>
        <w:t>Animals, plants, species, ecosystems, and ecological processes should not be treated solely as resources or instruments.</w:t>
      </w:r>
    </w:p>
    <w:p>
      <w:pPr>
        <w:pStyle w:val="BodyText"/>
        <w:numPr>
          <w:ilvl w:val="0"/>
          <w:numId w:val="148"/>
        </w:numPr>
        <w:tabs>
          <w:tab w:val="clear" w:pos="720"/>
          <w:tab w:val="left" w:pos="0" w:leader="none"/>
        </w:tabs>
        <w:spacing w:before="0" w:after="200"/>
        <w:ind w:hanging="283" w:left="709"/>
        <w:rPr/>
      </w:pPr>
      <w:r>
        <w:rPr>
          <w:rStyle w:val="Strong"/>
        </w:rPr>
        <w:t>Humans are members of ecological communities.</w:t>
      </w:r>
      <w:r>
        <w:rPr/>
        <w:br/>
        <w:t>Humanity exists within biological, climatic, geological, and evolutionary systems. Human flourishing depends on these relationships.</w:t>
      </w:r>
    </w:p>
    <w:p>
      <w:pPr>
        <w:pStyle w:val="BodyText"/>
        <w:numPr>
          <w:ilvl w:val="0"/>
          <w:numId w:val="148"/>
        </w:numPr>
        <w:tabs>
          <w:tab w:val="clear" w:pos="720"/>
          <w:tab w:val="left" w:pos="0" w:leader="none"/>
        </w:tabs>
        <w:spacing w:before="0" w:after="200"/>
        <w:ind w:hanging="283" w:left="709"/>
        <w:rPr/>
      </w:pPr>
      <w:r>
        <w:rPr>
          <w:rStyle w:val="Strong"/>
        </w:rPr>
        <w:t>Anthropocentrism is ethically and ecologically inadequate.</w:t>
      </w:r>
      <w:r>
        <w:rPr/>
        <w:br/>
        <w:t>Human preferences cannot automatically determine the moral importance of every environmental effect.</w:t>
      </w:r>
    </w:p>
    <w:p>
      <w:pPr>
        <w:pStyle w:val="BodyText"/>
        <w:numPr>
          <w:ilvl w:val="0"/>
          <w:numId w:val="148"/>
        </w:numPr>
        <w:tabs>
          <w:tab w:val="clear" w:pos="720"/>
          <w:tab w:val="left" w:pos="0" w:leader="none"/>
        </w:tabs>
        <w:spacing w:before="0" w:after="200"/>
        <w:ind w:hanging="283" w:left="709"/>
        <w:rPr/>
      </w:pPr>
      <w:r>
        <w:rPr>
          <w:rStyle w:val="Strong"/>
        </w:rPr>
        <w:t>Deep Ecology distinguishes shallow reform from fundamental ecological change.</w:t>
      </w:r>
      <w:r>
        <w:rPr/>
        <w:br/>
        <w:t>“Shallow” environmentalism reduces pollution or resource depletion primarily to protect human health and prosperity. Deep Ecology questions the economic, cultural, and metaphysical assumptions that permit the nonhuman world to be treated as an expendable resource.</w:t>
      </w:r>
    </w:p>
    <w:p>
      <w:pPr>
        <w:pStyle w:val="BodyText"/>
        <w:numPr>
          <w:ilvl w:val="0"/>
          <w:numId w:val="148"/>
        </w:numPr>
        <w:tabs>
          <w:tab w:val="clear" w:pos="720"/>
          <w:tab w:val="left" w:pos="0" w:leader="none"/>
        </w:tabs>
        <w:spacing w:before="0" w:after="200"/>
        <w:ind w:hanging="283" w:left="709"/>
        <w:rPr/>
      </w:pPr>
      <w:r>
        <w:rPr>
          <w:rStyle w:val="Strong"/>
        </w:rPr>
        <w:t>Human and nonhuman flourishing have inherent value.</w:t>
      </w:r>
      <w:r>
        <w:rPr/>
        <w:br/>
        <w:t>The Deep Ecology Platform treats the flourishing of both as valuable independently of narrow human utility.</w:t>
      </w:r>
    </w:p>
    <w:p>
      <w:pPr>
        <w:pStyle w:val="BodyText"/>
        <w:numPr>
          <w:ilvl w:val="0"/>
          <w:numId w:val="148"/>
        </w:numPr>
        <w:tabs>
          <w:tab w:val="clear" w:pos="720"/>
          <w:tab w:val="left" w:pos="0" w:leader="none"/>
        </w:tabs>
        <w:spacing w:before="0" w:after="200"/>
        <w:ind w:hanging="283" w:left="709"/>
        <w:rPr/>
      </w:pPr>
      <w:r>
        <w:rPr>
          <w:rStyle w:val="Strong"/>
        </w:rPr>
        <w:t>Biological richness and diversity are valuable.</w:t>
      </w:r>
      <w:r>
        <w:rPr/>
        <w:br/>
        <w:t>Biodiversity matters not only because it supplies services to humans but also because it expresses ecological variety, evolutionary history, resilience, and forms of life with their own modes of flourishing.</w:t>
      </w:r>
    </w:p>
    <w:p>
      <w:pPr>
        <w:pStyle w:val="BodyText"/>
        <w:numPr>
          <w:ilvl w:val="0"/>
          <w:numId w:val="148"/>
        </w:numPr>
        <w:tabs>
          <w:tab w:val="clear" w:pos="720"/>
          <w:tab w:val="left" w:pos="0" w:leader="none"/>
        </w:tabs>
        <w:spacing w:before="0" w:after="200"/>
        <w:ind w:hanging="283" w:left="709"/>
        <w:rPr/>
      </w:pPr>
      <w:r>
        <w:rPr>
          <w:rStyle w:val="Strong"/>
        </w:rPr>
        <w:t>Moral standing need not require human-like rationality.</w:t>
      </w:r>
      <w:r>
        <w:rPr/>
        <w:br/>
        <w:t>An organism does not need language, contractual capacity, or reflective moral agency to be morally considerable.</w:t>
      </w:r>
    </w:p>
    <w:p>
      <w:pPr>
        <w:pStyle w:val="BodyText"/>
        <w:numPr>
          <w:ilvl w:val="0"/>
          <w:numId w:val="148"/>
        </w:numPr>
        <w:tabs>
          <w:tab w:val="clear" w:pos="720"/>
          <w:tab w:val="left" w:pos="0" w:leader="none"/>
        </w:tabs>
        <w:spacing w:before="0" w:after="200"/>
        <w:ind w:hanging="283" w:left="709"/>
        <w:rPr/>
      </w:pPr>
      <w:r>
        <w:rPr>
          <w:rStyle w:val="Strong"/>
        </w:rPr>
        <w:t>Moral patients and moral agents are distinct.</w:t>
      </w:r>
      <w:r>
        <w:rPr/>
        <w:br/>
        <w:t>Nonhuman entities may be affected by moral action even when they cannot understand duties, participate in deliberation, or reciprocate.</w:t>
      </w:r>
    </w:p>
    <w:p>
      <w:pPr>
        <w:pStyle w:val="BodyText"/>
        <w:numPr>
          <w:ilvl w:val="0"/>
          <w:numId w:val="148"/>
        </w:numPr>
        <w:tabs>
          <w:tab w:val="clear" w:pos="720"/>
          <w:tab w:val="left" w:pos="0" w:leader="none"/>
        </w:tabs>
        <w:spacing w:before="0" w:after="200"/>
        <w:ind w:hanging="283" w:left="709"/>
        <w:rPr/>
      </w:pPr>
      <w:r>
        <w:rPr>
          <w:rStyle w:val="Strong"/>
        </w:rPr>
        <w:t>Ecological wholes may possess morally relevant properties.</w:t>
      </w:r>
      <w:r>
        <w:rPr/>
        <w:br/>
        <w:t>Species, ecosystems, watersheds, and landscapes possess organization, integrity, resilience, diversity, and evolutionary potential that cannot be reduced to the welfare of individual organisms.</w:t>
      </w:r>
    </w:p>
    <w:p>
      <w:pPr>
        <w:pStyle w:val="BodyText"/>
        <w:numPr>
          <w:ilvl w:val="0"/>
          <w:numId w:val="148"/>
        </w:numPr>
        <w:tabs>
          <w:tab w:val="clear" w:pos="720"/>
          <w:tab w:val="left" w:pos="0" w:leader="none"/>
        </w:tabs>
        <w:spacing w:before="0" w:after="200"/>
        <w:ind w:hanging="283" w:left="709"/>
        <w:rPr/>
      </w:pPr>
      <w:r>
        <w:rPr>
          <w:rStyle w:val="Strong"/>
        </w:rPr>
        <w:t>Individual and holistic value can conflict.</w:t>
      </w:r>
      <w:r>
        <w:rPr/>
        <w:br/>
        <w:t>Protecting an ecosystem, species, or ecological process may require harming some organisms, creating a tension between animal-centered and ecosystem-centered ethics.</w:t>
      </w:r>
    </w:p>
    <w:p>
      <w:pPr>
        <w:pStyle w:val="BodyText"/>
        <w:numPr>
          <w:ilvl w:val="0"/>
          <w:numId w:val="148"/>
        </w:numPr>
        <w:tabs>
          <w:tab w:val="clear" w:pos="720"/>
          <w:tab w:val="left" w:pos="0" w:leader="none"/>
        </w:tabs>
        <w:spacing w:before="0" w:after="200"/>
        <w:ind w:hanging="283" w:left="709"/>
        <w:rPr/>
      </w:pPr>
      <w:r>
        <w:rPr>
          <w:rStyle w:val="Strong"/>
        </w:rPr>
        <w:t>Ecological relationships are constitutive.</w:t>
      </w:r>
      <w:r>
        <w:rPr/>
        <w:br/>
        <w:t>Predation, decomposition, competition, symbiosis, migration, pollination, disturbance, and nutrient cycling help constitute ecological systems. Nature is not properly understood as a collection of independent objects.</w:t>
      </w:r>
    </w:p>
    <w:p>
      <w:pPr>
        <w:pStyle w:val="BodyText"/>
        <w:numPr>
          <w:ilvl w:val="0"/>
          <w:numId w:val="148"/>
        </w:numPr>
        <w:tabs>
          <w:tab w:val="clear" w:pos="720"/>
          <w:tab w:val="left" w:pos="0" w:leader="none"/>
        </w:tabs>
        <w:spacing w:before="0" w:after="200"/>
        <w:ind w:hanging="283" w:left="709"/>
        <w:rPr/>
      </w:pPr>
      <w:r>
        <w:rPr>
          <w:rStyle w:val="Strong"/>
        </w:rPr>
        <w:t>Ecological systems are dynamic.</w:t>
      </w:r>
      <w:r>
        <w:rPr/>
        <w:br/>
        <w:t>Environmental ethics should not equate goodness with static equilibrium. Disturbance, succession, adaptation, and evolutionary change are normal ecological processes.</w:t>
      </w:r>
    </w:p>
    <w:p>
      <w:pPr>
        <w:pStyle w:val="BodyText"/>
        <w:numPr>
          <w:ilvl w:val="0"/>
          <w:numId w:val="148"/>
        </w:numPr>
        <w:tabs>
          <w:tab w:val="clear" w:pos="720"/>
          <w:tab w:val="left" w:pos="0" w:leader="none"/>
        </w:tabs>
        <w:spacing w:before="0" w:after="200"/>
        <w:ind w:hanging="283" w:left="709"/>
        <w:rPr/>
      </w:pPr>
      <w:r>
        <w:rPr>
          <w:rStyle w:val="Strong"/>
        </w:rPr>
        <w:t>Interdependence does not imply that every relationship is benign.</w:t>
      </w:r>
      <w:r>
        <w:rPr/>
        <w:br/>
        <w:t>Ecological relationships can involve harm, death, competition, disease, and displacement. Ecological value therefore cannot be reduced to harmony or the absence of conflict.</w:t>
      </w:r>
    </w:p>
    <w:p>
      <w:pPr>
        <w:pStyle w:val="BodyText"/>
        <w:numPr>
          <w:ilvl w:val="0"/>
          <w:numId w:val="148"/>
        </w:numPr>
        <w:tabs>
          <w:tab w:val="clear" w:pos="720"/>
          <w:tab w:val="left" w:pos="0" w:leader="none"/>
        </w:tabs>
        <w:spacing w:before="0" w:after="200"/>
        <w:ind w:hanging="283" w:left="709"/>
        <w:rPr/>
      </w:pPr>
      <w:r>
        <w:rPr>
          <w:rStyle w:val="Strong"/>
        </w:rPr>
        <w:t>The ecological self is relationally extended.</w:t>
      </w:r>
      <w:r>
        <w:rPr/>
        <w:br/>
        <w:t>Næss’s self-realization treats mature identity as expanding beyond the isolated ego to include relationships with other beings and the larger ecological world.</w:t>
      </w:r>
    </w:p>
    <w:p>
      <w:pPr>
        <w:pStyle w:val="BodyText"/>
        <w:numPr>
          <w:ilvl w:val="0"/>
          <w:numId w:val="148"/>
        </w:numPr>
        <w:tabs>
          <w:tab w:val="clear" w:pos="720"/>
          <w:tab w:val="left" w:pos="0" w:leader="none"/>
        </w:tabs>
        <w:spacing w:before="0" w:after="200"/>
        <w:ind w:hanging="283" w:left="709"/>
        <w:rPr/>
      </w:pPr>
      <w:r>
        <w:rPr>
          <w:rStyle w:val="Strong"/>
        </w:rPr>
        <w:t>Environmental harm can be a form of self-harm.</w:t>
      </w:r>
      <w:r>
        <w:rPr/>
        <w:br/>
        <w:t>Because human identity and flourishing are ecologically embedded, destroying the nonhuman world damages the larger systems of which humans are part.</w:t>
      </w:r>
    </w:p>
    <w:p>
      <w:pPr>
        <w:pStyle w:val="BodyText"/>
        <w:numPr>
          <w:ilvl w:val="0"/>
          <w:numId w:val="148"/>
        </w:numPr>
        <w:tabs>
          <w:tab w:val="clear" w:pos="720"/>
          <w:tab w:val="left" w:pos="0" w:leader="none"/>
        </w:tabs>
        <w:spacing w:before="0" w:after="200"/>
        <w:ind w:hanging="283" w:left="709"/>
        <w:rPr/>
      </w:pPr>
      <w:r>
        <w:rPr>
          <w:rStyle w:val="Strong"/>
        </w:rPr>
        <w:t>Humanity should distinguish vital needs from nonvital consumption.</w:t>
      </w:r>
      <w:r>
        <w:rPr/>
        <w:br/>
        <w:t>Deep Ecology permits ecological interference for vital needs while challenging destruction motivated primarily by luxury, status, convenience, or unnecessary accumulation.</w:t>
      </w:r>
    </w:p>
    <w:p>
      <w:pPr>
        <w:pStyle w:val="BodyText"/>
        <w:numPr>
          <w:ilvl w:val="0"/>
          <w:numId w:val="148"/>
        </w:numPr>
        <w:tabs>
          <w:tab w:val="clear" w:pos="720"/>
          <w:tab w:val="left" w:pos="0" w:leader="none"/>
        </w:tabs>
        <w:spacing w:before="0" w:after="200"/>
        <w:ind w:hanging="283" w:left="709"/>
        <w:rPr/>
      </w:pPr>
      <w:r>
        <w:rPr>
          <w:rStyle w:val="Strong"/>
        </w:rPr>
        <w:t>Cumulative interference matters.</w:t>
      </w:r>
      <w:r>
        <w:rPr/>
        <w:br/>
        <w:t>An action that appears minor in isolation may be harmful when repeated across actors, locations, or generations.</w:t>
      </w:r>
    </w:p>
    <w:p>
      <w:pPr>
        <w:pStyle w:val="BodyText"/>
        <w:numPr>
          <w:ilvl w:val="0"/>
          <w:numId w:val="148"/>
        </w:numPr>
        <w:tabs>
          <w:tab w:val="clear" w:pos="720"/>
          <w:tab w:val="left" w:pos="0" w:leader="none"/>
        </w:tabs>
        <w:spacing w:before="0" w:after="200"/>
        <w:ind w:hanging="283" w:left="709"/>
        <w:rPr/>
      </w:pPr>
      <w:r>
        <w:rPr>
          <w:rStyle w:val="Strong"/>
        </w:rPr>
        <w:t>Ecological limits are real.</w:t>
      </w:r>
      <w:r>
        <w:rPr/>
        <w:br/>
        <w:t>Energy, material, land, water, atmospheric, and regenerative constraints cannot always be overcome by technology or economic substitution.</w:t>
      </w:r>
    </w:p>
    <w:p>
      <w:pPr>
        <w:pStyle w:val="BodyText"/>
        <w:numPr>
          <w:ilvl w:val="0"/>
          <w:numId w:val="148"/>
        </w:numPr>
        <w:tabs>
          <w:tab w:val="clear" w:pos="720"/>
          <w:tab w:val="left" w:pos="0" w:leader="none"/>
        </w:tabs>
        <w:spacing w:before="0" w:after="200"/>
        <w:ind w:hanging="283" w:left="709"/>
        <w:rPr/>
      </w:pPr>
      <w:r>
        <w:rPr>
          <w:rStyle w:val="Strong"/>
        </w:rPr>
        <w:t>Some environmental losses are irreversible.</w:t>
      </w:r>
      <w:r>
        <w:rPr/>
        <w:br/>
        <w:t>Extinction, evolutionary loss, destroyed ancient ecosystems, depleted soils, and some climatic transitions cannot be fully restored within morally relevant time horizons.</w:t>
      </w:r>
    </w:p>
    <w:p>
      <w:pPr>
        <w:pStyle w:val="BodyText"/>
        <w:numPr>
          <w:ilvl w:val="0"/>
          <w:numId w:val="148"/>
        </w:numPr>
        <w:tabs>
          <w:tab w:val="clear" w:pos="720"/>
          <w:tab w:val="left" w:pos="0" w:leader="none"/>
        </w:tabs>
        <w:spacing w:before="0" w:after="200"/>
        <w:ind w:hanging="283" w:left="709"/>
        <w:rPr/>
      </w:pPr>
      <w:r>
        <w:rPr>
          <w:rStyle w:val="Strong"/>
        </w:rPr>
        <w:t>Substitution has limits.</w:t>
      </w:r>
      <w:r>
        <w:rPr/>
        <w:br/>
        <w:t>Financial compensation, artificial habitat, or gains elsewhere may not replace a unique species, ecological relationship, culturally important landscape, or evolutionary process.</w:t>
      </w:r>
    </w:p>
    <w:p>
      <w:pPr>
        <w:pStyle w:val="BodyText"/>
        <w:numPr>
          <w:ilvl w:val="0"/>
          <w:numId w:val="148"/>
        </w:numPr>
        <w:tabs>
          <w:tab w:val="clear" w:pos="720"/>
          <w:tab w:val="left" w:pos="0" w:leader="none"/>
        </w:tabs>
        <w:spacing w:before="0" w:after="200"/>
        <w:ind w:hanging="283" w:left="709"/>
        <w:rPr/>
      </w:pPr>
      <w:r>
        <w:rPr>
          <w:rStyle w:val="Strong"/>
        </w:rPr>
        <w:t>Uncertainty should not automatically favor intervention.</w:t>
      </w:r>
      <w:r>
        <w:rPr/>
        <w:br/>
        <w:t>Where possible harm is severe, widespread, persistent, or irreversible, incomplete knowledge can strengthen the case for precaution.</w:t>
      </w:r>
    </w:p>
    <w:p>
      <w:pPr>
        <w:pStyle w:val="BodyText"/>
        <w:numPr>
          <w:ilvl w:val="0"/>
          <w:numId w:val="148"/>
        </w:numPr>
        <w:tabs>
          <w:tab w:val="clear" w:pos="720"/>
          <w:tab w:val="left" w:pos="0" w:leader="none"/>
        </w:tabs>
        <w:spacing w:before="0" w:after="200"/>
        <w:ind w:hanging="283" w:left="709"/>
        <w:rPr/>
      </w:pPr>
      <w:r>
        <w:rPr>
          <w:rStyle w:val="Strong"/>
        </w:rPr>
        <w:t>The burden of proof may fall on the party proposing disruptive intervention.</w:t>
      </w:r>
      <w:r>
        <w:rPr/>
        <w:br/>
        <w:t>This is especially relevant when the intervention benefits the actor while exposing ecosystems or less powerful communities to long-term risks.</w:t>
      </w:r>
    </w:p>
    <w:p>
      <w:pPr>
        <w:pStyle w:val="BodyText"/>
        <w:numPr>
          <w:ilvl w:val="0"/>
          <w:numId w:val="148"/>
        </w:numPr>
        <w:tabs>
          <w:tab w:val="clear" w:pos="720"/>
          <w:tab w:val="left" w:pos="0" w:leader="none"/>
        </w:tabs>
        <w:spacing w:before="0" w:after="200"/>
        <w:ind w:hanging="283" w:left="709"/>
        <w:rPr/>
      </w:pPr>
      <w:r>
        <w:rPr>
          <w:rStyle w:val="Strong"/>
        </w:rPr>
        <w:t>Environmental responsibility is intergenerational.</w:t>
      </w:r>
      <w:r>
        <w:rPr/>
        <w:br/>
        <w:t>Present actors should preserve ecological conditions and evolutionary possibilities for future beings.</w:t>
      </w:r>
    </w:p>
    <w:p>
      <w:pPr>
        <w:pStyle w:val="BodyText"/>
        <w:numPr>
          <w:ilvl w:val="0"/>
          <w:numId w:val="148"/>
        </w:numPr>
        <w:tabs>
          <w:tab w:val="clear" w:pos="720"/>
          <w:tab w:val="left" w:pos="0" w:leader="none"/>
        </w:tabs>
        <w:spacing w:before="0" w:after="200"/>
        <w:ind w:hanging="283" w:left="709"/>
        <w:rPr/>
      </w:pPr>
      <w:r>
        <w:rPr>
          <w:rStyle w:val="Strong"/>
        </w:rPr>
        <w:t>Environmental responsibility is spatially distributed.</w:t>
      </w:r>
      <w:r>
        <w:rPr/>
        <w:br/>
        <w:t>Consumption and production in one location can create ecological burdens in distant communities and ecosystems.</w:t>
      </w:r>
    </w:p>
    <w:p>
      <w:pPr>
        <w:pStyle w:val="BodyText"/>
        <w:numPr>
          <w:ilvl w:val="0"/>
          <w:numId w:val="148"/>
        </w:numPr>
        <w:tabs>
          <w:tab w:val="clear" w:pos="720"/>
          <w:tab w:val="left" w:pos="0" w:leader="none"/>
        </w:tabs>
        <w:spacing w:before="0" w:after="200"/>
        <w:ind w:hanging="283" w:left="709"/>
        <w:rPr/>
      </w:pPr>
      <w:r>
        <w:rPr>
          <w:rStyle w:val="Strong"/>
        </w:rPr>
        <w:t>The absence of a human observer does not eliminate value.</w:t>
      </w:r>
      <w:r>
        <w:rPr/>
        <w:br/>
        <w:t>Wilderness, species, and ecological processes can remain valuable even when no person directly experiences or uses them.</w:t>
      </w:r>
    </w:p>
    <w:p>
      <w:pPr>
        <w:pStyle w:val="BodyText"/>
        <w:numPr>
          <w:ilvl w:val="0"/>
          <w:numId w:val="148"/>
        </w:numPr>
        <w:tabs>
          <w:tab w:val="clear" w:pos="720"/>
          <w:tab w:val="left" w:pos="0" w:leader="none"/>
        </w:tabs>
        <w:spacing w:before="0" w:after="200"/>
        <w:ind w:hanging="283" w:left="709"/>
        <w:rPr/>
      </w:pPr>
      <w:r>
        <w:rPr>
          <w:rStyle w:val="Strong"/>
        </w:rPr>
        <w:t>Ecological science is ethically relevant but not ethically complete.</w:t>
      </w:r>
      <w:r>
        <w:rPr/>
        <w:br/>
        <w:t>Science can describe system functions, population trends, and causal relationships, but it does not by itself determine what should be valued or protected.</w:t>
      </w:r>
    </w:p>
    <w:p>
      <w:pPr>
        <w:pStyle w:val="BodyText"/>
        <w:numPr>
          <w:ilvl w:val="0"/>
          <w:numId w:val="148"/>
        </w:numPr>
        <w:tabs>
          <w:tab w:val="clear" w:pos="720"/>
          <w:tab w:val="left" w:pos="0" w:leader="none"/>
        </w:tabs>
        <w:spacing w:before="0" w:after="200"/>
        <w:ind w:hanging="283" w:left="709"/>
        <w:rPr/>
      </w:pPr>
      <w:r>
        <w:rPr>
          <w:rStyle w:val="Strong"/>
        </w:rPr>
        <w:t>Environmental ethics requires institutional change.</w:t>
      </w:r>
      <w:r>
        <w:rPr/>
        <w:br/>
        <w:t>Individual lifestyle changes may be insufficient when laws, markets, technologies, infrastructure, and political systems reward ecological degradation.</w:t>
      </w:r>
    </w:p>
    <w:p>
      <w:pPr>
        <w:pStyle w:val="BodyText"/>
        <w:numPr>
          <w:ilvl w:val="0"/>
          <w:numId w:val="148"/>
        </w:numPr>
        <w:tabs>
          <w:tab w:val="clear" w:pos="720"/>
          <w:tab w:val="left" w:pos="0" w:leader="none"/>
        </w:tabs>
        <w:spacing w:before="0" w:after="200"/>
        <w:ind w:hanging="283" w:left="709"/>
        <w:rPr/>
      </w:pPr>
      <w:r>
        <w:rPr>
          <w:rStyle w:val="Strong"/>
        </w:rPr>
        <w:t>Environmental justice is inseparable from ecological policy.</w:t>
      </w:r>
      <w:r>
        <w:rPr/>
        <w:br/>
        <w:t>Environmental burdens and conservation restrictions are often distributed through class, race, gender, colonial history, political exclusion, and unequal control of land.</w:t>
      </w:r>
    </w:p>
    <w:p>
      <w:pPr>
        <w:pStyle w:val="BodyText"/>
        <w:numPr>
          <w:ilvl w:val="0"/>
          <w:numId w:val="148"/>
        </w:numPr>
        <w:tabs>
          <w:tab w:val="clear" w:pos="720"/>
          <w:tab w:val="left" w:pos="0" w:leader="none"/>
        </w:tabs>
        <w:spacing w:before="0" w:after="200"/>
        <w:ind w:hanging="283" w:left="709"/>
        <w:rPr/>
      </w:pPr>
      <w:r>
        <w:rPr>
          <w:rStyle w:val="Strong"/>
        </w:rPr>
        <w:t>Human hierarchy and domination may contribute to environmental domination.</w:t>
      </w:r>
      <w:r>
        <w:rPr/>
        <w:br/>
        <w:t>Social ecology and ecofeminism argue that environmental degradation cannot be understood fully without examining political, economic, patriarchal, and colonial structures.</w:t>
      </w:r>
    </w:p>
    <w:p>
      <w:pPr>
        <w:pStyle w:val="BodyText"/>
        <w:numPr>
          <w:ilvl w:val="0"/>
          <w:numId w:val="148"/>
        </w:numPr>
        <w:tabs>
          <w:tab w:val="clear" w:pos="720"/>
          <w:tab w:val="left" w:pos="0" w:leader="none"/>
        </w:tabs>
        <w:spacing w:before="0" w:after="200"/>
        <w:ind w:hanging="283" w:left="709"/>
        <w:rPr/>
      </w:pPr>
      <w:r>
        <w:rPr>
          <w:rStyle w:val="Strong"/>
        </w:rPr>
        <w:t>Conservation can itself become unjust.</w:t>
      </w:r>
      <w:r>
        <w:rPr/>
        <w:br/>
        <w:t>Protecting wilderness or biodiversity can harm Indigenous peoples and local communities when it relies on dispossession, exclusion, militarized enforcement, or denial of customary relationships with land.</w:t>
      </w:r>
    </w:p>
    <w:p>
      <w:pPr>
        <w:pStyle w:val="BodyText"/>
        <w:numPr>
          <w:ilvl w:val="0"/>
          <w:numId w:val="148"/>
        </w:numPr>
        <w:tabs>
          <w:tab w:val="clear" w:pos="720"/>
          <w:tab w:val="left" w:pos="0" w:leader="none"/>
        </w:tabs>
        <w:spacing w:before="0" w:after="200"/>
        <w:ind w:hanging="283" w:left="709"/>
        <w:rPr/>
      </w:pPr>
      <w:r>
        <w:rPr>
          <w:rStyle w:val="Strong"/>
        </w:rPr>
        <w:t>Ecological knowledge is plural.</w:t>
      </w:r>
      <w:r>
        <w:rPr/>
        <w:br/>
        <w:t>Scientific, local, Indigenous, historical, and experiential knowledge may each reveal relevant environmental relationships and changes.</w:t>
      </w:r>
    </w:p>
    <w:p>
      <w:pPr>
        <w:pStyle w:val="BodyText"/>
        <w:numPr>
          <w:ilvl w:val="0"/>
          <w:numId w:val="148"/>
        </w:numPr>
        <w:tabs>
          <w:tab w:val="clear" w:pos="720"/>
          <w:tab w:val="left" w:pos="0" w:leader="none"/>
        </w:tabs>
        <w:spacing w:before="0" w:after="200"/>
        <w:ind w:hanging="283" w:left="709"/>
        <w:rPr/>
      </w:pPr>
      <w:r>
        <w:rPr>
          <w:rStyle w:val="Strong"/>
        </w:rPr>
        <w:t>Restoration does not automatically erase harm.</w:t>
      </w:r>
      <w:r>
        <w:rPr/>
        <w:br/>
        <w:t>Restored ecosystems may differ from those destroyed, and restoration promises may be uncertain or delayed.</w:t>
      </w:r>
    </w:p>
    <w:p>
      <w:pPr>
        <w:pStyle w:val="BodyText"/>
        <w:numPr>
          <w:ilvl w:val="0"/>
          <w:numId w:val="148"/>
        </w:numPr>
        <w:tabs>
          <w:tab w:val="clear" w:pos="720"/>
          <w:tab w:val="left" w:pos="0" w:leader="none"/>
        </w:tabs>
        <w:spacing w:before="0" w:after="200"/>
        <w:ind w:hanging="283" w:left="709"/>
        <w:rPr/>
      </w:pPr>
      <w:r>
        <w:rPr>
          <w:rStyle w:val="Strong"/>
        </w:rPr>
        <w:t>Moral education should cultivate ecological identification and restraint.</w:t>
      </w:r>
      <w:r>
        <w:rPr/>
        <w:br/>
        <w:t>Environmental responsibility is not only compliance with rules; it involves developing attention, humility, care, and ecological awareness.</w:t>
      </w:r>
    </w:p>
    <w:p>
      <w:pPr>
        <w:pStyle w:val="Heading4"/>
        <w:ind w:hanging="0" w:left="0"/>
        <w:rPr>
          <w:rFonts w:ascii="Aptos" w:hAnsi="Aptos"/>
          <w:color w:val="auto"/>
        </w:rPr>
      </w:pPr>
      <w:r>
        <w:rPr/>
        <w:t>The Deep Ecology Platform</w:t>
      </w:r>
    </w:p>
    <w:p>
      <w:pPr>
        <w:pStyle w:val="BodyText"/>
        <w:spacing w:before="0" w:after="200"/>
        <w:rPr/>
      </w:pPr>
      <w:r>
        <w:rPr/>
        <w:t>Næss and Sessions articulated eight broad principles intended to unite people with different philosophical or religious foundations:</w:t>
      </w:r>
    </w:p>
    <w:p>
      <w:pPr>
        <w:pStyle w:val="BodyText"/>
        <w:numPr>
          <w:ilvl w:val="0"/>
          <w:numId w:val="149"/>
        </w:numPr>
        <w:tabs>
          <w:tab w:val="clear" w:pos="720"/>
          <w:tab w:val="left" w:pos="0" w:leader="none"/>
        </w:tabs>
        <w:spacing w:before="0" w:after="200"/>
        <w:ind w:hanging="283" w:left="709"/>
        <w:rPr/>
      </w:pPr>
      <w:r>
        <w:rPr/>
        <w:t>Human and nonhuman flourishing have value in themselves.</w:t>
      </w:r>
    </w:p>
    <w:p>
      <w:pPr>
        <w:pStyle w:val="BodyText"/>
        <w:numPr>
          <w:ilvl w:val="0"/>
          <w:numId w:val="149"/>
        </w:numPr>
        <w:tabs>
          <w:tab w:val="clear" w:pos="720"/>
          <w:tab w:val="left" w:pos="0" w:leader="none"/>
        </w:tabs>
        <w:spacing w:before="0" w:after="200"/>
        <w:ind w:hanging="283" w:left="709"/>
        <w:rPr/>
      </w:pPr>
      <w:r>
        <w:rPr/>
        <w:t>The richness, diversity, and interdependence of life contribute to that value.</w:t>
      </w:r>
    </w:p>
    <w:p>
      <w:pPr>
        <w:pStyle w:val="BodyText"/>
        <w:numPr>
          <w:ilvl w:val="0"/>
          <w:numId w:val="149"/>
        </w:numPr>
        <w:tabs>
          <w:tab w:val="clear" w:pos="720"/>
          <w:tab w:val="left" w:pos="0" w:leader="none"/>
        </w:tabs>
        <w:spacing w:before="0" w:after="200"/>
        <w:ind w:hanging="283" w:left="709"/>
        <w:rPr/>
      </w:pPr>
      <w:r>
        <w:rPr/>
        <w:t>Humans are not justified in reducing biological richness and diversity except for vital needs.</w:t>
      </w:r>
    </w:p>
    <w:p>
      <w:pPr>
        <w:pStyle w:val="BodyText"/>
        <w:numPr>
          <w:ilvl w:val="0"/>
          <w:numId w:val="149"/>
        </w:numPr>
        <w:tabs>
          <w:tab w:val="clear" w:pos="720"/>
          <w:tab w:val="left" w:pos="0" w:leader="none"/>
        </w:tabs>
        <w:spacing w:before="0" w:after="200"/>
        <w:ind w:hanging="283" w:left="709"/>
        <w:rPr/>
      </w:pPr>
      <w:r>
        <w:rPr/>
        <w:t>Present human interference with the nonhuman world is excessive.</w:t>
      </w:r>
    </w:p>
    <w:p>
      <w:pPr>
        <w:pStyle w:val="BodyText"/>
        <w:numPr>
          <w:ilvl w:val="0"/>
          <w:numId w:val="149"/>
        </w:numPr>
        <w:tabs>
          <w:tab w:val="clear" w:pos="720"/>
          <w:tab w:val="left" w:pos="0" w:leader="none"/>
        </w:tabs>
        <w:spacing w:before="0" w:after="200"/>
        <w:ind w:hanging="283" w:left="709"/>
        <w:rPr/>
      </w:pPr>
      <w:r>
        <w:rPr/>
        <w:t>The platform historically associated ecological flourishing with a substantial long-term reduction in human population.</w:t>
      </w:r>
    </w:p>
    <w:p>
      <w:pPr>
        <w:pStyle w:val="BodyText"/>
        <w:numPr>
          <w:ilvl w:val="0"/>
          <w:numId w:val="149"/>
        </w:numPr>
        <w:tabs>
          <w:tab w:val="clear" w:pos="720"/>
          <w:tab w:val="left" w:pos="0" w:leader="none"/>
        </w:tabs>
        <w:spacing w:before="0" w:after="200"/>
        <w:ind w:hanging="283" w:left="709"/>
        <w:rPr/>
      </w:pPr>
      <w:r>
        <w:rPr/>
        <w:t>Economic, technological, and ideological policies require fundamental change.</w:t>
      </w:r>
    </w:p>
    <w:p>
      <w:pPr>
        <w:pStyle w:val="BodyText"/>
        <w:numPr>
          <w:ilvl w:val="0"/>
          <w:numId w:val="149"/>
        </w:numPr>
        <w:tabs>
          <w:tab w:val="clear" w:pos="720"/>
          <w:tab w:val="left" w:pos="0" w:leader="none"/>
        </w:tabs>
        <w:spacing w:before="0" w:after="200"/>
        <w:ind w:hanging="283" w:left="709"/>
        <w:rPr/>
      </w:pPr>
      <w:r>
        <w:rPr/>
        <w:t>Cultural priorities should shift from continually increasing material standards toward quality of life.</w:t>
      </w:r>
    </w:p>
    <w:p>
      <w:pPr>
        <w:pStyle w:val="BodyText"/>
        <w:numPr>
          <w:ilvl w:val="0"/>
          <w:numId w:val="149"/>
        </w:numPr>
        <w:tabs>
          <w:tab w:val="clear" w:pos="720"/>
          <w:tab w:val="left" w:pos="0" w:leader="none"/>
        </w:tabs>
        <w:spacing w:before="0" w:after="200"/>
        <w:ind w:hanging="283" w:left="709"/>
        <w:rPr/>
      </w:pPr>
      <w:r>
        <w:rPr/>
        <w:t>Those who accept the principles acquire an obligation to support corresponding change.</w:t>
      </w:r>
    </w:p>
    <w:p>
      <w:pPr>
        <w:pStyle w:val="BodyText"/>
        <w:spacing w:before="0" w:after="200"/>
        <w:rPr/>
      </w:pPr>
      <w:r>
        <w:rPr/>
        <w:t xml:space="preserve">The original platform is reproduced by </w:t>
      </w:r>
      <w:hyperlink r:id="rId227">
        <w:r>
          <w:rPr>
            <w:rStyle w:val="Hyperlink"/>
          </w:rPr>
          <w:t>Work That Reconnects</w:t>
        </w:r>
      </w:hyperlink>
      <w:r>
        <w:rPr/>
        <w:t>. Its population principle is among its most ethically controversial elements. It must not be interpreted as authorizing coercive population control, discrimination, forced displacement, restrictions targeting marginalized populations, or the devaluation of existing human lives. Any adaptation into this framework must remain governed by reproductive autonomy, human rights, informed participation, environmental justice, and equitable attention to consumption and resource concentration.</w:t>
      </w:r>
    </w:p>
    <w:p>
      <w:pPr>
        <w:pStyle w:val="Heading4"/>
        <w:ind w:hanging="0" w:left="0"/>
        <w:rPr>
          <w:rFonts w:ascii="Aptos" w:hAnsi="Aptos"/>
          <w:color w:val="auto"/>
        </w:rPr>
      </w:pPr>
      <w:r>
        <w:rPr/>
        <w:t>Relationship to this framework</w:t>
      </w:r>
    </w:p>
    <w:p>
      <w:pPr>
        <w:pStyle w:val="BodyText"/>
        <w:spacing w:before="0" w:after="200"/>
        <w:rPr/>
      </w:pPr>
      <w:r>
        <w:rPr/>
        <w:t>Environmental Ethics and Deep Ecology strongly support the proposed framework’s extension of moral concern beyond human beings. The Foundational Axiom expressly includes relevant persistent adaptive entities, including autopoietic entities. This creates a natural basis for considering organisms, populations, ecological communities, and other living systems.</w:t>
      </w:r>
    </w:p>
    <w:tbl>
      <w:tblPr>
        <w:tblW w:w="8640" w:type="dxa"/>
        <w:jc w:val="left"/>
        <w:tblInd w:w="28" w:type="dxa"/>
        <w:tblLayout w:type="fixed"/>
        <w:tblCellMar>
          <w:top w:w="28" w:type="dxa"/>
          <w:left w:w="28" w:type="dxa"/>
          <w:bottom w:w="28" w:type="dxa"/>
          <w:right w:w="28" w:type="dxa"/>
        </w:tblCellMar>
      </w:tblPr>
      <w:tblGrid>
        <w:gridCol w:w="2659"/>
        <w:gridCol w:w="5981"/>
      </w:tblGrid>
      <w:tr>
        <w:trPr>
          <w:tblHeader w:val="true"/>
        </w:trPr>
        <w:tc>
          <w:tcPr>
            <w:tcW w:w="2659" w:type="dxa"/>
            <w:tcBorders/>
            <w:vAlign w:val="center"/>
          </w:tcPr>
          <w:p>
            <w:pPr>
              <w:pStyle w:val="TableHeading"/>
              <w:suppressLineNumbers/>
              <w:spacing w:before="0" w:after="200"/>
              <w:jc w:val="center"/>
              <w:rPr/>
            </w:pPr>
            <w:r>
              <w:rPr/>
              <w:t>Environmental emphasis</w:t>
            </w:r>
          </w:p>
        </w:tc>
        <w:tc>
          <w:tcPr>
            <w:tcW w:w="5981" w:type="dxa"/>
            <w:tcBorders/>
            <w:vAlign w:val="center"/>
          </w:tcPr>
          <w:p>
            <w:pPr>
              <w:pStyle w:val="TableHeading"/>
              <w:suppressLineNumbers/>
              <w:spacing w:before="0" w:after="200"/>
              <w:jc w:val="center"/>
              <w:rPr/>
            </w:pPr>
            <w:r>
              <w:rPr/>
              <w:t>Relationship to this framework</w:t>
            </w:r>
          </w:p>
        </w:tc>
      </w:tr>
      <w:tr>
        <w:trPr/>
        <w:tc>
          <w:tcPr>
            <w:tcW w:w="2659" w:type="dxa"/>
            <w:tcBorders/>
            <w:vAlign w:val="center"/>
          </w:tcPr>
          <w:p>
            <w:pPr>
              <w:pStyle w:val="TableContents"/>
              <w:widowControl w:val="false"/>
              <w:suppressLineNumbers/>
              <w:spacing w:before="0" w:after="200"/>
              <w:rPr/>
            </w:pPr>
            <w:r>
              <w:rPr/>
              <w:t>Inherent value of nonhuman life</w:t>
            </w:r>
          </w:p>
        </w:tc>
        <w:tc>
          <w:tcPr>
            <w:tcW w:w="5981" w:type="dxa"/>
            <w:tcBorders/>
            <w:vAlign w:val="center"/>
          </w:tcPr>
          <w:p>
            <w:pPr>
              <w:pStyle w:val="TableContents"/>
              <w:widowControl w:val="false"/>
              <w:suppressLineNumbers/>
              <w:spacing w:before="0" w:after="200"/>
              <w:rPr/>
            </w:pPr>
            <w:r>
              <w:rPr/>
              <w:t>Supports treating nonhuman entities as direct objects of ethical concern rather than as human resources</w:t>
            </w:r>
          </w:p>
        </w:tc>
      </w:tr>
      <w:tr>
        <w:trPr/>
        <w:tc>
          <w:tcPr>
            <w:tcW w:w="2659" w:type="dxa"/>
            <w:tcBorders/>
            <w:vAlign w:val="center"/>
          </w:tcPr>
          <w:p>
            <w:pPr>
              <w:pStyle w:val="TableContents"/>
              <w:widowControl w:val="false"/>
              <w:suppressLineNumbers/>
              <w:spacing w:before="0" w:after="200"/>
              <w:rPr/>
            </w:pPr>
            <w:r>
              <w:rPr/>
              <w:t>Humans as ecological participants</w:t>
            </w:r>
          </w:p>
        </w:tc>
        <w:tc>
          <w:tcPr>
            <w:tcW w:w="5981" w:type="dxa"/>
            <w:tcBorders/>
            <w:vAlign w:val="center"/>
          </w:tcPr>
          <w:p>
            <w:pPr>
              <w:pStyle w:val="TableContents"/>
              <w:widowControl w:val="false"/>
              <w:suppressLineNumbers/>
              <w:spacing w:before="0" w:after="200"/>
              <w:rPr/>
            </w:pPr>
            <w:r>
              <w:rPr/>
              <w:t>Corresponds to representation through Associations and World Context rather than isolated agency</w:t>
            </w:r>
          </w:p>
        </w:tc>
      </w:tr>
      <w:tr>
        <w:trPr/>
        <w:tc>
          <w:tcPr>
            <w:tcW w:w="2659" w:type="dxa"/>
            <w:tcBorders/>
            <w:vAlign w:val="center"/>
          </w:tcPr>
          <w:p>
            <w:pPr>
              <w:pStyle w:val="TableContents"/>
              <w:widowControl w:val="false"/>
              <w:suppressLineNumbers/>
              <w:spacing w:before="0" w:after="200"/>
              <w:rPr/>
            </w:pPr>
            <w:r>
              <w:rPr/>
              <w:t>Biotic community</w:t>
            </w:r>
          </w:p>
        </w:tc>
        <w:tc>
          <w:tcPr>
            <w:tcW w:w="5981" w:type="dxa"/>
            <w:tcBorders/>
            <w:vAlign w:val="center"/>
          </w:tcPr>
          <w:p>
            <w:pPr>
              <w:pStyle w:val="TableContents"/>
              <w:widowControl w:val="false"/>
              <w:suppressLineNumbers/>
              <w:spacing w:before="0" w:after="200"/>
              <w:rPr/>
            </w:pPr>
            <w:r>
              <w:rPr/>
              <w:t>Corresponds to networks of persistent entities, dependencies, and ecological relationships</w:t>
            </w:r>
          </w:p>
        </w:tc>
      </w:tr>
      <w:tr>
        <w:trPr/>
        <w:tc>
          <w:tcPr>
            <w:tcW w:w="2659" w:type="dxa"/>
            <w:tcBorders/>
            <w:vAlign w:val="center"/>
          </w:tcPr>
          <w:p>
            <w:pPr>
              <w:pStyle w:val="TableContents"/>
              <w:widowControl w:val="false"/>
              <w:suppressLineNumbers/>
              <w:spacing w:before="0" w:after="200"/>
              <w:rPr/>
            </w:pPr>
            <w:r>
              <w:rPr/>
              <w:t>Ecological interdependence</w:t>
            </w:r>
          </w:p>
        </w:tc>
        <w:tc>
          <w:tcPr>
            <w:tcW w:w="5981" w:type="dxa"/>
            <w:tcBorders/>
            <w:vAlign w:val="center"/>
          </w:tcPr>
          <w:p>
            <w:pPr>
              <w:pStyle w:val="TableContents"/>
              <w:widowControl w:val="false"/>
              <w:suppressLineNumbers/>
              <w:spacing w:before="0" w:after="200"/>
              <w:rPr/>
            </w:pPr>
            <w:r>
              <w:rPr/>
              <w:t>Reflected in Associations, indirect effects, feedback, and complete World Context Transitions</w:t>
            </w:r>
          </w:p>
        </w:tc>
      </w:tr>
      <w:tr>
        <w:trPr/>
        <w:tc>
          <w:tcPr>
            <w:tcW w:w="2659" w:type="dxa"/>
            <w:tcBorders/>
            <w:vAlign w:val="center"/>
          </w:tcPr>
          <w:p>
            <w:pPr>
              <w:pStyle w:val="TableContents"/>
              <w:widowControl w:val="false"/>
              <w:suppressLineNumbers/>
              <w:spacing w:before="0" w:after="200"/>
              <w:rPr/>
            </w:pPr>
            <w:r>
              <w:rPr/>
              <w:t>Autopoietic life</w:t>
            </w:r>
          </w:p>
        </w:tc>
        <w:tc>
          <w:tcPr>
            <w:tcW w:w="5981" w:type="dxa"/>
            <w:tcBorders/>
            <w:vAlign w:val="center"/>
          </w:tcPr>
          <w:p>
            <w:pPr>
              <w:pStyle w:val="TableContents"/>
              <w:widowControl w:val="false"/>
              <w:suppressLineNumbers/>
              <w:spacing w:before="0" w:after="200"/>
              <w:rPr/>
            </w:pPr>
            <w:r>
              <w:rPr/>
              <w:t>Explicitly recognized by the Foundational Axiom</w:t>
            </w:r>
          </w:p>
        </w:tc>
      </w:tr>
      <w:tr>
        <w:trPr/>
        <w:tc>
          <w:tcPr>
            <w:tcW w:w="2659" w:type="dxa"/>
            <w:tcBorders/>
            <w:vAlign w:val="center"/>
          </w:tcPr>
          <w:p>
            <w:pPr>
              <w:pStyle w:val="TableContents"/>
              <w:widowControl w:val="false"/>
              <w:suppressLineNumbers/>
              <w:spacing w:before="0" w:after="200"/>
              <w:rPr/>
            </w:pPr>
            <w:r>
              <w:rPr/>
              <w:t>Biodiversity</w:t>
            </w:r>
          </w:p>
        </w:tc>
        <w:tc>
          <w:tcPr>
            <w:tcW w:w="5981" w:type="dxa"/>
            <w:tcBorders/>
            <w:vAlign w:val="center"/>
          </w:tcPr>
          <w:p>
            <w:pPr>
              <w:pStyle w:val="TableContents"/>
              <w:widowControl w:val="false"/>
              <w:suppressLineNumbers/>
              <w:spacing w:before="0" w:after="200"/>
              <w:rPr/>
            </w:pPr>
            <w:r>
              <w:rPr/>
              <w:t>Can be represented as a multidimensional system property affecting present and future flourishing</w:t>
            </w:r>
          </w:p>
        </w:tc>
      </w:tr>
      <w:tr>
        <w:trPr/>
        <w:tc>
          <w:tcPr>
            <w:tcW w:w="2659" w:type="dxa"/>
            <w:tcBorders/>
            <w:vAlign w:val="center"/>
          </w:tcPr>
          <w:p>
            <w:pPr>
              <w:pStyle w:val="TableContents"/>
              <w:widowControl w:val="false"/>
              <w:suppressLineNumbers/>
              <w:spacing w:before="0" w:after="200"/>
              <w:rPr/>
            </w:pPr>
            <w:r>
              <w:rPr/>
              <w:t>Ecological integrity</w:t>
            </w:r>
          </w:p>
        </w:tc>
        <w:tc>
          <w:tcPr>
            <w:tcW w:w="5981" w:type="dxa"/>
            <w:tcBorders/>
            <w:vAlign w:val="center"/>
          </w:tcPr>
          <w:p>
            <w:pPr>
              <w:pStyle w:val="TableContents"/>
              <w:widowControl w:val="false"/>
              <w:suppressLineNumbers/>
              <w:spacing w:before="0" w:after="200"/>
              <w:rPr/>
            </w:pPr>
            <w:r>
              <w:rPr/>
              <w:t>Corresponds to sustained functional, relational, and adaptive capacities</w:t>
            </w:r>
          </w:p>
        </w:tc>
      </w:tr>
      <w:tr>
        <w:trPr/>
        <w:tc>
          <w:tcPr>
            <w:tcW w:w="2659" w:type="dxa"/>
            <w:tcBorders/>
            <w:vAlign w:val="center"/>
          </w:tcPr>
          <w:p>
            <w:pPr>
              <w:pStyle w:val="TableContents"/>
              <w:widowControl w:val="false"/>
              <w:suppressLineNumbers/>
              <w:spacing w:before="0" w:after="200"/>
              <w:rPr/>
            </w:pPr>
            <w:r>
              <w:rPr/>
              <w:t>Long ecological horizons</w:t>
            </w:r>
          </w:p>
        </w:tc>
        <w:tc>
          <w:tcPr>
            <w:tcW w:w="5981" w:type="dxa"/>
            <w:tcBorders/>
            <w:vAlign w:val="center"/>
          </w:tcPr>
          <w:p>
            <w:pPr>
              <w:pStyle w:val="TableContents"/>
              <w:widowControl w:val="false"/>
              <w:suppressLineNumbers/>
              <w:spacing w:before="0" w:after="200"/>
              <w:rPr/>
            </w:pPr>
            <w:r>
              <w:rPr/>
              <w:t>Correspond to the framework’s use of multiple time horizons</w:t>
            </w:r>
          </w:p>
        </w:tc>
      </w:tr>
      <w:tr>
        <w:trPr/>
        <w:tc>
          <w:tcPr>
            <w:tcW w:w="2659" w:type="dxa"/>
            <w:tcBorders/>
            <w:vAlign w:val="center"/>
          </w:tcPr>
          <w:p>
            <w:pPr>
              <w:pStyle w:val="TableContents"/>
              <w:widowControl w:val="false"/>
              <w:suppressLineNumbers/>
              <w:spacing w:before="0" w:after="200"/>
              <w:rPr/>
            </w:pPr>
            <w:r>
              <w:rPr/>
              <w:t>Cumulative effects</w:t>
            </w:r>
          </w:p>
        </w:tc>
        <w:tc>
          <w:tcPr>
            <w:tcW w:w="5981" w:type="dxa"/>
            <w:tcBorders/>
            <w:vAlign w:val="center"/>
          </w:tcPr>
          <w:p>
            <w:pPr>
              <w:pStyle w:val="TableContents"/>
              <w:widowControl w:val="false"/>
              <w:suppressLineNumbers/>
              <w:spacing w:before="0" w:after="200"/>
              <w:rPr/>
            </w:pPr>
            <w:r>
              <w:rPr/>
              <w:t>Can be included in the complete transition and Distributed Policy Effects</w:t>
            </w:r>
          </w:p>
        </w:tc>
      </w:tr>
      <w:tr>
        <w:trPr/>
        <w:tc>
          <w:tcPr>
            <w:tcW w:w="2659" w:type="dxa"/>
            <w:tcBorders/>
            <w:vAlign w:val="center"/>
          </w:tcPr>
          <w:p>
            <w:pPr>
              <w:pStyle w:val="TableContents"/>
              <w:widowControl w:val="false"/>
              <w:suppressLineNumbers/>
              <w:spacing w:before="0" w:after="200"/>
              <w:rPr/>
            </w:pPr>
            <w:r>
              <w:rPr/>
              <w:t>Trophic and ecological cascades</w:t>
            </w:r>
          </w:p>
        </w:tc>
        <w:tc>
          <w:tcPr>
            <w:tcW w:w="5981" w:type="dxa"/>
            <w:tcBorders/>
            <w:vAlign w:val="center"/>
          </w:tcPr>
          <w:p>
            <w:pPr>
              <w:pStyle w:val="TableContents"/>
              <w:widowControl w:val="false"/>
              <w:suppressLineNumbers/>
              <w:spacing w:before="0" w:after="200"/>
              <w:rPr/>
            </w:pPr>
            <w:r>
              <w:rPr/>
              <w:t>Correspond to indirect causal transitions across associated entities</w:t>
            </w:r>
          </w:p>
        </w:tc>
      </w:tr>
      <w:tr>
        <w:trPr/>
        <w:tc>
          <w:tcPr>
            <w:tcW w:w="2659" w:type="dxa"/>
            <w:tcBorders/>
            <w:vAlign w:val="center"/>
          </w:tcPr>
          <w:p>
            <w:pPr>
              <w:pStyle w:val="TableContents"/>
              <w:widowControl w:val="false"/>
              <w:suppressLineNumbers/>
              <w:spacing w:before="0" w:after="200"/>
              <w:rPr/>
            </w:pPr>
            <w:r>
              <w:rPr/>
              <w:t>Ecological limits</w:t>
            </w:r>
          </w:p>
        </w:tc>
        <w:tc>
          <w:tcPr>
            <w:tcW w:w="5981" w:type="dxa"/>
            <w:tcBorders/>
            <w:vAlign w:val="center"/>
          </w:tcPr>
          <w:p>
            <w:pPr>
              <w:pStyle w:val="TableContents"/>
              <w:widowControl w:val="false"/>
              <w:suppressLineNumbers/>
              <w:spacing w:before="0" w:after="200"/>
              <w:rPr/>
            </w:pPr>
            <w:r>
              <w:rPr/>
              <w:t>Correspond to constraints on reachable future states and long-term viability</w:t>
            </w:r>
          </w:p>
        </w:tc>
      </w:tr>
      <w:tr>
        <w:trPr/>
        <w:tc>
          <w:tcPr>
            <w:tcW w:w="2659" w:type="dxa"/>
            <w:tcBorders/>
            <w:vAlign w:val="center"/>
          </w:tcPr>
          <w:p>
            <w:pPr>
              <w:pStyle w:val="TableContents"/>
              <w:widowControl w:val="false"/>
              <w:suppressLineNumbers/>
              <w:spacing w:before="0" w:after="200"/>
              <w:rPr/>
            </w:pPr>
            <w:r>
              <w:rPr/>
              <w:t>Irreversibility</w:t>
            </w:r>
          </w:p>
        </w:tc>
        <w:tc>
          <w:tcPr>
            <w:tcW w:w="5981" w:type="dxa"/>
            <w:tcBorders/>
            <w:vAlign w:val="center"/>
          </w:tcPr>
          <w:p>
            <w:pPr>
              <w:pStyle w:val="TableContents"/>
              <w:widowControl w:val="false"/>
              <w:suppressLineNumbers/>
              <w:spacing w:before="0" w:after="200"/>
              <w:rPr/>
            </w:pPr>
            <w:r>
              <w:rPr/>
              <w:t>Affects probability, severity, precaution, and the value of preserving future options</w:t>
            </w:r>
          </w:p>
        </w:tc>
      </w:tr>
      <w:tr>
        <w:trPr/>
        <w:tc>
          <w:tcPr>
            <w:tcW w:w="2659" w:type="dxa"/>
            <w:tcBorders/>
            <w:vAlign w:val="center"/>
          </w:tcPr>
          <w:p>
            <w:pPr>
              <w:pStyle w:val="TableContents"/>
              <w:widowControl w:val="false"/>
              <w:suppressLineNumbers/>
              <w:spacing w:before="0" w:after="200"/>
              <w:rPr/>
            </w:pPr>
            <w:r>
              <w:rPr/>
              <w:t>Environmental uncertainty</w:t>
            </w:r>
          </w:p>
        </w:tc>
        <w:tc>
          <w:tcPr>
            <w:tcW w:w="5981" w:type="dxa"/>
            <w:tcBorders/>
            <w:vAlign w:val="center"/>
          </w:tcPr>
          <w:p>
            <w:pPr>
              <w:pStyle w:val="TableContents"/>
              <w:widowControl w:val="false"/>
              <w:suppressLineNumbers/>
              <w:spacing w:before="0" w:after="200"/>
              <w:rPr/>
            </w:pPr>
            <w:r>
              <w:rPr/>
              <w:t>Corresponds to explicit probability, model limitations, and scenario analysis</w:t>
            </w:r>
          </w:p>
        </w:tc>
      </w:tr>
      <w:tr>
        <w:trPr/>
        <w:tc>
          <w:tcPr>
            <w:tcW w:w="2659" w:type="dxa"/>
            <w:tcBorders/>
            <w:vAlign w:val="center"/>
          </w:tcPr>
          <w:p>
            <w:pPr>
              <w:pStyle w:val="TableContents"/>
              <w:widowControl w:val="false"/>
              <w:suppressLineNumbers/>
              <w:spacing w:before="0" w:after="200"/>
              <w:rPr/>
            </w:pPr>
            <w:r>
              <w:rPr/>
              <w:t>Intergenerational responsibility</w:t>
            </w:r>
          </w:p>
        </w:tc>
        <w:tc>
          <w:tcPr>
            <w:tcW w:w="5981" w:type="dxa"/>
            <w:tcBorders/>
            <w:vAlign w:val="center"/>
          </w:tcPr>
          <w:p>
            <w:pPr>
              <w:pStyle w:val="TableContents"/>
              <w:widowControl w:val="false"/>
              <w:suppressLineNumbers/>
              <w:spacing w:before="0" w:after="200"/>
              <w:rPr/>
            </w:pPr>
            <w:r>
              <w:rPr/>
              <w:t>Corresponds to preservation of beneficial future state space</w:t>
            </w:r>
          </w:p>
        </w:tc>
      </w:tr>
      <w:tr>
        <w:trPr/>
        <w:tc>
          <w:tcPr>
            <w:tcW w:w="2659" w:type="dxa"/>
            <w:tcBorders/>
            <w:vAlign w:val="center"/>
          </w:tcPr>
          <w:p>
            <w:pPr>
              <w:pStyle w:val="TableContents"/>
              <w:widowControl w:val="false"/>
              <w:suppressLineNumbers/>
              <w:spacing w:before="0" w:after="200"/>
              <w:rPr/>
            </w:pPr>
            <w:r>
              <w:rPr/>
              <w:t>Ecological self-realization</w:t>
            </w:r>
          </w:p>
        </w:tc>
        <w:tc>
          <w:tcPr>
            <w:tcW w:w="5981" w:type="dxa"/>
            <w:tcBorders/>
            <w:vAlign w:val="center"/>
          </w:tcPr>
          <w:p>
            <w:pPr>
              <w:pStyle w:val="TableContents"/>
              <w:widowControl w:val="false"/>
              <w:suppressLineNumbers/>
              <w:spacing w:before="0" w:after="200"/>
              <w:rPr/>
            </w:pPr>
            <w:r>
              <w:rPr/>
              <w:t>Relates to moral-agent development and expansion of the agent’s recognized moral community</w:t>
            </w:r>
          </w:p>
        </w:tc>
      </w:tr>
      <w:tr>
        <w:trPr/>
        <w:tc>
          <w:tcPr>
            <w:tcW w:w="2659" w:type="dxa"/>
            <w:tcBorders/>
            <w:vAlign w:val="center"/>
          </w:tcPr>
          <w:p>
            <w:pPr>
              <w:pStyle w:val="TableContents"/>
              <w:widowControl w:val="false"/>
              <w:suppressLineNumbers/>
              <w:spacing w:before="0" w:after="200"/>
              <w:rPr/>
            </w:pPr>
            <w:r>
              <w:rPr/>
              <w:t>Vital versus nonvital needs</w:t>
            </w:r>
          </w:p>
        </w:tc>
        <w:tc>
          <w:tcPr>
            <w:tcW w:w="5981" w:type="dxa"/>
            <w:tcBorders/>
            <w:vAlign w:val="center"/>
          </w:tcPr>
          <w:p>
            <w:pPr>
              <w:pStyle w:val="TableContents"/>
              <w:widowControl w:val="false"/>
              <w:suppressLineNumbers/>
              <w:spacing w:before="0" w:after="200"/>
              <w:rPr/>
            </w:pPr>
            <w:r>
              <w:rPr/>
              <w:t>Can inform proportionality and justification of environmentally harmful actions</w:t>
            </w:r>
          </w:p>
        </w:tc>
      </w:tr>
      <w:tr>
        <w:trPr/>
        <w:tc>
          <w:tcPr>
            <w:tcW w:w="2659" w:type="dxa"/>
            <w:tcBorders/>
            <w:vAlign w:val="center"/>
          </w:tcPr>
          <w:p>
            <w:pPr>
              <w:pStyle w:val="TableContents"/>
              <w:widowControl w:val="false"/>
              <w:suppressLineNumbers/>
              <w:spacing w:before="0" w:after="200"/>
              <w:rPr/>
            </w:pPr>
            <w:r>
              <w:rPr/>
              <w:t>Environmental justice</w:t>
            </w:r>
          </w:p>
        </w:tc>
        <w:tc>
          <w:tcPr>
            <w:tcW w:w="5981" w:type="dxa"/>
            <w:tcBorders/>
            <w:vAlign w:val="center"/>
          </w:tcPr>
          <w:p>
            <w:pPr>
              <w:pStyle w:val="TableContents"/>
              <w:widowControl w:val="false"/>
              <w:suppressLineNumbers/>
              <w:spacing w:before="0" w:after="200"/>
              <w:rPr/>
            </w:pPr>
            <w:r>
              <w:rPr/>
              <w:t>Corresponds to entity-level distribution, role responsibility, authority, and unequal exposure</w:t>
            </w:r>
          </w:p>
        </w:tc>
      </w:tr>
      <w:tr>
        <w:trPr/>
        <w:tc>
          <w:tcPr>
            <w:tcW w:w="2659" w:type="dxa"/>
            <w:tcBorders/>
            <w:vAlign w:val="center"/>
          </w:tcPr>
          <w:p>
            <w:pPr>
              <w:pStyle w:val="TableContents"/>
              <w:widowControl w:val="false"/>
              <w:suppressLineNumbers/>
              <w:spacing w:before="0" w:after="200"/>
              <w:rPr/>
            </w:pPr>
            <w:r>
              <w:rPr/>
              <w:t>Restoration</w:t>
            </w:r>
          </w:p>
        </w:tc>
        <w:tc>
          <w:tcPr>
            <w:tcW w:w="5981" w:type="dxa"/>
            <w:tcBorders/>
            <w:vAlign w:val="center"/>
          </w:tcPr>
          <w:p>
            <w:pPr>
              <w:pStyle w:val="TableContents"/>
              <w:widowControl w:val="false"/>
              <w:suppressLineNumbers/>
              <w:spacing w:before="0" w:after="200"/>
              <w:rPr/>
            </w:pPr>
            <w:r>
              <w:rPr/>
              <w:t>Can be evaluated as a transition intended to recover damaged capacities and relationships</w:t>
            </w:r>
          </w:p>
        </w:tc>
      </w:tr>
      <w:tr>
        <w:trPr/>
        <w:tc>
          <w:tcPr>
            <w:tcW w:w="2659" w:type="dxa"/>
            <w:tcBorders/>
            <w:vAlign w:val="center"/>
          </w:tcPr>
          <w:p>
            <w:pPr>
              <w:pStyle w:val="TableContents"/>
              <w:widowControl w:val="false"/>
              <w:suppressLineNumbers/>
              <w:spacing w:before="0" w:after="200"/>
              <w:rPr/>
            </w:pPr>
            <w:r>
              <w:rPr/>
              <w:t>Systemic policy change</w:t>
            </w:r>
          </w:p>
        </w:tc>
        <w:tc>
          <w:tcPr>
            <w:tcW w:w="5981" w:type="dxa"/>
            <w:tcBorders/>
            <w:vAlign w:val="center"/>
          </w:tcPr>
          <w:p>
            <w:pPr>
              <w:pStyle w:val="TableContents"/>
              <w:widowControl w:val="false"/>
              <w:suppressLineNumbers/>
              <w:spacing w:before="0" w:after="200"/>
              <w:rPr/>
            </w:pPr>
            <w:r>
              <w:rPr/>
              <w:t>Corresponds to actions that modify institutional rules, incentives, technologies, and future policies</w:t>
            </w:r>
          </w:p>
        </w:tc>
      </w:tr>
    </w:tbl>
    <w:p>
      <w:pPr>
        <w:pStyle w:val="BodyText"/>
        <w:spacing w:before="0" w:after="200"/>
        <w:rPr/>
      </w:pPr>
      <w:r>
        <w:rPr/>
        <w:t>The framework also contributes analytical structure that Deep Ecology does not always provide. It distinguishes direct effects, indirect effects, probabilities, responsibility, roles, time horizons, and feasible alternatives. It can evaluate environmental values without assuming that every conflict has a simple ecocentric answer.</w:t>
      </w:r>
    </w:p>
    <w:p>
      <w:pPr>
        <w:pStyle w:val="BodyText"/>
        <w:spacing w:before="0" w:after="200"/>
        <w:rPr/>
      </w:pPr>
      <w:r>
        <w:rPr/>
        <w:t>The relationship is particularly strong around beneficial future state space. An intact ecological system preserves evolutionary, adaptive, biological, and relational possibilities. Extinction, fragmentation, pollution, and climate destabilization can severely contract those possibilities even before every resulting harm becomes observable.</w:t>
      </w:r>
    </w:p>
    <w:p>
      <w:pPr>
        <w:pStyle w:val="Heading4"/>
        <w:ind w:hanging="0" w:left="0"/>
        <w:rPr>
          <w:rFonts w:ascii="Aptos" w:hAnsi="Aptos"/>
          <w:color w:val="auto"/>
        </w:rPr>
      </w:pPr>
      <w:r>
        <w:rPr/>
        <w:t>Concepts adopted or adapted by this framework</w:t>
      </w:r>
    </w:p>
    <w:tbl>
      <w:tblPr>
        <w:tblW w:w="8640" w:type="dxa"/>
        <w:jc w:val="left"/>
        <w:tblInd w:w="28" w:type="dxa"/>
        <w:tblLayout w:type="fixed"/>
        <w:tblCellMar>
          <w:top w:w="28" w:type="dxa"/>
          <w:left w:w="28" w:type="dxa"/>
          <w:bottom w:w="28" w:type="dxa"/>
          <w:right w:w="28" w:type="dxa"/>
        </w:tblCellMar>
      </w:tblPr>
      <w:tblGrid>
        <w:gridCol w:w="2966"/>
        <w:gridCol w:w="5674"/>
      </w:tblGrid>
      <w:tr>
        <w:trPr>
          <w:tblHeader w:val="true"/>
        </w:trPr>
        <w:tc>
          <w:tcPr>
            <w:tcW w:w="2966" w:type="dxa"/>
            <w:tcBorders/>
            <w:vAlign w:val="center"/>
          </w:tcPr>
          <w:p>
            <w:pPr>
              <w:pStyle w:val="TableHeading"/>
              <w:suppressLineNumbers/>
              <w:spacing w:before="0" w:after="200"/>
              <w:jc w:val="center"/>
              <w:rPr/>
            </w:pPr>
            <w:r>
              <w:rPr/>
              <w:t>Environmental concept</w:t>
            </w:r>
          </w:p>
        </w:tc>
        <w:tc>
          <w:tcPr>
            <w:tcW w:w="5674" w:type="dxa"/>
            <w:tcBorders/>
            <w:vAlign w:val="center"/>
          </w:tcPr>
          <w:p>
            <w:pPr>
              <w:pStyle w:val="TableHeading"/>
              <w:suppressLineNumbers/>
              <w:spacing w:before="0" w:after="200"/>
              <w:jc w:val="center"/>
              <w:rPr/>
            </w:pPr>
            <w:r>
              <w:rPr/>
              <w:t>Adoption or adaptation</w:t>
            </w:r>
          </w:p>
        </w:tc>
      </w:tr>
      <w:tr>
        <w:trPr/>
        <w:tc>
          <w:tcPr>
            <w:tcW w:w="2966" w:type="dxa"/>
            <w:tcBorders/>
            <w:vAlign w:val="center"/>
          </w:tcPr>
          <w:p>
            <w:pPr>
              <w:pStyle w:val="TableContents"/>
              <w:widowControl w:val="false"/>
              <w:suppressLineNumbers/>
              <w:spacing w:before="0" w:after="200"/>
              <w:rPr/>
            </w:pPr>
            <w:r>
              <w:rPr>
                <w:rStyle w:val="Strong"/>
              </w:rPr>
              <w:t>Intrinsic or inherent value</w:t>
            </w:r>
          </w:p>
        </w:tc>
        <w:tc>
          <w:tcPr>
            <w:tcW w:w="5674" w:type="dxa"/>
            <w:tcBorders/>
            <w:vAlign w:val="center"/>
          </w:tcPr>
          <w:p>
            <w:pPr>
              <w:pStyle w:val="TableContents"/>
              <w:widowControl w:val="false"/>
              <w:suppressLineNumbers/>
              <w:spacing w:before="0" w:after="200"/>
              <w:rPr/>
            </w:pPr>
            <w:r>
              <w:rPr/>
              <w:t>Recognition that nonhuman entities may matter independently of their usefulness to humans</w:t>
            </w:r>
          </w:p>
        </w:tc>
      </w:tr>
      <w:tr>
        <w:trPr/>
        <w:tc>
          <w:tcPr>
            <w:tcW w:w="2966" w:type="dxa"/>
            <w:tcBorders/>
            <w:vAlign w:val="center"/>
          </w:tcPr>
          <w:p>
            <w:pPr>
              <w:pStyle w:val="TableContents"/>
              <w:widowControl w:val="false"/>
              <w:suppressLineNumbers/>
              <w:spacing w:before="0" w:after="200"/>
              <w:rPr/>
            </w:pPr>
            <w:r>
              <w:rPr>
                <w:rStyle w:val="Strong"/>
              </w:rPr>
              <w:t>Moral considerability</w:t>
            </w:r>
          </w:p>
        </w:tc>
        <w:tc>
          <w:tcPr>
            <w:tcW w:w="5674" w:type="dxa"/>
            <w:tcBorders/>
            <w:vAlign w:val="center"/>
          </w:tcPr>
          <w:p>
            <w:pPr>
              <w:pStyle w:val="TableContents"/>
              <w:widowControl w:val="false"/>
              <w:suppressLineNumbers/>
              <w:spacing w:before="0" w:after="200"/>
              <w:rPr/>
            </w:pPr>
            <w:r>
              <w:rPr/>
              <w:t>Inclusion of nonhuman entities as direct subjects of ethical effects</w:t>
            </w:r>
          </w:p>
        </w:tc>
      </w:tr>
      <w:tr>
        <w:trPr/>
        <w:tc>
          <w:tcPr>
            <w:tcW w:w="2966" w:type="dxa"/>
            <w:tcBorders/>
            <w:vAlign w:val="center"/>
          </w:tcPr>
          <w:p>
            <w:pPr>
              <w:pStyle w:val="TableContents"/>
              <w:widowControl w:val="false"/>
              <w:suppressLineNumbers/>
              <w:spacing w:before="0" w:after="200"/>
              <w:rPr/>
            </w:pPr>
            <w:r>
              <w:rPr>
                <w:rStyle w:val="Strong"/>
              </w:rPr>
              <w:t>Land community</w:t>
            </w:r>
          </w:p>
        </w:tc>
        <w:tc>
          <w:tcPr>
            <w:tcW w:w="5674" w:type="dxa"/>
            <w:tcBorders/>
            <w:vAlign w:val="center"/>
          </w:tcPr>
          <w:p>
            <w:pPr>
              <w:pStyle w:val="TableContents"/>
              <w:widowControl w:val="false"/>
              <w:suppressLineNumbers/>
              <w:spacing w:before="0" w:after="200"/>
              <w:rPr/>
            </w:pPr>
            <w:r>
              <w:rPr/>
              <w:t>Representation of soils, waters, organisms, ecological relationships, and human participants as an interconnected context</w:t>
            </w:r>
          </w:p>
        </w:tc>
      </w:tr>
      <w:tr>
        <w:trPr/>
        <w:tc>
          <w:tcPr>
            <w:tcW w:w="2966" w:type="dxa"/>
            <w:tcBorders/>
            <w:vAlign w:val="center"/>
          </w:tcPr>
          <w:p>
            <w:pPr>
              <w:pStyle w:val="TableContents"/>
              <w:widowControl w:val="false"/>
              <w:suppressLineNumbers/>
              <w:spacing w:before="0" w:after="200"/>
              <w:rPr/>
            </w:pPr>
            <w:r>
              <w:rPr>
                <w:rStyle w:val="Strong"/>
              </w:rPr>
              <w:t>Ecocentrism</w:t>
            </w:r>
          </w:p>
        </w:tc>
        <w:tc>
          <w:tcPr>
            <w:tcW w:w="5674" w:type="dxa"/>
            <w:tcBorders/>
            <w:vAlign w:val="center"/>
          </w:tcPr>
          <w:p>
            <w:pPr>
              <w:pStyle w:val="TableContents"/>
              <w:widowControl w:val="false"/>
              <w:suppressLineNumbers/>
              <w:spacing w:before="0" w:after="200"/>
              <w:rPr/>
            </w:pPr>
            <w:r>
              <w:rPr/>
              <w:t>Requirement to evaluate ecosystem-level effects rather than only human preferences</w:t>
            </w:r>
          </w:p>
        </w:tc>
      </w:tr>
      <w:tr>
        <w:trPr/>
        <w:tc>
          <w:tcPr>
            <w:tcW w:w="2966" w:type="dxa"/>
            <w:tcBorders/>
            <w:vAlign w:val="center"/>
          </w:tcPr>
          <w:p>
            <w:pPr>
              <w:pStyle w:val="TableContents"/>
              <w:widowControl w:val="false"/>
              <w:suppressLineNumbers/>
              <w:spacing w:before="0" w:after="200"/>
              <w:rPr/>
            </w:pPr>
            <w:r>
              <w:rPr>
                <w:rStyle w:val="Strong"/>
              </w:rPr>
              <w:t>Biocentrism</w:t>
            </w:r>
          </w:p>
        </w:tc>
        <w:tc>
          <w:tcPr>
            <w:tcW w:w="5674" w:type="dxa"/>
            <w:tcBorders/>
            <w:vAlign w:val="center"/>
          </w:tcPr>
          <w:p>
            <w:pPr>
              <w:pStyle w:val="TableContents"/>
              <w:widowControl w:val="false"/>
              <w:suppressLineNumbers/>
              <w:spacing w:before="0" w:after="200"/>
              <w:rPr/>
            </w:pPr>
            <w:r>
              <w:rPr/>
              <w:t>Recognition that living organisms may possess entity-specific forms of flourishing</w:t>
            </w:r>
          </w:p>
        </w:tc>
      </w:tr>
      <w:tr>
        <w:trPr/>
        <w:tc>
          <w:tcPr>
            <w:tcW w:w="2966" w:type="dxa"/>
            <w:tcBorders/>
            <w:vAlign w:val="center"/>
          </w:tcPr>
          <w:p>
            <w:pPr>
              <w:pStyle w:val="TableContents"/>
              <w:widowControl w:val="false"/>
              <w:suppressLineNumbers/>
              <w:spacing w:before="0" w:after="200"/>
              <w:rPr/>
            </w:pPr>
            <w:r>
              <w:rPr>
                <w:rStyle w:val="Strong"/>
              </w:rPr>
              <w:t>Ecological self</w:t>
            </w:r>
          </w:p>
        </w:tc>
        <w:tc>
          <w:tcPr>
            <w:tcW w:w="5674" w:type="dxa"/>
            <w:tcBorders/>
            <w:vAlign w:val="center"/>
          </w:tcPr>
          <w:p>
            <w:pPr>
              <w:pStyle w:val="TableContents"/>
              <w:widowControl w:val="false"/>
              <w:suppressLineNumbers/>
              <w:spacing w:before="0" w:after="200"/>
              <w:rPr/>
            </w:pPr>
            <w:r>
              <w:rPr/>
              <w:t>Expansion of the moral agent’s recognized identity and obligations beyond the isolated individual</w:t>
            </w:r>
          </w:p>
        </w:tc>
      </w:tr>
      <w:tr>
        <w:trPr/>
        <w:tc>
          <w:tcPr>
            <w:tcW w:w="2966" w:type="dxa"/>
            <w:tcBorders/>
            <w:vAlign w:val="center"/>
          </w:tcPr>
          <w:p>
            <w:pPr>
              <w:pStyle w:val="TableContents"/>
              <w:widowControl w:val="false"/>
              <w:suppressLineNumbers/>
              <w:spacing w:before="0" w:after="200"/>
              <w:rPr/>
            </w:pPr>
            <w:r>
              <w:rPr>
                <w:rStyle w:val="Strong"/>
              </w:rPr>
              <w:t>Biospheric egalitarianism</w:t>
            </w:r>
          </w:p>
        </w:tc>
        <w:tc>
          <w:tcPr>
            <w:tcW w:w="5674" w:type="dxa"/>
            <w:tcBorders/>
            <w:vAlign w:val="center"/>
          </w:tcPr>
          <w:p>
            <w:pPr>
              <w:pStyle w:val="TableContents"/>
              <w:widowControl w:val="false"/>
              <w:suppressLineNumbers/>
              <w:spacing w:before="0" w:after="200"/>
              <w:rPr/>
            </w:pPr>
            <w:r>
              <w:rPr/>
              <w:t>Adapted as a rejection of automatic human supremacy, without assuming identical treatment of every entity</w:t>
            </w:r>
          </w:p>
        </w:tc>
      </w:tr>
      <w:tr>
        <w:trPr/>
        <w:tc>
          <w:tcPr>
            <w:tcW w:w="2966" w:type="dxa"/>
            <w:tcBorders/>
            <w:vAlign w:val="center"/>
          </w:tcPr>
          <w:p>
            <w:pPr>
              <w:pStyle w:val="TableContents"/>
              <w:widowControl w:val="false"/>
              <w:suppressLineNumbers/>
              <w:spacing w:before="0" w:after="200"/>
              <w:rPr/>
            </w:pPr>
            <w:r>
              <w:rPr>
                <w:rStyle w:val="Strong"/>
              </w:rPr>
              <w:t>Biodiversity</w:t>
            </w:r>
          </w:p>
        </w:tc>
        <w:tc>
          <w:tcPr>
            <w:tcW w:w="5674" w:type="dxa"/>
            <w:tcBorders/>
            <w:vAlign w:val="center"/>
          </w:tcPr>
          <w:p>
            <w:pPr>
              <w:pStyle w:val="TableContents"/>
              <w:widowControl w:val="false"/>
              <w:suppressLineNumbers/>
              <w:spacing w:before="0" w:after="200"/>
              <w:rPr/>
            </w:pPr>
            <w:r>
              <w:rPr/>
              <w:t>Representation of genetic, species, functional, ecosystem, and landscape diversity</w:t>
            </w:r>
          </w:p>
        </w:tc>
      </w:tr>
      <w:tr>
        <w:trPr/>
        <w:tc>
          <w:tcPr>
            <w:tcW w:w="2966" w:type="dxa"/>
            <w:tcBorders/>
            <w:vAlign w:val="center"/>
          </w:tcPr>
          <w:p>
            <w:pPr>
              <w:pStyle w:val="TableContents"/>
              <w:widowControl w:val="false"/>
              <w:suppressLineNumbers/>
              <w:spacing w:before="0" w:after="200"/>
              <w:rPr/>
            </w:pPr>
            <w:r>
              <w:rPr>
                <w:rStyle w:val="Strong"/>
              </w:rPr>
              <w:t>Ecological integrity</w:t>
            </w:r>
          </w:p>
        </w:tc>
        <w:tc>
          <w:tcPr>
            <w:tcW w:w="5674" w:type="dxa"/>
            <w:tcBorders/>
            <w:vAlign w:val="center"/>
          </w:tcPr>
          <w:p>
            <w:pPr>
              <w:pStyle w:val="TableContents"/>
              <w:widowControl w:val="false"/>
              <w:suppressLineNumbers/>
              <w:spacing w:before="0" w:after="200"/>
              <w:rPr/>
            </w:pPr>
            <w:r>
              <w:rPr/>
              <w:t>Sustained organization, function, composition, connectivity, and adaptive potential</w:t>
            </w:r>
          </w:p>
        </w:tc>
      </w:tr>
      <w:tr>
        <w:trPr/>
        <w:tc>
          <w:tcPr>
            <w:tcW w:w="2966" w:type="dxa"/>
            <w:tcBorders/>
            <w:vAlign w:val="center"/>
          </w:tcPr>
          <w:p>
            <w:pPr>
              <w:pStyle w:val="TableContents"/>
              <w:widowControl w:val="false"/>
              <w:suppressLineNumbers/>
              <w:spacing w:before="0" w:after="200"/>
              <w:rPr/>
            </w:pPr>
            <w:r>
              <w:rPr>
                <w:rStyle w:val="Strong"/>
              </w:rPr>
              <w:t>Ecological health</w:t>
            </w:r>
          </w:p>
        </w:tc>
        <w:tc>
          <w:tcPr>
            <w:tcW w:w="5674" w:type="dxa"/>
            <w:tcBorders/>
            <w:vAlign w:val="center"/>
          </w:tcPr>
          <w:p>
            <w:pPr>
              <w:pStyle w:val="TableContents"/>
              <w:widowControl w:val="false"/>
              <w:suppressLineNumbers/>
              <w:spacing w:before="0" w:after="200"/>
              <w:rPr/>
            </w:pPr>
            <w:r>
              <w:rPr/>
              <w:t>A context-dependent profile of system functioning rather than a single static state</w:t>
            </w:r>
          </w:p>
        </w:tc>
      </w:tr>
      <w:tr>
        <w:trPr/>
        <w:tc>
          <w:tcPr>
            <w:tcW w:w="2966" w:type="dxa"/>
            <w:tcBorders/>
            <w:vAlign w:val="center"/>
          </w:tcPr>
          <w:p>
            <w:pPr>
              <w:pStyle w:val="TableContents"/>
              <w:widowControl w:val="false"/>
              <w:suppressLineNumbers/>
              <w:spacing w:before="0" w:after="200"/>
              <w:rPr/>
            </w:pPr>
            <w:r>
              <w:rPr>
                <w:rStyle w:val="Strong"/>
              </w:rPr>
              <w:t>Wildness and naturalness</w:t>
            </w:r>
          </w:p>
        </w:tc>
        <w:tc>
          <w:tcPr>
            <w:tcW w:w="5674" w:type="dxa"/>
            <w:tcBorders/>
            <w:vAlign w:val="center"/>
          </w:tcPr>
          <w:p>
            <w:pPr>
              <w:pStyle w:val="TableContents"/>
              <w:widowControl w:val="false"/>
              <w:suppressLineNumbers/>
              <w:spacing w:before="0" w:after="200"/>
              <w:rPr/>
            </w:pPr>
            <w:r>
              <w:rPr/>
              <w:t>Potential values associated with self-organization, freedom from domination, and continuity of ecological processes</w:t>
            </w:r>
          </w:p>
        </w:tc>
      </w:tr>
      <w:tr>
        <w:trPr/>
        <w:tc>
          <w:tcPr>
            <w:tcW w:w="2966" w:type="dxa"/>
            <w:tcBorders/>
            <w:vAlign w:val="center"/>
          </w:tcPr>
          <w:p>
            <w:pPr>
              <w:pStyle w:val="TableContents"/>
              <w:widowControl w:val="false"/>
              <w:suppressLineNumbers/>
              <w:spacing w:before="0" w:after="200"/>
              <w:rPr/>
            </w:pPr>
            <w:r>
              <w:rPr>
                <w:rStyle w:val="Strong"/>
              </w:rPr>
              <w:t>Evolutionary potential</w:t>
            </w:r>
          </w:p>
        </w:tc>
        <w:tc>
          <w:tcPr>
            <w:tcW w:w="5674" w:type="dxa"/>
            <w:tcBorders/>
            <w:vAlign w:val="center"/>
          </w:tcPr>
          <w:p>
            <w:pPr>
              <w:pStyle w:val="TableContents"/>
              <w:widowControl w:val="false"/>
              <w:suppressLineNumbers/>
              <w:spacing w:before="0" w:after="200"/>
              <w:rPr/>
            </w:pPr>
            <w:r>
              <w:rPr/>
              <w:t>Preservation of future adaptation, diversification, and ecological possibility</w:t>
            </w:r>
          </w:p>
        </w:tc>
      </w:tr>
      <w:tr>
        <w:trPr/>
        <w:tc>
          <w:tcPr>
            <w:tcW w:w="2966" w:type="dxa"/>
            <w:tcBorders/>
            <w:vAlign w:val="center"/>
          </w:tcPr>
          <w:p>
            <w:pPr>
              <w:pStyle w:val="TableContents"/>
              <w:widowControl w:val="false"/>
              <w:suppressLineNumbers/>
              <w:spacing w:before="0" w:after="200"/>
              <w:rPr/>
            </w:pPr>
            <w:r>
              <w:rPr>
                <w:rStyle w:val="Strong"/>
              </w:rPr>
              <w:t>Ecological resilience</w:t>
            </w:r>
          </w:p>
        </w:tc>
        <w:tc>
          <w:tcPr>
            <w:tcW w:w="5674" w:type="dxa"/>
            <w:tcBorders/>
            <w:vAlign w:val="center"/>
          </w:tcPr>
          <w:p>
            <w:pPr>
              <w:pStyle w:val="TableContents"/>
              <w:widowControl w:val="false"/>
              <w:suppressLineNumbers/>
              <w:spacing w:before="0" w:after="200"/>
              <w:rPr/>
            </w:pPr>
            <w:r>
              <w:rPr/>
              <w:t>Capacity to absorb disturbance while maintaining or reorganizing into ethically defensible functions</w:t>
            </w:r>
          </w:p>
        </w:tc>
      </w:tr>
      <w:tr>
        <w:trPr/>
        <w:tc>
          <w:tcPr>
            <w:tcW w:w="2966" w:type="dxa"/>
            <w:tcBorders/>
            <w:vAlign w:val="center"/>
          </w:tcPr>
          <w:p>
            <w:pPr>
              <w:pStyle w:val="TableContents"/>
              <w:widowControl w:val="false"/>
              <w:suppressLineNumbers/>
              <w:spacing w:before="0" w:after="200"/>
              <w:rPr/>
            </w:pPr>
            <w:r>
              <w:rPr>
                <w:rStyle w:val="Strong"/>
              </w:rPr>
              <w:t>Carrying capacity and ecological limits</w:t>
            </w:r>
          </w:p>
        </w:tc>
        <w:tc>
          <w:tcPr>
            <w:tcW w:w="5674" w:type="dxa"/>
            <w:tcBorders/>
            <w:vAlign w:val="center"/>
          </w:tcPr>
          <w:p>
            <w:pPr>
              <w:pStyle w:val="TableContents"/>
              <w:widowControl w:val="false"/>
              <w:suppressLineNumbers/>
              <w:spacing w:before="0" w:after="200"/>
              <w:rPr/>
            </w:pPr>
            <w:r>
              <w:rPr/>
              <w:t>Constraints on resource use, population pressure, waste, and future system states</w:t>
            </w:r>
          </w:p>
        </w:tc>
      </w:tr>
      <w:tr>
        <w:trPr/>
        <w:tc>
          <w:tcPr>
            <w:tcW w:w="2966" w:type="dxa"/>
            <w:tcBorders/>
            <w:vAlign w:val="center"/>
          </w:tcPr>
          <w:p>
            <w:pPr>
              <w:pStyle w:val="TableContents"/>
              <w:widowControl w:val="false"/>
              <w:suppressLineNumbers/>
              <w:spacing w:before="0" w:after="200"/>
              <w:rPr/>
            </w:pPr>
            <w:r>
              <w:rPr>
                <w:rStyle w:val="Strong"/>
              </w:rPr>
              <w:t>Vital needs</w:t>
            </w:r>
          </w:p>
        </w:tc>
        <w:tc>
          <w:tcPr>
            <w:tcW w:w="5674" w:type="dxa"/>
            <w:tcBorders/>
            <w:vAlign w:val="center"/>
          </w:tcPr>
          <w:p>
            <w:pPr>
              <w:pStyle w:val="TableContents"/>
              <w:widowControl w:val="false"/>
              <w:suppressLineNumbers/>
              <w:spacing w:before="0" w:after="200"/>
              <w:rPr/>
            </w:pPr>
            <w:r>
              <w:rPr/>
              <w:t>A proportionality test for environmentally harmful interference</w:t>
            </w:r>
          </w:p>
        </w:tc>
      </w:tr>
      <w:tr>
        <w:trPr/>
        <w:tc>
          <w:tcPr>
            <w:tcW w:w="2966" w:type="dxa"/>
            <w:tcBorders/>
            <w:vAlign w:val="center"/>
          </w:tcPr>
          <w:p>
            <w:pPr>
              <w:pStyle w:val="TableContents"/>
              <w:widowControl w:val="false"/>
              <w:suppressLineNumbers/>
              <w:spacing w:before="0" w:after="200"/>
              <w:rPr/>
            </w:pPr>
            <w:r>
              <w:rPr>
                <w:rStyle w:val="Strong"/>
              </w:rPr>
              <w:t>Ecological footprint</w:t>
            </w:r>
          </w:p>
        </w:tc>
        <w:tc>
          <w:tcPr>
            <w:tcW w:w="5674" w:type="dxa"/>
            <w:tcBorders/>
            <w:vAlign w:val="center"/>
          </w:tcPr>
          <w:p>
            <w:pPr>
              <w:pStyle w:val="TableContents"/>
              <w:widowControl w:val="false"/>
              <w:suppressLineNumbers/>
              <w:spacing w:before="0" w:after="200"/>
              <w:rPr/>
            </w:pPr>
            <w:r>
              <w:rPr/>
              <w:t>Spatially distributed resource demand and environmental burden</w:t>
            </w:r>
          </w:p>
        </w:tc>
      </w:tr>
      <w:tr>
        <w:trPr/>
        <w:tc>
          <w:tcPr>
            <w:tcW w:w="2966" w:type="dxa"/>
            <w:tcBorders/>
            <w:vAlign w:val="center"/>
          </w:tcPr>
          <w:p>
            <w:pPr>
              <w:pStyle w:val="TableContents"/>
              <w:widowControl w:val="false"/>
              <w:suppressLineNumbers/>
              <w:spacing w:before="0" w:after="200"/>
              <w:rPr/>
            </w:pPr>
            <w:r>
              <w:rPr>
                <w:rStyle w:val="Strong"/>
              </w:rPr>
              <w:t>Cumulative effects</w:t>
            </w:r>
          </w:p>
        </w:tc>
        <w:tc>
          <w:tcPr>
            <w:tcW w:w="5674" w:type="dxa"/>
            <w:tcBorders/>
            <w:vAlign w:val="center"/>
          </w:tcPr>
          <w:p>
            <w:pPr>
              <w:pStyle w:val="TableContents"/>
              <w:widowControl w:val="false"/>
              <w:suppressLineNumbers/>
              <w:spacing w:before="0" w:after="200"/>
              <w:rPr/>
            </w:pPr>
            <w:r>
              <w:rPr/>
              <w:t>Aggregate impacts arising through repetition across actors, locations, and time</w:t>
            </w:r>
          </w:p>
        </w:tc>
      </w:tr>
      <w:tr>
        <w:trPr/>
        <w:tc>
          <w:tcPr>
            <w:tcW w:w="2966" w:type="dxa"/>
            <w:tcBorders/>
            <w:vAlign w:val="center"/>
          </w:tcPr>
          <w:p>
            <w:pPr>
              <w:pStyle w:val="TableContents"/>
              <w:widowControl w:val="false"/>
              <w:suppressLineNumbers/>
              <w:spacing w:before="0" w:after="200"/>
              <w:rPr/>
            </w:pPr>
            <w:r>
              <w:rPr>
                <w:rStyle w:val="Strong"/>
              </w:rPr>
              <w:t>Trophic cascades</w:t>
            </w:r>
          </w:p>
        </w:tc>
        <w:tc>
          <w:tcPr>
            <w:tcW w:w="5674" w:type="dxa"/>
            <w:tcBorders/>
            <w:vAlign w:val="center"/>
          </w:tcPr>
          <w:p>
            <w:pPr>
              <w:pStyle w:val="TableContents"/>
              <w:widowControl w:val="false"/>
              <w:suppressLineNumbers/>
              <w:spacing w:before="0" w:after="200"/>
              <w:rPr/>
            </w:pPr>
            <w:r>
              <w:rPr/>
              <w:t>Indirect transitions propagated through ecological relationships</w:t>
            </w:r>
          </w:p>
        </w:tc>
      </w:tr>
      <w:tr>
        <w:trPr/>
        <w:tc>
          <w:tcPr>
            <w:tcW w:w="2966" w:type="dxa"/>
            <w:tcBorders/>
            <w:vAlign w:val="center"/>
          </w:tcPr>
          <w:p>
            <w:pPr>
              <w:pStyle w:val="TableContents"/>
              <w:widowControl w:val="false"/>
              <w:suppressLineNumbers/>
              <w:spacing w:before="0" w:after="200"/>
              <w:rPr/>
            </w:pPr>
            <w:r>
              <w:rPr>
                <w:rStyle w:val="Strong"/>
              </w:rPr>
              <w:t>Thresholds and tipping points</w:t>
            </w:r>
          </w:p>
        </w:tc>
        <w:tc>
          <w:tcPr>
            <w:tcW w:w="5674" w:type="dxa"/>
            <w:tcBorders/>
            <w:vAlign w:val="center"/>
          </w:tcPr>
          <w:p>
            <w:pPr>
              <w:pStyle w:val="TableContents"/>
              <w:widowControl w:val="false"/>
              <w:suppressLineNumbers/>
              <w:spacing w:before="0" w:after="200"/>
              <w:rPr/>
            </w:pPr>
            <w:r>
              <w:rPr/>
              <w:t>Conditions under which gradual pressure may produce abrupt system change</w:t>
            </w:r>
          </w:p>
        </w:tc>
      </w:tr>
      <w:tr>
        <w:trPr/>
        <w:tc>
          <w:tcPr>
            <w:tcW w:w="2966" w:type="dxa"/>
            <w:tcBorders/>
            <w:vAlign w:val="center"/>
          </w:tcPr>
          <w:p>
            <w:pPr>
              <w:pStyle w:val="TableContents"/>
              <w:widowControl w:val="false"/>
              <w:suppressLineNumbers/>
              <w:spacing w:before="0" w:after="200"/>
              <w:rPr/>
            </w:pPr>
            <w:r>
              <w:rPr>
                <w:rStyle w:val="Strong"/>
              </w:rPr>
              <w:t>Irreversibility</w:t>
            </w:r>
          </w:p>
        </w:tc>
        <w:tc>
          <w:tcPr>
            <w:tcW w:w="5674" w:type="dxa"/>
            <w:tcBorders/>
            <w:vAlign w:val="center"/>
          </w:tcPr>
          <w:p>
            <w:pPr>
              <w:pStyle w:val="TableContents"/>
              <w:widowControl w:val="false"/>
              <w:suppressLineNumbers/>
              <w:spacing w:before="0" w:after="200"/>
              <w:rPr/>
            </w:pPr>
            <w:r>
              <w:rPr/>
              <w:t>Loss that cannot be restored within relevant biological, cultural, or moral horizons</w:t>
            </w:r>
          </w:p>
        </w:tc>
      </w:tr>
      <w:tr>
        <w:trPr/>
        <w:tc>
          <w:tcPr>
            <w:tcW w:w="2966" w:type="dxa"/>
            <w:tcBorders/>
            <w:vAlign w:val="center"/>
          </w:tcPr>
          <w:p>
            <w:pPr>
              <w:pStyle w:val="TableContents"/>
              <w:widowControl w:val="false"/>
              <w:suppressLineNumbers/>
              <w:spacing w:before="0" w:after="200"/>
              <w:rPr/>
            </w:pPr>
            <w:r>
              <w:rPr>
                <w:rStyle w:val="Strong"/>
              </w:rPr>
              <w:t>Precaution</w:t>
            </w:r>
          </w:p>
        </w:tc>
        <w:tc>
          <w:tcPr>
            <w:tcW w:w="5674" w:type="dxa"/>
            <w:tcBorders/>
            <w:vAlign w:val="center"/>
          </w:tcPr>
          <w:p>
            <w:pPr>
              <w:pStyle w:val="TableContents"/>
              <w:widowControl w:val="false"/>
              <w:suppressLineNumbers/>
              <w:spacing w:before="0" w:after="200"/>
              <w:rPr/>
            </w:pPr>
            <w:r>
              <w:rPr/>
              <w:t>Heightened care where plausible harm is severe, uncertain, widespread, or irreversible</w:t>
            </w:r>
          </w:p>
        </w:tc>
      </w:tr>
      <w:tr>
        <w:trPr/>
        <w:tc>
          <w:tcPr>
            <w:tcW w:w="2966" w:type="dxa"/>
            <w:tcBorders/>
            <w:vAlign w:val="center"/>
          </w:tcPr>
          <w:p>
            <w:pPr>
              <w:pStyle w:val="TableContents"/>
              <w:widowControl w:val="false"/>
              <w:suppressLineNumbers/>
              <w:spacing w:before="0" w:after="200"/>
              <w:rPr/>
            </w:pPr>
            <w:r>
              <w:rPr>
                <w:rStyle w:val="Strong"/>
              </w:rPr>
              <w:t>Intergenerational responsibility</w:t>
            </w:r>
          </w:p>
        </w:tc>
        <w:tc>
          <w:tcPr>
            <w:tcW w:w="5674" w:type="dxa"/>
            <w:tcBorders/>
            <w:vAlign w:val="center"/>
          </w:tcPr>
          <w:p>
            <w:pPr>
              <w:pStyle w:val="TableContents"/>
              <w:widowControl w:val="false"/>
              <w:suppressLineNumbers/>
              <w:spacing w:before="0" w:after="200"/>
              <w:rPr/>
            </w:pPr>
            <w:r>
              <w:rPr/>
              <w:t>Duties to preserve ecological capacities and possibilities for future entities</w:t>
            </w:r>
          </w:p>
        </w:tc>
      </w:tr>
      <w:tr>
        <w:trPr/>
        <w:tc>
          <w:tcPr>
            <w:tcW w:w="2966" w:type="dxa"/>
            <w:tcBorders/>
            <w:vAlign w:val="center"/>
          </w:tcPr>
          <w:p>
            <w:pPr>
              <w:pStyle w:val="TableContents"/>
              <w:widowControl w:val="false"/>
              <w:suppressLineNumbers/>
              <w:spacing w:before="0" w:after="200"/>
              <w:rPr/>
            </w:pPr>
            <w:r>
              <w:rPr>
                <w:rStyle w:val="Strong"/>
              </w:rPr>
              <w:t>Non-substitutability</w:t>
            </w:r>
          </w:p>
        </w:tc>
        <w:tc>
          <w:tcPr>
            <w:tcW w:w="5674" w:type="dxa"/>
            <w:tcBorders/>
            <w:vAlign w:val="center"/>
          </w:tcPr>
          <w:p>
            <w:pPr>
              <w:pStyle w:val="TableContents"/>
              <w:widowControl w:val="false"/>
              <w:suppressLineNumbers/>
              <w:spacing w:before="0" w:after="200"/>
              <w:rPr/>
            </w:pPr>
            <w:r>
              <w:rPr/>
              <w:t>Recognition that some ecological losses cannot be offset by unrelated gains</w:t>
            </w:r>
          </w:p>
        </w:tc>
      </w:tr>
      <w:tr>
        <w:trPr/>
        <w:tc>
          <w:tcPr>
            <w:tcW w:w="2966" w:type="dxa"/>
            <w:tcBorders/>
            <w:vAlign w:val="center"/>
          </w:tcPr>
          <w:p>
            <w:pPr>
              <w:pStyle w:val="TableContents"/>
              <w:widowControl w:val="false"/>
              <w:suppressLineNumbers/>
              <w:spacing w:before="0" w:after="200"/>
              <w:rPr/>
            </w:pPr>
            <w:r>
              <w:rPr>
                <w:rStyle w:val="Strong"/>
              </w:rPr>
              <w:t>Restoration ecology</w:t>
            </w:r>
          </w:p>
        </w:tc>
        <w:tc>
          <w:tcPr>
            <w:tcW w:w="5674" w:type="dxa"/>
            <w:tcBorders/>
            <w:vAlign w:val="center"/>
          </w:tcPr>
          <w:p>
            <w:pPr>
              <w:pStyle w:val="TableContents"/>
              <w:widowControl w:val="false"/>
              <w:suppressLineNumbers/>
              <w:spacing w:before="0" w:after="200"/>
              <w:rPr/>
            </w:pPr>
            <w:r>
              <w:rPr/>
              <w:t>Repair of damaged ecological composition, functions, relationships, and adaptive capacity</w:t>
            </w:r>
          </w:p>
        </w:tc>
      </w:tr>
      <w:tr>
        <w:trPr/>
        <w:tc>
          <w:tcPr>
            <w:tcW w:w="2966" w:type="dxa"/>
            <w:tcBorders/>
            <w:vAlign w:val="center"/>
          </w:tcPr>
          <w:p>
            <w:pPr>
              <w:pStyle w:val="TableContents"/>
              <w:widowControl w:val="false"/>
              <w:suppressLineNumbers/>
              <w:spacing w:before="0" w:after="200"/>
              <w:rPr/>
            </w:pPr>
            <w:r>
              <w:rPr>
                <w:rStyle w:val="Strong"/>
              </w:rPr>
              <w:t>Environmental baseline</w:t>
            </w:r>
          </w:p>
        </w:tc>
        <w:tc>
          <w:tcPr>
            <w:tcW w:w="5674" w:type="dxa"/>
            <w:tcBorders/>
            <w:vAlign w:val="center"/>
          </w:tcPr>
          <w:p>
            <w:pPr>
              <w:pStyle w:val="TableContents"/>
              <w:widowControl w:val="false"/>
              <w:suppressLineNumbers/>
              <w:spacing w:before="0" w:after="200"/>
              <w:rPr/>
            </w:pPr>
            <w:r>
              <w:rPr/>
              <w:t>Reference conditions against which ecological change is assessed</w:t>
            </w:r>
          </w:p>
        </w:tc>
      </w:tr>
      <w:tr>
        <w:trPr/>
        <w:tc>
          <w:tcPr>
            <w:tcW w:w="2966" w:type="dxa"/>
            <w:tcBorders/>
            <w:vAlign w:val="center"/>
          </w:tcPr>
          <w:p>
            <w:pPr>
              <w:pStyle w:val="TableContents"/>
              <w:widowControl w:val="false"/>
              <w:suppressLineNumbers/>
              <w:spacing w:before="0" w:after="200"/>
              <w:rPr/>
            </w:pPr>
            <w:r>
              <w:rPr>
                <w:rStyle w:val="Strong"/>
              </w:rPr>
              <w:t>Environmental justice</w:t>
            </w:r>
          </w:p>
        </w:tc>
        <w:tc>
          <w:tcPr>
            <w:tcW w:w="5674" w:type="dxa"/>
            <w:tcBorders/>
            <w:vAlign w:val="center"/>
          </w:tcPr>
          <w:p>
            <w:pPr>
              <w:pStyle w:val="TableContents"/>
              <w:widowControl w:val="false"/>
              <w:suppressLineNumbers/>
              <w:spacing w:before="0" w:after="200"/>
              <w:rPr/>
            </w:pPr>
            <w:r>
              <w:rPr/>
              <w:t>Evaluation of who receives benefits, burdens, decision authority, and recognition</w:t>
            </w:r>
          </w:p>
        </w:tc>
      </w:tr>
      <w:tr>
        <w:trPr/>
        <w:tc>
          <w:tcPr>
            <w:tcW w:w="2966" w:type="dxa"/>
            <w:tcBorders/>
            <w:vAlign w:val="center"/>
          </w:tcPr>
          <w:p>
            <w:pPr>
              <w:pStyle w:val="TableContents"/>
              <w:widowControl w:val="false"/>
              <w:suppressLineNumbers/>
              <w:spacing w:before="0" w:after="200"/>
              <w:rPr/>
            </w:pPr>
            <w:r>
              <w:rPr>
                <w:rStyle w:val="Strong"/>
              </w:rPr>
              <w:t>Ecological debt</w:t>
            </w:r>
          </w:p>
        </w:tc>
        <w:tc>
          <w:tcPr>
            <w:tcW w:w="5674" w:type="dxa"/>
            <w:tcBorders/>
            <w:vAlign w:val="center"/>
          </w:tcPr>
          <w:p>
            <w:pPr>
              <w:pStyle w:val="TableContents"/>
              <w:widowControl w:val="false"/>
              <w:suppressLineNumbers/>
              <w:spacing w:before="0" w:after="200"/>
              <w:rPr/>
            </w:pPr>
            <w:r>
              <w:rPr/>
              <w:t>Accumulated responsibility arising from historical overuse or transferred environmental burden</w:t>
            </w:r>
          </w:p>
        </w:tc>
      </w:tr>
      <w:tr>
        <w:trPr/>
        <w:tc>
          <w:tcPr>
            <w:tcW w:w="2966" w:type="dxa"/>
            <w:tcBorders/>
            <w:vAlign w:val="center"/>
          </w:tcPr>
          <w:p>
            <w:pPr>
              <w:pStyle w:val="TableContents"/>
              <w:widowControl w:val="false"/>
              <w:suppressLineNumbers/>
              <w:spacing w:before="0" w:after="200"/>
              <w:rPr/>
            </w:pPr>
            <w:r>
              <w:rPr>
                <w:rStyle w:val="Strong"/>
              </w:rPr>
              <w:t>Rights of nature</w:t>
            </w:r>
          </w:p>
        </w:tc>
        <w:tc>
          <w:tcPr>
            <w:tcW w:w="5674" w:type="dxa"/>
            <w:tcBorders/>
            <w:vAlign w:val="center"/>
          </w:tcPr>
          <w:p>
            <w:pPr>
              <w:pStyle w:val="TableContents"/>
              <w:widowControl w:val="false"/>
              <w:suppressLineNumbers/>
              <w:spacing w:before="0" w:after="200"/>
              <w:rPr/>
            </w:pPr>
            <w:r>
              <w:rPr/>
              <w:t>Possible legal or institutional representation for ecosystems and nonhuman entities</w:t>
            </w:r>
          </w:p>
        </w:tc>
      </w:tr>
      <w:tr>
        <w:trPr/>
        <w:tc>
          <w:tcPr>
            <w:tcW w:w="2966" w:type="dxa"/>
            <w:tcBorders/>
            <w:vAlign w:val="center"/>
          </w:tcPr>
          <w:p>
            <w:pPr>
              <w:pStyle w:val="TableContents"/>
              <w:widowControl w:val="false"/>
              <w:suppressLineNumbers/>
              <w:spacing w:before="0" w:after="200"/>
              <w:rPr/>
            </w:pPr>
            <w:r>
              <w:rPr>
                <w:rStyle w:val="Strong"/>
              </w:rPr>
              <w:t>Guardianship</w:t>
            </w:r>
          </w:p>
        </w:tc>
        <w:tc>
          <w:tcPr>
            <w:tcW w:w="5674" w:type="dxa"/>
            <w:tcBorders/>
            <w:vAlign w:val="center"/>
          </w:tcPr>
          <w:p>
            <w:pPr>
              <w:pStyle w:val="TableContents"/>
              <w:widowControl w:val="false"/>
              <w:suppressLineNumbers/>
              <w:spacing w:before="0" w:after="200"/>
              <w:rPr/>
            </w:pPr>
            <w:r>
              <w:rPr/>
              <w:t>Designation of representatives for entities unable to participate directly</w:t>
            </w:r>
          </w:p>
        </w:tc>
      </w:tr>
      <w:tr>
        <w:trPr/>
        <w:tc>
          <w:tcPr>
            <w:tcW w:w="2966" w:type="dxa"/>
            <w:tcBorders/>
            <w:vAlign w:val="center"/>
          </w:tcPr>
          <w:p>
            <w:pPr>
              <w:pStyle w:val="TableContents"/>
              <w:widowControl w:val="false"/>
              <w:suppressLineNumbers/>
              <w:spacing w:before="0" w:after="200"/>
              <w:rPr/>
            </w:pPr>
            <w:r>
              <w:rPr>
                <w:rStyle w:val="Strong"/>
              </w:rPr>
              <w:t>Adaptive management</w:t>
            </w:r>
          </w:p>
        </w:tc>
        <w:tc>
          <w:tcPr>
            <w:tcW w:w="5674" w:type="dxa"/>
            <w:tcBorders/>
            <w:vAlign w:val="center"/>
          </w:tcPr>
          <w:p>
            <w:pPr>
              <w:pStyle w:val="TableContents"/>
              <w:widowControl w:val="false"/>
              <w:suppressLineNumbers/>
              <w:spacing w:before="0" w:after="200"/>
              <w:rPr/>
            </w:pPr>
            <w:r>
              <w:rPr/>
              <w:t>Iterative intervention, monitoring, learning, and correction under ecological uncertainty</w:t>
            </w:r>
          </w:p>
        </w:tc>
      </w:tr>
      <w:tr>
        <w:trPr/>
        <w:tc>
          <w:tcPr>
            <w:tcW w:w="2966" w:type="dxa"/>
            <w:tcBorders/>
            <w:vAlign w:val="center"/>
          </w:tcPr>
          <w:p>
            <w:pPr>
              <w:pStyle w:val="TableContents"/>
              <w:widowControl w:val="false"/>
              <w:suppressLineNumbers/>
              <w:spacing w:before="0" w:after="200"/>
              <w:rPr/>
            </w:pPr>
            <w:r>
              <w:rPr>
                <w:rStyle w:val="Strong"/>
              </w:rPr>
              <w:t>Ecological conscience</w:t>
            </w:r>
          </w:p>
        </w:tc>
        <w:tc>
          <w:tcPr>
            <w:tcW w:w="5674" w:type="dxa"/>
            <w:tcBorders/>
            <w:vAlign w:val="center"/>
          </w:tcPr>
          <w:p>
            <w:pPr>
              <w:pStyle w:val="TableContents"/>
              <w:widowControl w:val="false"/>
              <w:suppressLineNumbers/>
              <w:spacing w:before="0" w:after="200"/>
              <w:rPr/>
            </w:pPr>
            <w:r>
              <w:rPr/>
              <w:t>Moral-agent development oriented toward attention, restraint, and responsibility toward the land community</w:t>
            </w:r>
          </w:p>
        </w:tc>
      </w:tr>
    </w:tbl>
    <w:p>
      <w:pPr>
        <w:pStyle w:val="Heading4"/>
        <w:ind w:hanging="0" w:left="0"/>
        <w:rPr>
          <w:rFonts w:ascii="Aptos" w:hAnsi="Aptos"/>
          <w:color w:val="auto"/>
        </w:rPr>
      </w:pPr>
      <w:r>
        <w:rPr/>
        <w:t>Similarities</w:t>
      </w:r>
    </w:p>
    <w:p>
      <w:pPr>
        <w:pStyle w:val="BodyText"/>
        <w:numPr>
          <w:ilvl w:val="0"/>
          <w:numId w:val="150"/>
        </w:numPr>
        <w:tabs>
          <w:tab w:val="clear" w:pos="720"/>
          <w:tab w:val="left" w:pos="0" w:leader="none"/>
        </w:tabs>
        <w:spacing w:before="0" w:after="200"/>
        <w:ind w:hanging="283" w:left="709"/>
        <w:rPr/>
      </w:pPr>
      <w:r>
        <w:rPr>
          <w:rStyle w:val="Strong"/>
        </w:rPr>
        <w:t>Both reject exclusively human-centered assessment.</w:t>
      </w:r>
      <w:r>
        <w:rPr/>
        <w:br/>
        <w:t>The framework expressly includes relevant nonhuman persistent adaptive entities.</w:t>
      </w:r>
    </w:p>
    <w:p>
      <w:pPr>
        <w:pStyle w:val="BodyText"/>
        <w:numPr>
          <w:ilvl w:val="0"/>
          <w:numId w:val="150"/>
        </w:numPr>
        <w:tabs>
          <w:tab w:val="clear" w:pos="720"/>
          <w:tab w:val="left" w:pos="0" w:leader="none"/>
        </w:tabs>
        <w:spacing w:before="0" w:after="200"/>
        <w:ind w:hanging="283" w:left="709"/>
        <w:rPr/>
      </w:pPr>
      <w:r>
        <w:rPr>
          <w:rStyle w:val="Strong"/>
        </w:rPr>
        <w:t>Both treat entities as relationally embedded.</w:t>
      </w:r>
      <w:r>
        <w:rPr/>
        <w:br/>
        <w:t>Organisms and human agents cannot be evaluated independently of their ecological contexts.</w:t>
      </w:r>
    </w:p>
    <w:p>
      <w:pPr>
        <w:pStyle w:val="BodyText"/>
        <w:numPr>
          <w:ilvl w:val="0"/>
          <w:numId w:val="150"/>
        </w:numPr>
        <w:tabs>
          <w:tab w:val="clear" w:pos="720"/>
          <w:tab w:val="left" w:pos="0" w:leader="none"/>
        </w:tabs>
        <w:spacing w:before="0" w:after="200"/>
        <w:ind w:hanging="283" w:left="709"/>
        <w:rPr/>
      </w:pPr>
      <w:r>
        <w:rPr>
          <w:rStyle w:val="Strong"/>
        </w:rPr>
        <w:t>Both emphasize long-term flourishing.</w:t>
      </w:r>
      <w:r>
        <w:rPr/>
        <w:br/>
        <w:t>Environmental ethics requires attention to ecological and evolutionary horizons extending beyond immediate human benefit.</w:t>
      </w:r>
    </w:p>
    <w:p>
      <w:pPr>
        <w:pStyle w:val="BodyText"/>
        <w:numPr>
          <w:ilvl w:val="0"/>
          <w:numId w:val="150"/>
        </w:numPr>
        <w:tabs>
          <w:tab w:val="clear" w:pos="720"/>
          <w:tab w:val="left" w:pos="0" w:leader="none"/>
        </w:tabs>
        <w:spacing w:before="0" w:after="200"/>
        <w:ind w:hanging="283" w:left="709"/>
        <w:rPr/>
      </w:pPr>
      <w:r>
        <w:rPr>
          <w:rStyle w:val="Strong"/>
        </w:rPr>
        <w:t>Both recognize indirect and systemic effects.</w:t>
      </w:r>
      <w:r>
        <w:rPr/>
        <w:br/>
        <w:t>Environmental harm often travels through food webs, water systems, climate, institutions, and future behavior.</w:t>
      </w:r>
    </w:p>
    <w:p>
      <w:pPr>
        <w:pStyle w:val="BodyText"/>
        <w:numPr>
          <w:ilvl w:val="0"/>
          <w:numId w:val="150"/>
        </w:numPr>
        <w:tabs>
          <w:tab w:val="clear" w:pos="720"/>
          <w:tab w:val="left" w:pos="0" w:leader="none"/>
        </w:tabs>
        <w:spacing w:before="0" w:after="200"/>
        <w:ind w:hanging="283" w:left="709"/>
        <w:rPr/>
      </w:pPr>
      <w:r>
        <w:rPr>
          <w:rStyle w:val="Strong"/>
        </w:rPr>
        <w:t>Both recognize cumulative effects.</w:t>
      </w:r>
      <w:r>
        <w:rPr/>
        <w:br/>
        <w:t>Individually minor actions can jointly produce severe ecological degradation.</w:t>
      </w:r>
    </w:p>
    <w:p>
      <w:pPr>
        <w:pStyle w:val="BodyText"/>
        <w:numPr>
          <w:ilvl w:val="0"/>
          <w:numId w:val="150"/>
        </w:numPr>
        <w:tabs>
          <w:tab w:val="clear" w:pos="720"/>
          <w:tab w:val="left" w:pos="0" w:leader="none"/>
        </w:tabs>
        <w:spacing w:before="0" w:after="200"/>
        <w:ind w:hanging="283" w:left="709"/>
        <w:rPr/>
      </w:pPr>
      <w:r>
        <w:rPr>
          <w:rStyle w:val="Strong"/>
        </w:rPr>
        <w:t>Both consider future possibilities.</w:t>
      </w:r>
      <w:r>
        <w:rPr/>
        <w:br/>
        <w:t>Biodiversity and ecological integrity preserve adaptive and evolutionary state space.</w:t>
      </w:r>
    </w:p>
    <w:p>
      <w:pPr>
        <w:pStyle w:val="BodyText"/>
        <w:numPr>
          <w:ilvl w:val="0"/>
          <w:numId w:val="150"/>
        </w:numPr>
        <w:tabs>
          <w:tab w:val="clear" w:pos="720"/>
          <w:tab w:val="left" w:pos="0" w:leader="none"/>
        </w:tabs>
        <w:spacing w:before="0" w:after="200"/>
        <w:ind w:hanging="283" w:left="709"/>
        <w:rPr/>
      </w:pPr>
      <w:r>
        <w:rPr>
          <w:rStyle w:val="Strong"/>
        </w:rPr>
        <w:t>Both reject simple aggregate substitution.</w:t>
      </w:r>
      <w:r>
        <w:rPr/>
        <w:br/>
        <w:t>Economic benefit or human satisfaction does not automatically compensate for extinction, irreversible ecological loss, or severe harm to nonhuman entities.</w:t>
      </w:r>
    </w:p>
    <w:p>
      <w:pPr>
        <w:pStyle w:val="BodyText"/>
        <w:numPr>
          <w:ilvl w:val="0"/>
          <w:numId w:val="150"/>
        </w:numPr>
        <w:tabs>
          <w:tab w:val="clear" w:pos="720"/>
          <w:tab w:val="left" w:pos="0" w:leader="none"/>
        </w:tabs>
        <w:spacing w:before="0" w:after="200"/>
        <w:ind w:hanging="283" w:left="709"/>
        <w:rPr/>
      </w:pPr>
      <w:r>
        <w:rPr>
          <w:rStyle w:val="Strong"/>
        </w:rPr>
        <w:t>Both recognize uncertainty.</w:t>
      </w:r>
      <w:r>
        <w:rPr/>
        <w:br/>
        <w:t>Environmental decisions frequently depend on incomplete causal models, uncertain thresholds, and multiple scenarios.</w:t>
      </w:r>
    </w:p>
    <w:p>
      <w:pPr>
        <w:pStyle w:val="BodyText"/>
        <w:numPr>
          <w:ilvl w:val="0"/>
          <w:numId w:val="150"/>
        </w:numPr>
        <w:tabs>
          <w:tab w:val="clear" w:pos="720"/>
          <w:tab w:val="left" w:pos="0" w:leader="none"/>
        </w:tabs>
        <w:spacing w:before="0" w:after="200"/>
        <w:ind w:hanging="283" w:left="709"/>
        <w:rPr/>
      </w:pPr>
      <w:r>
        <w:rPr>
          <w:rStyle w:val="Strong"/>
        </w:rPr>
        <w:t>Both support multiple time horizons.</w:t>
      </w:r>
      <w:r>
        <w:rPr/>
        <w:br/>
        <w:t>Immediate benefits may create delayed ecological costs and intergenerational risk.</w:t>
      </w:r>
    </w:p>
    <w:p>
      <w:pPr>
        <w:pStyle w:val="BodyText"/>
        <w:numPr>
          <w:ilvl w:val="0"/>
          <w:numId w:val="150"/>
        </w:numPr>
        <w:tabs>
          <w:tab w:val="clear" w:pos="720"/>
          <w:tab w:val="left" w:pos="0" w:leader="none"/>
        </w:tabs>
        <w:spacing w:before="0" w:after="200"/>
        <w:ind w:hanging="283" w:left="709"/>
        <w:rPr/>
      </w:pPr>
      <w:r>
        <w:rPr>
          <w:rStyle w:val="Strong"/>
        </w:rPr>
        <w:t>Both distinguish causal effect from responsibility.</w:t>
      </w:r>
      <w:r>
        <w:rPr/>
        <w:br/>
        <w:t>Ecological harm may arise through many actors, while responsibility varies with role, knowledge, authority, alternatives, and benefit.</w:t>
      </w:r>
    </w:p>
    <w:p>
      <w:pPr>
        <w:pStyle w:val="BodyText"/>
        <w:numPr>
          <w:ilvl w:val="0"/>
          <w:numId w:val="150"/>
        </w:numPr>
        <w:tabs>
          <w:tab w:val="clear" w:pos="720"/>
          <w:tab w:val="left" w:pos="0" w:leader="none"/>
        </w:tabs>
        <w:spacing w:before="0" w:after="200"/>
        <w:ind w:hanging="283" w:left="709"/>
        <w:rPr/>
      </w:pPr>
      <w:r>
        <w:rPr>
          <w:rStyle w:val="Strong"/>
        </w:rPr>
        <w:t>Both examine institutional and policy effects.</w:t>
      </w:r>
      <w:r>
        <w:rPr/>
        <w:br/>
        <w:t>Laws, markets, infrastructure, technology, and social norms affect environmental behavior.</w:t>
      </w:r>
    </w:p>
    <w:p>
      <w:pPr>
        <w:pStyle w:val="BodyText"/>
        <w:numPr>
          <w:ilvl w:val="0"/>
          <w:numId w:val="150"/>
        </w:numPr>
        <w:tabs>
          <w:tab w:val="clear" w:pos="720"/>
          <w:tab w:val="left" w:pos="0" w:leader="none"/>
        </w:tabs>
        <w:spacing w:before="0" w:after="200"/>
        <w:ind w:hanging="283" w:left="709"/>
        <w:rPr/>
      </w:pPr>
      <w:r>
        <w:rPr>
          <w:rStyle w:val="Strong"/>
        </w:rPr>
        <w:t>Both recognize moral-agent development.</w:t>
      </w:r>
      <w:r>
        <w:rPr/>
        <w:br/>
        <w:t>Ethical stability depends partly on agents learning to recognize environmental relationships and restrain destructive policies.</w:t>
      </w:r>
    </w:p>
    <w:p>
      <w:pPr>
        <w:pStyle w:val="BodyText"/>
        <w:numPr>
          <w:ilvl w:val="0"/>
          <w:numId w:val="150"/>
        </w:numPr>
        <w:tabs>
          <w:tab w:val="clear" w:pos="720"/>
          <w:tab w:val="left" w:pos="0" w:leader="none"/>
        </w:tabs>
        <w:spacing w:before="0" w:after="200"/>
        <w:ind w:hanging="283" w:left="709"/>
        <w:rPr/>
      </w:pPr>
      <w:r>
        <w:rPr>
          <w:rStyle w:val="Strong"/>
        </w:rPr>
        <w:t>Both can support precaution.</w:t>
      </w:r>
      <w:r>
        <w:rPr/>
        <w:br/>
        <w:t>Uncertainty does not require inaction when potential harm is severe or irreversible.</w:t>
      </w:r>
    </w:p>
    <w:p>
      <w:pPr>
        <w:pStyle w:val="BodyText"/>
        <w:numPr>
          <w:ilvl w:val="0"/>
          <w:numId w:val="150"/>
        </w:numPr>
        <w:tabs>
          <w:tab w:val="clear" w:pos="720"/>
          <w:tab w:val="left" w:pos="0" w:leader="none"/>
        </w:tabs>
        <w:spacing w:before="0" w:after="200"/>
        <w:ind w:hanging="283" w:left="709"/>
        <w:rPr/>
      </w:pPr>
      <w:r>
        <w:rPr>
          <w:rStyle w:val="Strong"/>
        </w:rPr>
        <w:t>Both treat flourishing as multidimensional.</w:t>
      </w:r>
      <w:r>
        <w:rPr/>
        <w:br/>
        <w:t>Survival alone is insufficient; relationships, autonomy, resilience, integrity, diversity, and future possibilities also matter.</w:t>
      </w:r>
    </w:p>
    <w:p>
      <w:pPr>
        <w:pStyle w:val="BodyText"/>
        <w:numPr>
          <w:ilvl w:val="0"/>
          <w:numId w:val="150"/>
        </w:numPr>
        <w:tabs>
          <w:tab w:val="clear" w:pos="720"/>
          <w:tab w:val="left" w:pos="0" w:leader="none"/>
        </w:tabs>
        <w:spacing w:before="0" w:after="200"/>
        <w:ind w:hanging="283" w:left="709"/>
        <w:rPr/>
      </w:pPr>
      <w:r>
        <w:rPr>
          <w:rStyle w:val="Strong"/>
        </w:rPr>
        <w:t>Both can evaluate restoration and repair.</w:t>
      </w:r>
      <w:r>
        <w:rPr/>
        <w:br/>
        <w:t>Ethical assessment includes what actions recover damaged entities, relationships, and system capacities.</w:t>
      </w:r>
    </w:p>
    <w:p>
      <w:pPr>
        <w:pStyle w:val="BodyText"/>
        <w:numPr>
          <w:ilvl w:val="0"/>
          <w:numId w:val="150"/>
        </w:numPr>
        <w:tabs>
          <w:tab w:val="clear" w:pos="720"/>
          <w:tab w:val="left" w:pos="0" w:leader="none"/>
        </w:tabs>
        <w:spacing w:before="0" w:after="200"/>
        <w:ind w:hanging="283" w:left="709"/>
        <w:rPr/>
      </w:pPr>
      <w:r>
        <w:rPr>
          <w:rStyle w:val="Strong"/>
        </w:rPr>
        <w:t>Both reject narrow local optimization.</w:t>
      </w:r>
      <w:r>
        <w:rPr/>
        <w:br/>
        <w:t>Human economic or institutional gains must be evaluated against broader ecological effects.</w:t>
      </w:r>
    </w:p>
    <w:p>
      <w:pPr>
        <w:pStyle w:val="BodyText"/>
        <w:numPr>
          <w:ilvl w:val="0"/>
          <w:numId w:val="150"/>
        </w:numPr>
        <w:tabs>
          <w:tab w:val="clear" w:pos="720"/>
          <w:tab w:val="left" w:pos="0" w:leader="none"/>
        </w:tabs>
        <w:spacing w:before="0" w:after="200"/>
        <w:ind w:hanging="283" w:left="709"/>
        <w:rPr/>
      </w:pPr>
      <w:r>
        <w:rPr>
          <w:rStyle w:val="Strong"/>
        </w:rPr>
        <w:t>Both permit structural interventions.</w:t>
      </w:r>
      <w:r>
        <w:rPr/>
        <w:br/>
        <w:t>Ethical action may require changing incentives, technologies, governance, ownership, infrastructure, or cultural objectives.</w:t>
      </w:r>
    </w:p>
    <w:p>
      <w:pPr>
        <w:pStyle w:val="Heading4"/>
        <w:ind w:hanging="0" w:left="0"/>
        <w:rPr>
          <w:rFonts w:ascii="Aptos" w:hAnsi="Aptos"/>
          <w:color w:val="auto"/>
        </w:rPr>
      </w:pPr>
      <w:r>
        <w:rPr/>
        <w:t>Differences</w:t>
      </w:r>
    </w:p>
    <w:tbl>
      <w:tblPr>
        <w:tblW w:w="8640" w:type="dxa"/>
        <w:jc w:val="left"/>
        <w:tblInd w:w="28" w:type="dxa"/>
        <w:tblLayout w:type="fixed"/>
        <w:tblCellMar>
          <w:top w:w="28" w:type="dxa"/>
          <w:left w:w="28" w:type="dxa"/>
          <w:bottom w:w="28" w:type="dxa"/>
          <w:right w:w="28" w:type="dxa"/>
        </w:tblCellMar>
      </w:tblPr>
      <w:tblGrid>
        <w:gridCol w:w="1922"/>
        <w:gridCol w:w="2977"/>
        <w:gridCol w:w="3741"/>
      </w:tblGrid>
      <w:tr>
        <w:trPr>
          <w:tblHeader w:val="true"/>
        </w:trPr>
        <w:tc>
          <w:tcPr>
            <w:tcW w:w="1922" w:type="dxa"/>
            <w:tcBorders/>
            <w:vAlign w:val="center"/>
          </w:tcPr>
          <w:p>
            <w:pPr>
              <w:pStyle w:val="TableHeading"/>
              <w:suppressLineNumbers/>
              <w:spacing w:before="0" w:after="200"/>
              <w:jc w:val="center"/>
              <w:rPr/>
            </w:pPr>
            <w:r>
              <w:rPr/>
              <w:t>Dimension</w:t>
            </w:r>
          </w:p>
        </w:tc>
        <w:tc>
          <w:tcPr>
            <w:tcW w:w="2977" w:type="dxa"/>
            <w:tcBorders/>
            <w:vAlign w:val="center"/>
          </w:tcPr>
          <w:p>
            <w:pPr>
              <w:pStyle w:val="TableHeading"/>
              <w:suppressLineNumbers/>
              <w:spacing w:before="0" w:after="200"/>
              <w:jc w:val="center"/>
              <w:rPr/>
            </w:pPr>
            <w:r>
              <w:rPr/>
              <w:t>Environmental Ethics / Deep Ecology</w:t>
            </w:r>
          </w:p>
        </w:tc>
        <w:tc>
          <w:tcPr>
            <w:tcW w:w="3741" w:type="dxa"/>
            <w:tcBorders/>
            <w:vAlign w:val="center"/>
          </w:tcPr>
          <w:p>
            <w:pPr>
              <w:pStyle w:val="TableHeading"/>
              <w:suppressLineNumbers/>
              <w:spacing w:before="0" w:after="200"/>
              <w:jc w:val="center"/>
              <w:rPr/>
            </w:pPr>
            <w:r>
              <w:rPr/>
              <w:t>This framework</w:t>
            </w:r>
          </w:p>
        </w:tc>
      </w:tr>
      <w:tr>
        <w:trPr/>
        <w:tc>
          <w:tcPr>
            <w:tcW w:w="1922" w:type="dxa"/>
            <w:tcBorders/>
            <w:vAlign w:val="center"/>
          </w:tcPr>
          <w:p>
            <w:pPr>
              <w:pStyle w:val="TableContents"/>
              <w:widowControl w:val="false"/>
              <w:suppressLineNumbers/>
              <w:spacing w:before="0" w:after="200"/>
              <w:rPr/>
            </w:pPr>
            <w:r>
              <w:rPr>
                <w:rStyle w:val="Strong"/>
              </w:rPr>
              <w:t>Primary moral orientation</w:t>
            </w:r>
          </w:p>
        </w:tc>
        <w:tc>
          <w:tcPr>
            <w:tcW w:w="2977" w:type="dxa"/>
            <w:tcBorders/>
            <w:vAlign w:val="center"/>
          </w:tcPr>
          <w:p>
            <w:pPr>
              <w:pStyle w:val="TableContents"/>
              <w:widowControl w:val="false"/>
              <w:suppressLineNumbers/>
              <w:spacing w:before="0" w:after="200"/>
              <w:rPr/>
            </w:pPr>
            <w:r>
              <w:rPr/>
              <w:t>Environmental ethics varies; Deep Ecology is explicitly ecocentric</w:t>
            </w:r>
          </w:p>
        </w:tc>
        <w:tc>
          <w:tcPr>
            <w:tcW w:w="3741" w:type="dxa"/>
            <w:tcBorders/>
            <w:vAlign w:val="center"/>
          </w:tcPr>
          <w:p>
            <w:pPr>
              <w:pStyle w:val="TableContents"/>
              <w:widowControl w:val="false"/>
              <w:suppressLineNumbers/>
              <w:spacing w:before="0" w:after="200"/>
              <w:rPr/>
            </w:pPr>
            <w:r>
              <w:rPr/>
              <w:t>Oriented toward compatible long-term flourishing of all relevant persistent adaptive entities</w:t>
            </w:r>
          </w:p>
        </w:tc>
      </w:tr>
      <w:tr>
        <w:trPr/>
        <w:tc>
          <w:tcPr>
            <w:tcW w:w="1922" w:type="dxa"/>
            <w:tcBorders/>
            <w:vAlign w:val="center"/>
          </w:tcPr>
          <w:p>
            <w:pPr>
              <w:pStyle w:val="TableContents"/>
              <w:widowControl w:val="false"/>
              <w:suppressLineNumbers/>
              <w:spacing w:before="0" w:after="200"/>
              <w:rPr/>
            </w:pPr>
            <w:r>
              <w:rPr>
                <w:rStyle w:val="Strong"/>
              </w:rPr>
              <w:t>Scope of value</w:t>
            </w:r>
          </w:p>
        </w:tc>
        <w:tc>
          <w:tcPr>
            <w:tcW w:w="2977" w:type="dxa"/>
            <w:tcBorders/>
            <w:vAlign w:val="center"/>
          </w:tcPr>
          <w:p>
            <w:pPr>
              <w:pStyle w:val="TableContents"/>
              <w:widowControl w:val="false"/>
              <w:suppressLineNumbers/>
              <w:spacing w:before="0" w:after="200"/>
              <w:rPr/>
            </w:pPr>
            <w:r>
              <w:rPr/>
              <w:t>May include organisms, species, ecosystems, landscapes, ecological processes, and abiotic nature</w:t>
            </w:r>
          </w:p>
        </w:tc>
        <w:tc>
          <w:tcPr>
            <w:tcW w:w="3741" w:type="dxa"/>
            <w:tcBorders/>
            <w:vAlign w:val="center"/>
          </w:tcPr>
          <w:p>
            <w:pPr>
              <w:pStyle w:val="TableContents"/>
              <w:widowControl w:val="false"/>
              <w:suppressLineNumbers/>
              <w:spacing w:before="0" w:after="200"/>
              <w:rPr/>
            </w:pPr>
            <w:r>
              <w:rPr/>
              <w:t>Most directly includes persistent adaptive entities; other environmental values require additional representation</w:t>
            </w:r>
          </w:p>
        </w:tc>
      </w:tr>
      <w:tr>
        <w:trPr/>
        <w:tc>
          <w:tcPr>
            <w:tcW w:w="1922" w:type="dxa"/>
            <w:tcBorders/>
            <w:vAlign w:val="center"/>
          </w:tcPr>
          <w:p>
            <w:pPr>
              <w:pStyle w:val="TableContents"/>
              <w:widowControl w:val="false"/>
              <w:suppressLineNumbers/>
              <w:spacing w:before="0" w:after="200"/>
              <w:rPr/>
            </w:pPr>
            <w:r>
              <w:rPr>
                <w:rStyle w:val="Strong"/>
              </w:rPr>
              <w:t>Human status</w:t>
            </w:r>
          </w:p>
        </w:tc>
        <w:tc>
          <w:tcPr>
            <w:tcW w:w="2977" w:type="dxa"/>
            <w:tcBorders/>
            <w:vAlign w:val="center"/>
          </w:tcPr>
          <w:p>
            <w:pPr>
              <w:pStyle w:val="TableContents"/>
              <w:widowControl w:val="false"/>
              <w:suppressLineNumbers/>
              <w:spacing w:before="0" w:after="200"/>
              <w:rPr/>
            </w:pPr>
            <w:r>
              <w:rPr/>
              <w:t>Deep Ecology rejects automatic human supremacy</w:t>
            </w:r>
          </w:p>
        </w:tc>
        <w:tc>
          <w:tcPr>
            <w:tcW w:w="3741" w:type="dxa"/>
            <w:tcBorders/>
            <w:vAlign w:val="center"/>
          </w:tcPr>
          <w:p>
            <w:pPr>
              <w:pStyle w:val="TableContents"/>
              <w:widowControl w:val="false"/>
              <w:suppressLineNumbers/>
              <w:spacing w:before="0" w:after="200"/>
              <w:rPr/>
            </w:pPr>
            <w:r>
              <w:rPr/>
              <w:t>Humans are one category of relevant entity but may have distinctive agency and responsibility</w:t>
            </w:r>
          </w:p>
        </w:tc>
      </w:tr>
      <w:tr>
        <w:trPr/>
        <w:tc>
          <w:tcPr>
            <w:tcW w:w="1922" w:type="dxa"/>
            <w:tcBorders/>
            <w:vAlign w:val="center"/>
          </w:tcPr>
          <w:p>
            <w:pPr>
              <w:pStyle w:val="TableContents"/>
              <w:widowControl w:val="false"/>
              <w:suppressLineNumbers/>
              <w:spacing w:before="0" w:after="200"/>
              <w:rPr/>
            </w:pPr>
            <w:r>
              <w:rPr>
                <w:rStyle w:val="Strong"/>
              </w:rPr>
              <w:t>Equality</w:t>
            </w:r>
          </w:p>
        </w:tc>
        <w:tc>
          <w:tcPr>
            <w:tcW w:w="2977" w:type="dxa"/>
            <w:tcBorders/>
            <w:vAlign w:val="center"/>
          </w:tcPr>
          <w:p>
            <w:pPr>
              <w:pStyle w:val="TableContents"/>
              <w:widowControl w:val="false"/>
              <w:suppressLineNumbers/>
              <w:spacing w:before="0" w:after="200"/>
              <w:rPr/>
            </w:pPr>
            <w:r>
              <w:rPr/>
              <w:t>Deep Ecology invokes biospheric egalitarianism “in principle”</w:t>
            </w:r>
          </w:p>
        </w:tc>
        <w:tc>
          <w:tcPr>
            <w:tcW w:w="3741" w:type="dxa"/>
            <w:tcBorders/>
            <w:vAlign w:val="center"/>
          </w:tcPr>
          <w:p>
            <w:pPr>
              <w:pStyle w:val="TableContents"/>
              <w:widowControl w:val="false"/>
              <w:suppressLineNumbers/>
              <w:spacing w:before="0" w:after="200"/>
              <w:rPr/>
            </w:pPr>
            <w:r>
              <w:rPr/>
              <w:t>Does not presume equal treatment or identical weighting of all entities</w:t>
            </w:r>
          </w:p>
        </w:tc>
      </w:tr>
      <w:tr>
        <w:trPr/>
        <w:tc>
          <w:tcPr>
            <w:tcW w:w="1922" w:type="dxa"/>
            <w:tcBorders/>
            <w:vAlign w:val="center"/>
          </w:tcPr>
          <w:p>
            <w:pPr>
              <w:pStyle w:val="TableContents"/>
              <w:widowControl w:val="false"/>
              <w:suppressLineNumbers/>
              <w:spacing w:before="0" w:after="200"/>
              <w:rPr/>
            </w:pPr>
            <w:r>
              <w:rPr>
                <w:rStyle w:val="Strong"/>
              </w:rPr>
              <w:t>Ecological wholes</w:t>
            </w:r>
          </w:p>
        </w:tc>
        <w:tc>
          <w:tcPr>
            <w:tcW w:w="2977" w:type="dxa"/>
            <w:tcBorders/>
            <w:vAlign w:val="center"/>
          </w:tcPr>
          <w:p>
            <w:pPr>
              <w:pStyle w:val="TableContents"/>
              <w:widowControl w:val="false"/>
              <w:suppressLineNumbers/>
              <w:spacing w:before="0" w:after="200"/>
              <w:rPr/>
            </w:pPr>
            <w:r>
              <w:rPr/>
              <w:t>Some theories assign direct value to species or ecosystems</w:t>
            </w:r>
          </w:p>
        </w:tc>
        <w:tc>
          <w:tcPr>
            <w:tcW w:w="3741" w:type="dxa"/>
            <w:tcBorders/>
            <w:vAlign w:val="center"/>
          </w:tcPr>
          <w:p>
            <w:pPr>
              <w:pStyle w:val="TableContents"/>
              <w:widowControl w:val="false"/>
              <w:suppressLineNumbers/>
              <w:spacing w:before="0" w:after="200"/>
              <w:rPr/>
            </w:pPr>
            <w:r>
              <w:rPr/>
              <w:t>Requires clarification of whether ecological wholes are entities, contexts, associations, or emergent properties</w:t>
            </w:r>
          </w:p>
        </w:tc>
      </w:tr>
      <w:tr>
        <w:trPr/>
        <w:tc>
          <w:tcPr>
            <w:tcW w:w="1922" w:type="dxa"/>
            <w:tcBorders/>
            <w:vAlign w:val="center"/>
          </w:tcPr>
          <w:p>
            <w:pPr>
              <w:pStyle w:val="TableContents"/>
              <w:widowControl w:val="false"/>
              <w:suppressLineNumbers/>
              <w:spacing w:before="0" w:after="200"/>
              <w:rPr/>
            </w:pPr>
            <w:r>
              <w:rPr>
                <w:rStyle w:val="Strong"/>
              </w:rPr>
              <w:t>Wildness and naturalness</w:t>
            </w:r>
          </w:p>
        </w:tc>
        <w:tc>
          <w:tcPr>
            <w:tcW w:w="2977" w:type="dxa"/>
            <w:tcBorders/>
            <w:vAlign w:val="center"/>
          </w:tcPr>
          <w:p>
            <w:pPr>
              <w:pStyle w:val="TableContents"/>
              <w:widowControl w:val="false"/>
              <w:suppressLineNumbers/>
              <w:spacing w:before="0" w:after="200"/>
              <w:rPr/>
            </w:pPr>
            <w:r>
              <w:rPr/>
              <w:t>Often treated as significant values</w:t>
            </w:r>
          </w:p>
        </w:tc>
        <w:tc>
          <w:tcPr>
            <w:tcW w:w="3741" w:type="dxa"/>
            <w:tcBorders/>
            <w:vAlign w:val="center"/>
          </w:tcPr>
          <w:p>
            <w:pPr>
              <w:pStyle w:val="TableContents"/>
              <w:widowControl w:val="false"/>
              <w:suppressLineNumbers/>
              <w:spacing w:before="0" w:after="200"/>
              <w:rPr/>
            </w:pPr>
            <w:r>
              <w:rPr/>
              <w:t>Not independently foundational unless connected to flourishing, autonomy, integrity, or future possibility</w:t>
            </w:r>
          </w:p>
        </w:tc>
      </w:tr>
      <w:tr>
        <w:trPr/>
        <w:tc>
          <w:tcPr>
            <w:tcW w:w="1922" w:type="dxa"/>
            <w:tcBorders/>
            <w:vAlign w:val="center"/>
          </w:tcPr>
          <w:p>
            <w:pPr>
              <w:pStyle w:val="TableContents"/>
              <w:widowControl w:val="false"/>
              <w:suppressLineNumbers/>
              <w:spacing w:before="0" w:after="200"/>
              <w:rPr/>
            </w:pPr>
            <w:r>
              <w:rPr>
                <w:rStyle w:val="Strong"/>
              </w:rPr>
              <w:t>Stability</w:t>
            </w:r>
          </w:p>
        </w:tc>
        <w:tc>
          <w:tcPr>
            <w:tcW w:w="2977" w:type="dxa"/>
            <w:tcBorders/>
            <w:vAlign w:val="center"/>
          </w:tcPr>
          <w:p>
            <w:pPr>
              <w:pStyle w:val="TableContents"/>
              <w:widowControl w:val="false"/>
              <w:suppressLineNumbers/>
              <w:spacing w:before="0" w:after="200"/>
              <w:rPr/>
            </w:pPr>
            <w:r>
              <w:rPr/>
              <w:t>Some land-ethic formulations historically emphasized ecological stability</w:t>
            </w:r>
          </w:p>
        </w:tc>
        <w:tc>
          <w:tcPr>
            <w:tcW w:w="3741" w:type="dxa"/>
            <w:tcBorders/>
            <w:vAlign w:val="center"/>
          </w:tcPr>
          <w:p>
            <w:pPr>
              <w:pStyle w:val="TableContents"/>
              <w:widowControl w:val="false"/>
              <w:suppressLineNumbers/>
              <w:spacing w:before="0" w:after="200"/>
              <w:rPr/>
            </w:pPr>
            <w:r>
              <w:rPr/>
              <w:t>Does not equate ethical value with static stability; recognizes adaptation and transformation</w:t>
            </w:r>
          </w:p>
        </w:tc>
      </w:tr>
      <w:tr>
        <w:trPr/>
        <w:tc>
          <w:tcPr>
            <w:tcW w:w="1922" w:type="dxa"/>
            <w:tcBorders/>
            <w:vAlign w:val="center"/>
          </w:tcPr>
          <w:p>
            <w:pPr>
              <w:pStyle w:val="TableContents"/>
              <w:widowControl w:val="false"/>
              <w:suppressLineNumbers/>
              <w:spacing w:before="0" w:after="200"/>
              <w:rPr/>
            </w:pPr>
            <w:r>
              <w:rPr>
                <w:rStyle w:val="Strong"/>
              </w:rPr>
              <w:t>Technology</w:t>
            </w:r>
          </w:p>
        </w:tc>
        <w:tc>
          <w:tcPr>
            <w:tcW w:w="2977" w:type="dxa"/>
            <w:tcBorders/>
            <w:vAlign w:val="center"/>
          </w:tcPr>
          <w:p>
            <w:pPr>
              <w:pStyle w:val="TableContents"/>
              <w:widowControl w:val="false"/>
              <w:suppressLineNumbers/>
              <w:spacing w:before="0" w:after="200"/>
              <w:rPr/>
            </w:pPr>
            <w:r>
              <w:rPr/>
              <w:t>Deep Ecology often strongly criticizes industrial technology and material growth</w:t>
            </w:r>
          </w:p>
        </w:tc>
        <w:tc>
          <w:tcPr>
            <w:tcW w:w="3741" w:type="dxa"/>
            <w:tcBorders/>
            <w:vAlign w:val="center"/>
          </w:tcPr>
          <w:p>
            <w:pPr>
              <w:pStyle w:val="TableContents"/>
              <w:widowControl w:val="false"/>
              <w:suppressLineNumbers/>
              <w:spacing w:before="0" w:after="200"/>
              <w:rPr/>
            </w:pPr>
            <w:r>
              <w:rPr/>
              <w:t>Implementation-neutral; evaluates technologies according to their complete transitions</w:t>
            </w:r>
          </w:p>
        </w:tc>
      </w:tr>
      <w:tr>
        <w:trPr/>
        <w:tc>
          <w:tcPr>
            <w:tcW w:w="1922" w:type="dxa"/>
            <w:tcBorders/>
            <w:vAlign w:val="center"/>
          </w:tcPr>
          <w:p>
            <w:pPr>
              <w:pStyle w:val="TableContents"/>
              <w:widowControl w:val="false"/>
              <w:suppressLineNumbers/>
              <w:spacing w:before="0" w:after="200"/>
              <w:rPr/>
            </w:pPr>
            <w:r>
              <w:rPr>
                <w:rStyle w:val="Strong"/>
              </w:rPr>
              <w:t>Consumption</w:t>
            </w:r>
          </w:p>
        </w:tc>
        <w:tc>
          <w:tcPr>
            <w:tcW w:w="2977" w:type="dxa"/>
            <w:tcBorders/>
            <w:vAlign w:val="center"/>
          </w:tcPr>
          <w:p>
            <w:pPr>
              <w:pStyle w:val="TableContents"/>
              <w:widowControl w:val="false"/>
              <w:suppressLineNumbers/>
              <w:spacing w:before="0" w:after="200"/>
              <w:rPr/>
            </w:pPr>
            <w:r>
              <w:rPr/>
              <w:t>Deep Ecology distinguishes vital needs from nonvital consumption</w:t>
            </w:r>
          </w:p>
        </w:tc>
        <w:tc>
          <w:tcPr>
            <w:tcW w:w="3741" w:type="dxa"/>
            <w:tcBorders/>
            <w:vAlign w:val="center"/>
          </w:tcPr>
          <w:p>
            <w:pPr>
              <w:pStyle w:val="TableContents"/>
              <w:widowControl w:val="false"/>
              <w:suppressLineNumbers/>
              <w:spacing w:before="0" w:after="200"/>
              <w:rPr/>
            </w:pPr>
            <w:r>
              <w:rPr/>
              <w:t>Can incorporate the distinction but does not make simple living independently foundational</w:t>
            </w:r>
          </w:p>
        </w:tc>
      </w:tr>
      <w:tr>
        <w:trPr/>
        <w:tc>
          <w:tcPr>
            <w:tcW w:w="1922" w:type="dxa"/>
            <w:tcBorders/>
            <w:vAlign w:val="center"/>
          </w:tcPr>
          <w:p>
            <w:pPr>
              <w:pStyle w:val="TableContents"/>
              <w:widowControl w:val="false"/>
              <w:suppressLineNumbers/>
              <w:spacing w:before="0" w:after="200"/>
              <w:rPr/>
            </w:pPr>
            <w:r>
              <w:rPr>
                <w:rStyle w:val="Strong"/>
              </w:rPr>
              <w:t>Population</w:t>
            </w:r>
          </w:p>
        </w:tc>
        <w:tc>
          <w:tcPr>
            <w:tcW w:w="2977" w:type="dxa"/>
            <w:tcBorders/>
            <w:vAlign w:val="center"/>
          </w:tcPr>
          <w:p>
            <w:pPr>
              <w:pStyle w:val="TableContents"/>
              <w:widowControl w:val="false"/>
              <w:suppressLineNumbers/>
              <w:spacing w:before="0" w:after="200"/>
              <w:rPr/>
            </w:pPr>
            <w:r>
              <w:rPr/>
              <w:t>The historical platform calls for long-term population reduction</w:t>
            </w:r>
          </w:p>
        </w:tc>
        <w:tc>
          <w:tcPr>
            <w:tcW w:w="3741" w:type="dxa"/>
            <w:tcBorders/>
            <w:vAlign w:val="center"/>
          </w:tcPr>
          <w:p>
            <w:pPr>
              <w:pStyle w:val="TableContents"/>
              <w:widowControl w:val="false"/>
              <w:suppressLineNumbers/>
              <w:spacing w:before="0" w:after="200"/>
              <w:rPr/>
            </w:pPr>
            <w:r>
              <w:rPr/>
              <w:t>Must evaluate demographic issues through rights, autonomy, justice, consumption, and noncoercion</w:t>
            </w:r>
          </w:p>
        </w:tc>
      </w:tr>
      <w:tr>
        <w:trPr/>
        <w:tc>
          <w:tcPr>
            <w:tcW w:w="1922" w:type="dxa"/>
            <w:tcBorders/>
            <w:vAlign w:val="center"/>
          </w:tcPr>
          <w:p>
            <w:pPr>
              <w:pStyle w:val="TableContents"/>
              <w:widowControl w:val="false"/>
              <w:suppressLineNumbers/>
              <w:spacing w:before="0" w:after="200"/>
              <w:rPr/>
            </w:pPr>
            <w:r>
              <w:rPr>
                <w:rStyle w:val="Strong"/>
              </w:rPr>
              <w:t>Individual versus whole</w:t>
            </w:r>
          </w:p>
        </w:tc>
        <w:tc>
          <w:tcPr>
            <w:tcW w:w="2977" w:type="dxa"/>
            <w:tcBorders/>
            <w:vAlign w:val="center"/>
          </w:tcPr>
          <w:p>
            <w:pPr>
              <w:pStyle w:val="TableContents"/>
              <w:widowControl w:val="false"/>
              <w:suppressLineNumbers/>
              <w:spacing w:before="0" w:after="200"/>
              <w:rPr/>
            </w:pPr>
            <w:r>
              <w:rPr/>
              <w:t>Ecocentric theories may prioritize ecosystem or species integrity</w:t>
            </w:r>
          </w:p>
        </w:tc>
        <w:tc>
          <w:tcPr>
            <w:tcW w:w="3741" w:type="dxa"/>
            <w:tcBorders/>
            <w:vAlign w:val="center"/>
          </w:tcPr>
          <w:p>
            <w:pPr>
              <w:pStyle w:val="TableContents"/>
              <w:widowControl w:val="false"/>
              <w:suppressLineNumbers/>
              <w:spacing w:before="0" w:after="200"/>
              <w:rPr/>
            </w:pPr>
            <w:r>
              <w:rPr/>
              <w:t>Requires consideration of each relevant entity and compatibility among individual and systemic flourishing</w:t>
            </w:r>
          </w:p>
        </w:tc>
      </w:tr>
      <w:tr>
        <w:trPr/>
        <w:tc>
          <w:tcPr>
            <w:tcW w:w="1922" w:type="dxa"/>
            <w:tcBorders/>
            <w:vAlign w:val="center"/>
          </w:tcPr>
          <w:p>
            <w:pPr>
              <w:pStyle w:val="TableContents"/>
              <w:widowControl w:val="false"/>
              <w:suppressLineNumbers/>
              <w:spacing w:before="0" w:after="200"/>
              <w:rPr/>
            </w:pPr>
            <w:r>
              <w:rPr>
                <w:rStyle w:val="Strong"/>
              </w:rPr>
              <w:t>Political theory</w:t>
            </w:r>
          </w:p>
        </w:tc>
        <w:tc>
          <w:tcPr>
            <w:tcW w:w="2977" w:type="dxa"/>
            <w:tcBorders/>
            <w:vAlign w:val="center"/>
          </w:tcPr>
          <w:p>
            <w:pPr>
              <w:pStyle w:val="TableContents"/>
              <w:widowControl w:val="false"/>
              <w:suppressLineNumbers/>
              <w:spacing w:before="0" w:after="200"/>
              <w:rPr/>
            </w:pPr>
            <w:r>
              <w:rPr/>
              <w:t>Deep Ecology may leave social structure underdeveloped; social ecology and ecofeminism make it central</w:t>
            </w:r>
          </w:p>
        </w:tc>
        <w:tc>
          <w:tcPr>
            <w:tcW w:w="3741" w:type="dxa"/>
            <w:tcBorders/>
            <w:vAlign w:val="center"/>
          </w:tcPr>
          <w:p>
            <w:pPr>
              <w:pStyle w:val="TableContents"/>
              <w:widowControl w:val="false"/>
              <w:suppressLineNumbers/>
              <w:spacing w:before="0" w:after="200"/>
              <w:rPr/>
            </w:pPr>
            <w:r>
              <w:rPr/>
              <w:t>Can represent power and institutions but is not tied to one environmental political theory</w:t>
            </w:r>
          </w:p>
        </w:tc>
      </w:tr>
      <w:tr>
        <w:trPr/>
        <w:tc>
          <w:tcPr>
            <w:tcW w:w="1922" w:type="dxa"/>
            <w:tcBorders/>
            <w:vAlign w:val="center"/>
          </w:tcPr>
          <w:p>
            <w:pPr>
              <w:pStyle w:val="TableContents"/>
              <w:widowControl w:val="false"/>
              <w:suppressLineNumbers/>
              <w:spacing w:before="0" w:after="200"/>
              <w:rPr/>
            </w:pPr>
            <w:r>
              <w:rPr>
                <w:rStyle w:val="Strong"/>
              </w:rPr>
              <w:t>Moral motivation</w:t>
            </w:r>
          </w:p>
        </w:tc>
        <w:tc>
          <w:tcPr>
            <w:tcW w:w="2977" w:type="dxa"/>
            <w:tcBorders/>
            <w:vAlign w:val="center"/>
          </w:tcPr>
          <w:p>
            <w:pPr>
              <w:pStyle w:val="TableContents"/>
              <w:widowControl w:val="false"/>
              <w:suppressLineNumbers/>
              <w:spacing w:before="0" w:after="200"/>
              <w:rPr/>
            </w:pPr>
            <w:r>
              <w:rPr/>
              <w:t>Deep Ecology emphasizes ecological identity and self-realization</w:t>
            </w:r>
          </w:p>
        </w:tc>
        <w:tc>
          <w:tcPr>
            <w:tcW w:w="3741" w:type="dxa"/>
            <w:tcBorders/>
            <w:vAlign w:val="center"/>
          </w:tcPr>
          <w:p>
            <w:pPr>
              <w:pStyle w:val="TableContents"/>
              <w:widowControl w:val="false"/>
              <w:suppressLineNumbers/>
              <w:spacing w:before="0" w:after="200"/>
              <w:rPr/>
            </w:pPr>
            <w:r>
              <w:rPr/>
              <w:t>Emphasizes explainable assessment and adaptive moral-agent development</w:t>
            </w:r>
          </w:p>
        </w:tc>
      </w:tr>
      <w:tr>
        <w:trPr/>
        <w:tc>
          <w:tcPr>
            <w:tcW w:w="1922" w:type="dxa"/>
            <w:tcBorders/>
            <w:vAlign w:val="center"/>
          </w:tcPr>
          <w:p>
            <w:pPr>
              <w:pStyle w:val="TableContents"/>
              <w:widowControl w:val="false"/>
              <w:suppressLineNumbers/>
              <w:spacing w:before="0" w:after="200"/>
              <w:rPr/>
            </w:pPr>
            <w:r>
              <w:rPr>
                <w:rStyle w:val="Strong"/>
              </w:rPr>
              <w:t>Method</w:t>
            </w:r>
          </w:p>
        </w:tc>
        <w:tc>
          <w:tcPr>
            <w:tcW w:w="2977" w:type="dxa"/>
            <w:tcBorders/>
            <w:vAlign w:val="center"/>
          </w:tcPr>
          <w:p>
            <w:pPr>
              <w:pStyle w:val="TableContents"/>
              <w:widowControl w:val="false"/>
              <w:suppressLineNumbers/>
              <w:spacing w:before="0" w:after="200"/>
              <w:rPr/>
            </w:pPr>
            <w:r>
              <w:rPr/>
              <w:t>Philosophical, spiritual, cultural, activist, and ecological</w:t>
            </w:r>
          </w:p>
        </w:tc>
        <w:tc>
          <w:tcPr>
            <w:tcW w:w="3741" w:type="dxa"/>
            <w:tcBorders/>
            <w:vAlign w:val="center"/>
          </w:tcPr>
          <w:p>
            <w:pPr>
              <w:pStyle w:val="TableContents"/>
              <w:widowControl w:val="false"/>
              <w:suppressLineNumbers/>
              <w:spacing w:before="0" w:after="200"/>
              <w:rPr/>
            </w:pPr>
            <w:r>
              <w:rPr/>
              <w:t>Explicit, causal, implementation-neutral, and potentially computational</w:t>
            </w:r>
          </w:p>
        </w:tc>
      </w:tr>
      <w:tr>
        <w:trPr/>
        <w:tc>
          <w:tcPr>
            <w:tcW w:w="1922" w:type="dxa"/>
            <w:tcBorders/>
            <w:vAlign w:val="center"/>
          </w:tcPr>
          <w:p>
            <w:pPr>
              <w:pStyle w:val="TableContents"/>
              <w:widowControl w:val="false"/>
              <w:suppressLineNumbers/>
              <w:spacing w:before="0" w:after="200"/>
              <w:rPr/>
            </w:pPr>
            <w:r>
              <w:rPr>
                <w:rStyle w:val="Strong"/>
              </w:rPr>
              <w:t>Responsibility</w:t>
            </w:r>
          </w:p>
        </w:tc>
        <w:tc>
          <w:tcPr>
            <w:tcW w:w="2977" w:type="dxa"/>
            <w:tcBorders/>
            <w:vAlign w:val="center"/>
          </w:tcPr>
          <w:p>
            <w:pPr>
              <w:pStyle w:val="TableContents"/>
              <w:widowControl w:val="false"/>
              <w:suppressLineNumbers/>
              <w:spacing w:before="0" w:after="200"/>
              <w:rPr/>
            </w:pPr>
            <w:r>
              <w:rPr/>
              <w:t>Often emphasizes collective human responsibility</w:t>
            </w:r>
          </w:p>
        </w:tc>
        <w:tc>
          <w:tcPr>
            <w:tcW w:w="3741" w:type="dxa"/>
            <w:tcBorders/>
            <w:vAlign w:val="center"/>
          </w:tcPr>
          <w:p>
            <w:pPr>
              <w:pStyle w:val="TableContents"/>
              <w:widowControl w:val="false"/>
              <w:suppressLineNumbers/>
              <w:spacing w:before="0" w:after="200"/>
              <w:rPr/>
            </w:pPr>
            <w:r>
              <w:rPr/>
              <w:t>Provides a differentiated responsibility model based on role, knowledge, authority, alternatives, and foreseeability</w:t>
            </w:r>
          </w:p>
        </w:tc>
      </w:tr>
      <w:tr>
        <w:trPr/>
        <w:tc>
          <w:tcPr>
            <w:tcW w:w="1922" w:type="dxa"/>
            <w:tcBorders/>
            <w:vAlign w:val="center"/>
          </w:tcPr>
          <w:p>
            <w:pPr>
              <w:pStyle w:val="TableContents"/>
              <w:widowControl w:val="false"/>
              <w:suppressLineNumbers/>
              <w:spacing w:before="0" w:after="200"/>
              <w:rPr/>
            </w:pPr>
            <w:r>
              <w:rPr>
                <w:rStyle w:val="Strong"/>
              </w:rPr>
              <w:t>Conflict resolution</w:t>
            </w:r>
          </w:p>
        </w:tc>
        <w:tc>
          <w:tcPr>
            <w:tcW w:w="2977" w:type="dxa"/>
            <w:tcBorders/>
            <w:vAlign w:val="center"/>
          </w:tcPr>
          <w:p>
            <w:pPr>
              <w:pStyle w:val="TableContents"/>
              <w:widowControl w:val="false"/>
              <w:suppressLineNumbers/>
              <w:spacing w:before="0" w:after="200"/>
              <w:rPr/>
            </w:pPr>
            <w:r>
              <w:rPr/>
              <w:t>Does not supply one universally accepted procedure for conflicts among human, animal, species, and ecosystem values</w:t>
            </w:r>
          </w:p>
        </w:tc>
        <w:tc>
          <w:tcPr>
            <w:tcW w:w="3741" w:type="dxa"/>
            <w:tcBorders/>
            <w:vAlign w:val="center"/>
          </w:tcPr>
          <w:p>
            <w:pPr>
              <w:pStyle w:val="TableContents"/>
              <w:widowControl w:val="false"/>
              <w:suppressLineNumbers/>
              <w:spacing w:before="0" w:after="200"/>
              <w:rPr/>
            </w:pPr>
            <w:r>
              <w:rPr/>
              <w:t>Can represent alternatives and effects but still requires substantive weighting and priority rules</w:t>
            </w:r>
          </w:p>
        </w:tc>
      </w:tr>
      <w:tr>
        <w:trPr/>
        <w:tc>
          <w:tcPr>
            <w:tcW w:w="1922" w:type="dxa"/>
            <w:tcBorders/>
            <w:vAlign w:val="center"/>
          </w:tcPr>
          <w:p>
            <w:pPr>
              <w:pStyle w:val="TableContents"/>
              <w:widowControl w:val="false"/>
              <w:suppressLineNumbers/>
              <w:spacing w:before="0" w:after="200"/>
              <w:rPr/>
            </w:pPr>
            <w:r>
              <w:rPr>
                <w:rStyle w:val="Strong"/>
              </w:rPr>
              <w:t>Anthropogenic change</w:t>
            </w:r>
          </w:p>
        </w:tc>
        <w:tc>
          <w:tcPr>
            <w:tcW w:w="2977" w:type="dxa"/>
            <w:tcBorders/>
            <w:vAlign w:val="center"/>
          </w:tcPr>
          <w:p>
            <w:pPr>
              <w:pStyle w:val="TableContents"/>
              <w:widowControl w:val="false"/>
              <w:suppressLineNumbers/>
              <w:spacing w:before="0" w:after="200"/>
              <w:rPr/>
            </w:pPr>
            <w:r>
              <w:rPr/>
              <w:t>Often favors limiting human interference</w:t>
            </w:r>
          </w:p>
        </w:tc>
        <w:tc>
          <w:tcPr>
            <w:tcW w:w="3741" w:type="dxa"/>
            <w:tcBorders/>
            <w:vAlign w:val="center"/>
          </w:tcPr>
          <w:p>
            <w:pPr>
              <w:pStyle w:val="TableContents"/>
              <w:widowControl w:val="false"/>
              <w:suppressLineNumbers/>
              <w:spacing w:before="0" w:after="200"/>
              <w:rPr/>
            </w:pPr>
            <w:r>
              <w:rPr/>
              <w:t>Evaluates whether a particular intervention promotes compatible flourishing; some active interventions may be justified</w:t>
            </w:r>
          </w:p>
        </w:tc>
      </w:tr>
      <w:tr>
        <w:trPr/>
        <w:tc>
          <w:tcPr>
            <w:tcW w:w="1922" w:type="dxa"/>
            <w:tcBorders/>
            <w:vAlign w:val="center"/>
          </w:tcPr>
          <w:p>
            <w:pPr>
              <w:pStyle w:val="TableContents"/>
              <w:widowControl w:val="false"/>
              <w:suppressLineNumbers/>
              <w:spacing w:before="0" w:after="200"/>
              <w:rPr/>
            </w:pPr>
            <w:r>
              <w:rPr>
                <w:rStyle w:val="Strong"/>
              </w:rPr>
              <w:t>Moral status of artificial entities</w:t>
            </w:r>
          </w:p>
        </w:tc>
        <w:tc>
          <w:tcPr>
            <w:tcW w:w="2977" w:type="dxa"/>
            <w:tcBorders/>
            <w:vAlign w:val="center"/>
          </w:tcPr>
          <w:p>
            <w:pPr>
              <w:pStyle w:val="TableContents"/>
              <w:widowControl w:val="false"/>
              <w:suppressLineNumbers/>
              <w:spacing w:before="0" w:after="200"/>
              <w:rPr/>
            </w:pPr>
            <w:r>
              <w:rPr/>
              <w:t>Generally not a central concern</w:t>
            </w:r>
          </w:p>
        </w:tc>
        <w:tc>
          <w:tcPr>
            <w:tcW w:w="3741" w:type="dxa"/>
            <w:tcBorders/>
            <w:vAlign w:val="center"/>
          </w:tcPr>
          <w:p>
            <w:pPr>
              <w:pStyle w:val="TableContents"/>
              <w:widowControl w:val="false"/>
              <w:suppressLineNumbers/>
              <w:spacing w:before="0" w:after="200"/>
              <w:rPr/>
            </w:pPr>
            <w:r>
              <w:rPr/>
              <w:t>Explicitly capable of considering artificial persistent adaptive entities</w:t>
            </w:r>
          </w:p>
        </w:tc>
      </w:tr>
    </w:tbl>
    <w:p>
      <w:pPr>
        <w:pStyle w:val="BodyText"/>
        <w:spacing w:before="0" w:after="200"/>
        <w:rPr/>
      </w:pPr>
      <w:r>
        <w:rPr/>
        <w:t xml:space="preserve">A central difference concerns </w:t>
      </w:r>
      <w:r>
        <w:rPr>
          <w:rStyle w:val="Strong"/>
        </w:rPr>
        <w:t>abiotic nature</w:t>
      </w:r>
      <w:r>
        <w:rPr/>
        <w:t>. Rivers, mountains, soils, glaciers, and climate systems may not qualify straightforwardly as adaptive or autopoietic entities, yet environmental philosophies may treat them as intrinsically, culturally, relationally, or ecologically valuable. The framework must avoid excluding them merely because they do not meet a biological definition of life.</w:t>
      </w:r>
    </w:p>
    <w:p>
      <w:pPr>
        <w:pStyle w:val="BodyText"/>
        <w:spacing w:before="0" w:after="200"/>
        <w:rPr/>
      </w:pPr>
      <w:r>
        <w:rPr/>
        <w:t xml:space="preserve">A second difference concerns </w:t>
      </w:r>
      <w:r>
        <w:rPr>
          <w:rStyle w:val="Strong"/>
        </w:rPr>
        <w:t>ecological wholes and individuals</w:t>
      </w:r>
      <w:r>
        <w:rPr/>
        <w:t>. Protecting a species or ecosystem may involve killing invasive organisms, controlling disease vectors, reintroducing predators, or allowing natural predation. Deep Ecology and land ethics may prioritize system integrity, while animal ethics may prioritize individual welfare. The proposed framework must represent both levels rather than presuming that one always overrides the other.</w:t>
      </w:r>
    </w:p>
    <w:p>
      <w:pPr>
        <w:pStyle w:val="Heading4"/>
        <w:ind w:hanging="0" w:left="0"/>
        <w:rPr>
          <w:rFonts w:ascii="Aptos" w:hAnsi="Aptos"/>
          <w:color w:val="auto"/>
        </w:rPr>
      </w:pPr>
      <w:r>
        <w:rPr/>
        <w:t>Potential integration opportunities</w:t>
      </w:r>
    </w:p>
    <w:p>
      <w:pPr>
        <w:pStyle w:val="BodyText"/>
        <w:numPr>
          <w:ilvl w:val="0"/>
          <w:numId w:val="151"/>
        </w:numPr>
        <w:tabs>
          <w:tab w:val="clear" w:pos="720"/>
          <w:tab w:val="left" w:pos="0" w:leader="none"/>
        </w:tabs>
        <w:spacing w:before="0" w:after="200"/>
        <w:ind w:hanging="283" w:left="709"/>
        <w:rPr/>
      </w:pPr>
      <w:r>
        <w:rPr>
          <w:rStyle w:val="Strong"/>
        </w:rPr>
        <w:t>Expand the environmental ontology.</w:t>
      </w:r>
      <w:r>
        <w:rPr/>
        <w:br/>
        <w:t>The framework should represent:</w:t>
      </w:r>
    </w:p>
    <w:p>
      <w:pPr>
        <w:pStyle w:val="BodyText"/>
        <w:numPr>
          <w:ilvl w:val="1"/>
          <w:numId w:val="151"/>
        </w:numPr>
        <w:tabs>
          <w:tab w:val="clear" w:pos="720"/>
          <w:tab w:val="left" w:pos="0" w:leader="none"/>
        </w:tabs>
        <w:spacing w:before="0" w:after="200"/>
        <w:ind w:hanging="283" w:left="1418"/>
        <w:rPr/>
      </w:pPr>
      <w:r>
        <w:rPr/>
        <w:t>Individual organisms;</w:t>
      </w:r>
    </w:p>
    <w:p>
      <w:pPr>
        <w:pStyle w:val="BodyText"/>
        <w:numPr>
          <w:ilvl w:val="1"/>
          <w:numId w:val="151"/>
        </w:numPr>
        <w:tabs>
          <w:tab w:val="clear" w:pos="720"/>
          <w:tab w:val="left" w:pos="0" w:leader="none"/>
        </w:tabs>
        <w:spacing w:before="0" w:after="200"/>
        <w:ind w:hanging="283" w:left="1418"/>
        <w:rPr/>
      </w:pPr>
      <w:r>
        <w:rPr/>
        <w:t>Populations;</w:t>
      </w:r>
    </w:p>
    <w:p>
      <w:pPr>
        <w:pStyle w:val="BodyText"/>
        <w:numPr>
          <w:ilvl w:val="1"/>
          <w:numId w:val="151"/>
        </w:numPr>
        <w:tabs>
          <w:tab w:val="clear" w:pos="720"/>
          <w:tab w:val="left" w:pos="0" w:leader="none"/>
        </w:tabs>
        <w:spacing w:before="0" w:after="200"/>
        <w:ind w:hanging="283" w:left="1418"/>
        <w:rPr/>
      </w:pPr>
      <w:r>
        <w:rPr/>
        <w:t>Species;</w:t>
      </w:r>
    </w:p>
    <w:p>
      <w:pPr>
        <w:pStyle w:val="BodyText"/>
        <w:numPr>
          <w:ilvl w:val="1"/>
          <w:numId w:val="151"/>
        </w:numPr>
        <w:tabs>
          <w:tab w:val="clear" w:pos="720"/>
          <w:tab w:val="left" w:pos="0" w:leader="none"/>
        </w:tabs>
        <w:spacing w:before="0" w:after="200"/>
        <w:ind w:hanging="283" w:left="1418"/>
        <w:rPr/>
      </w:pPr>
      <w:r>
        <w:rPr/>
        <w:t>Ecological communities;</w:t>
      </w:r>
    </w:p>
    <w:p>
      <w:pPr>
        <w:pStyle w:val="BodyText"/>
        <w:numPr>
          <w:ilvl w:val="1"/>
          <w:numId w:val="151"/>
        </w:numPr>
        <w:tabs>
          <w:tab w:val="clear" w:pos="720"/>
          <w:tab w:val="left" w:pos="0" w:leader="none"/>
        </w:tabs>
        <w:spacing w:before="0" w:after="200"/>
        <w:ind w:hanging="283" w:left="1418"/>
        <w:rPr/>
      </w:pPr>
      <w:r>
        <w:rPr/>
        <w:t>Ecosystems;</w:t>
      </w:r>
    </w:p>
    <w:p>
      <w:pPr>
        <w:pStyle w:val="BodyText"/>
        <w:numPr>
          <w:ilvl w:val="1"/>
          <w:numId w:val="151"/>
        </w:numPr>
        <w:tabs>
          <w:tab w:val="clear" w:pos="720"/>
          <w:tab w:val="left" w:pos="0" w:leader="none"/>
        </w:tabs>
        <w:spacing w:before="0" w:after="200"/>
        <w:ind w:hanging="283" w:left="1418"/>
        <w:rPr/>
      </w:pPr>
      <w:r>
        <w:rPr/>
        <w:t>Habitats;</w:t>
      </w:r>
    </w:p>
    <w:p>
      <w:pPr>
        <w:pStyle w:val="BodyText"/>
        <w:numPr>
          <w:ilvl w:val="1"/>
          <w:numId w:val="151"/>
        </w:numPr>
        <w:tabs>
          <w:tab w:val="clear" w:pos="720"/>
          <w:tab w:val="left" w:pos="0" w:leader="none"/>
        </w:tabs>
        <w:spacing w:before="0" w:after="200"/>
        <w:ind w:hanging="283" w:left="1418"/>
        <w:rPr/>
      </w:pPr>
      <w:r>
        <w:rPr/>
        <w:t>Watersheds;</w:t>
      </w:r>
    </w:p>
    <w:p>
      <w:pPr>
        <w:pStyle w:val="BodyText"/>
        <w:numPr>
          <w:ilvl w:val="1"/>
          <w:numId w:val="151"/>
        </w:numPr>
        <w:tabs>
          <w:tab w:val="clear" w:pos="720"/>
          <w:tab w:val="left" w:pos="0" w:leader="none"/>
        </w:tabs>
        <w:spacing w:before="0" w:after="200"/>
        <w:ind w:hanging="283" w:left="1418"/>
        <w:rPr/>
      </w:pPr>
      <w:r>
        <w:rPr/>
        <w:t>Landscapes and seascapes;</w:t>
      </w:r>
    </w:p>
    <w:p>
      <w:pPr>
        <w:pStyle w:val="BodyText"/>
        <w:numPr>
          <w:ilvl w:val="1"/>
          <w:numId w:val="151"/>
        </w:numPr>
        <w:tabs>
          <w:tab w:val="clear" w:pos="720"/>
          <w:tab w:val="left" w:pos="0" w:leader="none"/>
        </w:tabs>
        <w:spacing w:before="0" w:after="200"/>
        <w:ind w:hanging="283" w:left="1418"/>
        <w:rPr/>
      </w:pPr>
      <w:r>
        <w:rPr/>
        <w:t>Soils, rivers, glaciers, and atmospheric systems;</w:t>
      </w:r>
    </w:p>
    <w:p>
      <w:pPr>
        <w:pStyle w:val="BodyText"/>
        <w:numPr>
          <w:ilvl w:val="1"/>
          <w:numId w:val="151"/>
        </w:numPr>
        <w:tabs>
          <w:tab w:val="clear" w:pos="720"/>
          <w:tab w:val="left" w:pos="0" w:leader="none"/>
        </w:tabs>
        <w:spacing w:before="0" w:after="200"/>
        <w:ind w:hanging="283" w:left="1418"/>
        <w:rPr/>
      </w:pPr>
      <w:r>
        <w:rPr/>
        <w:t>Ecological and evolutionary processes; and</w:t>
      </w:r>
    </w:p>
    <w:p>
      <w:pPr>
        <w:pStyle w:val="BodyText"/>
        <w:numPr>
          <w:ilvl w:val="1"/>
          <w:numId w:val="151"/>
        </w:numPr>
        <w:tabs>
          <w:tab w:val="clear" w:pos="720"/>
          <w:tab w:val="left" w:pos="0" w:leader="none"/>
        </w:tabs>
        <w:spacing w:before="0" w:after="200"/>
        <w:ind w:hanging="283" w:left="1418"/>
        <w:rPr/>
      </w:pPr>
      <w:r>
        <w:rPr/>
        <w:t>The biosphere.</w:t>
      </w:r>
    </w:p>
    <w:p>
      <w:pPr>
        <w:pStyle w:val="BodyText"/>
        <w:numPr>
          <w:ilvl w:val="0"/>
          <w:numId w:val="151"/>
        </w:numPr>
        <w:tabs>
          <w:tab w:val="clear" w:pos="720"/>
          <w:tab w:val="left" w:pos="0" w:leader="none"/>
        </w:tabs>
        <w:spacing w:before="0" w:after="200"/>
        <w:ind w:hanging="283" w:left="709"/>
        <w:rPr/>
      </w:pPr>
      <w:r>
        <w:rPr>
          <w:rStyle w:val="Strong"/>
        </w:rPr>
        <w:t>Distinguish entities, collectives, contexts, and processes.</w:t>
      </w:r>
      <w:r>
        <w:rPr/>
        <w:br/>
        <w:t>A species, ecosystem, river, and individual animal may possess different forms of persistence, organization, value, and vulnerability. They should not be forced into one ontological category.</w:t>
      </w:r>
    </w:p>
    <w:p>
      <w:pPr>
        <w:pStyle w:val="BodyText"/>
        <w:numPr>
          <w:ilvl w:val="0"/>
          <w:numId w:val="151"/>
        </w:numPr>
        <w:tabs>
          <w:tab w:val="clear" w:pos="720"/>
          <w:tab w:val="left" w:pos="0" w:leader="none"/>
        </w:tabs>
        <w:spacing w:before="0" w:after="200"/>
        <w:ind w:hanging="283" w:left="709"/>
        <w:rPr/>
      </w:pPr>
      <w:r>
        <w:rPr>
          <w:rStyle w:val="Strong"/>
        </w:rPr>
        <w:t>Add nonadaptive environmental value.</w:t>
      </w:r>
      <w:r>
        <w:rPr/>
        <w:br/>
        <w:t>Landscapes, geological formations, glaciers, and other abiotic features may warrant protection because of uniqueness, relational significance, ecological function, history, beauty, or cultural meaning.</w:t>
      </w:r>
    </w:p>
    <w:p>
      <w:pPr>
        <w:pStyle w:val="BodyText"/>
        <w:numPr>
          <w:ilvl w:val="0"/>
          <w:numId w:val="151"/>
        </w:numPr>
        <w:tabs>
          <w:tab w:val="clear" w:pos="720"/>
          <w:tab w:val="left" w:pos="0" w:leader="none"/>
        </w:tabs>
        <w:spacing w:before="0" w:after="200"/>
        <w:ind w:hanging="283" w:left="709"/>
        <w:rPr/>
      </w:pPr>
      <w:r>
        <w:rPr>
          <w:rStyle w:val="Strong"/>
        </w:rPr>
        <w:t>Create entity-specific flourishing profiles.</w:t>
      </w:r>
      <w:r>
        <w:rPr/>
        <w:br/>
        <w:t>A human, wolf, forest, river, soil community, and artificial system should not share one generic flourishing metric.</w:t>
      </w:r>
    </w:p>
    <w:p>
      <w:pPr>
        <w:pStyle w:val="BodyText"/>
        <w:numPr>
          <w:ilvl w:val="0"/>
          <w:numId w:val="151"/>
        </w:numPr>
        <w:tabs>
          <w:tab w:val="clear" w:pos="720"/>
          <w:tab w:val="left" w:pos="0" w:leader="none"/>
        </w:tabs>
        <w:spacing w:before="0" w:after="200"/>
        <w:ind w:hanging="283" w:left="709"/>
        <w:rPr/>
      </w:pPr>
      <w:r>
        <w:rPr>
          <w:rStyle w:val="Strong"/>
        </w:rPr>
        <w:t>Develop an ecosystem state vector.</w:t>
      </w:r>
      <w:r>
        <w:rPr/>
        <w:br/>
        <w:t>Relevant dimensions could include:</w:t>
      </w:r>
    </w:p>
    <w:p>
      <w:pPr>
        <w:pStyle w:val="BodyText"/>
        <w:numPr>
          <w:ilvl w:val="1"/>
          <w:numId w:val="151"/>
        </w:numPr>
        <w:tabs>
          <w:tab w:val="clear" w:pos="720"/>
          <w:tab w:val="left" w:pos="0" w:leader="none"/>
        </w:tabs>
        <w:spacing w:before="0" w:after="200"/>
        <w:ind w:hanging="283" w:left="1418"/>
        <w:rPr/>
      </w:pPr>
      <w:r>
        <w:rPr/>
        <w:t>Composition;</w:t>
      </w:r>
    </w:p>
    <w:p>
      <w:pPr>
        <w:pStyle w:val="BodyText"/>
        <w:numPr>
          <w:ilvl w:val="1"/>
          <w:numId w:val="151"/>
        </w:numPr>
        <w:tabs>
          <w:tab w:val="clear" w:pos="720"/>
          <w:tab w:val="left" w:pos="0" w:leader="none"/>
        </w:tabs>
        <w:spacing w:before="0" w:after="200"/>
        <w:ind w:hanging="283" w:left="1418"/>
        <w:rPr/>
      </w:pPr>
      <w:r>
        <w:rPr/>
        <w:t>Structure;</w:t>
      </w:r>
    </w:p>
    <w:p>
      <w:pPr>
        <w:pStyle w:val="BodyText"/>
        <w:numPr>
          <w:ilvl w:val="1"/>
          <w:numId w:val="151"/>
        </w:numPr>
        <w:tabs>
          <w:tab w:val="clear" w:pos="720"/>
          <w:tab w:val="left" w:pos="0" w:leader="none"/>
        </w:tabs>
        <w:spacing w:before="0" w:after="200"/>
        <w:ind w:hanging="283" w:left="1418"/>
        <w:rPr/>
      </w:pPr>
      <w:r>
        <w:rPr/>
        <w:t>Function;</w:t>
      </w:r>
    </w:p>
    <w:p>
      <w:pPr>
        <w:pStyle w:val="BodyText"/>
        <w:numPr>
          <w:ilvl w:val="1"/>
          <w:numId w:val="151"/>
        </w:numPr>
        <w:tabs>
          <w:tab w:val="clear" w:pos="720"/>
          <w:tab w:val="left" w:pos="0" w:leader="none"/>
        </w:tabs>
        <w:spacing w:before="0" w:after="200"/>
        <w:ind w:hanging="283" w:left="1418"/>
        <w:rPr/>
      </w:pPr>
      <w:r>
        <w:rPr/>
        <w:t>Connectivity;</w:t>
      </w:r>
    </w:p>
    <w:p>
      <w:pPr>
        <w:pStyle w:val="BodyText"/>
        <w:numPr>
          <w:ilvl w:val="1"/>
          <w:numId w:val="151"/>
        </w:numPr>
        <w:tabs>
          <w:tab w:val="clear" w:pos="720"/>
          <w:tab w:val="left" w:pos="0" w:leader="none"/>
        </w:tabs>
        <w:spacing w:before="0" w:after="200"/>
        <w:ind w:hanging="283" w:left="1418"/>
        <w:rPr/>
      </w:pPr>
      <w:r>
        <w:rPr/>
        <w:t>Productivity;</w:t>
      </w:r>
    </w:p>
    <w:p>
      <w:pPr>
        <w:pStyle w:val="BodyText"/>
        <w:numPr>
          <w:ilvl w:val="1"/>
          <w:numId w:val="151"/>
        </w:numPr>
        <w:tabs>
          <w:tab w:val="clear" w:pos="720"/>
          <w:tab w:val="left" w:pos="0" w:leader="none"/>
        </w:tabs>
        <w:spacing w:before="0" w:after="200"/>
        <w:ind w:hanging="283" w:left="1418"/>
        <w:rPr/>
      </w:pPr>
      <w:r>
        <w:rPr/>
        <w:t>Nutrient cycling;</w:t>
      </w:r>
    </w:p>
    <w:p>
      <w:pPr>
        <w:pStyle w:val="BodyText"/>
        <w:numPr>
          <w:ilvl w:val="1"/>
          <w:numId w:val="151"/>
        </w:numPr>
        <w:tabs>
          <w:tab w:val="clear" w:pos="720"/>
          <w:tab w:val="left" w:pos="0" w:leader="none"/>
        </w:tabs>
        <w:spacing w:before="0" w:after="200"/>
        <w:ind w:hanging="283" w:left="1418"/>
        <w:rPr/>
      </w:pPr>
      <w:r>
        <w:rPr/>
        <w:t>Hydrological condition;</w:t>
      </w:r>
    </w:p>
    <w:p>
      <w:pPr>
        <w:pStyle w:val="BodyText"/>
        <w:numPr>
          <w:ilvl w:val="1"/>
          <w:numId w:val="151"/>
        </w:numPr>
        <w:tabs>
          <w:tab w:val="clear" w:pos="720"/>
          <w:tab w:val="left" w:pos="0" w:leader="none"/>
        </w:tabs>
        <w:spacing w:before="0" w:after="200"/>
        <w:ind w:hanging="283" w:left="1418"/>
        <w:rPr/>
      </w:pPr>
      <w:r>
        <w:rPr/>
        <w:t>Genetic diversity;</w:t>
      </w:r>
    </w:p>
    <w:p>
      <w:pPr>
        <w:pStyle w:val="BodyText"/>
        <w:numPr>
          <w:ilvl w:val="1"/>
          <w:numId w:val="151"/>
        </w:numPr>
        <w:tabs>
          <w:tab w:val="clear" w:pos="720"/>
          <w:tab w:val="left" w:pos="0" w:leader="none"/>
        </w:tabs>
        <w:spacing w:before="0" w:after="200"/>
        <w:ind w:hanging="283" w:left="1418"/>
        <w:rPr/>
      </w:pPr>
      <w:r>
        <w:rPr/>
        <w:t>Species diversity;</w:t>
      </w:r>
    </w:p>
    <w:p>
      <w:pPr>
        <w:pStyle w:val="BodyText"/>
        <w:numPr>
          <w:ilvl w:val="1"/>
          <w:numId w:val="151"/>
        </w:numPr>
        <w:tabs>
          <w:tab w:val="clear" w:pos="720"/>
          <w:tab w:val="left" w:pos="0" w:leader="none"/>
        </w:tabs>
        <w:spacing w:before="0" w:after="200"/>
        <w:ind w:hanging="283" w:left="1418"/>
        <w:rPr/>
      </w:pPr>
      <w:r>
        <w:rPr/>
        <w:t>Functional diversity;</w:t>
      </w:r>
    </w:p>
    <w:p>
      <w:pPr>
        <w:pStyle w:val="BodyText"/>
        <w:numPr>
          <w:ilvl w:val="1"/>
          <w:numId w:val="151"/>
        </w:numPr>
        <w:tabs>
          <w:tab w:val="clear" w:pos="720"/>
          <w:tab w:val="left" w:pos="0" w:leader="none"/>
        </w:tabs>
        <w:spacing w:before="0" w:after="200"/>
        <w:ind w:hanging="283" w:left="1418"/>
        <w:rPr/>
      </w:pPr>
      <w:r>
        <w:rPr/>
        <w:t>Resilience;</w:t>
      </w:r>
    </w:p>
    <w:p>
      <w:pPr>
        <w:pStyle w:val="BodyText"/>
        <w:numPr>
          <w:ilvl w:val="1"/>
          <w:numId w:val="151"/>
        </w:numPr>
        <w:tabs>
          <w:tab w:val="clear" w:pos="720"/>
          <w:tab w:val="left" w:pos="0" w:leader="none"/>
        </w:tabs>
        <w:spacing w:before="0" w:after="200"/>
        <w:ind w:hanging="283" w:left="1418"/>
        <w:rPr/>
      </w:pPr>
      <w:r>
        <w:rPr/>
        <w:t>Evolutionary potential; and</w:t>
      </w:r>
    </w:p>
    <w:p>
      <w:pPr>
        <w:pStyle w:val="BodyText"/>
        <w:numPr>
          <w:ilvl w:val="1"/>
          <w:numId w:val="151"/>
        </w:numPr>
        <w:tabs>
          <w:tab w:val="clear" w:pos="720"/>
          <w:tab w:val="left" w:pos="0" w:leader="none"/>
        </w:tabs>
        <w:spacing w:before="0" w:after="200"/>
        <w:ind w:hanging="283" w:left="1418"/>
        <w:rPr/>
      </w:pPr>
      <w:r>
        <w:rPr/>
        <w:t>Exposure to cumulative pressure.</w:t>
      </w:r>
    </w:p>
    <w:p>
      <w:pPr>
        <w:pStyle w:val="BodyText"/>
        <w:numPr>
          <w:ilvl w:val="0"/>
          <w:numId w:val="151"/>
        </w:numPr>
        <w:tabs>
          <w:tab w:val="clear" w:pos="720"/>
          <w:tab w:val="left" w:pos="0" w:leader="none"/>
        </w:tabs>
        <w:spacing w:before="0" w:after="200"/>
        <w:ind w:hanging="283" w:left="709"/>
        <w:rPr/>
      </w:pPr>
      <w:r>
        <w:rPr>
          <w:rStyle w:val="Strong"/>
        </w:rPr>
        <w:t>Represent biodiversity multidimensionally.</w:t>
      </w:r>
      <w:r>
        <w:rPr/>
        <w:br/>
        <w:t>A single species count is insufficient. Genetic, taxonomic, functional, phylogenetic, habitat, and landscape diversity may each matter.</w:t>
      </w:r>
    </w:p>
    <w:p>
      <w:pPr>
        <w:pStyle w:val="BodyText"/>
        <w:numPr>
          <w:ilvl w:val="0"/>
          <w:numId w:val="151"/>
        </w:numPr>
        <w:tabs>
          <w:tab w:val="clear" w:pos="720"/>
          <w:tab w:val="left" w:pos="0" w:leader="none"/>
        </w:tabs>
        <w:spacing w:before="0" w:after="200"/>
        <w:ind w:hanging="283" w:left="709"/>
        <w:rPr/>
      </w:pPr>
      <w:r>
        <w:rPr>
          <w:rStyle w:val="Strong"/>
        </w:rPr>
        <w:t>Model ecological relationships explicitly.</w:t>
      </w:r>
      <w:r>
        <w:rPr/>
        <w:br/>
        <w:t>Associations should include predation, competition, symbiosis, pollination, seed dispersal, decomposition, migration, parasitism, habitat dependence, and trophic influence.</w:t>
      </w:r>
    </w:p>
    <w:p>
      <w:pPr>
        <w:pStyle w:val="BodyText"/>
        <w:numPr>
          <w:ilvl w:val="0"/>
          <w:numId w:val="151"/>
        </w:numPr>
        <w:tabs>
          <w:tab w:val="clear" w:pos="720"/>
          <w:tab w:val="left" w:pos="0" w:leader="none"/>
        </w:tabs>
        <w:spacing w:before="0" w:after="200"/>
        <w:ind w:hanging="283" w:left="709"/>
        <w:rPr/>
      </w:pPr>
      <w:r>
        <w:rPr>
          <w:rStyle w:val="Strong"/>
        </w:rPr>
        <w:t>Add trophic-cascade analysis.</w:t>
      </w:r>
      <w:r>
        <w:rPr/>
        <w:br/>
        <w:t>Actions affecting predators, keystone species, pollinators, ecosystem engineers, or decomposers should be evaluated for indirect effects across ecological networks.</w:t>
      </w:r>
    </w:p>
    <w:p>
      <w:pPr>
        <w:pStyle w:val="BodyText"/>
        <w:numPr>
          <w:ilvl w:val="0"/>
          <w:numId w:val="151"/>
        </w:numPr>
        <w:tabs>
          <w:tab w:val="clear" w:pos="720"/>
          <w:tab w:val="left" w:pos="0" w:leader="none"/>
        </w:tabs>
        <w:spacing w:before="0" w:after="200"/>
        <w:ind w:hanging="283" w:left="709"/>
        <w:rPr/>
      </w:pPr>
      <w:r>
        <w:rPr>
          <w:rStyle w:val="Strong"/>
        </w:rPr>
        <w:t>Add cumulative-impact analysis.</w:t>
      </w:r>
      <w:r>
        <w:rPr/>
        <w:br/>
        <w:t>The assessment should include the proposed action together with past degradation, existing stressors, reasonably foreseeable projects, and repeated actions by others.</w:t>
      </w:r>
    </w:p>
    <w:p>
      <w:pPr>
        <w:pStyle w:val="BodyText"/>
        <w:numPr>
          <w:ilvl w:val="0"/>
          <w:numId w:val="151"/>
        </w:numPr>
        <w:tabs>
          <w:tab w:val="clear" w:pos="720"/>
          <w:tab w:val="left" w:pos="0" w:leader="none"/>
        </w:tabs>
        <w:spacing w:before="0" w:after="200"/>
        <w:ind w:hanging="283" w:left="709"/>
        <w:rPr/>
      </w:pPr>
      <w:r>
        <w:rPr>
          <w:rStyle w:val="Strong"/>
        </w:rPr>
        <w:t>Use ecological time horizons.</w:t>
      </w:r>
      <w:r>
        <w:rPr/>
        <w:br/>
        <w:t>Relevant periods should reflect organism life cycles, forest succession, soil formation, groundwater recharge, climate response, and evolutionary change—not only human planning cycles.</w:t>
      </w:r>
    </w:p>
    <w:p>
      <w:pPr>
        <w:pStyle w:val="BodyText"/>
        <w:numPr>
          <w:ilvl w:val="0"/>
          <w:numId w:val="151"/>
        </w:numPr>
        <w:tabs>
          <w:tab w:val="clear" w:pos="720"/>
          <w:tab w:val="left" w:pos="0" w:leader="none"/>
        </w:tabs>
        <w:spacing w:before="0" w:after="200"/>
        <w:ind w:hanging="283" w:left="709"/>
        <w:rPr/>
      </w:pPr>
      <w:r>
        <w:rPr>
          <w:rStyle w:val="Strong"/>
        </w:rPr>
        <w:t>Add spatial-scale analysis.</w:t>
      </w:r>
      <w:r>
        <w:rPr/>
        <w:br/>
        <w:t>Effects should be examined at site, habitat, watershed, migration-route, regional, biome, and planetary scales where relevant.</w:t>
      </w:r>
    </w:p>
    <w:p>
      <w:pPr>
        <w:pStyle w:val="BodyText"/>
        <w:numPr>
          <w:ilvl w:val="0"/>
          <w:numId w:val="151"/>
        </w:numPr>
        <w:tabs>
          <w:tab w:val="clear" w:pos="720"/>
          <w:tab w:val="left" w:pos="0" w:leader="none"/>
        </w:tabs>
        <w:spacing w:before="0" w:after="200"/>
        <w:ind w:hanging="283" w:left="709"/>
        <w:rPr/>
      </w:pPr>
      <w:r>
        <w:rPr>
          <w:rStyle w:val="Strong"/>
        </w:rPr>
        <w:t>Model ecological thresholds and tipping points.</w:t>
      </w:r>
      <w:r>
        <w:rPr/>
        <w:br/>
        <w:t>The framework should identify conditions under which gradual pressure may produce abrupt and difficult-to-reverse change.</w:t>
      </w:r>
    </w:p>
    <w:p>
      <w:pPr>
        <w:pStyle w:val="BodyText"/>
        <w:numPr>
          <w:ilvl w:val="0"/>
          <w:numId w:val="151"/>
        </w:numPr>
        <w:tabs>
          <w:tab w:val="clear" w:pos="720"/>
          <w:tab w:val="left" w:pos="0" w:leader="none"/>
        </w:tabs>
        <w:spacing w:before="0" w:after="200"/>
        <w:ind w:hanging="283" w:left="709"/>
        <w:rPr/>
      </w:pPr>
      <w:r>
        <w:rPr>
          <w:rStyle w:val="Strong"/>
        </w:rPr>
        <w:t>Include irreversibility explicitly.</w:t>
      </w:r>
      <w:r>
        <w:rPr/>
        <w:br/>
        <w:t>Extinction, lost evolutionary history, destroyed old-growth systems, and persistent contamination should receive heightened ethical weight.</w:t>
      </w:r>
    </w:p>
    <w:p>
      <w:pPr>
        <w:pStyle w:val="BodyText"/>
        <w:numPr>
          <w:ilvl w:val="0"/>
          <w:numId w:val="151"/>
        </w:numPr>
        <w:tabs>
          <w:tab w:val="clear" w:pos="720"/>
          <w:tab w:val="left" w:pos="0" w:leader="none"/>
        </w:tabs>
        <w:spacing w:before="0" w:after="200"/>
        <w:ind w:hanging="283" w:left="709"/>
        <w:rPr/>
      </w:pPr>
      <w:r>
        <w:rPr>
          <w:rStyle w:val="Strong"/>
        </w:rPr>
        <w:t>Adopt a structured precaution test.</w:t>
      </w:r>
      <w:r>
        <w:rPr/>
        <w:br/>
        <w:t>Relevant questions include:</w:t>
      </w:r>
    </w:p>
    <w:p>
      <w:pPr>
        <w:pStyle w:val="BodyText"/>
        <w:numPr>
          <w:ilvl w:val="1"/>
          <w:numId w:val="151"/>
        </w:numPr>
        <w:tabs>
          <w:tab w:val="clear" w:pos="720"/>
          <w:tab w:val="left" w:pos="0" w:leader="none"/>
        </w:tabs>
        <w:spacing w:before="0" w:after="200"/>
        <w:ind w:hanging="283" w:left="1418"/>
        <w:rPr/>
      </w:pPr>
      <w:r>
        <w:rPr/>
        <w:t>Is the possible harm severe?</w:t>
      </w:r>
    </w:p>
    <w:p>
      <w:pPr>
        <w:pStyle w:val="BodyText"/>
        <w:numPr>
          <w:ilvl w:val="1"/>
          <w:numId w:val="151"/>
        </w:numPr>
        <w:tabs>
          <w:tab w:val="clear" w:pos="720"/>
          <w:tab w:val="left" w:pos="0" w:leader="none"/>
        </w:tabs>
        <w:spacing w:before="0" w:after="200"/>
        <w:ind w:hanging="283" w:left="1418"/>
        <w:rPr/>
      </w:pPr>
      <w:r>
        <w:rPr/>
        <w:t>Is it irreversible or persistent?</w:t>
      </w:r>
    </w:p>
    <w:p>
      <w:pPr>
        <w:pStyle w:val="BodyText"/>
        <w:numPr>
          <w:ilvl w:val="1"/>
          <w:numId w:val="151"/>
        </w:numPr>
        <w:tabs>
          <w:tab w:val="clear" w:pos="720"/>
          <w:tab w:val="left" w:pos="0" w:leader="none"/>
        </w:tabs>
        <w:spacing w:before="0" w:after="200"/>
        <w:ind w:hanging="283" w:left="1418"/>
        <w:rPr/>
      </w:pPr>
      <w:r>
        <w:rPr/>
        <w:t>Are affected entities vulnerable or unrepresented?</w:t>
      </w:r>
    </w:p>
    <w:p>
      <w:pPr>
        <w:pStyle w:val="BodyText"/>
        <w:numPr>
          <w:ilvl w:val="1"/>
          <w:numId w:val="151"/>
        </w:numPr>
        <w:tabs>
          <w:tab w:val="clear" w:pos="720"/>
          <w:tab w:val="left" w:pos="0" w:leader="none"/>
        </w:tabs>
        <w:spacing w:before="0" w:after="200"/>
        <w:ind w:hanging="283" w:left="1418"/>
        <w:rPr/>
      </w:pPr>
      <w:r>
        <w:rPr/>
        <w:t>Is the intervention necessary?</w:t>
      </w:r>
    </w:p>
    <w:p>
      <w:pPr>
        <w:pStyle w:val="BodyText"/>
        <w:numPr>
          <w:ilvl w:val="1"/>
          <w:numId w:val="151"/>
        </w:numPr>
        <w:tabs>
          <w:tab w:val="clear" w:pos="720"/>
          <w:tab w:val="left" w:pos="0" w:leader="none"/>
        </w:tabs>
        <w:spacing w:before="0" w:after="200"/>
        <w:ind w:hanging="283" w:left="1418"/>
        <w:rPr/>
      </w:pPr>
      <w:r>
        <w:rPr/>
        <w:t>Are safer alternatives available?</w:t>
      </w:r>
    </w:p>
    <w:p>
      <w:pPr>
        <w:pStyle w:val="BodyText"/>
        <w:numPr>
          <w:ilvl w:val="1"/>
          <w:numId w:val="151"/>
        </w:numPr>
        <w:tabs>
          <w:tab w:val="clear" w:pos="720"/>
          <w:tab w:val="left" w:pos="0" w:leader="none"/>
        </w:tabs>
        <w:spacing w:before="0" w:after="200"/>
        <w:ind w:hanging="283" w:left="1418"/>
        <w:rPr/>
      </w:pPr>
      <w:r>
        <w:rPr/>
        <w:t>Can failure be contained?</w:t>
      </w:r>
    </w:p>
    <w:p>
      <w:pPr>
        <w:pStyle w:val="BodyText"/>
        <w:numPr>
          <w:ilvl w:val="1"/>
          <w:numId w:val="151"/>
        </w:numPr>
        <w:tabs>
          <w:tab w:val="clear" w:pos="720"/>
          <w:tab w:val="left" w:pos="0" w:leader="none"/>
        </w:tabs>
        <w:spacing w:before="0" w:after="200"/>
        <w:ind w:hanging="283" w:left="1418"/>
        <w:rPr/>
      </w:pPr>
      <w:r>
        <w:rPr/>
        <w:t>Who bears the uncertainty?</w:t>
      </w:r>
    </w:p>
    <w:p>
      <w:pPr>
        <w:pStyle w:val="BodyText"/>
        <w:numPr>
          <w:ilvl w:val="0"/>
          <w:numId w:val="151"/>
        </w:numPr>
        <w:tabs>
          <w:tab w:val="clear" w:pos="720"/>
          <w:tab w:val="left" w:pos="0" w:leader="none"/>
        </w:tabs>
        <w:spacing w:before="0" w:after="200"/>
        <w:ind w:hanging="283" w:left="709"/>
        <w:rPr/>
      </w:pPr>
      <w:r>
        <w:rPr>
          <w:rStyle w:val="Strong"/>
        </w:rPr>
        <w:t>Apply a vital-needs proportionality test.</w:t>
      </w:r>
      <w:r>
        <w:rPr/>
        <w:br/>
        <w:t>Environmentally harmful actions should be evaluated according to whether they satisfy vital needs, important but nonvital interests, convenience, luxury, or avoidable accumulation.</w:t>
      </w:r>
    </w:p>
    <w:p>
      <w:pPr>
        <w:pStyle w:val="BodyText"/>
        <w:numPr>
          <w:ilvl w:val="0"/>
          <w:numId w:val="151"/>
        </w:numPr>
        <w:tabs>
          <w:tab w:val="clear" w:pos="720"/>
          <w:tab w:val="left" w:pos="0" w:leader="none"/>
        </w:tabs>
        <w:spacing w:before="0" w:after="200"/>
        <w:ind w:hanging="283" w:left="709"/>
        <w:rPr/>
      </w:pPr>
      <w:r>
        <w:rPr>
          <w:rStyle w:val="Strong"/>
        </w:rPr>
        <w:t>Prevent discriminatory use of vital-needs reasoning.</w:t>
      </w:r>
      <w:r>
        <w:rPr/>
        <w:br/>
        <w:t>The framework should examine whose needs are classified as excessive and whether restrictions fall unfairly on poorer or historically marginalized populations while high-consuming actors remain protected.</w:t>
      </w:r>
    </w:p>
    <w:p>
      <w:pPr>
        <w:pStyle w:val="BodyText"/>
        <w:numPr>
          <w:ilvl w:val="0"/>
          <w:numId w:val="151"/>
        </w:numPr>
        <w:tabs>
          <w:tab w:val="clear" w:pos="720"/>
          <w:tab w:val="left" w:pos="0" w:leader="none"/>
        </w:tabs>
        <w:spacing w:before="0" w:after="200"/>
        <w:ind w:hanging="283" w:left="709"/>
        <w:rPr/>
      </w:pPr>
      <w:r>
        <w:rPr>
          <w:rStyle w:val="Strong"/>
        </w:rPr>
        <w:t>Distinguish ecological necessity from economic preference.</w:t>
      </w:r>
      <w:r>
        <w:rPr/>
        <w:br/>
        <w:t>A profitable or convenient action should not be described as necessary merely because current institutions are designed around it.</w:t>
      </w:r>
    </w:p>
    <w:p>
      <w:pPr>
        <w:pStyle w:val="BodyText"/>
        <w:numPr>
          <w:ilvl w:val="0"/>
          <w:numId w:val="151"/>
        </w:numPr>
        <w:tabs>
          <w:tab w:val="clear" w:pos="720"/>
          <w:tab w:val="left" w:pos="0" w:leader="none"/>
        </w:tabs>
        <w:spacing w:before="0" w:after="200"/>
        <w:ind w:hanging="283" w:left="709"/>
        <w:rPr/>
      </w:pPr>
      <w:r>
        <w:rPr>
          <w:rStyle w:val="Strong"/>
        </w:rPr>
        <w:t>Add non-substitutability findings.</w:t>
      </w:r>
      <w:r>
        <w:rPr/>
        <w:br/>
        <w:t>The framework should identify losses that cannot be ethically or ecologically replaced by monetary payment, constructed habitat, or gains elsewhere.</w:t>
      </w:r>
    </w:p>
    <w:p>
      <w:pPr>
        <w:pStyle w:val="BodyText"/>
        <w:numPr>
          <w:ilvl w:val="0"/>
          <w:numId w:val="151"/>
        </w:numPr>
        <w:tabs>
          <w:tab w:val="clear" w:pos="720"/>
          <w:tab w:val="left" w:pos="0" w:leader="none"/>
        </w:tabs>
        <w:spacing w:before="0" w:after="200"/>
        <w:ind w:hanging="283" w:left="709"/>
        <w:rPr/>
      </w:pPr>
      <w:r>
        <w:rPr>
          <w:rStyle w:val="Strong"/>
        </w:rPr>
        <w:t>Use an environmental mitigation hierarchy.</w:t>
      </w:r>
      <w:r>
        <w:rPr/>
        <w:br/>
        <w:t>Assessments should ordinarily consider:</w:t>
      </w:r>
    </w:p>
    <w:p>
      <w:pPr>
        <w:pStyle w:val="BodyText"/>
        <w:numPr>
          <w:ilvl w:val="1"/>
          <w:numId w:val="152"/>
        </w:numPr>
        <w:tabs>
          <w:tab w:val="clear" w:pos="720"/>
          <w:tab w:val="left" w:pos="0" w:leader="none"/>
        </w:tabs>
        <w:spacing w:before="0" w:after="200"/>
        <w:ind w:hanging="283" w:left="1418"/>
        <w:rPr/>
      </w:pPr>
      <w:r>
        <w:rPr/>
        <w:t>Avoiding harm;</w:t>
      </w:r>
    </w:p>
    <w:p>
      <w:pPr>
        <w:pStyle w:val="BodyText"/>
        <w:numPr>
          <w:ilvl w:val="1"/>
          <w:numId w:val="152"/>
        </w:numPr>
        <w:tabs>
          <w:tab w:val="clear" w:pos="720"/>
          <w:tab w:val="left" w:pos="0" w:leader="none"/>
        </w:tabs>
        <w:spacing w:before="0" w:after="200"/>
        <w:ind w:hanging="283" w:left="1418"/>
        <w:rPr/>
      </w:pPr>
      <w:r>
        <w:rPr/>
        <w:t>Minimizing unavoidable harm;</w:t>
      </w:r>
    </w:p>
    <w:p>
      <w:pPr>
        <w:pStyle w:val="BodyText"/>
        <w:numPr>
          <w:ilvl w:val="1"/>
          <w:numId w:val="152"/>
        </w:numPr>
        <w:tabs>
          <w:tab w:val="clear" w:pos="720"/>
          <w:tab w:val="left" w:pos="0" w:leader="none"/>
        </w:tabs>
        <w:spacing w:before="0" w:after="200"/>
        <w:ind w:hanging="283" w:left="1418"/>
        <w:rPr/>
      </w:pPr>
      <w:r>
        <w:rPr/>
        <w:t>Restoring affected systems; and</w:t>
      </w:r>
    </w:p>
    <w:p>
      <w:pPr>
        <w:pStyle w:val="BodyText"/>
        <w:numPr>
          <w:ilvl w:val="1"/>
          <w:numId w:val="152"/>
        </w:numPr>
        <w:tabs>
          <w:tab w:val="clear" w:pos="720"/>
          <w:tab w:val="left" w:pos="0" w:leader="none"/>
        </w:tabs>
        <w:spacing w:before="0" w:after="200"/>
        <w:ind w:hanging="283" w:left="1418"/>
        <w:rPr/>
      </w:pPr>
      <w:r>
        <w:rPr/>
        <w:t>Compensating for residual harm.</w:t>
      </w:r>
    </w:p>
    <w:p>
      <w:pPr>
        <w:pStyle w:val="BodyText"/>
        <w:numPr>
          <w:ilvl w:val="0"/>
          <w:numId w:val="0"/>
        </w:numPr>
        <w:spacing w:before="0" w:after="200"/>
        <w:ind w:hanging="0" w:left="0"/>
        <w:rPr/>
      </w:pPr>
      <w:r>
        <w:rPr/>
        <w:t>Compensation should not be treated as equivalent to avoidance when the affected value is unique or irreversible.</w:t>
      </w:r>
    </w:p>
    <w:p>
      <w:pPr>
        <w:pStyle w:val="BodyText"/>
        <w:numPr>
          <w:ilvl w:val="0"/>
          <w:numId w:val="151"/>
        </w:numPr>
        <w:tabs>
          <w:tab w:val="clear" w:pos="720"/>
          <w:tab w:val="left" w:pos="0" w:leader="none"/>
        </w:tabs>
        <w:spacing w:before="0" w:after="200"/>
        <w:ind w:hanging="283" w:left="709"/>
        <w:rPr/>
      </w:pPr>
      <w:r>
        <w:rPr>
          <w:rStyle w:val="Strong"/>
        </w:rPr>
        <w:t>Evaluate restoration realism.</w:t>
      </w:r>
      <w:r>
        <w:rPr/>
        <w:br/>
        <w:t>Restoration claims should include probability of success, ecological lag, reference conditions, maintenance obligations, climate change, and the possibility that the original system cannot be recreated.</w:t>
      </w:r>
    </w:p>
    <w:p>
      <w:pPr>
        <w:pStyle w:val="BodyText"/>
        <w:numPr>
          <w:ilvl w:val="0"/>
          <w:numId w:val="151"/>
        </w:numPr>
        <w:tabs>
          <w:tab w:val="clear" w:pos="720"/>
          <w:tab w:val="left" w:pos="0" w:leader="none"/>
        </w:tabs>
        <w:spacing w:before="0" w:after="200"/>
        <w:ind w:hanging="283" w:left="709"/>
        <w:rPr/>
      </w:pPr>
      <w:r>
        <w:rPr>
          <w:rStyle w:val="Strong"/>
        </w:rPr>
        <w:t>Add ecological baseline review.</w:t>
      </w:r>
      <w:r>
        <w:rPr/>
        <w:br/>
        <w:t>Baselines should not normalize gradual degradation. The current damaged condition may be an inappropriate reference point.</w:t>
      </w:r>
    </w:p>
    <w:p>
      <w:pPr>
        <w:pStyle w:val="BodyText"/>
        <w:numPr>
          <w:ilvl w:val="0"/>
          <w:numId w:val="151"/>
        </w:numPr>
        <w:tabs>
          <w:tab w:val="clear" w:pos="720"/>
          <w:tab w:val="left" w:pos="0" w:leader="none"/>
        </w:tabs>
        <w:spacing w:before="0" w:after="200"/>
        <w:ind w:hanging="283" w:left="709"/>
        <w:rPr/>
      </w:pPr>
      <w:r>
        <w:rPr>
          <w:rStyle w:val="Strong"/>
        </w:rPr>
        <w:t>Represent evolutionary potential.</w:t>
      </w:r>
      <w:r>
        <w:rPr/>
        <w:br/>
        <w:t>An action can be harmful by reducing genetic variation, connectivity, adaptation, or future speciation even before immediate population collapse occurs.</w:t>
      </w:r>
    </w:p>
    <w:p>
      <w:pPr>
        <w:pStyle w:val="BodyText"/>
        <w:numPr>
          <w:ilvl w:val="0"/>
          <w:numId w:val="151"/>
        </w:numPr>
        <w:tabs>
          <w:tab w:val="clear" w:pos="720"/>
          <w:tab w:val="left" w:pos="0" w:leader="none"/>
        </w:tabs>
        <w:spacing w:before="0" w:after="200"/>
        <w:ind w:hanging="283" w:left="709"/>
        <w:rPr/>
      </w:pPr>
      <w:r>
        <w:rPr>
          <w:rStyle w:val="Strong"/>
        </w:rPr>
        <w:t>Evaluate wildness and self-organization.</w:t>
      </w:r>
      <w:r>
        <w:rPr/>
        <w:br/>
        <w:t>The framework can treat freedom from intensive human control as a relevant value without assuming that all human intervention is wrong.</w:t>
      </w:r>
    </w:p>
    <w:p>
      <w:pPr>
        <w:pStyle w:val="BodyText"/>
        <w:numPr>
          <w:ilvl w:val="0"/>
          <w:numId w:val="151"/>
        </w:numPr>
        <w:tabs>
          <w:tab w:val="clear" w:pos="720"/>
          <w:tab w:val="left" w:pos="0" w:leader="none"/>
        </w:tabs>
        <w:spacing w:before="0" w:after="200"/>
        <w:ind w:hanging="283" w:left="709"/>
        <w:rPr/>
      </w:pPr>
      <w:r>
        <w:rPr>
          <w:rStyle w:val="Strong"/>
        </w:rPr>
        <w:t>Distinguish restoration from domination.</w:t>
      </w:r>
      <w:r>
        <w:rPr/>
        <w:br/>
        <w:t>Highly managed systems may recover selected functions while losing autonomy, wildness, or evolutionary openness.</w:t>
      </w:r>
    </w:p>
    <w:p>
      <w:pPr>
        <w:pStyle w:val="BodyText"/>
        <w:numPr>
          <w:ilvl w:val="0"/>
          <w:numId w:val="151"/>
        </w:numPr>
        <w:tabs>
          <w:tab w:val="clear" w:pos="720"/>
          <w:tab w:val="left" w:pos="0" w:leader="none"/>
        </w:tabs>
        <w:spacing w:before="0" w:after="200"/>
        <w:ind w:hanging="283" w:left="709"/>
        <w:rPr/>
      </w:pPr>
      <w:r>
        <w:rPr>
          <w:rStyle w:val="Strong"/>
        </w:rPr>
        <w:t>Integrate environmental justice.</w:t>
      </w:r>
      <w:r>
        <w:rPr/>
        <w:br/>
        <w:t>Each assessment should identify the distribution of:</w:t>
      </w:r>
    </w:p>
    <w:p>
      <w:pPr>
        <w:pStyle w:val="BodyText"/>
        <w:numPr>
          <w:ilvl w:val="1"/>
          <w:numId w:val="151"/>
        </w:numPr>
        <w:tabs>
          <w:tab w:val="clear" w:pos="720"/>
          <w:tab w:val="left" w:pos="0" w:leader="none"/>
        </w:tabs>
        <w:spacing w:before="0" w:after="200"/>
        <w:ind w:hanging="283" w:left="1418"/>
        <w:rPr/>
      </w:pPr>
      <w:r>
        <w:rPr/>
        <w:t>Environmental benefits;</w:t>
      </w:r>
    </w:p>
    <w:p>
      <w:pPr>
        <w:pStyle w:val="BodyText"/>
        <w:numPr>
          <w:ilvl w:val="1"/>
          <w:numId w:val="151"/>
        </w:numPr>
        <w:tabs>
          <w:tab w:val="clear" w:pos="720"/>
          <w:tab w:val="left" w:pos="0" w:leader="none"/>
        </w:tabs>
        <w:spacing w:before="0" w:after="200"/>
        <w:ind w:hanging="283" w:left="1418"/>
        <w:rPr/>
      </w:pPr>
      <w:r>
        <w:rPr/>
        <w:t>Pollution and risk;</w:t>
      </w:r>
    </w:p>
    <w:p>
      <w:pPr>
        <w:pStyle w:val="BodyText"/>
        <w:numPr>
          <w:ilvl w:val="1"/>
          <w:numId w:val="151"/>
        </w:numPr>
        <w:tabs>
          <w:tab w:val="clear" w:pos="720"/>
          <w:tab w:val="left" w:pos="0" w:leader="none"/>
        </w:tabs>
        <w:spacing w:before="0" w:after="200"/>
        <w:ind w:hanging="283" w:left="1418"/>
        <w:rPr/>
      </w:pPr>
      <w:r>
        <w:rPr/>
        <w:t>Conservation restrictions;</w:t>
      </w:r>
    </w:p>
    <w:p>
      <w:pPr>
        <w:pStyle w:val="BodyText"/>
        <w:numPr>
          <w:ilvl w:val="1"/>
          <w:numId w:val="151"/>
        </w:numPr>
        <w:tabs>
          <w:tab w:val="clear" w:pos="720"/>
          <w:tab w:val="left" w:pos="0" w:leader="none"/>
        </w:tabs>
        <w:spacing w:before="0" w:after="200"/>
        <w:ind w:hanging="283" w:left="1418"/>
        <w:rPr/>
      </w:pPr>
      <w:r>
        <w:rPr/>
        <w:t>Access to land and resources;</w:t>
      </w:r>
    </w:p>
    <w:p>
      <w:pPr>
        <w:pStyle w:val="BodyText"/>
        <w:numPr>
          <w:ilvl w:val="1"/>
          <w:numId w:val="151"/>
        </w:numPr>
        <w:tabs>
          <w:tab w:val="clear" w:pos="720"/>
          <w:tab w:val="left" w:pos="0" w:leader="none"/>
        </w:tabs>
        <w:spacing w:before="0" w:after="200"/>
        <w:ind w:hanging="283" w:left="1418"/>
        <w:rPr/>
      </w:pPr>
      <w:r>
        <w:rPr/>
        <w:t>Decision authority;</w:t>
      </w:r>
    </w:p>
    <w:p>
      <w:pPr>
        <w:pStyle w:val="BodyText"/>
        <w:numPr>
          <w:ilvl w:val="1"/>
          <w:numId w:val="151"/>
        </w:numPr>
        <w:tabs>
          <w:tab w:val="clear" w:pos="720"/>
          <w:tab w:val="left" w:pos="0" w:leader="none"/>
        </w:tabs>
        <w:spacing w:before="0" w:after="200"/>
        <w:ind w:hanging="283" w:left="1418"/>
        <w:rPr/>
      </w:pPr>
      <w:r>
        <w:rPr/>
        <w:t>Recognition and cultural loss; and</w:t>
      </w:r>
    </w:p>
    <w:p>
      <w:pPr>
        <w:pStyle w:val="BodyText"/>
        <w:numPr>
          <w:ilvl w:val="1"/>
          <w:numId w:val="151"/>
        </w:numPr>
        <w:tabs>
          <w:tab w:val="clear" w:pos="720"/>
          <w:tab w:val="left" w:pos="0" w:leader="none"/>
        </w:tabs>
        <w:spacing w:before="0" w:after="200"/>
        <w:ind w:hanging="283" w:left="1418"/>
        <w:rPr/>
      </w:pPr>
      <w:r>
        <w:rPr/>
        <w:t>Repair obligations.</w:t>
      </w:r>
    </w:p>
    <w:p>
      <w:pPr>
        <w:pStyle w:val="BodyText"/>
        <w:numPr>
          <w:ilvl w:val="0"/>
          <w:numId w:val="151"/>
        </w:numPr>
        <w:tabs>
          <w:tab w:val="clear" w:pos="720"/>
          <w:tab w:val="left" w:pos="0" w:leader="none"/>
        </w:tabs>
        <w:spacing w:before="0" w:after="200"/>
        <w:ind w:hanging="283" w:left="709"/>
        <w:rPr/>
      </w:pPr>
      <w:r>
        <w:rPr>
          <w:rStyle w:val="Strong"/>
        </w:rPr>
        <w:t>Integrate social-ecological causation.</w:t>
      </w:r>
      <w:r>
        <w:rPr/>
        <w:br/>
        <w:t>Environmental degradation should be traced through ownership, labor, hierarchy, colonial history, consumption, political exclusion, and institutional incentives—not attributed generically to “humanity.”</w:t>
      </w:r>
    </w:p>
    <w:p>
      <w:pPr>
        <w:pStyle w:val="BodyText"/>
        <w:numPr>
          <w:ilvl w:val="0"/>
          <w:numId w:val="151"/>
        </w:numPr>
        <w:tabs>
          <w:tab w:val="clear" w:pos="720"/>
          <w:tab w:val="left" w:pos="0" w:leader="none"/>
        </w:tabs>
        <w:spacing w:before="0" w:after="200"/>
        <w:ind w:hanging="283" w:left="709"/>
        <w:rPr/>
      </w:pPr>
      <w:r>
        <w:rPr>
          <w:rStyle w:val="Strong"/>
        </w:rPr>
        <w:t>Include Indigenous and local knowledge.</w:t>
      </w:r>
      <w:r>
        <w:rPr/>
        <w:br/>
        <w:t>Such knowledge can improve ecological understanding and identify cultural or relational values omitted by technical models. Inclusion should occur through respectful participation rather than extraction or romanticization.</w:t>
      </w:r>
    </w:p>
    <w:p>
      <w:pPr>
        <w:pStyle w:val="BodyText"/>
        <w:numPr>
          <w:ilvl w:val="0"/>
          <w:numId w:val="151"/>
        </w:numPr>
        <w:tabs>
          <w:tab w:val="clear" w:pos="720"/>
          <w:tab w:val="left" w:pos="0" w:leader="none"/>
        </w:tabs>
        <w:spacing w:before="0" w:after="200"/>
        <w:ind w:hanging="283" w:left="709"/>
        <w:rPr/>
      </w:pPr>
      <w:r>
        <w:rPr>
          <w:rStyle w:val="Strong"/>
        </w:rPr>
        <w:t>Require free, prior, and informed participation where appropriate.</w:t>
      </w:r>
      <w:r>
        <w:rPr/>
        <w:br/>
        <w:t>Projects materially affecting Indigenous peoples and local communities should include meaningful authority, access to information, and protection against coercion.</w:t>
      </w:r>
    </w:p>
    <w:p>
      <w:pPr>
        <w:pStyle w:val="BodyText"/>
        <w:numPr>
          <w:ilvl w:val="0"/>
          <w:numId w:val="151"/>
        </w:numPr>
        <w:tabs>
          <w:tab w:val="clear" w:pos="720"/>
          <w:tab w:val="left" w:pos="0" w:leader="none"/>
        </w:tabs>
        <w:spacing w:before="0" w:after="200"/>
        <w:ind w:hanging="283" w:left="709"/>
        <w:rPr/>
      </w:pPr>
      <w:r>
        <w:rPr>
          <w:rStyle w:val="Strong"/>
        </w:rPr>
        <w:t>Create representation for nonhuman entities.</w:t>
      </w:r>
      <w:r>
        <w:rPr/>
        <w:br/>
        <w:t>Guardians, trustees, ecological experts, Indigenous representatives, or legally recognized nature representatives may provide structured advocacy for entities unable to speak.</w:t>
      </w:r>
    </w:p>
    <w:p>
      <w:pPr>
        <w:pStyle w:val="BodyText"/>
        <w:numPr>
          <w:ilvl w:val="0"/>
          <w:numId w:val="151"/>
        </w:numPr>
        <w:tabs>
          <w:tab w:val="clear" w:pos="720"/>
          <w:tab w:val="left" w:pos="0" w:leader="none"/>
        </w:tabs>
        <w:spacing w:before="0" w:after="200"/>
        <w:ind w:hanging="283" w:left="709"/>
        <w:rPr/>
      </w:pPr>
      <w:r>
        <w:rPr>
          <w:rStyle w:val="Strong"/>
        </w:rPr>
        <w:t>Evaluate rights-of-nature implementations.</w:t>
      </w:r>
      <w:r>
        <w:rPr/>
        <w:br/>
        <w:t>The framework can analyze whether recognizing legal rights for rivers, forests, or ecosystems improves protection, standing, accountability, and long-term flourishing.</w:t>
      </w:r>
    </w:p>
    <w:p>
      <w:pPr>
        <w:pStyle w:val="BodyText"/>
        <w:numPr>
          <w:ilvl w:val="0"/>
          <w:numId w:val="151"/>
        </w:numPr>
        <w:tabs>
          <w:tab w:val="clear" w:pos="720"/>
          <w:tab w:val="left" w:pos="0" w:leader="none"/>
        </w:tabs>
        <w:spacing w:before="0" w:after="200"/>
        <w:ind w:hanging="283" w:left="709"/>
        <w:rPr/>
      </w:pPr>
      <w:r>
        <w:rPr>
          <w:rStyle w:val="Strong"/>
        </w:rPr>
        <w:t>Add an ecological responsibility network.</w:t>
      </w:r>
      <w:r>
        <w:rPr/>
        <w:br/>
        <w:t>Responsibility should be distributed among producers, financiers, regulators, consumers, designers, landowners, beneficiaries, and institutions according to their roles and influence.</w:t>
      </w:r>
    </w:p>
    <w:p>
      <w:pPr>
        <w:pStyle w:val="BodyText"/>
        <w:numPr>
          <w:ilvl w:val="0"/>
          <w:numId w:val="151"/>
        </w:numPr>
        <w:tabs>
          <w:tab w:val="clear" w:pos="720"/>
          <w:tab w:val="left" w:pos="0" w:leader="none"/>
        </w:tabs>
        <w:spacing w:before="0" w:after="200"/>
        <w:ind w:hanging="283" w:left="709"/>
        <w:rPr/>
      </w:pPr>
      <w:r>
        <w:rPr>
          <w:rStyle w:val="Strong"/>
        </w:rPr>
        <w:t>Model supply-chain and life-cycle effects.</w:t>
      </w:r>
      <w:r>
        <w:rPr/>
        <w:br/>
        <w:t>Extraction, production, transportation, use, maintenance, disposal, and recovery should be included where they materially affect the transition.</w:t>
      </w:r>
    </w:p>
    <w:p>
      <w:pPr>
        <w:pStyle w:val="BodyText"/>
        <w:numPr>
          <w:ilvl w:val="0"/>
          <w:numId w:val="151"/>
        </w:numPr>
        <w:tabs>
          <w:tab w:val="clear" w:pos="720"/>
          <w:tab w:val="left" w:pos="0" w:leader="none"/>
        </w:tabs>
        <w:spacing w:before="0" w:after="200"/>
        <w:ind w:hanging="283" w:left="709"/>
        <w:rPr/>
      </w:pPr>
      <w:r>
        <w:rPr>
          <w:rStyle w:val="Strong"/>
        </w:rPr>
        <w:t>Include rebound effects.</w:t>
      </w:r>
      <w:r>
        <w:rPr/>
        <w:br/>
        <w:t>Efficiency improvements may lower costs and increase total consumption, offsetting environmental benefits.</w:t>
      </w:r>
    </w:p>
    <w:p>
      <w:pPr>
        <w:pStyle w:val="BodyText"/>
        <w:numPr>
          <w:ilvl w:val="0"/>
          <w:numId w:val="151"/>
        </w:numPr>
        <w:tabs>
          <w:tab w:val="clear" w:pos="720"/>
          <w:tab w:val="left" w:pos="0" w:leader="none"/>
        </w:tabs>
        <w:spacing w:before="0" w:after="200"/>
        <w:ind w:hanging="283" w:left="709"/>
        <w:rPr/>
      </w:pPr>
      <w:r>
        <w:rPr>
          <w:rStyle w:val="Strong"/>
        </w:rPr>
        <w:t>Evaluate technological lock-in.</w:t>
      </w:r>
      <w:r>
        <w:rPr/>
        <w:br/>
        <w:t>Infrastructure and standards can commit societies to environmentally harmful paths long after the original decision.</w:t>
      </w:r>
    </w:p>
    <w:p>
      <w:pPr>
        <w:pStyle w:val="BodyText"/>
        <w:numPr>
          <w:ilvl w:val="0"/>
          <w:numId w:val="151"/>
        </w:numPr>
        <w:tabs>
          <w:tab w:val="clear" w:pos="720"/>
          <w:tab w:val="left" w:pos="0" w:leader="none"/>
        </w:tabs>
        <w:spacing w:before="0" w:after="200"/>
        <w:ind w:hanging="283" w:left="709"/>
        <w:rPr/>
      </w:pPr>
      <w:r>
        <w:rPr>
          <w:rStyle w:val="Strong"/>
        </w:rPr>
        <w:t>Assess geoengineering and large-scale interventions cautiously.</w:t>
      </w:r>
      <w:r>
        <w:rPr/>
        <w:br/>
        <w:t>Analysis should include uncertainty, governance, unequal regional effects, reversibility, moral hazard, and responsibility for failure.</w:t>
      </w:r>
    </w:p>
    <w:p>
      <w:pPr>
        <w:pStyle w:val="BodyText"/>
        <w:numPr>
          <w:ilvl w:val="0"/>
          <w:numId w:val="151"/>
        </w:numPr>
        <w:tabs>
          <w:tab w:val="clear" w:pos="720"/>
          <w:tab w:val="left" w:pos="0" w:leader="none"/>
        </w:tabs>
        <w:spacing w:before="0" w:after="200"/>
        <w:ind w:hanging="283" w:left="709"/>
        <w:rPr/>
      </w:pPr>
      <w:r>
        <w:rPr>
          <w:rStyle w:val="Strong"/>
        </w:rPr>
        <w:t>Address individual–ecosystem conflicts explicitly.</w:t>
      </w:r>
      <w:r>
        <w:rPr/>
        <w:br/>
        <w:t>Wildlife management, invasive-species control, disease management, and predator restoration should separately report effects on individual welfare, population viability, species, and ecosystem functions.</w:t>
      </w:r>
    </w:p>
    <w:p>
      <w:pPr>
        <w:pStyle w:val="BodyText"/>
        <w:numPr>
          <w:ilvl w:val="0"/>
          <w:numId w:val="151"/>
        </w:numPr>
        <w:tabs>
          <w:tab w:val="clear" w:pos="720"/>
          <w:tab w:val="left" w:pos="0" w:leader="none"/>
        </w:tabs>
        <w:spacing w:before="0" w:after="200"/>
        <w:ind w:hanging="283" w:left="709"/>
        <w:rPr/>
      </w:pPr>
      <w:r>
        <w:rPr>
          <w:rStyle w:val="Strong"/>
        </w:rPr>
        <w:t>Avoid treating “invasive” as a complete moral classification.</w:t>
      </w:r>
      <w:r>
        <w:rPr/>
        <w:br/>
        <w:t>Assessments should examine causal history, actual ecological effects, changing climate suitability, control methods, feasibility, and animal suffering.</w:t>
      </w:r>
    </w:p>
    <w:p>
      <w:pPr>
        <w:pStyle w:val="BodyText"/>
        <w:numPr>
          <w:ilvl w:val="0"/>
          <w:numId w:val="151"/>
        </w:numPr>
        <w:tabs>
          <w:tab w:val="clear" w:pos="720"/>
          <w:tab w:val="left" w:pos="0" w:leader="none"/>
        </w:tabs>
        <w:spacing w:before="0" w:after="200"/>
        <w:ind w:hanging="283" w:left="709"/>
        <w:rPr/>
      </w:pPr>
      <w:r>
        <w:rPr>
          <w:rStyle w:val="Strong"/>
        </w:rPr>
        <w:t>Add climate-adjusted ecological baselines.</w:t>
      </w:r>
      <w:r>
        <w:rPr/>
        <w:br/>
        <w:t>Historical reference conditions may no longer be achievable. Restoration should consider assisted adaptation without abandoning continuity and wildness too quickly.</w:t>
      </w:r>
    </w:p>
    <w:p>
      <w:pPr>
        <w:pStyle w:val="BodyText"/>
        <w:numPr>
          <w:ilvl w:val="0"/>
          <w:numId w:val="151"/>
        </w:numPr>
        <w:tabs>
          <w:tab w:val="clear" w:pos="720"/>
          <w:tab w:val="left" w:pos="0" w:leader="none"/>
        </w:tabs>
        <w:spacing w:before="0" w:after="200"/>
        <w:ind w:hanging="283" w:left="709"/>
        <w:rPr/>
      </w:pPr>
      <w:r>
        <w:rPr>
          <w:rStyle w:val="Strong"/>
        </w:rPr>
        <w:t>Integrate moral uncertainty.</w:t>
      </w:r>
      <w:r>
        <w:rPr/>
        <w:br/>
        <w:t>Where anthropocentric, sentientist, biocentric, ecocentric, and justice-based perspectives disagree, the framework should display the separate conclusions and identify robust actions across them.</w:t>
      </w:r>
    </w:p>
    <w:p>
      <w:pPr>
        <w:pStyle w:val="BodyText"/>
        <w:numPr>
          <w:ilvl w:val="0"/>
          <w:numId w:val="151"/>
        </w:numPr>
        <w:tabs>
          <w:tab w:val="clear" w:pos="720"/>
          <w:tab w:val="left" w:pos="0" w:leader="none"/>
        </w:tabs>
        <w:spacing w:before="0" w:after="200"/>
        <w:ind w:hanging="283" w:left="709"/>
        <w:rPr/>
      </w:pPr>
      <w:r>
        <w:rPr>
          <w:rStyle w:val="Strong"/>
        </w:rPr>
        <w:t>Use adaptive ecological management.</w:t>
      </w:r>
      <w:r>
        <w:rPr/>
        <w:br/>
        <w:t>Implemented actions should include monitoring, thresholds for correction, data transparency, responsible parties, and funding for long-term stewardship.</w:t>
      </w:r>
    </w:p>
    <w:p>
      <w:pPr>
        <w:pStyle w:val="BodyText"/>
        <w:numPr>
          <w:ilvl w:val="0"/>
          <w:numId w:val="151"/>
        </w:numPr>
        <w:tabs>
          <w:tab w:val="clear" w:pos="720"/>
          <w:tab w:val="left" w:pos="0" w:leader="none"/>
        </w:tabs>
        <w:spacing w:before="0" w:after="200"/>
        <w:ind w:hanging="283" w:left="709"/>
        <w:rPr/>
      </w:pPr>
      <w:r>
        <w:rPr>
          <w:rStyle w:val="Strong"/>
        </w:rPr>
        <w:t>Evaluate the environmental footprint of the framework itself.</w:t>
      </w:r>
      <w:r>
        <w:rPr/>
        <w:br/>
        <w:t>Data collection, computation, sensing infrastructure, travel, hardware, and energy consumption associated with ethical assessment should be included when material.</w:t>
      </w:r>
    </w:p>
    <w:p>
      <w:pPr>
        <w:pStyle w:val="BodyText"/>
        <w:numPr>
          <w:ilvl w:val="0"/>
          <w:numId w:val="151"/>
        </w:numPr>
        <w:tabs>
          <w:tab w:val="clear" w:pos="720"/>
          <w:tab w:val="left" w:pos="0" w:leader="none"/>
        </w:tabs>
        <w:spacing w:before="0" w:after="200"/>
        <w:ind w:hanging="283" w:left="709"/>
        <w:rPr/>
      </w:pPr>
      <w:r>
        <w:rPr>
          <w:rStyle w:val="Strong"/>
        </w:rPr>
        <w:t>Add ecological moral-agent development.</w:t>
      </w:r>
      <w:r>
        <w:rPr/>
        <w:br/>
        <w:t>Training should cultivate systems awareness, attention to nonhuman life, recognition of uncertainty, restraint, and the ability to identify ecological externalities.</w:t>
      </w:r>
    </w:p>
    <w:p>
      <w:pPr>
        <w:pStyle w:val="BodyText"/>
        <w:numPr>
          <w:ilvl w:val="0"/>
          <w:numId w:val="151"/>
        </w:numPr>
        <w:tabs>
          <w:tab w:val="clear" w:pos="720"/>
          <w:tab w:val="left" w:pos="0" w:leader="none"/>
        </w:tabs>
        <w:spacing w:before="0" w:after="200"/>
        <w:ind w:hanging="283" w:left="709"/>
        <w:rPr/>
      </w:pPr>
      <w:r>
        <w:rPr>
          <w:rStyle w:val="Strong"/>
        </w:rPr>
        <w:t>Constrain population-related reasoning.</w:t>
      </w:r>
      <w:r>
        <w:rPr/>
        <w:br/>
        <w:t>Any demographic analysis must protect existing persons, reproductive autonomy, gender equality, non-discrimination, and voluntary informed choice. It should also examine unequal consumption, waste, and resource concentration rather than attributing ecological pressure solely to population totals.</w:t>
      </w:r>
    </w:p>
    <w:p>
      <w:pPr>
        <w:pStyle w:val="BodyText"/>
        <w:numPr>
          <w:ilvl w:val="0"/>
          <w:numId w:val="151"/>
        </w:numPr>
        <w:tabs>
          <w:tab w:val="clear" w:pos="720"/>
          <w:tab w:val="left" w:pos="0" w:leader="none"/>
        </w:tabs>
        <w:spacing w:before="0" w:after="200"/>
        <w:ind w:hanging="283" w:left="709"/>
        <w:rPr/>
      </w:pPr>
      <w:r>
        <w:rPr>
          <w:rStyle w:val="Strong"/>
        </w:rPr>
        <w:t>Evaluate quality of life separately from material throughput.</w:t>
      </w:r>
      <w:r>
        <w:rPr/>
        <w:br/>
        <w:t>The framework can investigate whether education, health, affiliation, recreation, security, and meaningful participation can improve while resource and energy intensity decline.</w:t>
      </w:r>
    </w:p>
    <w:p>
      <w:pPr>
        <w:pStyle w:val="BodyText"/>
        <w:numPr>
          <w:ilvl w:val="0"/>
          <w:numId w:val="151"/>
        </w:numPr>
        <w:tabs>
          <w:tab w:val="clear" w:pos="720"/>
          <w:tab w:val="left" w:pos="0" w:leader="none"/>
        </w:tabs>
        <w:spacing w:before="0" w:after="200"/>
        <w:ind w:hanging="283" w:left="709"/>
        <w:rPr/>
      </w:pPr>
      <w:r>
        <w:rPr>
          <w:rStyle w:val="Strong"/>
        </w:rPr>
        <w:t>Create an ecological compatibility finding.</w:t>
      </w:r>
      <w:r>
        <w:rPr/>
        <w:br/>
        <w:t>In addition to the general ethical conclusion, the assessment could report whether an action is compatible with:</w:t>
      </w:r>
    </w:p>
    <w:p>
      <w:pPr>
        <w:pStyle w:val="BodyText"/>
        <w:numPr>
          <w:ilvl w:val="1"/>
          <w:numId w:val="151"/>
        </w:numPr>
        <w:tabs>
          <w:tab w:val="clear" w:pos="720"/>
          <w:tab w:val="left" w:pos="0" w:leader="none"/>
        </w:tabs>
        <w:spacing w:before="0" w:after="200"/>
        <w:ind w:hanging="283" w:left="1418"/>
        <w:rPr/>
      </w:pPr>
      <w:r>
        <w:rPr/>
        <w:t>Entity-specific nonhuman flourishing;</w:t>
      </w:r>
    </w:p>
    <w:p>
      <w:pPr>
        <w:pStyle w:val="BodyText"/>
        <w:numPr>
          <w:ilvl w:val="1"/>
          <w:numId w:val="151"/>
        </w:numPr>
        <w:tabs>
          <w:tab w:val="clear" w:pos="720"/>
          <w:tab w:val="left" w:pos="0" w:leader="none"/>
        </w:tabs>
        <w:spacing w:before="0" w:after="200"/>
        <w:ind w:hanging="283" w:left="1418"/>
        <w:rPr/>
      </w:pPr>
      <w:r>
        <w:rPr/>
        <w:t>Biodiversity;</w:t>
      </w:r>
    </w:p>
    <w:p>
      <w:pPr>
        <w:pStyle w:val="BodyText"/>
        <w:numPr>
          <w:ilvl w:val="1"/>
          <w:numId w:val="151"/>
        </w:numPr>
        <w:tabs>
          <w:tab w:val="clear" w:pos="720"/>
          <w:tab w:val="left" w:pos="0" w:leader="none"/>
        </w:tabs>
        <w:spacing w:before="0" w:after="200"/>
        <w:ind w:hanging="283" w:left="1418"/>
        <w:rPr/>
      </w:pPr>
      <w:r>
        <w:rPr/>
        <w:t>Ecosystem integrity;</w:t>
      </w:r>
    </w:p>
    <w:p>
      <w:pPr>
        <w:pStyle w:val="BodyText"/>
        <w:numPr>
          <w:ilvl w:val="1"/>
          <w:numId w:val="151"/>
        </w:numPr>
        <w:tabs>
          <w:tab w:val="clear" w:pos="720"/>
          <w:tab w:val="left" w:pos="0" w:leader="none"/>
        </w:tabs>
        <w:spacing w:before="0" w:after="200"/>
        <w:ind w:hanging="283" w:left="1418"/>
        <w:rPr/>
      </w:pPr>
      <w:r>
        <w:rPr/>
        <w:t>Evolutionary potential;</w:t>
      </w:r>
    </w:p>
    <w:p>
      <w:pPr>
        <w:pStyle w:val="BodyText"/>
        <w:numPr>
          <w:ilvl w:val="1"/>
          <w:numId w:val="151"/>
        </w:numPr>
        <w:tabs>
          <w:tab w:val="clear" w:pos="720"/>
          <w:tab w:val="left" w:pos="0" w:leader="none"/>
        </w:tabs>
        <w:spacing w:before="0" w:after="200"/>
        <w:ind w:hanging="283" w:left="1418"/>
        <w:rPr/>
      </w:pPr>
      <w:r>
        <w:rPr/>
        <w:t>Ecological limits;</w:t>
      </w:r>
    </w:p>
    <w:p>
      <w:pPr>
        <w:pStyle w:val="BodyText"/>
        <w:numPr>
          <w:ilvl w:val="1"/>
          <w:numId w:val="151"/>
        </w:numPr>
        <w:tabs>
          <w:tab w:val="clear" w:pos="720"/>
          <w:tab w:val="left" w:pos="0" w:leader="none"/>
        </w:tabs>
        <w:spacing w:before="0" w:after="200"/>
        <w:ind w:hanging="283" w:left="1418"/>
        <w:rPr/>
      </w:pPr>
      <w:r>
        <w:rPr/>
        <w:t>Environmental justice; and</w:t>
      </w:r>
    </w:p>
    <w:p>
      <w:pPr>
        <w:pStyle w:val="BodyText"/>
        <w:numPr>
          <w:ilvl w:val="1"/>
          <w:numId w:val="151"/>
        </w:numPr>
        <w:tabs>
          <w:tab w:val="clear" w:pos="720"/>
          <w:tab w:val="left" w:pos="0" w:leader="none"/>
        </w:tabs>
        <w:spacing w:before="0" w:after="200"/>
        <w:ind w:hanging="283" w:left="1418"/>
        <w:rPr/>
      </w:pPr>
      <w:r>
        <w:rPr/>
        <w:t>Intergenerational capability.</w:t>
      </w:r>
    </w:p>
    <w:p>
      <w:pPr>
        <w:pStyle w:val="BodyText"/>
        <w:spacing w:before="0" w:after="200"/>
        <w:rPr/>
      </w:pPr>
      <w:r>
        <w:rPr/>
        <w:t>Environmental Ethics and Deep Ecology substantially reinforce the proposed framework’s extension of moral concern beyond humanity. Their most important contribution is the insistence that nonhuman life and ecological systems must not enter ethical analysis only as resources supporting human objectives. The proposed framework, in turn, can provide a more explicit method for resolving conflicts, representing uncertainty, distinguishing causal effect from responsibility, and evaluating the compatibility of human, nonhuman, individual, and ecosystem flourishing.</w:t>
      </w:r>
    </w:p>
    <w:p>
      <w:pPr>
        <w:pStyle w:val="Heading2"/>
        <w:rPr/>
      </w:pPr>
      <w:r>
        <w:rPr/>
        <w:t>Anticipated Counterarguments and Responses</w:t>
      </w:r>
    </w:p>
    <w:p>
      <w:pPr>
        <w:pStyle w:val="Normal"/>
        <w:widowControl/>
        <w:bidi w:val="0"/>
        <w:spacing w:lineRule="auto" w:line="276"/>
        <w:jc w:val="left"/>
        <w:rPr/>
      </w:pPr>
      <w:r>
        <w:rPr/>
        <w:t>The counterarguments for each system of ethics are evaluated on the following topics:</w:t>
      </w:r>
    </w:p>
    <w:p>
      <w:pPr>
        <w:pStyle w:val="ListBullet"/>
        <w:numPr>
          <w:ilvl w:val="0"/>
          <w:numId w:val="2"/>
        </w:numPr>
        <w:rPr/>
      </w:pPr>
      <w:r>
        <w:rPr/>
        <w:t>Questioning argument</w:t>
      </w:r>
    </w:p>
    <w:p>
      <w:pPr>
        <w:pStyle w:val="ListBullet"/>
        <w:numPr>
          <w:ilvl w:val="0"/>
          <w:numId w:val="2"/>
        </w:numPr>
        <w:rPr/>
      </w:pPr>
      <w:r>
        <w:rPr/>
        <w:t>Assumptions within the ethical model relevant to the questioning argument</w:t>
      </w:r>
    </w:p>
    <w:p>
      <w:pPr>
        <w:pStyle w:val="ListBullet"/>
        <w:numPr>
          <w:ilvl w:val="0"/>
          <w:numId w:val="2"/>
        </w:numPr>
        <w:rPr/>
      </w:pPr>
      <w:r>
        <w:rPr/>
        <w:t>Concepts incorporated from this ethical model (if any)</w:t>
      </w:r>
    </w:p>
    <w:p>
      <w:pPr>
        <w:pStyle w:val="ListBullet"/>
        <w:numPr>
          <w:ilvl w:val="0"/>
          <w:numId w:val="2"/>
        </w:numPr>
        <w:rPr/>
      </w:pPr>
      <w:r>
        <w:rPr/>
        <w:t>How this framework addresses those assumptions</w:t>
      </w:r>
    </w:p>
    <w:p>
      <w:pPr>
        <w:pStyle w:val="ListBullet"/>
        <w:numPr>
          <w:ilvl w:val="0"/>
          <w:numId w:val="2"/>
        </w:numPr>
        <w:rPr/>
      </w:pPr>
      <w:r>
        <w:rPr/>
        <w:t>Counterargument</w:t>
      </w:r>
    </w:p>
    <w:p>
      <w:pPr>
        <w:pStyle w:val="ListBullet"/>
        <w:numPr>
          <w:ilvl w:val="0"/>
          <w:numId w:val="2"/>
        </w:numPr>
        <w:rPr/>
      </w:pPr>
      <w:r>
        <w:rPr/>
        <w:t>Incremental questions the expert should then ask</w:t>
      </w:r>
    </w:p>
    <w:p>
      <w:pPr>
        <w:pStyle w:val="ListBullet"/>
        <w:numPr>
          <w:ilvl w:val="0"/>
          <w:numId w:val="2"/>
        </w:numPr>
        <w:rPr/>
      </w:pPr>
      <w:r>
        <w:rPr/>
        <w:t>Responses to those incremental questions</w:t>
      </w:r>
    </w:p>
    <w:p>
      <w:pPr>
        <w:pStyle w:val="ListBullet"/>
        <w:numPr>
          <w:ilvl w:val="0"/>
          <w:numId w:val="2"/>
        </w:numPr>
        <w:rPr/>
      </w:pPr>
      <w:r>
        <w:rPr/>
        <w:t>Remaining open issues</w:t>
      </w:r>
    </w:p>
    <w:p>
      <w:pPr>
        <w:pStyle w:val="Heading3"/>
        <w:ind w:hanging="0" w:left="0"/>
        <w:rPr/>
      </w:pPr>
      <w:r>
        <w:rPr/>
        <w:t>Utilitarianism</w:t>
      </w:r>
    </w:p>
    <w:p>
      <w:pPr>
        <w:pStyle w:val="Heading4"/>
        <w:ind w:hanging="0" w:left="0"/>
        <w:rPr>
          <w:rFonts w:ascii="Aptos" w:hAnsi="Aptos"/>
          <w:color w:val="auto"/>
        </w:rPr>
      </w:pPr>
      <w:r>
        <w:rPr/>
        <w:t>Questioning Argument</w:t>
      </w:r>
    </w:p>
    <w:p>
      <w:pPr>
        <w:pStyle w:val="BodyText"/>
        <w:spacing w:before="0" w:after="200"/>
        <w:rPr/>
      </w:pPr>
      <w:r>
        <w:rPr/>
        <w:t xml:space="preserve">A utilitarian expert could challenge the proposed framework by arguing that it accepts the central insight of consequentialism while declining to adopt the decision rule needed to make that insight action-guiding. The framework evaluates actions according to their effects on Long-Term Flourishing, affected entities, institutions, future opportunities, and the resulting World Context. These are all consequences in the philosophically relevant sense. Consequentialism holds that normative judgments depend on consequences, while utilitarianism evaluates those consequences through aggregate welfare or net benefit. </w:t>
      </w:r>
      <w:hyperlink r:id="rId228">
        <w:r>
          <w:rPr>
            <w:rStyle w:val="Hyperlink"/>
          </w:rPr>
          <w:t>Stanford Encyclopedia of Philosophy</w:t>
        </w:r>
      </w:hyperlink>
    </w:p>
    <w:p>
      <w:pPr>
        <w:pStyle w:val="BodyText"/>
        <w:spacing w:before="0" w:after="200"/>
        <w:rPr/>
      </w:pPr>
      <w:r>
        <w:rPr/>
        <w:t>The utilitarian might therefore ask why the framework does not identify a common measure of Long-Term Flourishing, aggregate changes across affected entities, and select the action with the highest expected value. Without a maximizing or otherwise complete decision rule, the instruction to “preserve and promote” flourishing while “avoiding material diminishment” may be indeterminate whenever the flourishing of different entities conflicts. If the framework eventually introduces weights, thresholds, aggregation functions, and rules for resolving these conflicts, it may become a form of constrained or multi-attribute utilitarianism under different terminology. If it does not introduce them, different assessors may reach inconsistent conclusions from the same evidence.</w:t>
      </w:r>
    </w:p>
    <w:p>
      <w:pPr>
        <w:pStyle w:val="BodyText"/>
        <w:spacing w:before="0" w:after="200"/>
        <w:rPr/>
      </w:pPr>
      <w:r>
        <w:rPr/>
        <w:t xml:space="preserve">The utilitarian could also argue that Distributed Policy Effects, institutional legitimacy, trust, relationships, and Future State Space do not establish a fundamental difference from utilitarianism. These factors can be represented as consequences with effects on present or future welfare. Rule consequentialism already evaluates rules and practices according to the consequences of their acceptance, teaching, and general operation. </w:t>
      </w:r>
      <w:hyperlink r:id="rId229">
        <w:r>
          <w:rPr>
            <w:rStyle w:val="Hyperlink"/>
          </w:rPr>
          <w:t>Stanford Encyclopedia of Philosophy</w:t>
        </w:r>
      </w:hyperlink>
      <w:r>
        <w:rPr/>
        <w:t xml:space="preserve"> From this perspective, the proposed framework may offer a more detailed causal model of consequences without providing a genuinely different normative foundation.</w:t>
      </w:r>
    </w:p>
    <w:p>
      <w:pPr>
        <w:pStyle w:val="BodyText"/>
        <w:spacing w:before="0" w:after="200"/>
        <w:rPr/>
      </w:pPr>
      <w:r>
        <w:rPr/>
        <w:t>A further objection concerns the prohibition or avoidance of actions that materially diminish another Flourishing Entity. If interpreted as an absolute constraint, it could prohibit imposing a moderate harm on one entity even when doing so is necessary to prevent catastrophic harm to many others. If interpreted as a defeasible constraint, the framework must explain when the constraint may be overridden and how competing harms and benefits are to be compared. Without such rules, the framework risks action paralysis, status quo bias, or judgments that conceal intuitive preferences behind the language of materiality and flourishing.</w:t>
      </w:r>
    </w:p>
    <w:p>
      <w:pPr>
        <w:pStyle w:val="BodyText"/>
        <w:spacing w:before="0" w:after="200"/>
        <w:rPr/>
      </w:pPr>
      <w:r>
        <w:rPr/>
        <w:t>The utilitarian may also question whether the definition of Flourishing Entity is sufficiently inclusive. Utilitarian moral consideration is commonly grounded in welfare, interests, preference satisfaction, or the capacity to suffer. The proposed framework instead emphasizes persistence, self-direction, adaptive capacity, and participation in a larger World Context. This may include ecosystems and future artificial systems, but it may insufficiently protect sentient beings with limited agency, adaptive capacity, or persistence.</w:t>
      </w:r>
    </w:p>
    <w:p>
      <w:pPr>
        <w:pStyle w:val="BodyText"/>
        <w:spacing w:before="0" w:after="200"/>
        <w:rPr/>
      </w:pPr>
      <w:r>
        <w:rPr/>
        <w:t>Finally, a utilitarian could challenge the framework’s claim to objective and computational assessment. Long-Term Flourishing is multidimensional; World Context boundaries are contestable; interpersonal comparisons are difficult; distant consequences are uncertain; and the weighting of institutions, autonomy, resilience, suffering, and future opportunities necessarily incorporates normative judgments. Utilitarianism also faces serious measurement problems, but at least provides a clear formal objective. The proposed framework must demonstrate that its additional complexity produces more defensible decisions rather than merely more elaborate descriptions.</w:t>
      </w:r>
    </w:p>
    <w:p>
      <w:pPr>
        <w:pStyle w:val="Heading4"/>
        <w:ind w:hanging="0" w:left="0"/>
        <w:rPr>
          <w:rFonts w:ascii="Aptos" w:hAnsi="Aptos"/>
          <w:color w:val="auto"/>
        </w:rPr>
      </w:pPr>
      <w:r>
        <w:rPr/>
        <w:t>Assumptions Within the Ethical Model</w:t>
      </w:r>
    </w:p>
    <w:p>
      <w:pPr>
        <w:pStyle w:val="BodyText"/>
        <w:spacing w:before="0" w:after="200"/>
        <w:rPr/>
      </w:pPr>
      <w:r>
        <w:rPr/>
        <w:t>Utilitarian theories vary, but the questioning argument relies on the following broadly classical assumptions:</w:t>
      </w:r>
    </w:p>
    <w:tbl>
      <w:tblPr>
        <w:tblW w:w="8640" w:type="dxa"/>
        <w:jc w:val="left"/>
        <w:tblInd w:w="28" w:type="dxa"/>
        <w:tblLayout w:type="fixed"/>
        <w:tblCellMar>
          <w:top w:w="28" w:type="dxa"/>
          <w:left w:w="28" w:type="dxa"/>
          <w:bottom w:w="28" w:type="dxa"/>
          <w:right w:w="28" w:type="dxa"/>
        </w:tblCellMar>
      </w:tblPr>
      <w:tblGrid>
        <w:gridCol w:w="2998"/>
        <w:gridCol w:w="5642"/>
      </w:tblGrid>
      <w:tr>
        <w:trPr>
          <w:tblHeader w:val="true"/>
        </w:trPr>
        <w:tc>
          <w:tcPr>
            <w:tcW w:w="2998" w:type="dxa"/>
            <w:tcBorders/>
            <w:vAlign w:val="center"/>
          </w:tcPr>
          <w:p>
            <w:pPr>
              <w:pStyle w:val="TableHeading"/>
              <w:suppressLineNumbers/>
              <w:spacing w:before="0" w:after="200"/>
              <w:jc w:val="center"/>
              <w:rPr/>
            </w:pPr>
            <w:r>
              <w:rPr/>
              <w:t>Utilitarian assumption</w:t>
            </w:r>
          </w:p>
        </w:tc>
        <w:tc>
          <w:tcPr>
            <w:tcW w:w="5642" w:type="dxa"/>
            <w:tcBorders/>
            <w:vAlign w:val="center"/>
          </w:tcPr>
          <w:p>
            <w:pPr>
              <w:pStyle w:val="TableHeading"/>
              <w:suppressLineNumbers/>
              <w:spacing w:before="0" w:after="200"/>
              <w:jc w:val="center"/>
              <w:rPr/>
            </w:pPr>
            <w:r>
              <w:rPr/>
              <w:t>Meaning within the questioning argument</w:t>
            </w:r>
          </w:p>
        </w:tc>
      </w:tr>
      <w:tr>
        <w:trPr/>
        <w:tc>
          <w:tcPr>
            <w:tcW w:w="2998" w:type="dxa"/>
            <w:tcBorders/>
            <w:vAlign w:val="center"/>
          </w:tcPr>
          <w:p>
            <w:pPr>
              <w:pStyle w:val="TableContents"/>
              <w:widowControl w:val="false"/>
              <w:suppressLineNumbers/>
              <w:spacing w:before="0" w:after="200"/>
              <w:rPr/>
            </w:pPr>
            <w:r>
              <w:rPr/>
              <w:t>Consequentialism</w:t>
            </w:r>
          </w:p>
        </w:tc>
        <w:tc>
          <w:tcPr>
            <w:tcW w:w="5642" w:type="dxa"/>
            <w:tcBorders/>
            <w:vAlign w:val="center"/>
          </w:tcPr>
          <w:p>
            <w:pPr>
              <w:pStyle w:val="TableContents"/>
              <w:widowControl w:val="false"/>
              <w:suppressLineNumbers/>
              <w:spacing w:before="0" w:after="200"/>
              <w:rPr/>
            </w:pPr>
            <w:r>
              <w:rPr/>
              <w:t>The moral status of an action, rule, or institution is determined by the value of its consequences.</w:t>
            </w:r>
          </w:p>
        </w:tc>
      </w:tr>
      <w:tr>
        <w:trPr/>
        <w:tc>
          <w:tcPr>
            <w:tcW w:w="2998" w:type="dxa"/>
            <w:tcBorders/>
            <w:vAlign w:val="center"/>
          </w:tcPr>
          <w:p>
            <w:pPr>
              <w:pStyle w:val="TableContents"/>
              <w:widowControl w:val="false"/>
              <w:suppressLineNumbers/>
              <w:spacing w:before="0" w:after="200"/>
              <w:rPr/>
            </w:pPr>
            <w:r>
              <w:rPr/>
              <w:t>Welfarism</w:t>
            </w:r>
          </w:p>
        </w:tc>
        <w:tc>
          <w:tcPr>
            <w:tcW w:w="5642" w:type="dxa"/>
            <w:tcBorders/>
            <w:vAlign w:val="center"/>
          </w:tcPr>
          <w:p>
            <w:pPr>
              <w:pStyle w:val="TableContents"/>
              <w:widowControl w:val="false"/>
              <w:suppressLineNumbers/>
              <w:spacing w:before="0" w:after="200"/>
              <w:rPr/>
            </w:pPr>
            <w:r>
              <w:rPr/>
              <w:t>The value of consequences ultimately depends on their effects on welfare, interests, happiness, suffering, or preference satisfaction.</w:t>
            </w:r>
          </w:p>
        </w:tc>
      </w:tr>
      <w:tr>
        <w:trPr/>
        <w:tc>
          <w:tcPr>
            <w:tcW w:w="2998" w:type="dxa"/>
            <w:tcBorders/>
            <w:vAlign w:val="center"/>
          </w:tcPr>
          <w:p>
            <w:pPr>
              <w:pStyle w:val="TableContents"/>
              <w:widowControl w:val="false"/>
              <w:suppressLineNumbers/>
              <w:spacing w:before="0" w:after="200"/>
              <w:rPr/>
            </w:pPr>
            <w:r>
              <w:rPr/>
              <w:t>Impartiality</w:t>
            </w:r>
          </w:p>
        </w:tc>
        <w:tc>
          <w:tcPr>
            <w:tcW w:w="5642" w:type="dxa"/>
            <w:tcBorders/>
            <w:vAlign w:val="center"/>
          </w:tcPr>
          <w:p>
            <w:pPr>
              <w:pStyle w:val="TableContents"/>
              <w:widowControl w:val="false"/>
              <w:suppressLineNumbers/>
              <w:spacing w:before="0" w:after="200"/>
              <w:rPr/>
            </w:pPr>
            <w:r>
              <w:rPr/>
              <w:t>Equal welfare gains and losses receive equal consideration regardless of the identities of those experiencing them.</w:t>
            </w:r>
          </w:p>
        </w:tc>
      </w:tr>
      <w:tr>
        <w:trPr/>
        <w:tc>
          <w:tcPr>
            <w:tcW w:w="2998" w:type="dxa"/>
            <w:tcBorders/>
            <w:vAlign w:val="center"/>
          </w:tcPr>
          <w:p>
            <w:pPr>
              <w:pStyle w:val="TableContents"/>
              <w:widowControl w:val="false"/>
              <w:suppressLineNumbers/>
              <w:spacing w:before="0" w:after="200"/>
              <w:rPr/>
            </w:pPr>
            <w:r>
              <w:rPr/>
              <w:t>Aggregation</w:t>
            </w:r>
          </w:p>
        </w:tc>
        <w:tc>
          <w:tcPr>
            <w:tcW w:w="5642" w:type="dxa"/>
            <w:tcBorders/>
            <w:vAlign w:val="center"/>
          </w:tcPr>
          <w:p>
            <w:pPr>
              <w:pStyle w:val="TableContents"/>
              <w:widowControl w:val="false"/>
              <w:suppressLineNumbers/>
              <w:spacing w:before="0" w:after="200"/>
              <w:rPr/>
            </w:pPr>
            <w:r>
              <w:rPr/>
              <w:t>Welfare changes affecting different entities can be combined into an overall assessment.</w:t>
            </w:r>
          </w:p>
        </w:tc>
      </w:tr>
      <w:tr>
        <w:trPr/>
        <w:tc>
          <w:tcPr>
            <w:tcW w:w="2998" w:type="dxa"/>
            <w:tcBorders/>
            <w:vAlign w:val="center"/>
          </w:tcPr>
          <w:p>
            <w:pPr>
              <w:pStyle w:val="TableContents"/>
              <w:widowControl w:val="false"/>
              <w:suppressLineNumbers/>
              <w:spacing w:before="0" w:after="200"/>
              <w:rPr/>
            </w:pPr>
            <w:r>
              <w:rPr/>
              <w:t>Commensurability</w:t>
            </w:r>
          </w:p>
        </w:tc>
        <w:tc>
          <w:tcPr>
            <w:tcW w:w="5642" w:type="dxa"/>
            <w:tcBorders/>
            <w:vAlign w:val="center"/>
          </w:tcPr>
          <w:p>
            <w:pPr>
              <w:pStyle w:val="TableContents"/>
              <w:widowControl w:val="false"/>
              <w:suppressLineNumbers/>
              <w:spacing w:before="0" w:after="200"/>
              <w:rPr/>
            </w:pPr>
            <w:r>
              <w:rPr/>
              <w:t>Relevant benefits and harms can be placed on a sufficiently common scale to support comparison.</w:t>
            </w:r>
          </w:p>
        </w:tc>
      </w:tr>
      <w:tr>
        <w:trPr/>
        <w:tc>
          <w:tcPr>
            <w:tcW w:w="2998" w:type="dxa"/>
            <w:tcBorders/>
            <w:vAlign w:val="center"/>
          </w:tcPr>
          <w:p>
            <w:pPr>
              <w:pStyle w:val="TableContents"/>
              <w:widowControl w:val="false"/>
              <w:suppressLineNumbers/>
              <w:spacing w:before="0" w:after="200"/>
              <w:rPr/>
            </w:pPr>
            <w:r>
              <w:rPr/>
              <w:t>Interpersonal comparability</w:t>
            </w:r>
          </w:p>
        </w:tc>
        <w:tc>
          <w:tcPr>
            <w:tcW w:w="5642" w:type="dxa"/>
            <w:tcBorders/>
            <w:vAlign w:val="center"/>
          </w:tcPr>
          <w:p>
            <w:pPr>
              <w:pStyle w:val="TableContents"/>
              <w:widowControl w:val="false"/>
              <w:suppressLineNumbers/>
              <w:spacing w:before="0" w:after="200"/>
              <w:rPr/>
            </w:pPr>
            <w:r>
              <w:rPr/>
              <w:t>Differences in welfare between entities can be estimated with sufficient reliability to guide decisions.</w:t>
            </w:r>
          </w:p>
        </w:tc>
      </w:tr>
      <w:tr>
        <w:trPr/>
        <w:tc>
          <w:tcPr>
            <w:tcW w:w="2998" w:type="dxa"/>
            <w:tcBorders/>
            <w:vAlign w:val="center"/>
          </w:tcPr>
          <w:p>
            <w:pPr>
              <w:pStyle w:val="TableContents"/>
              <w:widowControl w:val="false"/>
              <w:suppressLineNumbers/>
              <w:spacing w:before="0" w:after="200"/>
              <w:rPr/>
            </w:pPr>
            <w:r>
              <w:rPr/>
              <w:t>Maximization</w:t>
            </w:r>
          </w:p>
        </w:tc>
        <w:tc>
          <w:tcPr>
            <w:tcW w:w="5642" w:type="dxa"/>
            <w:tcBorders/>
            <w:vAlign w:val="center"/>
          </w:tcPr>
          <w:p>
            <w:pPr>
              <w:pStyle w:val="TableContents"/>
              <w:widowControl w:val="false"/>
              <w:suppressLineNumbers/>
              <w:spacing w:before="0" w:after="200"/>
              <w:rPr/>
            </w:pPr>
            <w:r>
              <w:rPr/>
              <w:t>The morally preferred action is the feasible alternative expected to produce the greatest aggregate net welfare.</w:t>
            </w:r>
          </w:p>
        </w:tc>
      </w:tr>
      <w:tr>
        <w:trPr/>
        <w:tc>
          <w:tcPr>
            <w:tcW w:w="2998" w:type="dxa"/>
            <w:tcBorders/>
            <w:vAlign w:val="center"/>
          </w:tcPr>
          <w:p>
            <w:pPr>
              <w:pStyle w:val="TableContents"/>
              <w:widowControl w:val="false"/>
              <w:suppressLineNumbers/>
              <w:spacing w:before="0" w:after="200"/>
              <w:rPr/>
            </w:pPr>
            <w:r>
              <w:rPr/>
              <w:t>Counterfactual comparison</w:t>
            </w:r>
          </w:p>
        </w:tc>
        <w:tc>
          <w:tcPr>
            <w:tcW w:w="5642" w:type="dxa"/>
            <w:tcBorders/>
            <w:vAlign w:val="center"/>
          </w:tcPr>
          <w:p>
            <w:pPr>
              <w:pStyle w:val="TableContents"/>
              <w:widowControl w:val="false"/>
              <w:suppressLineNumbers/>
              <w:spacing w:before="0" w:after="200"/>
              <w:rPr/>
            </w:pPr>
            <w:r>
              <w:rPr/>
              <w:t>An action must be compared with the consequences of credible alternatives, including inaction.</w:t>
            </w:r>
          </w:p>
        </w:tc>
      </w:tr>
      <w:tr>
        <w:trPr/>
        <w:tc>
          <w:tcPr>
            <w:tcW w:w="2998" w:type="dxa"/>
            <w:tcBorders/>
            <w:vAlign w:val="center"/>
          </w:tcPr>
          <w:p>
            <w:pPr>
              <w:pStyle w:val="TableContents"/>
              <w:widowControl w:val="false"/>
              <w:suppressLineNumbers/>
              <w:spacing w:before="0" w:after="200"/>
              <w:rPr/>
            </w:pPr>
            <w:r>
              <w:rPr/>
              <w:t>Expected-value reasoning</w:t>
            </w:r>
          </w:p>
        </w:tc>
        <w:tc>
          <w:tcPr>
            <w:tcW w:w="5642" w:type="dxa"/>
            <w:tcBorders/>
            <w:vAlign w:val="center"/>
          </w:tcPr>
          <w:p>
            <w:pPr>
              <w:pStyle w:val="TableContents"/>
              <w:widowControl w:val="false"/>
              <w:suppressLineNumbers/>
              <w:spacing w:before="0" w:after="200"/>
              <w:rPr/>
            </w:pPr>
            <w:r>
              <w:rPr/>
              <w:t>Probabilities and outcome values can be combined when consequences are uncertain.</w:t>
            </w:r>
          </w:p>
        </w:tc>
      </w:tr>
      <w:tr>
        <w:trPr/>
        <w:tc>
          <w:tcPr>
            <w:tcW w:w="2998" w:type="dxa"/>
            <w:tcBorders/>
            <w:vAlign w:val="center"/>
          </w:tcPr>
          <w:p>
            <w:pPr>
              <w:pStyle w:val="TableContents"/>
              <w:widowControl w:val="false"/>
              <w:suppressLineNumbers/>
              <w:spacing w:before="0" w:after="200"/>
              <w:rPr/>
            </w:pPr>
            <w:r>
              <w:rPr/>
              <w:t>Broad moral consideration</w:t>
            </w:r>
          </w:p>
        </w:tc>
        <w:tc>
          <w:tcPr>
            <w:tcW w:w="5642" w:type="dxa"/>
            <w:tcBorders/>
            <w:vAlign w:val="center"/>
          </w:tcPr>
          <w:p>
            <w:pPr>
              <w:pStyle w:val="TableContents"/>
              <w:widowControl w:val="false"/>
              <w:suppressLineNumbers/>
              <w:spacing w:before="0" w:after="200"/>
              <w:rPr/>
            </w:pPr>
            <w:r>
              <w:rPr/>
              <w:t>Any being capable of welfare or suffering may deserve moral consideration, regardless of species or moral agency.</w:t>
            </w:r>
          </w:p>
        </w:tc>
      </w:tr>
      <w:tr>
        <w:trPr/>
        <w:tc>
          <w:tcPr>
            <w:tcW w:w="2998" w:type="dxa"/>
            <w:tcBorders/>
            <w:vAlign w:val="center"/>
          </w:tcPr>
          <w:p>
            <w:pPr>
              <w:pStyle w:val="TableContents"/>
              <w:widowControl w:val="false"/>
              <w:suppressLineNumbers/>
              <w:spacing w:before="0" w:after="200"/>
              <w:rPr/>
            </w:pPr>
            <w:r>
              <w:rPr/>
              <w:t>Instrumental treatment of rules and institutions</w:t>
            </w:r>
          </w:p>
        </w:tc>
        <w:tc>
          <w:tcPr>
            <w:tcW w:w="5642" w:type="dxa"/>
            <w:tcBorders/>
            <w:vAlign w:val="center"/>
          </w:tcPr>
          <w:p>
            <w:pPr>
              <w:pStyle w:val="TableContents"/>
              <w:widowControl w:val="false"/>
              <w:suppressLineNumbers/>
              <w:spacing w:before="0" w:after="200"/>
              <w:rPr/>
            </w:pPr>
            <w:r>
              <w:rPr/>
              <w:t>Rights, rules, relationships, trust, and institutions are justified principally by their contribution to welfare.</w:t>
            </w:r>
          </w:p>
        </w:tc>
      </w:tr>
      <w:tr>
        <w:trPr/>
        <w:tc>
          <w:tcPr>
            <w:tcW w:w="2998" w:type="dxa"/>
            <w:tcBorders/>
            <w:vAlign w:val="center"/>
          </w:tcPr>
          <w:p>
            <w:pPr>
              <w:pStyle w:val="TableContents"/>
              <w:widowControl w:val="false"/>
              <w:suppressLineNumbers/>
              <w:spacing w:before="0" w:after="200"/>
              <w:rPr/>
            </w:pPr>
            <w:r>
              <w:rPr/>
              <w:t>Action-guiding completeness</w:t>
            </w:r>
          </w:p>
        </w:tc>
        <w:tc>
          <w:tcPr>
            <w:tcW w:w="5642" w:type="dxa"/>
            <w:tcBorders/>
            <w:vAlign w:val="center"/>
          </w:tcPr>
          <w:p>
            <w:pPr>
              <w:pStyle w:val="TableContents"/>
              <w:widowControl w:val="false"/>
              <w:suppressLineNumbers/>
              <w:spacing w:before="0" w:after="200"/>
              <w:rPr/>
            </w:pPr>
            <w:r>
              <w:rPr/>
              <w:t>A moral framework should, at least in principle, identify a preferred action when alternatives produce conflicting effects.</w:t>
            </w:r>
          </w:p>
        </w:tc>
      </w:tr>
    </w:tbl>
    <w:p>
      <w:pPr>
        <w:pStyle w:val="BodyText"/>
        <w:spacing w:before="0" w:after="200"/>
        <w:rPr/>
      </w:pPr>
      <w:r>
        <w:rPr/>
        <w:t xml:space="preserve">These assumptions do not eliminate utilitarianism’s own difficulties. Aggregation requires contestable judgments about measurement and interpersonal comparability, particularly when different individuals, types of welfare, or generations are involved. </w:t>
      </w:r>
      <w:hyperlink r:id="rId230">
        <w:r>
          <w:rPr>
            <w:rStyle w:val="Hyperlink"/>
          </w:rPr>
          <w:t>Stanford Encyclopedia of Philosophy</w:t>
        </w:r>
      </w:hyperlink>
    </w:p>
    <w:p>
      <w:pPr>
        <w:pStyle w:val="Heading4"/>
        <w:ind w:hanging="0" w:left="0"/>
        <w:rPr>
          <w:rFonts w:ascii="Aptos" w:hAnsi="Aptos"/>
          <w:color w:val="auto"/>
        </w:rPr>
      </w:pPr>
      <w:r>
        <w:rPr/>
        <w:t>Concepts Incorporated from This Ethical Model</w:t>
      </w:r>
    </w:p>
    <w:p>
      <w:pPr>
        <w:pStyle w:val="BodyText"/>
        <w:spacing w:before="0" w:after="200"/>
        <w:rPr/>
      </w:pPr>
      <w:r>
        <w:rPr/>
        <w:t>The proposed framework incorporates or adapts several important utilitarian concepts:</w:t>
      </w:r>
    </w:p>
    <w:p>
      <w:pPr>
        <w:pStyle w:val="BodyText"/>
        <w:numPr>
          <w:ilvl w:val="0"/>
          <w:numId w:val="28"/>
        </w:numPr>
        <w:tabs>
          <w:tab w:val="clear" w:pos="720"/>
          <w:tab w:val="left" w:pos="0" w:leader="none"/>
        </w:tabs>
        <w:spacing w:before="0" w:after="200"/>
        <w:ind w:hanging="283" w:left="709"/>
        <w:rPr/>
      </w:pPr>
      <w:r>
        <w:rPr/>
        <w:t>Consequences are central to the moral assessment of an Assessed Action.</w:t>
      </w:r>
    </w:p>
    <w:p>
      <w:pPr>
        <w:pStyle w:val="BodyText"/>
        <w:numPr>
          <w:ilvl w:val="0"/>
          <w:numId w:val="28"/>
        </w:numPr>
        <w:tabs>
          <w:tab w:val="clear" w:pos="720"/>
          <w:tab w:val="left" w:pos="0" w:leader="none"/>
        </w:tabs>
        <w:spacing w:before="0" w:after="200"/>
        <w:ind w:hanging="283" w:left="709"/>
        <w:rPr/>
      </w:pPr>
      <w:r>
        <w:rPr/>
        <w:t>The Actor’s interests do not automatically receive priority over the interests of affected entities.</w:t>
      </w:r>
    </w:p>
    <w:p>
      <w:pPr>
        <w:pStyle w:val="BodyText"/>
        <w:numPr>
          <w:ilvl w:val="0"/>
          <w:numId w:val="28"/>
        </w:numPr>
        <w:tabs>
          <w:tab w:val="clear" w:pos="720"/>
          <w:tab w:val="left" w:pos="0" w:leader="none"/>
        </w:tabs>
        <w:spacing w:before="0" w:after="200"/>
        <w:ind w:hanging="283" w:left="709"/>
        <w:rPr/>
      </w:pPr>
      <w:r>
        <w:rPr/>
        <w:t>Actions must be compared with relevant alternatives, including omissions and non-actions.</w:t>
      </w:r>
    </w:p>
    <w:p>
      <w:pPr>
        <w:pStyle w:val="BodyText"/>
        <w:numPr>
          <w:ilvl w:val="0"/>
          <w:numId w:val="28"/>
        </w:numPr>
        <w:tabs>
          <w:tab w:val="clear" w:pos="720"/>
          <w:tab w:val="left" w:pos="0" w:leader="none"/>
        </w:tabs>
        <w:spacing w:before="0" w:after="200"/>
        <w:ind w:hanging="283" w:left="709"/>
        <w:rPr/>
      </w:pPr>
      <w:r>
        <w:rPr/>
        <w:t>Benefits and harms should be evaluated across all materially affected entities within the Assessment Boundary.</w:t>
      </w:r>
    </w:p>
    <w:p>
      <w:pPr>
        <w:pStyle w:val="BodyText"/>
        <w:numPr>
          <w:ilvl w:val="0"/>
          <w:numId w:val="28"/>
        </w:numPr>
        <w:tabs>
          <w:tab w:val="clear" w:pos="720"/>
          <w:tab w:val="left" w:pos="0" w:leader="none"/>
        </w:tabs>
        <w:spacing w:before="0" w:after="200"/>
        <w:ind w:hanging="283" w:left="709"/>
        <w:rPr/>
      </w:pPr>
      <w:r>
        <w:rPr/>
        <w:t>Long-term, indirect, institutional, and intergenerational effects are morally relevant.</w:t>
      </w:r>
    </w:p>
    <w:p>
      <w:pPr>
        <w:pStyle w:val="BodyText"/>
        <w:numPr>
          <w:ilvl w:val="0"/>
          <w:numId w:val="28"/>
        </w:numPr>
        <w:tabs>
          <w:tab w:val="clear" w:pos="720"/>
          <w:tab w:val="left" w:pos="0" w:leader="none"/>
        </w:tabs>
        <w:spacing w:before="0" w:after="200"/>
        <w:ind w:hanging="283" w:left="709"/>
        <w:rPr/>
      </w:pPr>
      <w:r>
        <w:rPr/>
        <w:t>Consequence estimates should use evidence, causal models, probabilities, and confidence assessments.</w:t>
      </w:r>
    </w:p>
    <w:p>
      <w:pPr>
        <w:pStyle w:val="BodyText"/>
        <w:numPr>
          <w:ilvl w:val="0"/>
          <w:numId w:val="28"/>
        </w:numPr>
        <w:tabs>
          <w:tab w:val="clear" w:pos="720"/>
          <w:tab w:val="left" w:pos="0" w:leader="none"/>
        </w:tabs>
        <w:spacing w:before="0" w:after="200"/>
        <w:ind w:hanging="283" w:left="709"/>
        <w:rPr/>
      </w:pPr>
      <w:r>
        <w:rPr/>
        <w:t>Aggregate measures may be used to summarize the scale, direction, and distribution of effects.</w:t>
      </w:r>
    </w:p>
    <w:p>
      <w:pPr>
        <w:pStyle w:val="BodyText"/>
        <w:numPr>
          <w:ilvl w:val="0"/>
          <w:numId w:val="28"/>
        </w:numPr>
        <w:tabs>
          <w:tab w:val="clear" w:pos="720"/>
          <w:tab w:val="left" w:pos="0" w:leader="none"/>
        </w:tabs>
        <w:spacing w:before="0" w:after="200"/>
        <w:ind w:hanging="283" w:left="709"/>
        <w:rPr/>
      </w:pPr>
      <w:r>
        <w:rPr/>
        <w:t>Rules and institutions may be evaluated according to the behavioral and social conditions they produce.</w:t>
      </w:r>
    </w:p>
    <w:p>
      <w:pPr>
        <w:pStyle w:val="BodyText"/>
        <w:numPr>
          <w:ilvl w:val="0"/>
          <w:numId w:val="28"/>
        </w:numPr>
        <w:tabs>
          <w:tab w:val="clear" w:pos="720"/>
          <w:tab w:val="left" w:pos="0" w:leader="none"/>
        </w:tabs>
        <w:spacing w:before="0" w:after="200"/>
        <w:ind w:hanging="283" w:left="709"/>
        <w:rPr/>
      </w:pPr>
      <w:r>
        <w:rPr/>
        <w:t>Non-human and future entities may possess moral relevance.</w:t>
      </w:r>
    </w:p>
    <w:p>
      <w:pPr>
        <w:pStyle w:val="BodyText"/>
        <w:numPr>
          <w:ilvl w:val="0"/>
          <w:numId w:val="28"/>
        </w:numPr>
        <w:tabs>
          <w:tab w:val="clear" w:pos="720"/>
          <w:tab w:val="left" w:pos="0" w:leader="none"/>
        </w:tabs>
        <w:spacing w:before="0" w:after="200"/>
        <w:ind w:hanging="283" w:left="709"/>
        <w:rPr/>
      </w:pPr>
      <w:r>
        <w:rPr/>
        <w:t>Moral assessment can be made systematic, explainable, and computationally representable.</w:t>
      </w:r>
    </w:p>
    <w:p>
      <w:pPr>
        <w:pStyle w:val="BodyText"/>
        <w:spacing w:before="0" w:after="200"/>
        <w:rPr/>
      </w:pPr>
      <w:r>
        <w:rPr/>
        <w:t>The framework therefore does not reject utilitarian analysis. It incorporates utilitarian concepts as components of a broader World Context Transition assessment while rejecting the presumption that all morally relevant changes must be reduced to a single aggregate welfare value.</w:t>
      </w:r>
    </w:p>
    <w:p>
      <w:pPr>
        <w:pStyle w:val="Heading4"/>
        <w:ind w:hanging="0" w:left="0"/>
        <w:rPr>
          <w:rFonts w:ascii="Aptos" w:hAnsi="Aptos"/>
          <w:color w:val="auto"/>
        </w:rPr>
      </w:pPr>
      <w:r>
        <w:rPr/>
        <w:t>How This Framework Addresses Those Assumptions</w:t>
      </w:r>
    </w:p>
    <w:tbl>
      <w:tblPr>
        <w:tblW w:w="8640" w:type="dxa"/>
        <w:jc w:val="left"/>
        <w:tblInd w:w="28" w:type="dxa"/>
        <w:tblLayout w:type="fixed"/>
        <w:tblCellMar>
          <w:top w:w="28" w:type="dxa"/>
          <w:left w:w="28" w:type="dxa"/>
          <w:bottom w:w="28" w:type="dxa"/>
          <w:right w:w="28" w:type="dxa"/>
        </w:tblCellMar>
      </w:tblPr>
      <w:tblGrid>
        <w:gridCol w:w="2128"/>
        <w:gridCol w:w="6512"/>
      </w:tblGrid>
      <w:tr>
        <w:trPr>
          <w:tblHeader w:val="true"/>
        </w:trPr>
        <w:tc>
          <w:tcPr>
            <w:tcW w:w="2128" w:type="dxa"/>
            <w:tcBorders/>
            <w:vAlign w:val="center"/>
          </w:tcPr>
          <w:p>
            <w:pPr>
              <w:pStyle w:val="TableHeading"/>
              <w:suppressLineNumbers/>
              <w:spacing w:before="0" w:after="200"/>
              <w:jc w:val="center"/>
              <w:rPr/>
            </w:pPr>
            <w:r>
              <w:rPr/>
              <w:t>Utilitarian assumption</w:t>
            </w:r>
          </w:p>
        </w:tc>
        <w:tc>
          <w:tcPr>
            <w:tcW w:w="6512" w:type="dxa"/>
            <w:tcBorders/>
            <w:vAlign w:val="center"/>
          </w:tcPr>
          <w:p>
            <w:pPr>
              <w:pStyle w:val="TableHeading"/>
              <w:suppressLineNumbers/>
              <w:spacing w:before="0" w:after="200"/>
              <w:jc w:val="center"/>
              <w:rPr/>
            </w:pPr>
            <w:r>
              <w:rPr/>
              <w:t>Treatment within the proposed framework</w:t>
            </w:r>
          </w:p>
        </w:tc>
      </w:tr>
      <w:tr>
        <w:trPr/>
        <w:tc>
          <w:tcPr>
            <w:tcW w:w="2128" w:type="dxa"/>
            <w:tcBorders/>
            <w:vAlign w:val="center"/>
          </w:tcPr>
          <w:p>
            <w:pPr>
              <w:pStyle w:val="TableContents"/>
              <w:widowControl w:val="false"/>
              <w:suppressLineNumbers/>
              <w:spacing w:before="0" w:after="200"/>
              <w:rPr/>
            </w:pPr>
            <w:r>
              <w:rPr/>
              <w:t>Consequentialism</w:t>
            </w:r>
          </w:p>
        </w:tc>
        <w:tc>
          <w:tcPr>
            <w:tcW w:w="6512" w:type="dxa"/>
            <w:tcBorders/>
            <w:vAlign w:val="center"/>
          </w:tcPr>
          <w:p>
            <w:pPr>
              <w:pStyle w:val="TableContents"/>
              <w:widowControl w:val="false"/>
              <w:suppressLineNumbers/>
              <w:spacing w:before="0" w:after="200"/>
              <w:rPr/>
            </w:pPr>
            <w:r>
              <w:rPr/>
              <w:t>Consequences are explicitly represented, but the complete World Context Transition—not an isolated outcome—is the principal object of assessment.</w:t>
            </w:r>
          </w:p>
        </w:tc>
      </w:tr>
      <w:tr>
        <w:trPr/>
        <w:tc>
          <w:tcPr>
            <w:tcW w:w="2128" w:type="dxa"/>
            <w:tcBorders/>
            <w:vAlign w:val="center"/>
          </w:tcPr>
          <w:p>
            <w:pPr>
              <w:pStyle w:val="TableContents"/>
              <w:widowControl w:val="false"/>
              <w:suppressLineNumbers/>
              <w:spacing w:before="0" w:after="200"/>
              <w:rPr/>
            </w:pPr>
            <w:r>
              <w:rPr/>
              <w:t>Welfarism</w:t>
            </w:r>
          </w:p>
        </w:tc>
        <w:tc>
          <w:tcPr>
            <w:tcW w:w="6512" w:type="dxa"/>
            <w:tcBorders/>
            <w:vAlign w:val="center"/>
          </w:tcPr>
          <w:p>
            <w:pPr>
              <w:pStyle w:val="TableContents"/>
              <w:widowControl w:val="false"/>
              <w:suppressLineNumbers/>
              <w:spacing w:before="0" w:after="200"/>
              <w:rPr/>
            </w:pPr>
            <w:r>
              <w:rPr/>
              <w:t>Welfare is incorporated into Long-Term Flourishing but does not exhaust it. Flourishing also includes persistence, adaptive capacity, relationships, institutions, resilience, and beneficial Future State Space.</w:t>
            </w:r>
          </w:p>
        </w:tc>
      </w:tr>
      <w:tr>
        <w:trPr/>
        <w:tc>
          <w:tcPr>
            <w:tcW w:w="2128" w:type="dxa"/>
            <w:tcBorders/>
            <w:vAlign w:val="center"/>
          </w:tcPr>
          <w:p>
            <w:pPr>
              <w:pStyle w:val="TableContents"/>
              <w:widowControl w:val="false"/>
              <w:suppressLineNumbers/>
              <w:spacing w:before="0" w:after="200"/>
              <w:rPr/>
            </w:pPr>
            <w:r>
              <w:rPr/>
              <w:t>Impartiality</w:t>
            </w:r>
          </w:p>
        </w:tc>
        <w:tc>
          <w:tcPr>
            <w:tcW w:w="6512" w:type="dxa"/>
            <w:tcBorders/>
            <w:vAlign w:val="center"/>
          </w:tcPr>
          <w:p>
            <w:pPr>
              <w:pStyle w:val="TableContents"/>
              <w:widowControl w:val="false"/>
              <w:suppressLineNumbers/>
              <w:spacing w:before="0" w:after="200"/>
              <w:rPr/>
            </w:pPr>
            <w:r>
              <w:rPr/>
              <w:t>The framework attempts to prevent Actor-centered reasoning by identifying all relevant Flourishing Entities and evaluating material changes to each.</w:t>
            </w:r>
          </w:p>
        </w:tc>
      </w:tr>
      <w:tr>
        <w:trPr/>
        <w:tc>
          <w:tcPr>
            <w:tcW w:w="2128" w:type="dxa"/>
            <w:tcBorders/>
            <w:vAlign w:val="center"/>
          </w:tcPr>
          <w:p>
            <w:pPr>
              <w:pStyle w:val="TableContents"/>
              <w:widowControl w:val="false"/>
              <w:suppressLineNumbers/>
              <w:spacing w:before="0" w:after="200"/>
              <w:rPr/>
            </w:pPr>
            <w:r>
              <w:rPr/>
              <w:t>Aggregation</w:t>
            </w:r>
          </w:p>
        </w:tc>
        <w:tc>
          <w:tcPr>
            <w:tcW w:w="6512" w:type="dxa"/>
            <w:tcBorders/>
            <w:vAlign w:val="center"/>
          </w:tcPr>
          <w:p>
            <w:pPr>
              <w:pStyle w:val="TableContents"/>
              <w:widowControl w:val="false"/>
              <w:suppressLineNumbers/>
              <w:spacing w:before="0" w:after="200"/>
              <w:rPr/>
            </w:pPr>
            <w:r>
              <w:rPr/>
              <w:t>Aggregate flourishing metrics are permitted as analytical artifacts, but their underlying distributions and structural effects must remain visible.</w:t>
            </w:r>
          </w:p>
        </w:tc>
      </w:tr>
      <w:tr>
        <w:trPr/>
        <w:tc>
          <w:tcPr>
            <w:tcW w:w="2128" w:type="dxa"/>
            <w:tcBorders/>
            <w:vAlign w:val="center"/>
          </w:tcPr>
          <w:p>
            <w:pPr>
              <w:pStyle w:val="TableContents"/>
              <w:widowControl w:val="false"/>
              <w:suppressLineNumbers/>
              <w:spacing w:before="0" w:after="200"/>
              <w:rPr/>
            </w:pPr>
            <w:r>
              <w:rPr/>
              <w:t>Commensurability</w:t>
            </w:r>
          </w:p>
        </w:tc>
        <w:tc>
          <w:tcPr>
            <w:tcW w:w="6512" w:type="dxa"/>
            <w:tcBorders/>
            <w:vAlign w:val="center"/>
          </w:tcPr>
          <w:p>
            <w:pPr>
              <w:pStyle w:val="TableContents"/>
              <w:widowControl w:val="false"/>
              <w:suppressLineNumbers/>
              <w:spacing w:before="0" w:after="200"/>
              <w:rPr/>
            </w:pPr>
            <w:r>
              <w:rPr/>
              <w:t>The framework does not assume that every morally relevant value can be translated reliably into a common unit. It permits vector, ordinal, threshold, and partially ordered representations.</w:t>
            </w:r>
          </w:p>
        </w:tc>
      </w:tr>
      <w:tr>
        <w:trPr/>
        <w:tc>
          <w:tcPr>
            <w:tcW w:w="2128" w:type="dxa"/>
            <w:tcBorders/>
            <w:vAlign w:val="center"/>
          </w:tcPr>
          <w:p>
            <w:pPr>
              <w:pStyle w:val="TableContents"/>
              <w:widowControl w:val="false"/>
              <w:suppressLineNumbers/>
              <w:spacing w:before="0" w:after="200"/>
              <w:rPr/>
            </w:pPr>
            <w:r>
              <w:rPr/>
              <w:t>Interpersonal comparability</w:t>
            </w:r>
          </w:p>
        </w:tc>
        <w:tc>
          <w:tcPr>
            <w:tcW w:w="6512" w:type="dxa"/>
            <w:tcBorders/>
            <w:vAlign w:val="center"/>
          </w:tcPr>
          <w:p>
            <w:pPr>
              <w:pStyle w:val="TableContents"/>
              <w:widowControl w:val="false"/>
              <w:suppressLineNumbers/>
              <w:spacing w:before="0" w:after="200"/>
              <w:rPr/>
            </w:pPr>
            <w:r>
              <w:rPr/>
              <w:t>Comparisons may be made where evidence permits, but uncertainty and limits on comparability must be reported rather than concealed by false precision.</w:t>
            </w:r>
          </w:p>
        </w:tc>
      </w:tr>
      <w:tr>
        <w:trPr/>
        <w:tc>
          <w:tcPr>
            <w:tcW w:w="2128" w:type="dxa"/>
            <w:tcBorders/>
            <w:vAlign w:val="center"/>
          </w:tcPr>
          <w:p>
            <w:pPr>
              <w:pStyle w:val="TableContents"/>
              <w:widowControl w:val="false"/>
              <w:suppressLineNumbers/>
              <w:spacing w:before="0" w:after="200"/>
              <w:rPr/>
            </w:pPr>
            <w:r>
              <w:rPr/>
              <w:t>Maximization</w:t>
            </w:r>
          </w:p>
        </w:tc>
        <w:tc>
          <w:tcPr>
            <w:tcW w:w="6512" w:type="dxa"/>
            <w:tcBorders/>
            <w:vAlign w:val="center"/>
          </w:tcPr>
          <w:p>
            <w:pPr>
              <w:pStyle w:val="TableContents"/>
              <w:widowControl w:val="false"/>
              <w:suppressLineNumbers/>
              <w:spacing w:before="0" w:after="200"/>
              <w:rPr/>
            </w:pPr>
            <w:r>
              <w:rPr/>
              <w:t>The Foundational Axiom provides direction but does not yet supply a universal scalar maximization rule. Candidate transitions may instead be compared using dominance, thresholds, materiality, proportionality, reversibility, robustness, and confidence.</w:t>
            </w:r>
          </w:p>
        </w:tc>
      </w:tr>
      <w:tr>
        <w:trPr/>
        <w:tc>
          <w:tcPr>
            <w:tcW w:w="2128" w:type="dxa"/>
            <w:tcBorders/>
            <w:vAlign w:val="center"/>
          </w:tcPr>
          <w:p>
            <w:pPr>
              <w:pStyle w:val="TableContents"/>
              <w:widowControl w:val="false"/>
              <w:suppressLineNumbers/>
              <w:spacing w:before="0" w:after="200"/>
              <w:rPr/>
            </w:pPr>
            <w:r>
              <w:rPr/>
              <w:t>Counterfactual comparison</w:t>
            </w:r>
          </w:p>
        </w:tc>
        <w:tc>
          <w:tcPr>
            <w:tcW w:w="6512" w:type="dxa"/>
            <w:tcBorders/>
            <w:vAlign w:val="center"/>
          </w:tcPr>
          <w:p>
            <w:pPr>
              <w:pStyle w:val="TableContents"/>
              <w:widowControl w:val="false"/>
              <w:suppressLineNumbers/>
              <w:spacing w:before="0" w:after="200"/>
              <w:rPr/>
            </w:pPr>
            <w:r>
              <w:rPr/>
              <w:t>The methodology includes candidate actions, alternatives, omissions, and resulting World Context Transitions.</w:t>
            </w:r>
          </w:p>
        </w:tc>
      </w:tr>
      <w:tr>
        <w:trPr/>
        <w:tc>
          <w:tcPr>
            <w:tcW w:w="2128" w:type="dxa"/>
            <w:tcBorders/>
            <w:vAlign w:val="center"/>
          </w:tcPr>
          <w:p>
            <w:pPr>
              <w:pStyle w:val="TableContents"/>
              <w:widowControl w:val="false"/>
              <w:suppressLineNumbers/>
              <w:spacing w:before="0" w:after="200"/>
              <w:rPr/>
            </w:pPr>
            <w:r>
              <w:rPr/>
              <w:t>Expected-value reasoning</w:t>
            </w:r>
          </w:p>
        </w:tc>
        <w:tc>
          <w:tcPr>
            <w:tcW w:w="6512" w:type="dxa"/>
            <w:tcBorders/>
            <w:vAlign w:val="center"/>
          </w:tcPr>
          <w:p>
            <w:pPr>
              <w:pStyle w:val="TableContents"/>
              <w:widowControl w:val="false"/>
              <w:suppressLineNumbers/>
              <w:spacing w:before="0" w:after="200"/>
              <w:rPr/>
            </w:pPr>
            <w:r>
              <w:rPr/>
              <w:t xml:space="preserve">Probabilistic assessment is supported, but expected value is not necessarily decisive when outcomes include catastrophic risks, incommensurable values, or profound uncertainty. Moral decision-making under uncertainty may require alternatives or supplements to conventional expected utility. </w:t>
            </w:r>
            <w:hyperlink r:id="rId231">
              <w:r>
                <w:rPr>
                  <w:rStyle w:val="Hyperlink"/>
                </w:rPr>
                <w:t>Stanford Encyclopedia of Philosophy</w:t>
              </w:r>
            </w:hyperlink>
          </w:p>
        </w:tc>
      </w:tr>
      <w:tr>
        <w:trPr/>
        <w:tc>
          <w:tcPr>
            <w:tcW w:w="2128" w:type="dxa"/>
            <w:tcBorders/>
            <w:vAlign w:val="center"/>
          </w:tcPr>
          <w:p>
            <w:pPr>
              <w:pStyle w:val="TableContents"/>
              <w:widowControl w:val="false"/>
              <w:suppressLineNumbers/>
              <w:spacing w:before="0" w:after="200"/>
              <w:rPr/>
            </w:pPr>
            <w:r>
              <w:rPr/>
              <w:t>Broad moral consideration</w:t>
            </w:r>
          </w:p>
        </w:tc>
        <w:tc>
          <w:tcPr>
            <w:tcW w:w="6512" w:type="dxa"/>
            <w:tcBorders/>
            <w:vAlign w:val="center"/>
          </w:tcPr>
          <w:p>
            <w:pPr>
              <w:pStyle w:val="TableContents"/>
              <w:widowControl w:val="false"/>
              <w:suppressLineNumbers/>
              <w:spacing w:before="0" w:after="200"/>
              <w:rPr/>
            </w:pPr>
            <w:r>
              <w:rPr/>
              <w:t>The framework extends consideration beyond present humans, but its Flourishing Entity criteria differ from a purely sentience- or welfare-based standard. This remains a substantive issue.</w:t>
            </w:r>
          </w:p>
        </w:tc>
      </w:tr>
      <w:tr>
        <w:trPr/>
        <w:tc>
          <w:tcPr>
            <w:tcW w:w="2128" w:type="dxa"/>
            <w:tcBorders/>
            <w:vAlign w:val="center"/>
          </w:tcPr>
          <w:p>
            <w:pPr>
              <w:pStyle w:val="TableContents"/>
              <w:widowControl w:val="false"/>
              <w:suppressLineNumbers/>
              <w:spacing w:before="0" w:after="200"/>
              <w:rPr/>
            </w:pPr>
            <w:r>
              <w:rPr/>
              <w:t>Rules and institutions</w:t>
            </w:r>
          </w:p>
        </w:tc>
        <w:tc>
          <w:tcPr>
            <w:tcW w:w="6512" w:type="dxa"/>
            <w:tcBorders/>
            <w:vAlign w:val="center"/>
          </w:tcPr>
          <w:p>
            <w:pPr>
              <w:pStyle w:val="TableContents"/>
              <w:widowControl w:val="false"/>
              <w:suppressLineNumbers/>
              <w:spacing w:before="0" w:after="200"/>
              <w:rPr/>
            </w:pPr>
            <w:r>
              <w:rPr/>
              <w:t>These are represented as state-bearing architectural elements rather than only as indirect sources of utility. Their effects on future policies and World Contexts are assessed explicitly.</w:t>
            </w:r>
          </w:p>
        </w:tc>
      </w:tr>
      <w:tr>
        <w:trPr/>
        <w:tc>
          <w:tcPr>
            <w:tcW w:w="2128" w:type="dxa"/>
            <w:tcBorders/>
            <w:vAlign w:val="center"/>
          </w:tcPr>
          <w:p>
            <w:pPr>
              <w:pStyle w:val="TableContents"/>
              <w:widowControl w:val="false"/>
              <w:suppressLineNumbers/>
              <w:spacing w:before="0" w:after="200"/>
              <w:rPr/>
            </w:pPr>
            <w:r>
              <w:rPr/>
              <w:t>Action-guiding completeness</w:t>
            </w:r>
          </w:p>
        </w:tc>
        <w:tc>
          <w:tcPr>
            <w:tcW w:w="6512" w:type="dxa"/>
            <w:tcBorders/>
            <w:vAlign w:val="center"/>
          </w:tcPr>
          <w:p>
            <w:pPr>
              <w:pStyle w:val="TableContents"/>
              <w:widowControl w:val="false"/>
              <w:suppressLineNumbers/>
              <w:spacing w:before="0" w:after="200"/>
              <w:rPr/>
            </w:pPr>
            <w:r>
              <w:rPr/>
              <w:t>The methodology can produce comparative rankings or permissibility judgments, but a complete conflict-resolution procedure has not yet been formalized.</w:t>
            </w:r>
          </w:p>
        </w:tc>
      </w:tr>
    </w:tbl>
    <w:p>
      <w:pPr>
        <w:pStyle w:val="BodyText"/>
        <w:spacing w:before="0" w:after="200"/>
        <w:rPr/>
      </w:pPr>
      <w:r>
        <w:rPr/>
        <w:t>The framework’s use of “objective assessment” should not be interpreted as value-free assessment. It means that the Foundational Axiom, evidence, models, assumptions, probabilities, and reasoning process are made explicit and inspectable. The normative content of the Foundational Axiom remains an acknowledged assumption.</w:t>
      </w:r>
    </w:p>
    <w:p>
      <w:pPr>
        <w:pStyle w:val="Heading4"/>
        <w:ind w:hanging="0" w:left="0"/>
        <w:rPr>
          <w:rFonts w:ascii="Aptos" w:hAnsi="Aptos"/>
          <w:color w:val="auto"/>
        </w:rPr>
      </w:pPr>
      <w:r>
        <w:rPr/>
        <w:t>Counterargument</w:t>
      </w:r>
    </w:p>
    <w:p>
      <w:pPr>
        <w:pStyle w:val="BodyText"/>
        <w:spacing w:before="0" w:after="200"/>
        <w:rPr/>
      </w:pPr>
      <w:r>
        <w:rPr/>
        <w:t>The proposed framework can respond that the utilitarian objection incorrectly equates a simple decision rule with an adequate moral representation. A scalar maximization rule produces a determinate answer only after welfare definitions, measurements, interpersonal comparisons, aggregation methods, population assumptions, probability estimates, and temporal treatments have been selected. Those selections contain normative and empirical judgments that can be obscured by the apparent precision of the resulting number.</w:t>
      </w:r>
    </w:p>
    <w:p>
      <w:pPr>
        <w:pStyle w:val="BodyText"/>
        <w:spacing w:before="0" w:after="200"/>
        <w:rPr/>
      </w:pPr>
      <w:r>
        <w:rPr/>
        <w:t>The framework does not reject measurement or aggregation. It rejects the presumption that aggregation should erase the structure of the underlying transition. Two actions producing the same estimated aggregate welfare may create very different distributions of harm, relationships, institutions, information conditions, decision policies, and future possibilities. Those differences may determine whether the resulting World Context is stable, legitimate, adaptive, or capable of supporting future flourishing.</w:t>
      </w:r>
    </w:p>
    <w:p>
      <w:pPr>
        <w:pStyle w:val="BodyText"/>
        <w:spacing w:before="0" w:after="200"/>
        <w:rPr/>
      </w:pPr>
      <w:r>
        <w:rPr/>
        <w:t>The framework also need not interpret the Foundational Axiom as prohibiting every action that harms a relevant entity. Some decisions involve unavoidable harm, emergencies, resource scarcity, conflicting objectives, or mutually exclusive outcomes. In such cases, the appropriate comparison is among feasible World Context Transitions. The assessment should identify which harms are necessary, proportionate, minimized, reversible, equitably distributed, and least damaging to future flourishing. The axiom prevents a claimed aggregate benefit from automatically concealing material harm; it does not eliminate the need to make tragic choices.</w:t>
      </w:r>
    </w:p>
    <w:p>
      <w:pPr>
        <w:pStyle w:val="BodyText"/>
        <w:spacing w:before="0" w:after="200"/>
        <w:rPr/>
      </w:pPr>
      <w:r>
        <w:rPr/>
        <w:t>Distributed Policy Effects are not offered merely as an additional category of consequences. Their architectural importance is that they preserve causal and relational information about how present conduct changes future moral behavior. A calculation that counts the immediate benefit of deception without modeling the normalization of deception is incomplete. A sufficiently sophisticated utilitarian model could include that effect, but it would need much of the same state, causal, institutional, and policy architecture proposed here.</w:t>
      </w:r>
    </w:p>
    <w:p>
      <w:pPr>
        <w:pStyle w:val="BodyText"/>
        <w:spacing w:before="0" w:after="200"/>
        <w:rPr/>
      </w:pPr>
      <w:r>
        <w:rPr/>
        <w:t>The proposed framework can also support rational comparisons without requiring a complete cardinal ordering of every possible World Context. Some alternatives may be rejected through dominance, unacceptable harm thresholds, catastrophic-risk constraints, lack of legitimacy, or irreversible destruction of Future State Space. Others may remain partially ordered or confidence-limited. Acknowledging that the evidence does not support a unique ranking may be more responsible than generating a precise but model-dependent utility score.</w:t>
      </w:r>
    </w:p>
    <w:p>
      <w:pPr>
        <w:pStyle w:val="BodyText"/>
        <w:spacing w:before="0" w:after="200"/>
        <w:rPr/>
      </w:pPr>
      <w:r>
        <w:rPr/>
        <w:t>Finally, if utilitarianism is expanded so that “utility” incorporates every dimension of Long-Term Flourishing, every relationship, institutional effect, policy update, future opportunity, distributional constraint, and uncertainty treatment, the remaining disagreement may become partly terminological. The proposed framework would then function as the representation and reasoning architecture required to construct that enlarged utility assessment. The substantive difference would remain whether the final transition must be collapsed into a single maximizing value.</w:t>
      </w:r>
    </w:p>
    <w:p>
      <w:pPr>
        <w:pStyle w:val="Heading4"/>
        <w:ind w:hanging="0" w:left="0"/>
        <w:rPr>
          <w:rFonts w:ascii="Aptos" w:hAnsi="Aptos"/>
          <w:color w:val="auto"/>
        </w:rPr>
      </w:pPr>
      <w:r>
        <w:rPr/>
        <w:t>Incremental Questions the Expert Should Then Ask</w:t>
      </w:r>
    </w:p>
    <w:p>
      <w:pPr>
        <w:pStyle w:val="BodyText"/>
        <w:numPr>
          <w:ilvl w:val="0"/>
          <w:numId w:val="29"/>
        </w:numPr>
        <w:tabs>
          <w:tab w:val="clear" w:pos="720"/>
          <w:tab w:val="left" w:pos="0" w:leader="none"/>
        </w:tabs>
        <w:spacing w:before="0" w:after="200"/>
        <w:ind w:hanging="283" w:left="709"/>
        <w:rPr/>
      </w:pPr>
      <w:r>
        <w:rPr>
          <w:rStyle w:val="Strong"/>
        </w:rPr>
        <w:t>What action-guiding rule replaces utility maximization?</w:t>
      </w:r>
    </w:p>
    <w:p>
      <w:pPr>
        <w:pStyle w:val="BodyText"/>
        <w:numPr>
          <w:ilvl w:val="0"/>
          <w:numId w:val="0"/>
        </w:numPr>
        <w:spacing w:before="0" w:after="200"/>
        <w:ind w:hanging="0" w:left="0"/>
        <w:rPr/>
      </w:pPr>
      <w:r>
        <w:rPr/>
        <w:t>The current framework does not propose one universal scalar replacement. It compares candidate World Context Transitions under the Foundational Axiom using materiality, distribution, duration, reversibility, proportionality, uncertainty, policy effects, and effects on Future State Space. Formal rules for combining these considerations remain to be developed within the Moral Assessment Methodology.</w:t>
      </w:r>
    </w:p>
    <w:p>
      <w:pPr>
        <w:pStyle w:val="BodyText"/>
        <w:numPr>
          <w:ilvl w:val="0"/>
          <w:numId w:val="29"/>
        </w:numPr>
        <w:tabs>
          <w:tab w:val="clear" w:pos="720"/>
          <w:tab w:val="left" w:pos="0" w:leader="none"/>
        </w:tabs>
        <w:spacing w:before="0" w:after="200"/>
        <w:ind w:hanging="283" w:left="709"/>
        <w:rPr/>
      </w:pPr>
      <w:r>
        <w:rPr>
          <w:rStyle w:val="Strong"/>
        </w:rPr>
        <w:t>What happens when every feasible action materially diminishes at least one Flourishing Entity?</w:t>
      </w:r>
    </w:p>
    <w:p>
      <w:pPr>
        <w:pStyle w:val="BodyText"/>
        <w:numPr>
          <w:ilvl w:val="0"/>
          <w:numId w:val="0"/>
        </w:numPr>
        <w:spacing w:before="0" w:after="200"/>
        <w:ind w:hanging="0" w:left="0"/>
        <w:rPr/>
      </w:pPr>
      <w:r>
        <w:rPr/>
        <w:t>The framework should not classify every alternative as equally impermissible. It should identify unavoidable harms and compare their severity, probability, duration, reversibility, distribution, necessity, and downstream systemic effects. The preferred transition should minimize unjustified diminishment while preserving the greatest compatible Long-Term Flourishing.</w:t>
      </w:r>
    </w:p>
    <w:p>
      <w:pPr>
        <w:pStyle w:val="BodyText"/>
        <w:numPr>
          <w:ilvl w:val="0"/>
          <w:numId w:val="29"/>
        </w:numPr>
        <w:tabs>
          <w:tab w:val="clear" w:pos="720"/>
          <w:tab w:val="left" w:pos="0" w:leader="none"/>
        </w:tabs>
        <w:spacing w:before="0" w:after="200"/>
        <w:ind w:hanging="283" w:left="709"/>
        <w:rPr/>
      </w:pPr>
      <w:r>
        <w:rPr>
          <w:rStyle w:val="Strong"/>
        </w:rPr>
        <w:t>How is “material diminishment” defined?</w:t>
      </w:r>
    </w:p>
    <w:p>
      <w:pPr>
        <w:pStyle w:val="BodyText"/>
        <w:numPr>
          <w:ilvl w:val="0"/>
          <w:numId w:val="0"/>
        </w:numPr>
        <w:spacing w:before="0" w:after="200"/>
        <w:ind w:hanging="0" w:left="0"/>
        <w:rPr/>
      </w:pPr>
      <w:r>
        <w:rPr/>
        <w:t>Materiality should be assessed through magnitude, probability, duration, reversibility, affected-entity vulnerability, loss of adaptive capacity, foreclosure of Future State Space, and significance within the relevant World Context. Domain-specific thresholds may be necessary. A universal formal definition has not yet been established.</w:t>
      </w:r>
    </w:p>
    <w:p>
      <w:pPr>
        <w:pStyle w:val="BodyText"/>
        <w:numPr>
          <w:ilvl w:val="0"/>
          <w:numId w:val="29"/>
        </w:numPr>
        <w:tabs>
          <w:tab w:val="clear" w:pos="720"/>
          <w:tab w:val="left" w:pos="0" w:leader="none"/>
        </w:tabs>
        <w:spacing w:before="0" w:after="200"/>
        <w:ind w:hanging="283" w:left="709"/>
        <w:rPr/>
      </w:pPr>
      <w:r>
        <w:rPr>
          <w:rStyle w:val="Strong"/>
        </w:rPr>
        <w:t>Why not define a utility function over the entire World Context?</w:t>
      </w:r>
    </w:p>
    <w:p>
      <w:pPr>
        <w:pStyle w:val="BodyText"/>
        <w:numPr>
          <w:ilvl w:val="0"/>
          <w:numId w:val="0"/>
        </w:numPr>
        <w:spacing w:before="0" w:after="200"/>
        <w:ind w:hanging="0" w:left="0"/>
        <w:rPr/>
      </w:pPr>
      <w:r>
        <w:rPr/>
        <w:t>An implementation may do so when the dimensions are sufficiently measurable and commensurable. The architecture requires that the original state variables, distributions, assumptions, and causal relationships remain inspectable. A composite function should support analysis rather than erase morally significant structure.</w:t>
      </w:r>
    </w:p>
    <w:p>
      <w:pPr>
        <w:pStyle w:val="BodyText"/>
        <w:numPr>
          <w:ilvl w:val="0"/>
          <w:numId w:val="29"/>
        </w:numPr>
        <w:tabs>
          <w:tab w:val="clear" w:pos="720"/>
          <w:tab w:val="left" w:pos="0" w:leader="none"/>
        </w:tabs>
        <w:spacing w:before="0" w:after="200"/>
        <w:ind w:hanging="283" w:left="709"/>
        <w:rPr/>
      </w:pPr>
      <w:r>
        <w:rPr>
          <w:rStyle w:val="Strong"/>
        </w:rPr>
        <w:t>How can multidimensional World Context Transitions be compared without arbitrary weighting?</w:t>
      </w:r>
    </w:p>
    <w:p>
      <w:pPr>
        <w:pStyle w:val="BodyText"/>
        <w:numPr>
          <w:ilvl w:val="0"/>
          <w:numId w:val="0"/>
        </w:numPr>
        <w:spacing w:before="0" w:after="200"/>
        <w:ind w:hanging="0" w:left="0"/>
        <w:rPr/>
      </w:pPr>
      <w:r>
        <w:rPr/>
        <w:t>Possible methods include Pareto dominance, threshold constraints, lexicographic priorities, outranking methods, multi-criteria decision analysis, stakeholder-independent domain standards, and sensitivity analysis across alternative weights. The framework should disclose how weights were selected and whether changing them changes the conclusion.</w:t>
      </w:r>
    </w:p>
    <w:p>
      <w:pPr>
        <w:pStyle w:val="BodyText"/>
        <w:numPr>
          <w:ilvl w:val="0"/>
          <w:numId w:val="29"/>
        </w:numPr>
        <w:tabs>
          <w:tab w:val="clear" w:pos="720"/>
          <w:tab w:val="left" w:pos="0" w:leader="none"/>
        </w:tabs>
        <w:spacing w:before="0" w:after="200"/>
        <w:ind w:hanging="283" w:left="709"/>
        <w:rPr/>
      </w:pPr>
      <w:r>
        <w:rPr>
          <w:rStyle w:val="Strong"/>
        </w:rPr>
        <w:t>Does refusing full aggregation merely transfer moral judgment to the assessor?</w:t>
      </w:r>
    </w:p>
    <w:p>
      <w:pPr>
        <w:pStyle w:val="BodyText"/>
        <w:numPr>
          <w:ilvl w:val="0"/>
          <w:numId w:val="0"/>
        </w:numPr>
        <w:spacing w:before="0" w:after="200"/>
        <w:ind w:hanging="0" w:left="0"/>
        <w:rPr/>
      </w:pPr>
      <w:r>
        <w:rPr/>
        <w:t>It can, unless the methodology requires explicit criteria, evidence, thresholds, and sensitivity testing. The framework’s response is not to eliminate judgment but to expose where judgment enters and make its influence auditable.</w:t>
      </w:r>
    </w:p>
    <w:p>
      <w:pPr>
        <w:pStyle w:val="BodyText"/>
        <w:numPr>
          <w:ilvl w:val="0"/>
          <w:numId w:val="29"/>
        </w:numPr>
        <w:tabs>
          <w:tab w:val="clear" w:pos="720"/>
          <w:tab w:val="left" w:pos="0" w:leader="none"/>
        </w:tabs>
        <w:spacing w:before="0" w:after="200"/>
        <w:ind w:hanging="283" w:left="709"/>
        <w:rPr/>
      </w:pPr>
      <w:r>
        <w:rPr>
          <w:rStyle w:val="Strong"/>
        </w:rPr>
        <w:t>How does the framework avoid status quo bias?</w:t>
      </w:r>
    </w:p>
    <w:p>
      <w:pPr>
        <w:pStyle w:val="BodyText"/>
        <w:numPr>
          <w:ilvl w:val="0"/>
          <w:numId w:val="0"/>
        </w:numPr>
        <w:spacing w:before="0" w:after="200"/>
        <w:ind w:hanging="0" w:left="0"/>
        <w:rPr/>
      </w:pPr>
      <w:r>
        <w:rPr/>
        <w:t>Inaction must be modeled as an alternative action with its own consequences and Distributed Policy Effects. Existing harms, institutional failures, declining conditions, and lost future opportunities belong to the baseline transition. The current World Context receives no automatic moral preference merely because it already exists.</w:t>
      </w:r>
    </w:p>
    <w:p>
      <w:pPr>
        <w:pStyle w:val="BodyText"/>
        <w:numPr>
          <w:ilvl w:val="0"/>
          <w:numId w:val="29"/>
        </w:numPr>
        <w:tabs>
          <w:tab w:val="clear" w:pos="720"/>
          <w:tab w:val="left" w:pos="0" w:leader="none"/>
        </w:tabs>
        <w:spacing w:before="0" w:after="200"/>
        <w:ind w:hanging="283" w:left="709"/>
        <w:rPr/>
      </w:pPr>
      <w:r>
        <w:rPr>
          <w:rStyle w:val="Strong"/>
        </w:rPr>
        <w:t>Does the Flourishing Entity definition exclude sentient beings that can suffer but have limited self-direction or adaptive capacity?</w:t>
      </w:r>
    </w:p>
    <w:p>
      <w:pPr>
        <w:pStyle w:val="BodyText"/>
        <w:numPr>
          <w:ilvl w:val="0"/>
          <w:numId w:val="0"/>
        </w:numPr>
        <w:spacing w:before="0" w:after="200"/>
        <w:ind w:hanging="0" w:left="0"/>
        <w:rPr/>
      </w:pPr>
      <w:r>
        <w:rPr/>
        <w:t>It may. The framework may require a separate moral-patient or welfare-bearing classification so that the capacity for suffering, dependency, or vulnerability creates moral relevance even when the entity does not satisfy the complete Flourishing Entity definition.</w:t>
      </w:r>
    </w:p>
    <w:p>
      <w:pPr>
        <w:pStyle w:val="BodyText"/>
        <w:numPr>
          <w:ilvl w:val="0"/>
          <w:numId w:val="29"/>
        </w:numPr>
        <w:tabs>
          <w:tab w:val="clear" w:pos="720"/>
          <w:tab w:val="left" w:pos="0" w:leader="none"/>
        </w:tabs>
        <w:spacing w:before="0" w:after="200"/>
        <w:ind w:hanging="283" w:left="709"/>
        <w:rPr/>
      </w:pPr>
      <w:r>
        <w:rPr>
          <w:rStyle w:val="Strong"/>
        </w:rPr>
        <w:t>Are ecosystems, institutions, or artificial systems morally valuable in themselves or only because of their effects on welfare-bearing entities?</w:t>
      </w:r>
    </w:p>
    <w:p>
      <w:pPr>
        <w:pStyle w:val="BodyText"/>
        <w:numPr>
          <w:ilvl w:val="0"/>
          <w:numId w:val="0"/>
        </w:numPr>
        <w:spacing w:before="0" w:after="200"/>
        <w:ind w:hanging="0" w:left="0"/>
        <w:rPr/>
      </w:pPr>
      <w:r>
        <w:rPr/>
        <w:t>The framework currently allows them to be represented as Objects, Associations, institutions, or potentially Flourishing Entities, depending on their characteristics. It must more clearly distinguish intrinsic moral standing from instrumental and systemic importance.</w:t>
      </w:r>
    </w:p>
    <w:p>
      <w:pPr>
        <w:pStyle w:val="BodyText"/>
        <w:numPr>
          <w:ilvl w:val="0"/>
          <w:numId w:val="29"/>
        </w:numPr>
        <w:tabs>
          <w:tab w:val="clear" w:pos="720"/>
          <w:tab w:val="left" w:pos="0" w:leader="none"/>
        </w:tabs>
        <w:spacing w:before="0" w:after="200"/>
        <w:ind w:hanging="283" w:left="709"/>
        <w:rPr/>
      </w:pPr>
      <w:r>
        <w:rPr>
          <w:rStyle w:val="Strong"/>
        </w:rPr>
        <w:t>Are Distributed Policy Effects simply consequences already recognized by rule utilitarianism?</w:t>
      </w:r>
    </w:p>
    <w:p>
      <w:pPr>
        <w:pStyle w:val="BodyText"/>
        <w:numPr>
          <w:ilvl w:val="0"/>
          <w:numId w:val="0"/>
        </w:numPr>
        <w:spacing w:before="0" w:after="200"/>
        <w:ind w:hanging="0" w:left="0"/>
        <w:rPr/>
      </w:pPr>
      <w:r>
        <w:rPr/>
        <w:t>There is substantial overlap. The framework’s distinctive contribution is to represent these effects explicitly as changes in policy states distributed across Actors, observers, institutions, and artificial systems. This is an architectural distinction, although it may not constitute a complete metaethical distinction.</w:t>
      </w:r>
    </w:p>
    <w:p>
      <w:pPr>
        <w:pStyle w:val="BodyText"/>
        <w:numPr>
          <w:ilvl w:val="0"/>
          <w:numId w:val="29"/>
        </w:numPr>
        <w:tabs>
          <w:tab w:val="clear" w:pos="720"/>
          <w:tab w:val="left" w:pos="0" w:leader="none"/>
        </w:tabs>
        <w:spacing w:before="0" w:after="200"/>
        <w:ind w:hanging="283" w:left="709"/>
        <w:rPr/>
      </w:pPr>
      <w:r>
        <w:rPr>
          <w:rStyle w:val="Strong"/>
        </w:rPr>
        <w:t>How will the framework prevent double-counting?</w:t>
      </w:r>
    </w:p>
    <w:p>
      <w:pPr>
        <w:pStyle w:val="BodyText"/>
        <w:numPr>
          <w:ilvl w:val="0"/>
          <w:numId w:val="0"/>
        </w:numPr>
        <w:spacing w:before="0" w:after="200"/>
        <w:ind w:hanging="0" w:left="0"/>
        <w:rPr/>
      </w:pPr>
      <w:r>
        <w:rPr/>
        <w:t>Consequence graphs should distinguish direct effects, mediated effects, state indicators, and ultimate flourishing effects. Causal provenance and dependency relationships should prevent an institutional change and all its predicted downstream effects from being naively added as independent benefits or harms.</w:t>
      </w:r>
    </w:p>
    <w:p>
      <w:pPr>
        <w:pStyle w:val="BodyText"/>
        <w:numPr>
          <w:ilvl w:val="0"/>
          <w:numId w:val="29"/>
        </w:numPr>
        <w:tabs>
          <w:tab w:val="clear" w:pos="720"/>
          <w:tab w:val="left" w:pos="0" w:leader="none"/>
        </w:tabs>
        <w:spacing w:before="0" w:after="200"/>
        <w:ind w:hanging="283" w:left="709"/>
        <w:rPr/>
      </w:pPr>
      <w:r>
        <w:rPr>
          <w:rStyle w:val="Strong"/>
        </w:rPr>
        <w:t>How does the framework prevent speculative distant consequences from overwhelming observable near-term effects?</w:t>
      </w:r>
    </w:p>
    <w:p>
      <w:pPr>
        <w:pStyle w:val="BodyText"/>
        <w:numPr>
          <w:ilvl w:val="0"/>
          <w:numId w:val="0"/>
        </w:numPr>
        <w:spacing w:before="0" w:after="200"/>
        <w:ind w:hanging="0" w:left="0"/>
        <w:rPr/>
      </w:pPr>
      <w:r>
        <w:rPr/>
        <w:t>It should separate Assessment Horizons, assign confidence to causal pathways, test conclusions under multiple scenarios, and identify conclusions that depend on low-confidence forecasts. Epistemic confidence may decline with distance without assuming that future entities possess less moral importance.</w:t>
      </w:r>
    </w:p>
    <w:p>
      <w:pPr>
        <w:pStyle w:val="BodyText"/>
        <w:numPr>
          <w:ilvl w:val="0"/>
          <w:numId w:val="29"/>
        </w:numPr>
        <w:tabs>
          <w:tab w:val="clear" w:pos="720"/>
          <w:tab w:val="left" w:pos="0" w:leader="none"/>
        </w:tabs>
        <w:spacing w:before="0" w:after="200"/>
        <w:ind w:hanging="283" w:left="709"/>
        <w:rPr/>
      </w:pPr>
      <w:r>
        <w:rPr>
          <w:rStyle w:val="Strong"/>
        </w:rPr>
        <w:t>How are the Assessment Boundary and relevant entities selected impartially?</w:t>
      </w:r>
    </w:p>
    <w:p>
      <w:pPr>
        <w:pStyle w:val="BodyText"/>
        <w:numPr>
          <w:ilvl w:val="0"/>
          <w:numId w:val="0"/>
        </w:numPr>
        <w:spacing w:before="0" w:after="200"/>
        <w:ind w:hanging="0" w:left="0"/>
        <w:rPr/>
      </w:pPr>
      <w:r>
        <w:rPr/>
        <w:t>Boundary selection must be justified through explicit causal, temporal, entity, domain, and computational scopes. Material exclusions should be documented, and sensitivity analysis should test whether expanding the boundary changes the conclusion.</w:t>
      </w:r>
    </w:p>
    <w:p>
      <w:pPr>
        <w:pStyle w:val="BodyText"/>
        <w:numPr>
          <w:ilvl w:val="0"/>
          <w:numId w:val="29"/>
        </w:numPr>
        <w:tabs>
          <w:tab w:val="clear" w:pos="720"/>
          <w:tab w:val="left" w:pos="0" w:leader="none"/>
        </w:tabs>
        <w:spacing w:before="0" w:after="200"/>
        <w:ind w:hanging="283" w:left="709"/>
        <w:rPr/>
      </w:pPr>
      <w:r>
        <w:rPr>
          <w:rStyle w:val="Strong"/>
        </w:rPr>
        <w:t>Can the framework remain computationally feasible?</w:t>
      </w:r>
    </w:p>
    <w:p>
      <w:pPr>
        <w:pStyle w:val="BodyText"/>
        <w:numPr>
          <w:ilvl w:val="0"/>
          <w:numId w:val="0"/>
        </w:numPr>
        <w:spacing w:before="0" w:after="200"/>
        <w:ind w:hanging="0" w:left="0"/>
        <w:rPr/>
      </w:pPr>
      <w:r>
        <w:rPr/>
        <w:t>Implementations may use hierarchical decomposition, materiality screening, causal pruning, stochastic simulation, approximation, and progressively deeper assessment of high-impact pathways. These methods create a risk of omitting morally relevant effects, so excluded pathways and resolution limits must remain visible.</w:t>
      </w:r>
    </w:p>
    <w:p>
      <w:pPr>
        <w:pStyle w:val="BodyText"/>
        <w:numPr>
          <w:ilvl w:val="0"/>
          <w:numId w:val="29"/>
        </w:numPr>
        <w:tabs>
          <w:tab w:val="clear" w:pos="720"/>
          <w:tab w:val="left" w:pos="0" w:leader="none"/>
        </w:tabs>
        <w:spacing w:before="0" w:after="200"/>
        <w:ind w:hanging="283" w:left="709"/>
        <w:rPr/>
      </w:pPr>
      <w:r>
        <w:rPr>
          <w:rStyle w:val="Strong"/>
        </w:rPr>
        <w:t>What would demonstrate that the framework improves upon utilitarian analysis?</w:t>
      </w:r>
    </w:p>
    <w:p>
      <w:pPr>
        <w:pStyle w:val="BodyText"/>
        <w:numPr>
          <w:ilvl w:val="0"/>
          <w:numId w:val="0"/>
        </w:numPr>
        <w:spacing w:before="0" w:after="200"/>
        <w:ind w:hanging="0" w:left="0"/>
        <w:rPr/>
      </w:pPr>
      <w:r>
        <w:rPr/>
        <w:t>Comparative case testing should determine whether the framework identifies material harms, institutional effects, policy changes, distributional problems, or future-state losses that a conventional utility analysis overlooks—and whether those additions improve prediction, explanation, consistency, and decision quality.</w:t>
      </w:r>
    </w:p>
    <w:p>
      <w:pPr>
        <w:pStyle w:val="Heading4"/>
        <w:ind w:hanging="0" w:left="0"/>
        <w:rPr>
          <w:rFonts w:ascii="Aptos" w:hAnsi="Aptos"/>
          <w:color w:val="auto"/>
        </w:rPr>
      </w:pPr>
      <w:r>
        <w:rPr/>
        <w:t>Responses to Those Incremental Questions</w:t>
      </w:r>
    </w:p>
    <w:p>
      <w:pPr>
        <w:pStyle w:val="BodyText"/>
        <w:spacing w:before="0" w:after="200"/>
        <w:rPr/>
      </w:pPr>
      <w:r>
        <w:rPr/>
        <w:t>The incremental questions reveal that the framework’s principal response to utilitarianism is architectural rather than a rejection of consequence-based reasoning. It provides a richer representation of the morally relevant state before and after an action, preserves the identity and distribution of effects, and makes uncertainty and causal structure explicit.</w:t>
      </w:r>
    </w:p>
    <w:p>
      <w:pPr>
        <w:pStyle w:val="BodyText"/>
        <w:spacing w:before="0" w:after="200"/>
        <w:rPr/>
      </w:pPr>
      <w:r>
        <w:rPr/>
        <w:t>The framework can incorporate utilitarian calculations where welfare measures are measures are meaningful, including expected-welfare analysis, cost-effectiveness analysis, quality-of-life measures, and comparisons of population-level benefit. These calculations should be linked to the particular entities, states, assumptions, and Assessment Horizons they represent.</w:t>
      </w:r>
    </w:p>
    <w:p>
      <w:pPr>
        <w:pStyle w:val="BodyText"/>
        <w:spacing w:before="0" w:after="200"/>
        <w:rPr/>
      </w:pPr>
      <w:r>
        <w:rPr/>
        <w:t>Where aggregation is unreliable, the framework can produce partial rankings, conditional conclusions, risk flags, or confidence-limited judgments. It should not claim a degree of determinacy unsupported by the evidence. Where a decision is nevertheless required, the methodology must identify the additional decision policy—such as precaution, minimization of catastrophic harm, protection of minimum flourishing, or selection of the most robust alternative—used to resolve the remaining uncertainty.</w:t>
      </w:r>
    </w:p>
    <w:p>
      <w:pPr>
        <w:pStyle w:val="BodyText"/>
        <w:spacing w:before="0" w:after="200"/>
        <w:rPr/>
      </w:pPr>
      <w:r>
        <w:rPr/>
        <w:t>The utilitarian challenge therefore identifies a legitimate requirement: the architecture must eventually specify how descriptive World Context models are converted into sufficiently consistent moral recommendations. The response is not that formal decision rules are unnecessary. It is that such rules should operate on an explicit and structurally complete representation of the transition and should not conceal their normative assumptions inside a single utility score.</w:t>
      </w:r>
    </w:p>
    <w:p>
      <w:pPr>
        <w:pStyle w:val="Heading4"/>
        <w:ind w:hanging="0" w:left="0"/>
        <w:rPr>
          <w:rFonts w:ascii="Aptos" w:hAnsi="Aptos"/>
          <w:color w:val="auto"/>
        </w:rPr>
      </w:pPr>
      <w:bookmarkStart w:id="21" w:name="__RefHeading___Toc23496_3508477456"/>
      <w:bookmarkEnd w:id="21"/>
      <w:r>
        <w:rPr/>
        <w:t>Remaining Open Issues</w:t>
      </w:r>
    </w:p>
    <w:tbl>
      <w:tblPr>
        <w:tblW w:w="8640" w:type="dxa"/>
        <w:jc w:val="left"/>
        <w:tblInd w:w="28" w:type="dxa"/>
        <w:tblLayout w:type="fixed"/>
        <w:tblCellMar>
          <w:top w:w="28" w:type="dxa"/>
          <w:left w:w="28" w:type="dxa"/>
          <w:bottom w:w="28" w:type="dxa"/>
          <w:right w:w="28" w:type="dxa"/>
        </w:tblCellMar>
      </w:tblPr>
      <w:tblGrid>
        <w:gridCol w:w="2770"/>
        <w:gridCol w:w="5870"/>
      </w:tblGrid>
      <w:tr>
        <w:trPr>
          <w:tblHeader w:val="true"/>
        </w:trPr>
        <w:tc>
          <w:tcPr>
            <w:tcW w:w="2770" w:type="dxa"/>
            <w:tcBorders/>
            <w:vAlign w:val="center"/>
          </w:tcPr>
          <w:p>
            <w:pPr>
              <w:pStyle w:val="TableHeading"/>
              <w:suppressLineNumbers/>
              <w:spacing w:before="0" w:after="200"/>
              <w:jc w:val="center"/>
              <w:rPr/>
            </w:pPr>
            <w:r>
              <w:rPr/>
              <w:t>Open issue</w:t>
            </w:r>
          </w:p>
        </w:tc>
        <w:tc>
          <w:tcPr>
            <w:tcW w:w="5870" w:type="dxa"/>
            <w:tcBorders/>
            <w:vAlign w:val="center"/>
          </w:tcPr>
          <w:p>
            <w:pPr>
              <w:pStyle w:val="TableHeading"/>
              <w:suppressLineNumbers/>
              <w:spacing w:before="0" w:after="200"/>
              <w:jc w:val="center"/>
              <w:rPr/>
            </w:pPr>
            <w:r>
              <w:rPr/>
              <w:t>Unresolved question</w:t>
            </w:r>
          </w:p>
        </w:tc>
      </w:tr>
      <w:tr>
        <w:trPr/>
        <w:tc>
          <w:tcPr>
            <w:tcW w:w="2770" w:type="dxa"/>
            <w:tcBorders/>
            <w:vAlign w:val="center"/>
          </w:tcPr>
          <w:p>
            <w:pPr>
              <w:pStyle w:val="TableContents"/>
              <w:widowControl w:val="false"/>
              <w:suppressLineNumbers/>
              <w:spacing w:before="0" w:after="200"/>
              <w:rPr/>
            </w:pPr>
            <w:r>
              <w:rPr/>
              <w:t>Formalization of Long-Term Flourishing</w:t>
            </w:r>
          </w:p>
        </w:tc>
        <w:tc>
          <w:tcPr>
            <w:tcW w:w="5870" w:type="dxa"/>
            <w:tcBorders/>
            <w:vAlign w:val="center"/>
          </w:tcPr>
          <w:p>
            <w:pPr>
              <w:pStyle w:val="TableContents"/>
              <w:widowControl w:val="false"/>
              <w:suppressLineNumbers/>
              <w:spacing w:before="0" w:after="200"/>
              <w:rPr/>
            </w:pPr>
            <w:r>
              <w:rPr/>
              <w:t>Which dimensions are necessary, how are they measured, and when may they be combined?</w:t>
            </w:r>
          </w:p>
        </w:tc>
      </w:tr>
      <w:tr>
        <w:trPr/>
        <w:tc>
          <w:tcPr>
            <w:tcW w:w="2770" w:type="dxa"/>
            <w:tcBorders/>
            <w:vAlign w:val="center"/>
          </w:tcPr>
          <w:p>
            <w:pPr>
              <w:pStyle w:val="TableContents"/>
              <w:widowControl w:val="false"/>
              <w:suppressLineNumbers/>
              <w:spacing w:before="0" w:after="200"/>
              <w:rPr/>
            </w:pPr>
            <w:r>
              <w:rPr/>
              <w:t>Material-diminishment threshold</w:t>
            </w:r>
          </w:p>
        </w:tc>
        <w:tc>
          <w:tcPr>
            <w:tcW w:w="5870" w:type="dxa"/>
            <w:tcBorders/>
            <w:vAlign w:val="center"/>
          </w:tcPr>
          <w:p>
            <w:pPr>
              <w:pStyle w:val="TableContents"/>
              <w:widowControl w:val="false"/>
              <w:suppressLineNumbers/>
              <w:spacing w:before="0" w:after="200"/>
              <w:rPr/>
            </w:pPr>
            <w:r>
              <w:rPr/>
              <w:t>What magnitude, probability, duration, or irreversibility makes a diminishment morally material?</w:t>
            </w:r>
          </w:p>
        </w:tc>
      </w:tr>
      <w:tr>
        <w:trPr/>
        <w:tc>
          <w:tcPr>
            <w:tcW w:w="2770" w:type="dxa"/>
            <w:tcBorders/>
            <w:vAlign w:val="center"/>
          </w:tcPr>
          <w:p>
            <w:pPr>
              <w:pStyle w:val="TableContents"/>
              <w:widowControl w:val="false"/>
              <w:suppressLineNumbers/>
              <w:spacing w:before="0" w:after="200"/>
              <w:rPr/>
            </w:pPr>
            <w:r>
              <w:rPr/>
              <w:t>Conflict-resolution rule</w:t>
            </w:r>
          </w:p>
        </w:tc>
        <w:tc>
          <w:tcPr>
            <w:tcW w:w="5870" w:type="dxa"/>
            <w:tcBorders/>
            <w:vAlign w:val="center"/>
          </w:tcPr>
          <w:p>
            <w:pPr>
              <w:pStyle w:val="TableContents"/>
              <w:widowControl w:val="false"/>
              <w:suppressLineNumbers/>
              <w:spacing w:before="0" w:after="200"/>
              <w:rPr/>
            </w:pPr>
            <w:r>
              <w:rPr/>
              <w:t>How should the framework choose when all feasible actions produce significant harm?</w:t>
            </w:r>
          </w:p>
        </w:tc>
      </w:tr>
      <w:tr>
        <w:trPr/>
        <w:tc>
          <w:tcPr>
            <w:tcW w:w="2770" w:type="dxa"/>
            <w:tcBorders/>
            <w:vAlign w:val="center"/>
          </w:tcPr>
          <w:p>
            <w:pPr>
              <w:pStyle w:val="TableContents"/>
              <w:widowControl w:val="false"/>
              <w:suppressLineNumbers/>
              <w:spacing w:before="0" w:after="200"/>
              <w:rPr/>
            </w:pPr>
            <w:r>
              <w:rPr/>
              <w:t>Aggregation and weighting</w:t>
            </w:r>
          </w:p>
        </w:tc>
        <w:tc>
          <w:tcPr>
            <w:tcW w:w="5870" w:type="dxa"/>
            <w:tcBorders/>
            <w:vAlign w:val="center"/>
          </w:tcPr>
          <w:p>
            <w:pPr>
              <w:pStyle w:val="TableContents"/>
              <w:widowControl w:val="false"/>
              <w:suppressLineNumbers/>
              <w:spacing w:before="0" w:after="200"/>
              <w:rPr/>
            </w:pPr>
            <w:r>
              <w:rPr/>
              <w:t>Which aggregation methods are permissible, and how should distribution and vulnerability affect weights?</w:t>
            </w:r>
          </w:p>
        </w:tc>
      </w:tr>
      <w:tr>
        <w:trPr/>
        <w:tc>
          <w:tcPr>
            <w:tcW w:w="2770" w:type="dxa"/>
            <w:tcBorders/>
            <w:vAlign w:val="center"/>
          </w:tcPr>
          <w:p>
            <w:pPr>
              <w:pStyle w:val="TableContents"/>
              <w:widowControl w:val="false"/>
              <w:suppressLineNumbers/>
              <w:spacing w:before="0" w:after="200"/>
              <w:rPr/>
            </w:pPr>
            <w:r>
              <w:rPr/>
              <w:t>Interpersonal and inter-entity comparison</w:t>
            </w:r>
          </w:p>
        </w:tc>
        <w:tc>
          <w:tcPr>
            <w:tcW w:w="5870" w:type="dxa"/>
            <w:tcBorders/>
            <w:vAlign w:val="center"/>
          </w:tcPr>
          <w:p>
            <w:pPr>
              <w:pStyle w:val="TableContents"/>
              <w:widowControl w:val="false"/>
              <w:suppressLineNumbers/>
              <w:spacing w:before="0" w:after="200"/>
              <w:rPr/>
            </w:pPr>
            <w:r>
              <w:rPr/>
              <w:t>How can changes in flourishing be compared across humans, animals, ecosystems, institutions, and artificial systems?</w:t>
            </w:r>
          </w:p>
        </w:tc>
      </w:tr>
      <w:tr>
        <w:trPr/>
        <w:tc>
          <w:tcPr>
            <w:tcW w:w="2770" w:type="dxa"/>
            <w:tcBorders/>
            <w:vAlign w:val="center"/>
          </w:tcPr>
          <w:p>
            <w:pPr>
              <w:pStyle w:val="TableContents"/>
              <w:widowControl w:val="false"/>
              <w:suppressLineNumbers/>
              <w:spacing w:before="0" w:after="200"/>
              <w:rPr/>
            </w:pPr>
            <w:r>
              <w:rPr/>
              <w:t>Moral-patient classification</w:t>
            </w:r>
          </w:p>
        </w:tc>
        <w:tc>
          <w:tcPr>
            <w:tcW w:w="5870" w:type="dxa"/>
            <w:tcBorders/>
            <w:vAlign w:val="center"/>
          </w:tcPr>
          <w:p>
            <w:pPr>
              <w:pStyle w:val="TableContents"/>
              <w:widowControl w:val="false"/>
              <w:suppressLineNumbers/>
              <w:spacing w:before="0" w:after="200"/>
              <w:rPr/>
            </w:pPr>
            <w:r>
              <w:rPr/>
              <w:t>Should sentience, suffering, dependency, or vulnerability create moral standing independently of the Flourishing Entity definition?</w:t>
            </w:r>
          </w:p>
        </w:tc>
      </w:tr>
      <w:tr>
        <w:trPr/>
        <w:tc>
          <w:tcPr>
            <w:tcW w:w="2770" w:type="dxa"/>
            <w:tcBorders/>
            <w:vAlign w:val="center"/>
          </w:tcPr>
          <w:p>
            <w:pPr>
              <w:pStyle w:val="TableContents"/>
              <w:widowControl w:val="false"/>
              <w:suppressLineNumbers/>
              <w:spacing w:before="0" w:after="200"/>
              <w:rPr/>
            </w:pPr>
            <w:r>
              <w:rPr/>
              <w:t>Population ethics</w:t>
            </w:r>
          </w:p>
        </w:tc>
        <w:tc>
          <w:tcPr>
            <w:tcW w:w="5870" w:type="dxa"/>
            <w:tcBorders/>
            <w:vAlign w:val="center"/>
          </w:tcPr>
          <w:p>
            <w:pPr>
              <w:pStyle w:val="TableContents"/>
              <w:widowControl w:val="false"/>
              <w:suppressLineNumbers/>
              <w:spacing w:before="0" w:after="200"/>
              <w:rPr/>
            </w:pPr>
            <w:r>
              <w:rPr/>
              <w:t xml:space="preserve">How should the framework compare different possible populations and address nonidentity and the creation of future entities? The nonidentity problem remains central to obligations concerning future generations. </w:t>
            </w:r>
            <w:hyperlink r:id="rId232">
              <w:r>
                <w:rPr>
                  <w:rStyle w:val="Hyperlink"/>
                </w:rPr>
                <w:t>Stanford Encyclopedia of Philosophy</w:t>
              </w:r>
            </w:hyperlink>
          </w:p>
        </w:tc>
      </w:tr>
      <w:tr>
        <w:trPr/>
        <w:tc>
          <w:tcPr>
            <w:tcW w:w="2770" w:type="dxa"/>
            <w:tcBorders/>
            <w:vAlign w:val="center"/>
          </w:tcPr>
          <w:p>
            <w:pPr>
              <w:pStyle w:val="TableContents"/>
              <w:widowControl w:val="false"/>
              <w:suppressLineNumbers/>
              <w:spacing w:before="0" w:after="200"/>
              <w:rPr/>
            </w:pPr>
            <w:r>
              <w:rPr/>
              <w:t>Exceptional trade-offs</w:t>
            </w:r>
          </w:p>
        </w:tc>
        <w:tc>
          <w:tcPr>
            <w:tcW w:w="5870" w:type="dxa"/>
            <w:tcBorders/>
            <w:vAlign w:val="center"/>
          </w:tcPr>
          <w:p>
            <w:pPr>
              <w:pStyle w:val="TableContents"/>
              <w:widowControl w:val="false"/>
              <w:suppressLineNumbers/>
              <w:spacing w:before="0" w:after="200"/>
              <w:rPr/>
            </w:pPr>
            <w:r>
              <w:rPr/>
              <w:t>Can material diminishment be justified by necessity, and what standards of proportionality or catastrophe prevention apply?</w:t>
            </w:r>
          </w:p>
        </w:tc>
      </w:tr>
      <w:tr>
        <w:trPr/>
        <w:tc>
          <w:tcPr>
            <w:tcW w:w="2770" w:type="dxa"/>
            <w:tcBorders/>
            <w:vAlign w:val="center"/>
          </w:tcPr>
          <w:p>
            <w:pPr>
              <w:pStyle w:val="TableContents"/>
              <w:widowControl w:val="false"/>
              <w:suppressLineNumbers/>
              <w:spacing w:before="0" w:after="200"/>
              <w:rPr/>
            </w:pPr>
            <w:r>
              <w:rPr/>
              <w:t>Treatment of catastrophic risk</w:t>
            </w:r>
          </w:p>
        </w:tc>
        <w:tc>
          <w:tcPr>
            <w:tcW w:w="5870" w:type="dxa"/>
            <w:tcBorders/>
            <w:vAlign w:val="center"/>
          </w:tcPr>
          <w:p>
            <w:pPr>
              <w:pStyle w:val="TableContents"/>
              <w:widowControl w:val="false"/>
              <w:suppressLineNumbers/>
              <w:spacing w:before="0" w:after="200"/>
              <w:rPr/>
            </w:pPr>
            <w:r>
              <w:rPr/>
              <w:t>When should low-probability, irreversible outcomes override higher expected aggregate benefit?</w:t>
            </w:r>
          </w:p>
        </w:tc>
      </w:tr>
      <w:tr>
        <w:trPr/>
        <w:tc>
          <w:tcPr>
            <w:tcW w:w="2770" w:type="dxa"/>
            <w:tcBorders/>
            <w:vAlign w:val="center"/>
          </w:tcPr>
          <w:p>
            <w:pPr>
              <w:pStyle w:val="TableContents"/>
              <w:widowControl w:val="false"/>
              <w:suppressLineNumbers/>
              <w:spacing w:before="0" w:after="200"/>
              <w:rPr/>
            </w:pPr>
            <w:r>
              <w:rPr/>
              <w:t>Temporal treatment</w:t>
            </w:r>
          </w:p>
        </w:tc>
        <w:tc>
          <w:tcPr>
            <w:tcW w:w="5870" w:type="dxa"/>
            <w:tcBorders/>
            <w:vAlign w:val="center"/>
          </w:tcPr>
          <w:p>
            <w:pPr>
              <w:pStyle w:val="TableContents"/>
              <w:widowControl w:val="false"/>
              <w:suppressLineNumbers/>
              <w:spacing w:before="0" w:after="200"/>
              <w:rPr/>
            </w:pPr>
            <w:r>
              <w:rPr/>
              <w:t>How should future effects be valued without conflating declining predictive confidence with declining moral significance?</w:t>
            </w:r>
          </w:p>
        </w:tc>
      </w:tr>
      <w:tr>
        <w:trPr/>
        <w:tc>
          <w:tcPr>
            <w:tcW w:w="2770" w:type="dxa"/>
            <w:tcBorders/>
            <w:vAlign w:val="center"/>
          </w:tcPr>
          <w:p>
            <w:pPr>
              <w:pStyle w:val="TableContents"/>
              <w:widowControl w:val="false"/>
              <w:suppressLineNumbers/>
              <w:spacing w:before="0" w:after="200"/>
              <w:rPr/>
            </w:pPr>
            <w:r>
              <w:rPr/>
              <w:t>Causal double-counting</w:t>
            </w:r>
          </w:p>
        </w:tc>
        <w:tc>
          <w:tcPr>
            <w:tcW w:w="5870" w:type="dxa"/>
            <w:tcBorders/>
            <w:vAlign w:val="center"/>
          </w:tcPr>
          <w:p>
            <w:pPr>
              <w:pStyle w:val="TableContents"/>
              <w:widowControl w:val="false"/>
              <w:suppressLineNumbers/>
              <w:spacing w:before="0" w:after="200"/>
              <w:rPr/>
            </w:pPr>
            <w:r>
              <w:rPr/>
              <w:t>How should correlated consequences and downstream policy effects be represented without counting the same effect more than once?</w:t>
            </w:r>
          </w:p>
        </w:tc>
      </w:tr>
      <w:tr>
        <w:trPr/>
        <w:tc>
          <w:tcPr>
            <w:tcW w:w="2770" w:type="dxa"/>
            <w:tcBorders/>
            <w:vAlign w:val="center"/>
          </w:tcPr>
          <w:p>
            <w:pPr>
              <w:pStyle w:val="TableContents"/>
              <w:widowControl w:val="false"/>
              <w:suppressLineNumbers/>
              <w:spacing w:before="0" w:after="200"/>
              <w:rPr/>
            </w:pPr>
            <w:r>
              <w:rPr/>
              <w:t>Boundary selection</w:t>
            </w:r>
          </w:p>
        </w:tc>
        <w:tc>
          <w:tcPr>
            <w:tcW w:w="5870" w:type="dxa"/>
            <w:tcBorders/>
            <w:vAlign w:val="center"/>
          </w:tcPr>
          <w:p>
            <w:pPr>
              <w:pStyle w:val="TableContents"/>
              <w:widowControl w:val="false"/>
              <w:suppressLineNumbers/>
              <w:spacing w:before="0" w:after="200"/>
              <w:rPr/>
            </w:pPr>
            <w:r>
              <w:rPr/>
              <w:t>What procedures prevent convenient exclusion of remote, vulnerable, or difficult-to-model entities?</w:t>
            </w:r>
          </w:p>
        </w:tc>
      </w:tr>
      <w:tr>
        <w:trPr/>
        <w:tc>
          <w:tcPr>
            <w:tcW w:w="2770" w:type="dxa"/>
            <w:tcBorders/>
            <w:vAlign w:val="center"/>
          </w:tcPr>
          <w:p>
            <w:pPr>
              <w:pStyle w:val="TableContents"/>
              <w:widowControl w:val="false"/>
              <w:suppressLineNumbers/>
              <w:spacing w:before="0" w:after="200"/>
              <w:rPr/>
            </w:pPr>
            <w:r>
              <w:rPr/>
              <w:t>Decision-rule consistency</w:t>
            </w:r>
          </w:p>
        </w:tc>
        <w:tc>
          <w:tcPr>
            <w:tcW w:w="5870" w:type="dxa"/>
            <w:tcBorders/>
            <w:vAlign w:val="center"/>
          </w:tcPr>
          <w:p>
            <w:pPr>
              <w:pStyle w:val="TableContents"/>
              <w:widowControl w:val="false"/>
              <w:suppressLineNumbers/>
              <w:spacing w:before="0" w:after="200"/>
              <w:rPr/>
            </w:pPr>
            <w:r>
              <w:rPr/>
              <w:t>How much variation among implementations is permissible before they cease to implement the same moral framework?</w:t>
            </w:r>
          </w:p>
        </w:tc>
      </w:tr>
      <w:tr>
        <w:trPr/>
        <w:tc>
          <w:tcPr>
            <w:tcW w:w="2770" w:type="dxa"/>
            <w:tcBorders/>
            <w:vAlign w:val="center"/>
          </w:tcPr>
          <w:p>
            <w:pPr>
              <w:pStyle w:val="TableContents"/>
              <w:widowControl w:val="false"/>
              <w:suppressLineNumbers/>
              <w:spacing w:before="0" w:after="200"/>
              <w:rPr/>
            </w:pPr>
            <w:r>
              <w:rPr/>
              <w:t>Computational scalability</w:t>
            </w:r>
          </w:p>
        </w:tc>
        <w:tc>
          <w:tcPr>
            <w:tcW w:w="5870" w:type="dxa"/>
            <w:tcBorders/>
            <w:vAlign w:val="center"/>
          </w:tcPr>
          <w:p>
            <w:pPr>
              <w:pStyle w:val="TableContents"/>
              <w:widowControl w:val="false"/>
              <w:suppressLineNumbers/>
              <w:spacing w:before="0" w:after="200"/>
              <w:rPr/>
            </w:pPr>
            <w:r>
              <w:rPr/>
              <w:t>What approximation methods preserve moral relevance while making large World Context assessments tractable?</w:t>
            </w:r>
          </w:p>
        </w:tc>
      </w:tr>
      <w:tr>
        <w:trPr/>
        <w:tc>
          <w:tcPr>
            <w:tcW w:w="2770" w:type="dxa"/>
            <w:tcBorders/>
            <w:vAlign w:val="center"/>
          </w:tcPr>
          <w:p>
            <w:pPr>
              <w:pStyle w:val="TableContents"/>
              <w:widowControl w:val="false"/>
              <w:suppressLineNumbers/>
              <w:spacing w:before="0" w:after="200"/>
              <w:rPr/>
            </w:pPr>
            <w:r>
              <w:rPr/>
              <w:t>Comparative validation</w:t>
            </w:r>
          </w:p>
        </w:tc>
        <w:tc>
          <w:tcPr>
            <w:tcW w:w="5870" w:type="dxa"/>
            <w:tcBorders/>
            <w:vAlign w:val="center"/>
          </w:tcPr>
          <w:p>
            <w:pPr>
              <w:pStyle w:val="TableContents"/>
              <w:widowControl w:val="false"/>
              <w:suppressLineNumbers/>
              <w:spacing w:before="0" w:after="200"/>
              <w:rPr/>
            </w:pPr>
            <w:r>
              <w:rPr/>
              <w:t>Under what conditions does the proposed framework produce more defensible conclusions than utilitarian, rule-utilitarian, or multi-attribute utility models?</w:t>
            </w:r>
          </w:p>
        </w:tc>
      </w:tr>
    </w:tbl>
    <w:p>
      <w:pPr>
        <w:pStyle w:val="Normal"/>
        <w:widowControl/>
        <w:bidi w:val="0"/>
        <w:spacing w:lineRule="auto" w:line="276"/>
        <w:jc w:val="left"/>
        <w:rPr/>
      </w:pPr>
      <w:r>
        <w:rPr/>
      </w:r>
    </w:p>
    <w:p>
      <w:pPr>
        <w:pStyle w:val="Heading3"/>
        <w:ind w:hanging="0" w:left="0"/>
        <w:rPr/>
      </w:pPr>
      <w:r>
        <w:rPr/>
        <w:t>Deontology</w:t>
      </w:r>
    </w:p>
    <w:p>
      <w:pPr>
        <w:pStyle w:val="Heading4"/>
        <w:ind w:hanging="0" w:left="0"/>
        <w:rPr>
          <w:rFonts w:ascii="Aptos" w:hAnsi="Aptos"/>
          <w:color w:val="auto"/>
        </w:rPr>
      </w:pPr>
      <w:r>
        <w:rPr/>
        <w:t>Questioning Argument</w:t>
      </w:r>
    </w:p>
    <w:p>
      <w:pPr>
        <w:pStyle w:val="BodyText"/>
        <w:spacing w:before="0" w:after="200"/>
        <w:rPr/>
      </w:pPr>
      <w:r>
        <w:rPr/>
        <w:t>A deontological expert could argue that the proposed framework makes duties, autonomy, and impermissible means contingent on their predicted effects on Long-Term Flourishing. This places the good before the right: an action is judged principally by the World Context it produces rather than by whether the Actor fulfills a duty, adopts a permissible maxim, respects the moral status of affected persons, or refrains from an intrinsically wrongful act.</w:t>
      </w:r>
    </w:p>
    <w:p>
      <w:pPr>
        <w:pStyle w:val="BodyText"/>
        <w:spacing w:before="0" w:after="200"/>
        <w:rPr/>
      </w:pPr>
      <w:r>
        <w:rPr/>
        <w:t xml:space="preserve">The strongest version of this objection is Kantian. Kantian ethics grounds moral requirements in rational autonomy and the Categorical Imperative rather than in empirical predictions of happiness, welfare, or flourishing. Its central requirements are intended to bind rational agents unconditionally, regardless of whether compliance produces the most beneficial state of affairs. </w:t>
      </w:r>
      <w:hyperlink r:id="rId233">
        <w:r>
          <w:rPr>
            <w:rStyle w:val="Hyperlink"/>
          </w:rPr>
          <w:t>Stanford Encyclopedia of Philosophy</w:t>
        </w:r>
      </w:hyperlink>
    </w:p>
    <w:p>
      <w:pPr>
        <w:pStyle w:val="BodyText"/>
        <w:spacing w:before="0" w:after="200"/>
        <w:rPr/>
      </w:pPr>
      <w:r>
        <w:rPr/>
        <w:t xml:space="preserve">From this perspective, the proposed framework’s treatment of means through Distributed Policy Effects is insufficient. Deception, coercion, torture, exploitation, or the deliberate use of another person may remain wrong even if the conduct is secret, produces no detectable policy change, and results in a favorable World Context. Kantian ethics prohibits treating a person merely as a means because doing so violates the person’s moral status—not merely because the conduct is expected to produce harmful consequences. </w:t>
      </w:r>
      <w:hyperlink r:id="rId234">
        <w:r>
          <w:rPr>
            <w:rStyle w:val="Hyperlink"/>
          </w:rPr>
          <w:t>Stanford Encyclopedia of Philosophy</w:t>
        </w:r>
      </w:hyperlink>
    </w:p>
    <w:p>
      <w:pPr>
        <w:pStyle w:val="BodyText"/>
        <w:spacing w:before="0" w:after="200"/>
        <w:rPr/>
      </w:pPr>
      <w:r>
        <w:rPr/>
        <w:t>A deontologist might also challenge the Foundational Axiom. The requirement to preserve and promote Long-Term Flourishing while avoiding material diminishment appears to establish a strong consequential constraint, but it does not identify categorical duties or explain whether some actions are prohibited independently of their flourishing effects. “Material diminishment” may protect interests and capabilities without fully protecting dignity, consent, autonomy, promise-based obligations, or the inviolability of persons.</w:t>
      </w:r>
    </w:p>
    <w:p>
      <w:pPr>
        <w:pStyle w:val="BodyText"/>
        <w:spacing w:before="0" w:after="200"/>
        <w:rPr/>
      </w:pPr>
      <w:r>
        <w:rPr/>
        <w:t>The framework’s designation of the World Context Transition as the principal object of moral assessment creates an additional problem. Two actions can produce materially similar resulting World Contexts while differing in intention, maxim, means, authority, and respect for affected persons. A deontologist would argue that these actions can have different moral statuses even when their observable consequences are identical.</w:t>
      </w:r>
    </w:p>
    <w:p>
      <w:pPr>
        <w:pStyle w:val="BodyText"/>
        <w:spacing w:before="0" w:after="200"/>
        <w:rPr/>
      </w:pPr>
      <w:r>
        <w:rPr/>
        <w:t>The framework may also misunderstand universalizability if it treats it primarily as a forecast of Distributed Policy Effects. Kantian universalization asks whether the Actor’s maxim can be conceived and rationally willed as a universal law. It is not simply a prediction of what would happen if many Actors adopted the policy. A maxim might produce beneficial aggregate effects and still be internally inconsistent, dependent on an exception for the Actor, or incompatible with equal rational agency.</w:t>
      </w:r>
    </w:p>
    <w:p>
      <w:pPr>
        <w:pStyle w:val="BodyText"/>
        <w:spacing w:before="0" w:after="200"/>
        <w:rPr/>
      </w:pPr>
      <w:r>
        <w:rPr/>
        <w:t>A further objection concerns moral standing. The framework defines moral relevance through persistence, self-direction, adaptive capacity, and Long-Term Flourishing. Kantian deontology traditionally grounds dignity in rational autonomy, while other deontological theories protect persons through rights or claims. The proposed definition could inadequately protect infants, persons with profound cognitive impairments, unconscious patients, or other dependent humans who may not satisfy a demanding interpretation of self-direction. Conversely, it may assign comparable standing to institutions or artificial systems without explaining whether those entities possess dignity, welfare, rights, or only instrumental and systemic significance.</w:t>
      </w:r>
    </w:p>
    <w:p>
      <w:pPr>
        <w:pStyle w:val="BodyText"/>
        <w:spacing w:before="0" w:after="200"/>
        <w:rPr/>
      </w:pPr>
      <w:r>
        <w:rPr/>
        <w:t xml:space="preserve">A Rossian deontologist would likely be more receptive to the framework’s contextual and pluralistic structure but would still argue that duties must contribute independent moral reasons. Ross’s </w:t>
      </w:r>
      <w:r>
        <w:rPr>
          <w:rStyle w:val="Emphasis"/>
        </w:rPr>
        <w:t>prima facie</w:t>
      </w:r>
      <w:r>
        <w:rPr/>
        <w:t xml:space="preserve"> duties are not predictions of good consequences; they identify morally relevant features such as promise-keeping, reparation, gratitude, justice, beneficence, and non-maleficence. Conflicting duties require an all-things-considered judgment about the Actor’s actual duty. </w:t>
      </w:r>
      <w:hyperlink r:id="rId235">
        <w:r>
          <w:rPr>
            <w:rStyle w:val="Hyperlink"/>
          </w:rPr>
          <w:t>Stanford Encyclopedia of Philosophy</w:t>
        </w:r>
      </w:hyperlink>
    </w:p>
    <w:p>
      <w:pPr>
        <w:pStyle w:val="BodyText"/>
        <w:spacing w:before="0" w:after="200"/>
        <w:rPr/>
      </w:pPr>
      <w:r>
        <w:rPr/>
        <w:t>The deontological challenge can therefore be summarized as follows:</w:t>
      </w:r>
    </w:p>
    <w:p>
      <w:pPr>
        <w:pStyle w:val="BlockQuotation"/>
        <w:spacing w:before="0" w:after="200"/>
        <w:rPr/>
      </w:pPr>
      <w:r>
        <w:rPr/>
        <w:t>If duties, autonomy, consent, dignity, and impermissible means matter only when they improve the predicted World Context, the framework remains consequentialist. If they possess independent normative force, the architecture must identify that force, explain its source, and specify how it constrains World Context comparisons.</w:t>
      </w:r>
    </w:p>
    <w:p>
      <w:pPr>
        <w:pStyle w:val="Heading4"/>
        <w:ind w:hanging="0" w:left="0"/>
        <w:rPr>
          <w:rFonts w:ascii="Aptos" w:hAnsi="Aptos"/>
          <w:color w:val="auto"/>
        </w:rPr>
      </w:pPr>
      <w:r>
        <w:rPr/>
        <w:t>Assumptions Within the Ethical Model Relevant to the Questioning Argument</w:t>
      </w:r>
    </w:p>
    <w:tbl>
      <w:tblPr>
        <w:tblW w:w="8640" w:type="dxa"/>
        <w:jc w:val="left"/>
        <w:tblInd w:w="28" w:type="dxa"/>
        <w:tblLayout w:type="fixed"/>
        <w:tblCellMar>
          <w:top w:w="28" w:type="dxa"/>
          <w:left w:w="28" w:type="dxa"/>
          <w:bottom w:w="28" w:type="dxa"/>
          <w:right w:w="28" w:type="dxa"/>
        </w:tblCellMar>
      </w:tblPr>
      <w:tblGrid>
        <w:gridCol w:w="2490"/>
        <w:gridCol w:w="6150"/>
      </w:tblGrid>
      <w:tr>
        <w:trPr>
          <w:tblHeader w:val="true"/>
        </w:trPr>
        <w:tc>
          <w:tcPr>
            <w:tcW w:w="2490" w:type="dxa"/>
            <w:tcBorders/>
            <w:vAlign w:val="center"/>
          </w:tcPr>
          <w:p>
            <w:pPr>
              <w:pStyle w:val="TableHeading"/>
              <w:suppressLineNumbers/>
              <w:spacing w:before="0" w:after="200"/>
              <w:jc w:val="center"/>
              <w:rPr/>
            </w:pPr>
            <w:r>
              <w:rPr/>
              <w:t>Deontological assumption</w:t>
            </w:r>
          </w:p>
        </w:tc>
        <w:tc>
          <w:tcPr>
            <w:tcW w:w="6150" w:type="dxa"/>
            <w:tcBorders/>
            <w:vAlign w:val="center"/>
          </w:tcPr>
          <w:p>
            <w:pPr>
              <w:pStyle w:val="TableHeading"/>
              <w:suppressLineNumbers/>
              <w:spacing w:before="0" w:after="200"/>
              <w:jc w:val="center"/>
              <w:rPr/>
            </w:pPr>
            <w:r>
              <w:rPr/>
              <w:t>Relevance to the questioning argument</w:t>
            </w:r>
          </w:p>
        </w:tc>
      </w:tr>
      <w:tr>
        <w:trPr/>
        <w:tc>
          <w:tcPr>
            <w:tcW w:w="2490" w:type="dxa"/>
            <w:tcBorders/>
            <w:vAlign w:val="center"/>
          </w:tcPr>
          <w:p>
            <w:pPr>
              <w:pStyle w:val="TableContents"/>
              <w:widowControl w:val="false"/>
              <w:suppressLineNumbers/>
              <w:spacing w:before="0" w:after="200"/>
              <w:rPr/>
            </w:pPr>
            <w:r>
              <w:rPr/>
              <w:t>Priority of the right over the good</w:t>
            </w:r>
          </w:p>
        </w:tc>
        <w:tc>
          <w:tcPr>
            <w:tcW w:w="6150" w:type="dxa"/>
            <w:tcBorders/>
            <w:vAlign w:val="center"/>
          </w:tcPr>
          <w:p>
            <w:pPr>
              <w:pStyle w:val="TableContents"/>
              <w:widowControl w:val="false"/>
              <w:suppressLineNumbers/>
              <w:spacing w:before="0" w:after="200"/>
              <w:rPr/>
            </w:pPr>
            <w:r>
              <w:rPr/>
              <w:t>Some actions are required or prohibited independently of whether they produce the best overall state of affairs.</w:t>
            </w:r>
          </w:p>
        </w:tc>
      </w:tr>
      <w:tr>
        <w:trPr/>
        <w:tc>
          <w:tcPr>
            <w:tcW w:w="2490" w:type="dxa"/>
            <w:tcBorders/>
            <w:vAlign w:val="center"/>
          </w:tcPr>
          <w:p>
            <w:pPr>
              <w:pStyle w:val="TableContents"/>
              <w:widowControl w:val="false"/>
              <w:suppressLineNumbers/>
              <w:spacing w:before="0" w:after="200"/>
              <w:rPr/>
            </w:pPr>
            <w:r>
              <w:rPr/>
              <w:t>Rational autonomy</w:t>
            </w:r>
          </w:p>
        </w:tc>
        <w:tc>
          <w:tcPr>
            <w:tcW w:w="6150" w:type="dxa"/>
            <w:tcBorders/>
            <w:vAlign w:val="center"/>
          </w:tcPr>
          <w:p>
            <w:pPr>
              <w:pStyle w:val="TableContents"/>
              <w:widowControl w:val="false"/>
              <w:suppressLineNumbers/>
              <w:spacing w:before="0" w:after="200"/>
              <w:rPr/>
            </w:pPr>
            <w:r>
              <w:rPr/>
              <w:t>Moral requirements arise from, or are addressed to, the capacity of rational agents to govern themselves through universally applicable principles.</w:t>
            </w:r>
          </w:p>
        </w:tc>
      </w:tr>
      <w:tr>
        <w:trPr/>
        <w:tc>
          <w:tcPr>
            <w:tcW w:w="2490" w:type="dxa"/>
            <w:tcBorders/>
            <w:vAlign w:val="center"/>
          </w:tcPr>
          <w:p>
            <w:pPr>
              <w:pStyle w:val="TableContents"/>
              <w:widowControl w:val="false"/>
              <w:suppressLineNumbers/>
              <w:spacing w:before="0" w:after="200"/>
              <w:rPr/>
            </w:pPr>
            <w:r>
              <w:rPr/>
              <w:t>Intrinsic dignity</w:t>
            </w:r>
          </w:p>
        </w:tc>
        <w:tc>
          <w:tcPr>
            <w:tcW w:w="6150" w:type="dxa"/>
            <w:tcBorders/>
            <w:vAlign w:val="center"/>
          </w:tcPr>
          <w:p>
            <w:pPr>
              <w:pStyle w:val="TableContents"/>
              <w:widowControl w:val="false"/>
              <w:suppressLineNumbers/>
              <w:spacing w:before="0" w:after="200"/>
              <w:rPr/>
            </w:pPr>
            <w:r>
              <w:rPr/>
              <w:t>Persons possess a moral status that cannot be reduced to their contribution to aggregate flourishing.</w:t>
            </w:r>
          </w:p>
        </w:tc>
      </w:tr>
      <w:tr>
        <w:trPr/>
        <w:tc>
          <w:tcPr>
            <w:tcW w:w="2490" w:type="dxa"/>
            <w:tcBorders/>
            <w:vAlign w:val="center"/>
          </w:tcPr>
          <w:p>
            <w:pPr>
              <w:pStyle w:val="TableContents"/>
              <w:widowControl w:val="false"/>
              <w:suppressLineNumbers/>
              <w:spacing w:before="0" w:after="200"/>
              <w:rPr/>
            </w:pPr>
            <w:r>
              <w:rPr/>
              <w:t>Categorical obligation</w:t>
            </w:r>
          </w:p>
        </w:tc>
        <w:tc>
          <w:tcPr>
            <w:tcW w:w="6150" w:type="dxa"/>
            <w:tcBorders/>
            <w:vAlign w:val="center"/>
          </w:tcPr>
          <w:p>
            <w:pPr>
              <w:pStyle w:val="TableContents"/>
              <w:widowControl w:val="false"/>
              <w:suppressLineNumbers/>
              <w:spacing w:before="0" w:after="200"/>
              <w:rPr/>
            </w:pPr>
            <w:r>
              <w:rPr/>
              <w:t>At least some duties bind regardless of the Actor’s preferences, objectives, or anticipated gains.</w:t>
            </w:r>
          </w:p>
        </w:tc>
      </w:tr>
      <w:tr>
        <w:trPr/>
        <w:tc>
          <w:tcPr>
            <w:tcW w:w="2490" w:type="dxa"/>
            <w:tcBorders/>
            <w:vAlign w:val="center"/>
          </w:tcPr>
          <w:p>
            <w:pPr>
              <w:pStyle w:val="TableContents"/>
              <w:widowControl w:val="false"/>
              <w:suppressLineNumbers/>
              <w:spacing w:before="0" w:after="200"/>
              <w:rPr/>
            </w:pPr>
            <w:r>
              <w:rPr/>
              <w:t>Agent-relative responsibility</w:t>
            </w:r>
          </w:p>
        </w:tc>
        <w:tc>
          <w:tcPr>
            <w:tcW w:w="6150" w:type="dxa"/>
            <w:tcBorders/>
            <w:vAlign w:val="center"/>
          </w:tcPr>
          <w:p>
            <w:pPr>
              <w:pStyle w:val="TableContents"/>
              <w:widowControl w:val="false"/>
              <w:suppressLineNumbers/>
              <w:spacing w:before="0" w:after="200"/>
              <w:rPr/>
            </w:pPr>
            <w:r>
              <w:rPr/>
              <w:t>Each Actor has special responsibility for the intentions, means, and actions attributable to that Actor.</w:t>
            </w:r>
          </w:p>
        </w:tc>
      </w:tr>
      <w:tr>
        <w:trPr/>
        <w:tc>
          <w:tcPr>
            <w:tcW w:w="2490" w:type="dxa"/>
            <w:tcBorders/>
            <w:vAlign w:val="center"/>
          </w:tcPr>
          <w:p>
            <w:pPr>
              <w:pStyle w:val="TableContents"/>
              <w:widowControl w:val="false"/>
              <w:suppressLineNumbers/>
              <w:spacing w:before="0" w:after="200"/>
              <w:rPr/>
            </w:pPr>
            <w:r>
              <w:rPr/>
              <w:t>Maxims and intentions</w:t>
            </w:r>
          </w:p>
        </w:tc>
        <w:tc>
          <w:tcPr>
            <w:tcW w:w="6150" w:type="dxa"/>
            <w:tcBorders/>
            <w:vAlign w:val="center"/>
          </w:tcPr>
          <w:p>
            <w:pPr>
              <w:pStyle w:val="TableContents"/>
              <w:widowControl w:val="false"/>
              <w:suppressLineNumbers/>
              <w:spacing w:before="0" w:after="200"/>
              <w:rPr/>
            </w:pPr>
            <w:r>
              <w:rPr/>
              <w:t>The policy on which the Actor acts can affect moral permissibility independently of the resulting outcome.</w:t>
            </w:r>
          </w:p>
        </w:tc>
      </w:tr>
      <w:tr>
        <w:trPr/>
        <w:tc>
          <w:tcPr>
            <w:tcW w:w="2490" w:type="dxa"/>
            <w:tcBorders/>
            <w:vAlign w:val="center"/>
          </w:tcPr>
          <w:p>
            <w:pPr>
              <w:pStyle w:val="TableContents"/>
              <w:widowControl w:val="false"/>
              <w:suppressLineNumbers/>
              <w:spacing w:before="0" w:after="200"/>
              <w:rPr/>
            </w:pPr>
            <w:r>
              <w:rPr/>
              <w:t>Universalizability</w:t>
            </w:r>
          </w:p>
        </w:tc>
        <w:tc>
          <w:tcPr>
            <w:tcW w:w="6150" w:type="dxa"/>
            <w:tcBorders/>
            <w:vAlign w:val="center"/>
          </w:tcPr>
          <w:p>
            <w:pPr>
              <w:pStyle w:val="TableContents"/>
              <w:widowControl w:val="false"/>
              <w:suppressLineNumbers/>
              <w:spacing w:before="0" w:after="200"/>
              <w:rPr/>
            </w:pPr>
            <w:r>
              <w:rPr/>
              <w:t>A permissible maxim must be capable of coherent and rational universal adoption without granting the Actor an unjustifiable exception.</w:t>
            </w:r>
          </w:p>
        </w:tc>
      </w:tr>
      <w:tr>
        <w:trPr/>
        <w:tc>
          <w:tcPr>
            <w:tcW w:w="2490" w:type="dxa"/>
            <w:tcBorders/>
            <w:vAlign w:val="center"/>
          </w:tcPr>
          <w:p>
            <w:pPr>
              <w:pStyle w:val="TableContents"/>
              <w:widowControl w:val="false"/>
              <w:suppressLineNumbers/>
              <w:spacing w:before="0" w:after="200"/>
              <w:rPr/>
            </w:pPr>
            <w:r>
              <w:rPr/>
              <w:t>Persons as ends</w:t>
            </w:r>
          </w:p>
        </w:tc>
        <w:tc>
          <w:tcPr>
            <w:tcW w:w="6150" w:type="dxa"/>
            <w:tcBorders/>
            <w:vAlign w:val="center"/>
          </w:tcPr>
          <w:p>
            <w:pPr>
              <w:pStyle w:val="TableContents"/>
              <w:widowControl w:val="false"/>
              <w:suppressLineNumbers/>
              <w:spacing w:before="0" w:after="200"/>
              <w:rPr/>
            </w:pPr>
            <w:r>
              <w:rPr/>
              <w:t>A person must not be reduced to an instrument for another Actor’s operational objective.</w:t>
            </w:r>
          </w:p>
        </w:tc>
      </w:tr>
      <w:tr>
        <w:trPr/>
        <w:tc>
          <w:tcPr>
            <w:tcW w:w="2490" w:type="dxa"/>
            <w:tcBorders/>
            <w:vAlign w:val="center"/>
          </w:tcPr>
          <w:p>
            <w:pPr>
              <w:pStyle w:val="TableContents"/>
              <w:widowControl w:val="false"/>
              <w:suppressLineNumbers/>
              <w:spacing w:before="0" w:after="200"/>
              <w:rPr/>
            </w:pPr>
            <w:r>
              <w:rPr/>
              <w:t>Independent moral significance of means</w:t>
            </w:r>
          </w:p>
        </w:tc>
        <w:tc>
          <w:tcPr>
            <w:tcW w:w="6150" w:type="dxa"/>
            <w:tcBorders/>
            <w:vAlign w:val="center"/>
          </w:tcPr>
          <w:p>
            <w:pPr>
              <w:pStyle w:val="TableContents"/>
              <w:widowControl w:val="false"/>
              <w:suppressLineNumbers/>
              <w:spacing w:before="0" w:after="200"/>
              <w:rPr/>
            </w:pPr>
            <w:r>
              <w:rPr/>
              <w:t>Certain means may be wrong even if they produce desirable consequences.</w:t>
            </w:r>
          </w:p>
        </w:tc>
      </w:tr>
      <w:tr>
        <w:trPr/>
        <w:tc>
          <w:tcPr>
            <w:tcW w:w="2490" w:type="dxa"/>
            <w:tcBorders/>
            <w:vAlign w:val="center"/>
          </w:tcPr>
          <w:p>
            <w:pPr>
              <w:pStyle w:val="TableContents"/>
              <w:widowControl w:val="false"/>
              <w:suppressLineNumbers/>
              <w:spacing w:before="0" w:after="200"/>
              <w:rPr/>
            </w:pPr>
            <w:r>
              <w:rPr/>
              <w:t>Duties arising from Associations</w:t>
            </w:r>
          </w:p>
        </w:tc>
        <w:tc>
          <w:tcPr>
            <w:tcW w:w="6150" w:type="dxa"/>
            <w:tcBorders/>
            <w:vAlign w:val="center"/>
          </w:tcPr>
          <w:p>
            <w:pPr>
              <w:pStyle w:val="TableContents"/>
              <w:widowControl w:val="false"/>
              <w:suppressLineNumbers/>
              <w:spacing w:before="0" w:after="200"/>
              <w:rPr/>
            </w:pPr>
            <w:r>
              <w:rPr/>
              <w:t>Promises, contracts, consent, professional relationships, and prior conduct may generate special obligations.</w:t>
            </w:r>
          </w:p>
        </w:tc>
      </w:tr>
      <w:tr>
        <w:trPr/>
        <w:tc>
          <w:tcPr>
            <w:tcW w:w="2490" w:type="dxa"/>
            <w:tcBorders/>
            <w:vAlign w:val="center"/>
          </w:tcPr>
          <w:p>
            <w:pPr>
              <w:pStyle w:val="TableContents"/>
              <w:widowControl w:val="false"/>
              <w:suppressLineNumbers/>
              <w:spacing w:before="0" w:after="200"/>
              <w:rPr/>
            </w:pPr>
            <w:r>
              <w:rPr/>
              <w:t>Distinction between intention and foresight</w:t>
            </w:r>
          </w:p>
        </w:tc>
        <w:tc>
          <w:tcPr>
            <w:tcW w:w="6150" w:type="dxa"/>
            <w:tcBorders/>
            <w:vAlign w:val="center"/>
          </w:tcPr>
          <w:p>
            <w:pPr>
              <w:pStyle w:val="TableContents"/>
              <w:widowControl w:val="false"/>
              <w:suppressLineNumbers/>
              <w:spacing w:before="0" w:after="200"/>
              <w:rPr/>
            </w:pPr>
            <w:r>
              <w:rPr/>
              <w:t xml:space="preserve">Intending harm as a means can differ morally from foreseeing harm as a side effect. The doctrine of double effect is one prominent attempt to formalize this distinction. </w:t>
            </w:r>
            <w:hyperlink r:id="rId236">
              <w:r>
                <w:rPr>
                  <w:rStyle w:val="Hyperlink"/>
                </w:rPr>
                <w:t>Stanford Encyclopedia of Philosophy</w:t>
              </w:r>
            </w:hyperlink>
          </w:p>
        </w:tc>
      </w:tr>
      <w:tr>
        <w:trPr/>
        <w:tc>
          <w:tcPr>
            <w:tcW w:w="2490" w:type="dxa"/>
            <w:tcBorders/>
            <w:vAlign w:val="center"/>
          </w:tcPr>
          <w:p>
            <w:pPr>
              <w:pStyle w:val="TableContents"/>
              <w:widowControl w:val="false"/>
              <w:suppressLineNumbers/>
              <w:spacing w:before="0" w:after="200"/>
              <w:rPr/>
            </w:pPr>
            <w:r>
              <w:rPr/>
              <w:t>Distinction between doing and allowing</w:t>
            </w:r>
          </w:p>
        </w:tc>
        <w:tc>
          <w:tcPr>
            <w:tcW w:w="6150" w:type="dxa"/>
            <w:tcBorders/>
            <w:vAlign w:val="center"/>
          </w:tcPr>
          <w:p>
            <w:pPr>
              <w:pStyle w:val="TableContents"/>
              <w:widowControl w:val="false"/>
              <w:suppressLineNumbers/>
              <w:spacing w:before="0" w:after="200"/>
              <w:rPr/>
            </w:pPr>
            <w:r>
              <w:rPr/>
              <w:t>Actively causing harm may differ morally from failing to prevent the same harm, although the boundary remains contested.</w:t>
            </w:r>
          </w:p>
        </w:tc>
      </w:tr>
      <w:tr>
        <w:trPr/>
        <w:tc>
          <w:tcPr>
            <w:tcW w:w="2490" w:type="dxa"/>
            <w:tcBorders/>
            <w:vAlign w:val="center"/>
          </w:tcPr>
          <w:p>
            <w:pPr>
              <w:pStyle w:val="TableContents"/>
              <w:widowControl w:val="false"/>
              <w:suppressLineNumbers/>
              <w:spacing w:before="0" w:after="200"/>
              <w:rPr/>
            </w:pPr>
            <w:r>
              <w:rPr/>
              <w:t>Moral permissions</w:t>
            </w:r>
          </w:p>
        </w:tc>
        <w:tc>
          <w:tcPr>
            <w:tcW w:w="6150" w:type="dxa"/>
            <w:tcBorders/>
            <w:vAlign w:val="center"/>
          </w:tcPr>
          <w:p>
            <w:pPr>
              <w:pStyle w:val="TableContents"/>
              <w:widowControl w:val="false"/>
              <w:suppressLineNumbers/>
              <w:spacing w:before="0" w:after="200"/>
              <w:rPr/>
            </w:pPr>
            <w:r>
              <w:rPr/>
              <w:t>An Actor may be permitted to choose among several acceptable actions rather than being required to maximize the best outcome.</w:t>
            </w:r>
          </w:p>
        </w:tc>
      </w:tr>
      <w:tr>
        <w:trPr/>
        <w:tc>
          <w:tcPr>
            <w:tcW w:w="2490" w:type="dxa"/>
            <w:tcBorders/>
            <w:vAlign w:val="center"/>
          </w:tcPr>
          <w:p>
            <w:pPr>
              <w:pStyle w:val="TableContents"/>
              <w:widowControl w:val="false"/>
              <w:suppressLineNumbers/>
              <w:spacing w:before="0" w:after="200"/>
              <w:rPr/>
            </w:pPr>
            <w:r>
              <w:rPr/>
              <w:t>Plurality of duties</w:t>
            </w:r>
          </w:p>
        </w:tc>
        <w:tc>
          <w:tcPr>
            <w:tcW w:w="6150" w:type="dxa"/>
            <w:tcBorders/>
            <w:vAlign w:val="center"/>
          </w:tcPr>
          <w:p>
            <w:pPr>
              <w:pStyle w:val="TableContents"/>
              <w:widowControl w:val="false"/>
              <w:suppressLineNumbers/>
              <w:spacing w:before="0" w:after="200"/>
              <w:rPr/>
            </w:pPr>
            <w:r>
              <w:rPr/>
              <w:t>Fidelity, reparation, gratitude, justice, beneficence, self-improvement, and non-maleficence may create distinct moral reasons.</w:t>
            </w:r>
          </w:p>
        </w:tc>
      </w:tr>
      <w:tr>
        <w:trPr/>
        <w:tc>
          <w:tcPr>
            <w:tcW w:w="2490" w:type="dxa"/>
            <w:tcBorders/>
            <w:vAlign w:val="center"/>
          </w:tcPr>
          <w:p>
            <w:pPr>
              <w:pStyle w:val="TableContents"/>
              <w:widowControl w:val="false"/>
              <w:suppressLineNumbers/>
              <w:spacing w:before="0" w:after="200"/>
              <w:rPr/>
            </w:pPr>
            <w:r>
              <w:rPr/>
              <w:t>Contextual stringency</w:t>
            </w:r>
          </w:p>
        </w:tc>
        <w:tc>
          <w:tcPr>
            <w:tcW w:w="6150" w:type="dxa"/>
            <w:tcBorders/>
            <w:vAlign w:val="center"/>
          </w:tcPr>
          <w:p>
            <w:pPr>
              <w:pStyle w:val="TableContents"/>
              <w:widowControl w:val="false"/>
              <w:suppressLineNumbers/>
              <w:spacing w:before="0" w:after="200"/>
              <w:rPr/>
            </w:pPr>
            <w:r>
              <w:rPr/>
              <w:t xml:space="preserve">Under Rossian deontology, </w:t>
            </w:r>
            <w:r>
              <w:rPr>
                <w:rStyle w:val="Emphasis"/>
              </w:rPr>
              <w:t>prima facie</w:t>
            </w:r>
            <w:r>
              <w:rPr/>
              <w:t xml:space="preserve"> duties vary in stringency according to the complete circumstances.</w:t>
            </w:r>
          </w:p>
        </w:tc>
      </w:tr>
      <w:tr>
        <w:trPr/>
        <w:tc>
          <w:tcPr>
            <w:tcW w:w="2490" w:type="dxa"/>
            <w:tcBorders/>
            <w:vAlign w:val="center"/>
          </w:tcPr>
          <w:p>
            <w:pPr>
              <w:pStyle w:val="TableContents"/>
              <w:widowControl w:val="false"/>
              <w:suppressLineNumbers/>
              <w:spacing w:before="0" w:after="200"/>
              <w:rPr/>
            </w:pPr>
            <w:r>
              <w:rPr/>
              <w:t>Threshold possibility</w:t>
            </w:r>
          </w:p>
        </w:tc>
        <w:tc>
          <w:tcPr>
            <w:tcW w:w="6150" w:type="dxa"/>
            <w:tcBorders/>
            <w:vAlign w:val="center"/>
          </w:tcPr>
          <w:p>
            <w:pPr>
              <w:pStyle w:val="TableContents"/>
              <w:widowControl w:val="false"/>
              <w:suppressLineNumbers/>
              <w:spacing w:before="0" w:after="200"/>
              <w:rPr/>
            </w:pPr>
            <w:r>
              <w:rPr/>
              <w:t>Some deontologists allow normally binding prohibitions to be overridden to prevent catastrophic consequences.</w:t>
            </w:r>
          </w:p>
        </w:tc>
      </w:tr>
      <w:tr>
        <w:trPr/>
        <w:tc>
          <w:tcPr>
            <w:tcW w:w="2490" w:type="dxa"/>
            <w:tcBorders/>
            <w:vAlign w:val="center"/>
          </w:tcPr>
          <w:p>
            <w:pPr>
              <w:pStyle w:val="TableContents"/>
              <w:widowControl w:val="false"/>
              <w:suppressLineNumbers/>
              <w:spacing w:before="0" w:after="200"/>
              <w:rPr/>
            </w:pPr>
            <w:r>
              <w:rPr/>
              <w:t>Moral residue</w:t>
            </w:r>
          </w:p>
        </w:tc>
        <w:tc>
          <w:tcPr>
            <w:tcW w:w="6150" w:type="dxa"/>
            <w:tcBorders/>
            <w:vAlign w:val="center"/>
          </w:tcPr>
          <w:p>
            <w:pPr>
              <w:pStyle w:val="TableContents"/>
              <w:widowControl w:val="false"/>
              <w:suppressLineNumbers/>
              <w:spacing w:before="0" w:after="200"/>
              <w:rPr/>
            </w:pPr>
            <w:r>
              <w:rPr/>
              <w:t>Even a justified violation of a lesser duty may leave obligations of explanation, regret, apology, compensation, or reparation.</w:t>
            </w:r>
          </w:p>
        </w:tc>
      </w:tr>
    </w:tbl>
    <w:p>
      <w:pPr>
        <w:pStyle w:val="Heading4"/>
        <w:ind w:hanging="0" w:left="0"/>
        <w:rPr>
          <w:rFonts w:ascii="Aptos" w:hAnsi="Aptos"/>
          <w:color w:val="auto"/>
        </w:rPr>
      </w:pPr>
      <w:r>
        <w:rPr/>
        <w:t>Concepts Incorporated from This Ethical Model</w:t>
      </w:r>
    </w:p>
    <w:p>
      <w:pPr>
        <w:pStyle w:val="BodyText"/>
        <w:spacing w:before="0" w:after="200"/>
        <w:rPr/>
      </w:pPr>
      <w:r>
        <w:rPr/>
        <w:t>The proposed framework incorporates or partially adapts the following deontological concepts:</w:t>
      </w:r>
    </w:p>
    <w:p>
      <w:pPr>
        <w:pStyle w:val="BodyText"/>
        <w:numPr>
          <w:ilvl w:val="0"/>
          <w:numId w:val="33"/>
        </w:numPr>
        <w:tabs>
          <w:tab w:val="clear" w:pos="720"/>
          <w:tab w:val="left" w:pos="0" w:leader="none"/>
        </w:tabs>
        <w:spacing w:before="0" w:after="200"/>
        <w:ind w:hanging="283" w:left="709"/>
        <w:rPr/>
      </w:pPr>
      <w:r>
        <w:rPr/>
        <w:t>Explicit moral constraints on the pursuit of operational objectives.</w:t>
      </w:r>
    </w:p>
    <w:p>
      <w:pPr>
        <w:pStyle w:val="BodyText"/>
        <w:numPr>
          <w:ilvl w:val="0"/>
          <w:numId w:val="33"/>
        </w:numPr>
        <w:tabs>
          <w:tab w:val="clear" w:pos="720"/>
          <w:tab w:val="left" w:pos="0" w:leader="none"/>
        </w:tabs>
        <w:spacing w:before="0" w:after="200"/>
        <w:ind w:hanging="283" w:left="709"/>
        <w:rPr/>
      </w:pPr>
      <w:r>
        <w:rPr/>
        <w:t>Recognition that beneficial ends do not automatically justify harmful means.</w:t>
      </w:r>
    </w:p>
    <w:p>
      <w:pPr>
        <w:pStyle w:val="BodyText"/>
        <w:numPr>
          <w:ilvl w:val="0"/>
          <w:numId w:val="33"/>
        </w:numPr>
        <w:tabs>
          <w:tab w:val="clear" w:pos="720"/>
          <w:tab w:val="left" w:pos="0" w:leader="none"/>
        </w:tabs>
        <w:spacing w:before="0" w:after="200"/>
        <w:ind w:hanging="283" w:left="709"/>
        <w:rPr/>
      </w:pPr>
      <w:r>
        <w:rPr/>
        <w:t>Representation of the Actor’s objectives, intentions, policy states, and responsibility.</w:t>
      </w:r>
    </w:p>
    <w:p>
      <w:pPr>
        <w:pStyle w:val="BodyText"/>
        <w:numPr>
          <w:ilvl w:val="0"/>
          <w:numId w:val="33"/>
        </w:numPr>
        <w:tabs>
          <w:tab w:val="clear" w:pos="720"/>
          <w:tab w:val="left" w:pos="0" w:leader="none"/>
        </w:tabs>
        <w:spacing w:before="0" w:after="200"/>
        <w:ind w:hanging="283" w:left="709"/>
        <w:rPr/>
      </w:pPr>
      <w:r>
        <w:rPr/>
        <w:t>Distinction among intended, foreseeable, and unforeseeable consequences.</w:t>
      </w:r>
    </w:p>
    <w:p>
      <w:pPr>
        <w:pStyle w:val="BodyText"/>
        <w:numPr>
          <w:ilvl w:val="0"/>
          <w:numId w:val="33"/>
        </w:numPr>
        <w:tabs>
          <w:tab w:val="clear" w:pos="720"/>
          <w:tab w:val="left" w:pos="0" w:leader="none"/>
        </w:tabs>
        <w:spacing w:before="0" w:after="200"/>
        <w:ind w:hanging="283" w:left="709"/>
        <w:rPr/>
      </w:pPr>
      <w:r>
        <w:rPr/>
        <w:t>Recognition of autonomy, agency, consent, legitimacy, and authority as morally relevant.</w:t>
      </w:r>
    </w:p>
    <w:p>
      <w:pPr>
        <w:pStyle w:val="BodyText"/>
        <w:numPr>
          <w:ilvl w:val="0"/>
          <w:numId w:val="33"/>
        </w:numPr>
        <w:tabs>
          <w:tab w:val="clear" w:pos="720"/>
          <w:tab w:val="left" w:pos="0" w:leader="none"/>
        </w:tabs>
        <w:spacing w:before="0" w:after="200"/>
        <w:ind w:hanging="283" w:left="709"/>
        <w:rPr/>
      </w:pPr>
      <w:r>
        <w:rPr/>
        <w:t>Representation of duties arising from relationships, roles, contracts, institutions, and prior conduct.</w:t>
      </w:r>
    </w:p>
    <w:p>
      <w:pPr>
        <w:pStyle w:val="BodyText"/>
        <w:numPr>
          <w:ilvl w:val="0"/>
          <w:numId w:val="33"/>
        </w:numPr>
        <w:tabs>
          <w:tab w:val="clear" w:pos="720"/>
          <w:tab w:val="left" w:pos="0" w:leader="none"/>
        </w:tabs>
        <w:spacing w:before="0" w:after="200"/>
        <w:ind w:hanging="283" w:left="709"/>
        <w:rPr/>
      </w:pPr>
      <w:r>
        <w:rPr/>
        <w:t>Treatment of deception, coercion, exploitation, and institutional corruption as morally relevant changes.</w:t>
      </w:r>
    </w:p>
    <w:p>
      <w:pPr>
        <w:pStyle w:val="BodyText"/>
        <w:numPr>
          <w:ilvl w:val="0"/>
          <w:numId w:val="33"/>
        </w:numPr>
        <w:tabs>
          <w:tab w:val="clear" w:pos="720"/>
          <w:tab w:val="left" w:pos="0" w:leader="none"/>
        </w:tabs>
        <w:spacing w:before="0" w:after="200"/>
        <w:ind w:hanging="283" w:left="709"/>
        <w:rPr/>
      </w:pPr>
      <w:r>
        <w:rPr/>
        <w:t>Assessment of actions, omissions, and failures to fulfill responsibilities.</w:t>
      </w:r>
    </w:p>
    <w:p>
      <w:pPr>
        <w:pStyle w:val="BodyText"/>
        <w:numPr>
          <w:ilvl w:val="0"/>
          <w:numId w:val="33"/>
        </w:numPr>
        <w:tabs>
          <w:tab w:val="clear" w:pos="720"/>
          <w:tab w:val="left" w:pos="0" w:leader="none"/>
        </w:tabs>
        <w:spacing w:before="0" w:after="200"/>
        <w:ind w:hanging="283" w:left="709"/>
        <w:rPr/>
      </w:pPr>
      <w:r>
        <w:rPr/>
        <w:t>Separation of causal contribution from moral responsibility.</w:t>
      </w:r>
    </w:p>
    <w:p>
      <w:pPr>
        <w:pStyle w:val="BodyText"/>
        <w:numPr>
          <w:ilvl w:val="0"/>
          <w:numId w:val="33"/>
        </w:numPr>
        <w:tabs>
          <w:tab w:val="clear" w:pos="720"/>
          <w:tab w:val="left" w:pos="0" w:leader="none"/>
        </w:tabs>
        <w:spacing w:before="0" w:after="200"/>
        <w:ind w:hanging="283" w:left="709"/>
        <w:rPr/>
      </w:pPr>
      <w:r>
        <w:rPr/>
        <w:t>Recognition that the Actor’s own future policy may be morally improved or degraded by an action.</w:t>
      </w:r>
    </w:p>
    <w:p>
      <w:pPr>
        <w:pStyle w:val="BodyText"/>
        <w:numPr>
          <w:ilvl w:val="0"/>
          <w:numId w:val="33"/>
        </w:numPr>
        <w:tabs>
          <w:tab w:val="clear" w:pos="720"/>
          <w:tab w:val="left" w:pos="0" w:leader="none"/>
        </w:tabs>
        <w:spacing w:before="0" w:after="200"/>
        <w:ind w:hanging="283" w:left="709"/>
        <w:rPr/>
      </w:pPr>
      <w:r>
        <w:rPr/>
        <w:t>Support for constraints, permissions, prohibitions, and domain-specific obligations as computational elements.</w:t>
      </w:r>
    </w:p>
    <w:p>
      <w:pPr>
        <w:pStyle w:val="BodyText"/>
        <w:numPr>
          <w:ilvl w:val="0"/>
          <w:numId w:val="33"/>
        </w:numPr>
        <w:tabs>
          <w:tab w:val="clear" w:pos="720"/>
          <w:tab w:val="left" w:pos="0" w:leader="none"/>
        </w:tabs>
        <w:spacing w:before="0" w:after="200"/>
        <w:ind w:hanging="283" w:left="709"/>
        <w:rPr/>
      </w:pPr>
      <w:r>
        <w:rPr/>
        <w:t>A partial analogue to universalization through the evaluation of Distributed Policy Effects and widespread adoption of action policies.</w:t>
      </w:r>
    </w:p>
    <w:p>
      <w:pPr>
        <w:pStyle w:val="BodyText"/>
        <w:numPr>
          <w:ilvl w:val="0"/>
          <w:numId w:val="33"/>
        </w:numPr>
        <w:tabs>
          <w:tab w:val="clear" w:pos="720"/>
          <w:tab w:val="left" w:pos="0" w:leader="none"/>
        </w:tabs>
        <w:spacing w:before="0" w:after="200"/>
        <w:ind w:hanging="283" w:left="709"/>
        <w:rPr/>
      </w:pPr>
      <w:r>
        <w:rPr/>
        <w:t>The ability to compare conflicting objectives and obligations within a Situational Context.</w:t>
      </w:r>
    </w:p>
    <w:p>
      <w:pPr>
        <w:pStyle w:val="BodyText"/>
        <w:spacing w:before="0" w:after="200"/>
        <w:rPr/>
      </w:pPr>
      <w:r>
        <w:rPr/>
        <w:t>These concepts are incorporated architecturally, but their normative status is not yet fully resolved. The architecture can represent a duty without determining whether that duty is absolute, presumptive, threshold-constrained, or merely instrumentally valuable because it generally promotes Long-Term Flourishing.</w:t>
      </w:r>
    </w:p>
    <w:p>
      <w:pPr>
        <w:pStyle w:val="Heading4"/>
        <w:ind w:hanging="0" w:left="0"/>
        <w:rPr>
          <w:rFonts w:ascii="Aptos" w:hAnsi="Aptos"/>
          <w:color w:val="auto"/>
        </w:rPr>
      </w:pPr>
      <w:r>
        <w:rPr/>
        <w:t>How This Framework Addresses Those Assumptions</w:t>
      </w:r>
    </w:p>
    <w:tbl>
      <w:tblPr>
        <w:tblW w:w="8640" w:type="dxa"/>
        <w:jc w:val="left"/>
        <w:tblInd w:w="28" w:type="dxa"/>
        <w:tblLayout w:type="fixed"/>
        <w:tblCellMar>
          <w:top w:w="28" w:type="dxa"/>
          <w:left w:w="28" w:type="dxa"/>
          <w:bottom w:w="28" w:type="dxa"/>
          <w:right w:w="28" w:type="dxa"/>
        </w:tblCellMar>
      </w:tblPr>
      <w:tblGrid>
        <w:gridCol w:w="2240"/>
        <w:gridCol w:w="6400"/>
      </w:tblGrid>
      <w:tr>
        <w:trPr>
          <w:tblHeader w:val="true"/>
        </w:trPr>
        <w:tc>
          <w:tcPr>
            <w:tcW w:w="2240" w:type="dxa"/>
            <w:tcBorders/>
            <w:vAlign w:val="center"/>
          </w:tcPr>
          <w:p>
            <w:pPr>
              <w:pStyle w:val="TableHeading"/>
              <w:suppressLineNumbers/>
              <w:spacing w:before="0" w:after="200"/>
              <w:jc w:val="center"/>
              <w:rPr/>
            </w:pPr>
            <w:r>
              <w:rPr/>
              <w:t>Deontological assumption</w:t>
            </w:r>
          </w:p>
        </w:tc>
        <w:tc>
          <w:tcPr>
            <w:tcW w:w="6400" w:type="dxa"/>
            <w:tcBorders/>
            <w:vAlign w:val="center"/>
          </w:tcPr>
          <w:p>
            <w:pPr>
              <w:pStyle w:val="TableHeading"/>
              <w:suppressLineNumbers/>
              <w:spacing w:before="0" w:after="200"/>
              <w:jc w:val="center"/>
              <w:rPr/>
            </w:pPr>
            <w:r>
              <w:rPr/>
              <w:t>Current treatment within the framework</w:t>
            </w:r>
          </w:p>
        </w:tc>
      </w:tr>
      <w:tr>
        <w:trPr/>
        <w:tc>
          <w:tcPr>
            <w:tcW w:w="2240" w:type="dxa"/>
            <w:tcBorders/>
            <w:vAlign w:val="center"/>
          </w:tcPr>
          <w:p>
            <w:pPr>
              <w:pStyle w:val="TableContents"/>
              <w:widowControl w:val="false"/>
              <w:suppressLineNumbers/>
              <w:spacing w:before="0" w:after="200"/>
              <w:rPr/>
            </w:pPr>
            <w:r>
              <w:rPr/>
              <w:t>Priority of the right</w:t>
            </w:r>
          </w:p>
        </w:tc>
        <w:tc>
          <w:tcPr>
            <w:tcW w:w="6400" w:type="dxa"/>
            <w:tcBorders/>
            <w:vAlign w:val="center"/>
          </w:tcPr>
          <w:p>
            <w:pPr>
              <w:pStyle w:val="TableContents"/>
              <w:widowControl w:val="false"/>
              <w:suppressLineNumbers/>
              <w:spacing w:before="0" w:after="200"/>
              <w:rPr/>
            </w:pPr>
            <w:r>
              <w:rPr/>
              <w:t>The Foundational Axiom constrains operational objectives, but the framework does not yet establish a fully independent deontological layer in which the right constrains the good.</w:t>
            </w:r>
          </w:p>
        </w:tc>
      </w:tr>
      <w:tr>
        <w:trPr/>
        <w:tc>
          <w:tcPr>
            <w:tcW w:w="2240" w:type="dxa"/>
            <w:tcBorders/>
            <w:vAlign w:val="center"/>
          </w:tcPr>
          <w:p>
            <w:pPr>
              <w:pStyle w:val="TableContents"/>
              <w:widowControl w:val="false"/>
              <w:suppressLineNumbers/>
              <w:spacing w:before="0" w:after="200"/>
              <w:rPr/>
            </w:pPr>
            <w:r>
              <w:rPr/>
              <w:t>Rational autonomy</w:t>
            </w:r>
          </w:p>
        </w:tc>
        <w:tc>
          <w:tcPr>
            <w:tcW w:w="6400" w:type="dxa"/>
            <w:tcBorders/>
            <w:vAlign w:val="center"/>
          </w:tcPr>
          <w:p>
            <w:pPr>
              <w:pStyle w:val="TableContents"/>
              <w:widowControl w:val="false"/>
              <w:suppressLineNumbers/>
              <w:spacing w:before="0" w:after="200"/>
              <w:rPr/>
            </w:pPr>
            <w:r>
              <w:rPr/>
              <w:t>Self-direction and moral agency are foundational classifications, and changes to autonomy can be represented as morally significant state changes.</w:t>
            </w:r>
          </w:p>
        </w:tc>
      </w:tr>
      <w:tr>
        <w:trPr/>
        <w:tc>
          <w:tcPr>
            <w:tcW w:w="2240" w:type="dxa"/>
            <w:tcBorders/>
            <w:vAlign w:val="center"/>
          </w:tcPr>
          <w:p>
            <w:pPr>
              <w:pStyle w:val="TableContents"/>
              <w:widowControl w:val="false"/>
              <w:suppressLineNumbers/>
              <w:spacing w:before="0" w:after="200"/>
              <w:rPr/>
            </w:pPr>
            <w:r>
              <w:rPr/>
              <w:t>Intrinsic dignity</w:t>
            </w:r>
          </w:p>
        </w:tc>
        <w:tc>
          <w:tcPr>
            <w:tcW w:w="6400" w:type="dxa"/>
            <w:tcBorders/>
            <w:vAlign w:val="center"/>
          </w:tcPr>
          <w:p>
            <w:pPr>
              <w:pStyle w:val="TableContents"/>
              <w:widowControl w:val="false"/>
              <w:suppressLineNumbers/>
              <w:spacing w:before="0" w:after="200"/>
              <w:rPr/>
            </w:pPr>
            <w:r>
              <w:rPr/>
              <w:t>Dignity-related interests can be represented through identity, autonomy, consent, agency, and protection from instrumentalization, but dignity is not yet a separately defined architectural property.</w:t>
            </w:r>
          </w:p>
        </w:tc>
      </w:tr>
      <w:tr>
        <w:trPr/>
        <w:tc>
          <w:tcPr>
            <w:tcW w:w="2240" w:type="dxa"/>
            <w:tcBorders/>
            <w:vAlign w:val="center"/>
          </w:tcPr>
          <w:p>
            <w:pPr>
              <w:pStyle w:val="TableContents"/>
              <w:widowControl w:val="false"/>
              <w:suppressLineNumbers/>
              <w:spacing w:before="0" w:after="200"/>
              <w:rPr/>
            </w:pPr>
            <w:r>
              <w:rPr/>
              <w:t>Categorical duties</w:t>
            </w:r>
          </w:p>
        </w:tc>
        <w:tc>
          <w:tcPr>
            <w:tcW w:w="6400" w:type="dxa"/>
            <w:tcBorders/>
            <w:vAlign w:val="center"/>
          </w:tcPr>
          <w:p>
            <w:pPr>
              <w:pStyle w:val="TableContents"/>
              <w:widowControl w:val="false"/>
              <w:suppressLineNumbers/>
              <w:spacing w:before="0" w:after="200"/>
              <w:rPr/>
            </w:pPr>
            <w:r>
              <w:rPr/>
              <w:t>Duties can be represented as constraints, but the framework has not specified which, if any, must be treated as exceptionless.</w:t>
            </w:r>
          </w:p>
        </w:tc>
      </w:tr>
      <w:tr>
        <w:trPr/>
        <w:tc>
          <w:tcPr>
            <w:tcW w:w="2240" w:type="dxa"/>
            <w:tcBorders/>
            <w:vAlign w:val="center"/>
          </w:tcPr>
          <w:p>
            <w:pPr>
              <w:pStyle w:val="TableContents"/>
              <w:widowControl w:val="false"/>
              <w:suppressLineNumbers/>
              <w:spacing w:before="0" w:after="200"/>
              <w:rPr/>
            </w:pPr>
            <w:r>
              <w:rPr/>
              <w:t>Maxims and intentions</w:t>
            </w:r>
          </w:p>
        </w:tc>
        <w:tc>
          <w:tcPr>
            <w:tcW w:w="6400" w:type="dxa"/>
            <w:tcBorders/>
            <w:vAlign w:val="center"/>
          </w:tcPr>
          <w:p>
            <w:pPr>
              <w:pStyle w:val="TableContents"/>
              <w:widowControl w:val="false"/>
              <w:suppressLineNumbers/>
              <w:spacing w:before="0" w:after="200"/>
              <w:rPr/>
            </w:pPr>
            <w:r>
              <w:rPr/>
              <w:t>Objectives, Actor Policy States, intended means, and intended ends can be represented separately from consequences.</w:t>
            </w:r>
          </w:p>
        </w:tc>
      </w:tr>
      <w:tr>
        <w:trPr/>
        <w:tc>
          <w:tcPr>
            <w:tcW w:w="2240" w:type="dxa"/>
            <w:tcBorders/>
            <w:vAlign w:val="center"/>
          </w:tcPr>
          <w:p>
            <w:pPr>
              <w:pStyle w:val="TableContents"/>
              <w:widowControl w:val="false"/>
              <w:suppressLineNumbers/>
              <w:spacing w:before="0" w:after="200"/>
              <w:rPr/>
            </w:pPr>
            <w:r>
              <w:rPr/>
              <w:t>Universalizability</w:t>
            </w:r>
          </w:p>
        </w:tc>
        <w:tc>
          <w:tcPr>
            <w:tcW w:w="6400" w:type="dxa"/>
            <w:tcBorders/>
            <w:vAlign w:val="center"/>
          </w:tcPr>
          <w:p>
            <w:pPr>
              <w:pStyle w:val="TableContents"/>
              <w:widowControl w:val="false"/>
              <w:suppressLineNumbers/>
              <w:spacing w:before="0" w:after="200"/>
              <w:rPr/>
            </w:pPr>
            <w:r>
              <w:rPr/>
              <w:t>Distributed Policy Effects can assess widespread adoption, while a separate logical and rational universalization test could be added. The current architecture does not require that distinct test.</w:t>
            </w:r>
          </w:p>
        </w:tc>
      </w:tr>
      <w:tr>
        <w:trPr/>
        <w:tc>
          <w:tcPr>
            <w:tcW w:w="2240" w:type="dxa"/>
            <w:tcBorders/>
            <w:vAlign w:val="center"/>
          </w:tcPr>
          <w:p>
            <w:pPr>
              <w:pStyle w:val="TableContents"/>
              <w:widowControl w:val="false"/>
              <w:suppressLineNumbers/>
              <w:spacing w:before="0" w:after="200"/>
              <w:rPr/>
            </w:pPr>
            <w:r>
              <w:rPr/>
              <w:t>Persons as ends</w:t>
            </w:r>
          </w:p>
        </w:tc>
        <w:tc>
          <w:tcPr>
            <w:tcW w:w="6400" w:type="dxa"/>
            <w:tcBorders/>
            <w:vAlign w:val="center"/>
          </w:tcPr>
          <w:p>
            <w:pPr>
              <w:pStyle w:val="TableContents"/>
              <w:widowControl w:val="false"/>
              <w:suppressLineNumbers/>
              <w:spacing w:before="0" w:after="200"/>
              <w:rPr/>
            </w:pPr>
            <w:r>
              <w:rPr/>
              <w:t>The framework rejects reducing affected entities to the Actor’s operational objective, but it does not yet contain a categorical non-instrumentalization test.</w:t>
            </w:r>
          </w:p>
        </w:tc>
      </w:tr>
      <w:tr>
        <w:trPr/>
        <w:tc>
          <w:tcPr>
            <w:tcW w:w="2240" w:type="dxa"/>
            <w:tcBorders/>
            <w:vAlign w:val="center"/>
          </w:tcPr>
          <w:p>
            <w:pPr>
              <w:pStyle w:val="TableContents"/>
              <w:widowControl w:val="false"/>
              <w:suppressLineNumbers/>
              <w:spacing w:before="0" w:after="200"/>
              <w:rPr/>
            </w:pPr>
            <w:r>
              <w:rPr/>
              <w:t>Independent significance of means</w:t>
            </w:r>
          </w:p>
        </w:tc>
        <w:tc>
          <w:tcPr>
            <w:tcW w:w="6400" w:type="dxa"/>
            <w:tcBorders/>
            <w:vAlign w:val="center"/>
          </w:tcPr>
          <w:p>
            <w:pPr>
              <w:pStyle w:val="TableContents"/>
              <w:widowControl w:val="false"/>
              <w:suppressLineNumbers/>
              <w:spacing w:before="0" w:after="200"/>
              <w:rPr/>
            </w:pPr>
            <w:r>
              <w:rPr/>
              <w:t>Means are explicitly assessed through direct harm, changes to Associations, institutional effects, legitimacy, and policy updates. Whether some means are wrong independently of all such effects remains unresolved.</w:t>
            </w:r>
          </w:p>
        </w:tc>
      </w:tr>
      <w:tr>
        <w:trPr/>
        <w:tc>
          <w:tcPr>
            <w:tcW w:w="2240" w:type="dxa"/>
            <w:tcBorders/>
            <w:vAlign w:val="center"/>
          </w:tcPr>
          <w:p>
            <w:pPr>
              <w:pStyle w:val="TableContents"/>
              <w:widowControl w:val="false"/>
              <w:suppressLineNumbers/>
              <w:spacing w:before="0" w:after="200"/>
              <w:rPr/>
            </w:pPr>
            <w:r>
              <w:rPr/>
              <w:t>Special obligations</w:t>
            </w:r>
          </w:p>
        </w:tc>
        <w:tc>
          <w:tcPr>
            <w:tcW w:w="6400" w:type="dxa"/>
            <w:tcBorders/>
            <w:vAlign w:val="center"/>
          </w:tcPr>
          <w:p>
            <w:pPr>
              <w:pStyle w:val="TableContents"/>
              <w:widowControl w:val="false"/>
              <w:suppressLineNumbers/>
              <w:spacing w:before="0" w:after="200"/>
              <w:rPr/>
            </w:pPr>
            <w:r>
              <w:rPr/>
              <w:t>Associations can represent promises, fiduciary duties, professional responsibilities, family relationships, consent, and institutional roles.</w:t>
            </w:r>
          </w:p>
        </w:tc>
      </w:tr>
      <w:tr>
        <w:trPr/>
        <w:tc>
          <w:tcPr>
            <w:tcW w:w="2240" w:type="dxa"/>
            <w:tcBorders/>
            <w:vAlign w:val="center"/>
          </w:tcPr>
          <w:p>
            <w:pPr>
              <w:pStyle w:val="TableContents"/>
              <w:widowControl w:val="false"/>
              <w:suppressLineNumbers/>
              <w:spacing w:before="0" w:after="200"/>
              <w:rPr/>
            </w:pPr>
            <w:r>
              <w:rPr/>
              <w:t>Intention versus foresight</w:t>
            </w:r>
          </w:p>
        </w:tc>
        <w:tc>
          <w:tcPr>
            <w:tcW w:w="6400" w:type="dxa"/>
            <w:tcBorders/>
            <w:vAlign w:val="center"/>
          </w:tcPr>
          <w:p>
            <w:pPr>
              <w:pStyle w:val="TableContents"/>
              <w:widowControl w:val="false"/>
              <w:suppressLineNumbers/>
              <w:spacing w:before="0" w:after="200"/>
              <w:rPr/>
            </w:pPr>
            <w:r>
              <w:rPr/>
              <w:t>Responsibility assessment distinguishes intended, foreseeable, and unforeseeable effects, but a complete doctrine of double effect has not been adopted.</w:t>
            </w:r>
          </w:p>
        </w:tc>
      </w:tr>
      <w:tr>
        <w:trPr/>
        <w:tc>
          <w:tcPr>
            <w:tcW w:w="2240" w:type="dxa"/>
            <w:tcBorders/>
            <w:vAlign w:val="center"/>
          </w:tcPr>
          <w:p>
            <w:pPr>
              <w:pStyle w:val="TableContents"/>
              <w:widowControl w:val="false"/>
              <w:suppressLineNumbers/>
              <w:spacing w:before="0" w:after="200"/>
              <w:rPr/>
            </w:pPr>
            <w:r>
              <w:rPr/>
              <w:t>Doing versus allowing</w:t>
            </w:r>
          </w:p>
        </w:tc>
        <w:tc>
          <w:tcPr>
            <w:tcW w:w="6400" w:type="dxa"/>
            <w:tcBorders/>
            <w:vAlign w:val="center"/>
          </w:tcPr>
          <w:p>
            <w:pPr>
              <w:pStyle w:val="TableContents"/>
              <w:widowControl w:val="false"/>
              <w:suppressLineNumbers/>
              <w:spacing w:before="0" w:after="200"/>
              <w:rPr/>
            </w:pPr>
            <w:r>
              <w:rPr/>
              <w:t>Actions, omissions, and non-actions are assessable, although no general moral weighting distinguishes causing from allowing harm.</w:t>
            </w:r>
          </w:p>
        </w:tc>
      </w:tr>
      <w:tr>
        <w:trPr/>
        <w:tc>
          <w:tcPr>
            <w:tcW w:w="2240" w:type="dxa"/>
            <w:tcBorders/>
            <w:vAlign w:val="center"/>
          </w:tcPr>
          <w:p>
            <w:pPr>
              <w:pStyle w:val="TableContents"/>
              <w:widowControl w:val="false"/>
              <w:suppressLineNumbers/>
              <w:spacing w:before="0" w:after="200"/>
              <w:rPr/>
            </w:pPr>
            <w:r>
              <w:rPr/>
              <w:t>Moral permissions</w:t>
            </w:r>
          </w:p>
        </w:tc>
        <w:tc>
          <w:tcPr>
            <w:tcW w:w="6400" w:type="dxa"/>
            <w:tcBorders/>
            <w:vAlign w:val="center"/>
          </w:tcPr>
          <w:p>
            <w:pPr>
              <w:pStyle w:val="TableContents"/>
              <w:widowControl w:val="false"/>
              <w:suppressLineNumbers/>
              <w:spacing w:before="0" w:after="200"/>
              <w:rPr/>
            </w:pPr>
            <w:r>
              <w:rPr/>
              <w:t>The framework can produce permissibility judgments and need not require a unique maximizing action.</w:t>
            </w:r>
          </w:p>
        </w:tc>
      </w:tr>
      <w:tr>
        <w:trPr/>
        <w:tc>
          <w:tcPr>
            <w:tcW w:w="2240" w:type="dxa"/>
            <w:tcBorders/>
            <w:vAlign w:val="center"/>
          </w:tcPr>
          <w:p>
            <w:pPr>
              <w:pStyle w:val="TableContents"/>
              <w:widowControl w:val="false"/>
              <w:suppressLineNumbers/>
              <w:spacing w:before="0" w:after="200"/>
              <w:rPr/>
            </w:pPr>
            <w:r>
              <w:rPr/>
              <w:t>Plural duties</w:t>
            </w:r>
          </w:p>
        </w:tc>
        <w:tc>
          <w:tcPr>
            <w:tcW w:w="6400" w:type="dxa"/>
            <w:tcBorders/>
            <w:vAlign w:val="center"/>
          </w:tcPr>
          <w:p>
            <w:pPr>
              <w:pStyle w:val="TableContents"/>
              <w:widowControl w:val="false"/>
              <w:suppressLineNumbers/>
              <w:spacing w:before="0" w:after="200"/>
              <w:rPr/>
            </w:pPr>
            <w:r>
              <w:rPr/>
              <w:t xml:space="preserve">Multiple constraints and objectives can be represented concurrently, making the architecture compatible with Rossian </w:t>
            </w:r>
            <w:r>
              <w:rPr>
                <w:rStyle w:val="Emphasis"/>
              </w:rPr>
              <w:t>prima facie</w:t>
            </w:r>
            <w:r>
              <w:rPr/>
              <w:t xml:space="preserve"> duties.</w:t>
            </w:r>
          </w:p>
        </w:tc>
      </w:tr>
      <w:tr>
        <w:trPr/>
        <w:tc>
          <w:tcPr>
            <w:tcW w:w="2240" w:type="dxa"/>
            <w:tcBorders/>
            <w:vAlign w:val="center"/>
          </w:tcPr>
          <w:p>
            <w:pPr>
              <w:pStyle w:val="TableContents"/>
              <w:widowControl w:val="false"/>
              <w:suppressLineNumbers/>
              <w:spacing w:before="0" w:after="200"/>
              <w:rPr/>
            </w:pPr>
            <w:r>
              <w:rPr/>
              <w:t>Duty conflicts</w:t>
            </w:r>
          </w:p>
        </w:tc>
        <w:tc>
          <w:tcPr>
            <w:tcW w:w="6400" w:type="dxa"/>
            <w:tcBorders/>
            <w:vAlign w:val="center"/>
          </w:tcPr>
          <w:p>
            <w:pPr>
              <w:pStyle w:val="TableContents"/>
              <w:widowControl w:val="false"/>
              <w:suppressLineNumbers/>
              <w:spacing w:before="0" w:after="200"/>
              <w:rPr/>
            </w:pPr>
            <w:r>
              <w:rPr/>
              <w:t>Candidate actions can be compared according to the duties each satisfies or violates and the World Context each produces. A formal actual-duty rule remains incomplete.</w:t>
            </w:r>
          </w:p>
        </w:tc>
      </w:tr>
      <w:tr>
        <w:trPr/>
        <w:tc>
          <w:tcPr>
            <w:tcW w:w="2240" w:type="dxa"/>
            <w:tcBorders/>
            <w:vAlign w:val="center"/>
          </w:tcPr>
          <w:p>
            <w:pPr>
              <w:pStyle w:val="TableContents"/>
              <w:widowControl w:val="false"/>
              <w:suppressLineNumbers/>
              <w:spacing w:before="0" w:after="200"/>
              <w:rPr/>
            </w:pPr>
            <w:r>
              <w:rPr/>
              <w:t>Thresholds</w:t>
            </w:r>
          </w:p>
        </w:tc>
        <w:tc>
          <w:tcPr>
            <w:tcW w:w="6400" w:type="dxa"/>
            <w:tcBorders/>
            <w:vAlign w:val="center"/>
          </w:tcPr>
          <w:p>
            <w:pPr>
              <w:pStyle w:val="TableContents"/>
              <w:widowControl w:val="false"/>
              <w:suppressLineNumbers/>
              <w:spacing w:before="0" w:after="200"/>
              <w:rPr/>
            </w:pPr>
            <w:r>
              <w:rPr/>
              <w:t>Materiality and catastrophic consequences could support threshold deontology, but the thresholds and override procedures have not been defined.</w:t>
            </w:r>
          </w:p>
        </w:tc>
      </w:tr>
      <w:tr>
        <w:trPr/>
        <w:tc>
          <w:tcPr>
            <w:tcW w:w="2240" w:type="dxa"/>
            <w:tcBorders/>
            <w:vAlign w:val="center"/>
          </w:tcPr>
          <w:p>
            <w:pPr>
              <w:pStyle w:val="TableContents"/>
              <w:widowControl w:val="false"/>
              <w:suppressLineNumbers/>
              <w:spacing w:before="0" w:after="200"/>
              <w:rPr/>
            </w:pPr>
            <w:r>
              <w:rPr/>
              <w:t>Moral residue</w:t>
            </w:r>
          </w:p>
        </w:tc>
        <w:tc>
          <w:tcPr>
            <w:tcW w:w="6400" w:type="dxa"/>
            <w:tcBorders/>
            <w:vAlign w:val="center"/>
          </w:tcPr>
          <w:p>
            <w:pPr>
              <w:pStyle w:val="TableContents"/>
              <w:widowControl w:val="false"/>
              <w:suppressLineNumbers/>
              <w:spacing w:before="0" w:after="200"/>
              <w:rPr/>
            </w:pPr>
            <w:r>
              <w:rPr/>
              <w:t>Harm, violated Associations, responsibility, and required mitigation can be retained in the resulting World Context even when the selected action is judged all-things-considered permissible.</w:t>
            </w:r>
          </w:p>
        </w:tc>
      </w:tr>
    </w:tbl>
    <w:p>
      <w:pPr>
        <w:pStyle w:val="Heading4"/>
        <w:ind w:hanging="0" w:left="0"/>
        <w:rPr>
          <w:rFonts w:ascii="Aptos" w:hAnsi="Aptos"/>
          <w:color w:val="auto"/>
        </w:rPr>
      </w:pPr>
      <w:r>
        <w:rPr/>
        <w:t>Counterargument</w:t>
      </w:r>
    </w:p>
    <w:p>
      <w:pPr>
        <w:pStyle w:val="BodyText"/>
        <w:spacing w:before="0" w:after="200"/>
        <w:rPr/>
      </w:pPr>
      <w:r>
        <w:rPr/>
        <w:t>The proposed framework can respond that moral assessment cannot responsibly ignore what actions actually do to the world. A rule that considers only the Actor’s maxim or duty compliance may fail to represent predictable harm, institutional collapse, cascading policy effects, or the destruction of future opportunities. Consequences do not cease to be morally relevant merely because an Actor acted from a permissible intention.</w:t>
      </w:r>
    </w:p>
    <w:p>
      <w:pPr>
        <w:pStyle w:val="BodyText"/>
        <w:spacing w:before="0" w:after="200"/>
        <w:rPr/>
      </w:pPr>
      <w:r>
        <w:rPr/>
        <w:t>The framework does not require duties, dignity, or autonomy to be reduced to aggregate flourishing. Its architectural elements can represent a duty violation, coercive relationship, illegitimate exercise of authority, absence of consent, or intentional instrumentalization as part of the World Context Transition. These changes remain morally relevant even when their immediate material effects are small.</w:t>
      </w:r>
    </w:p>
    <w:p>
      <w:pPr>
        <w:pStyle w:val="BodyText"/>
        <w:spacing w:before="0" w:after="200"/>
        <w:rPr/>
      </w:pPr>
      <w:r>
        <w:rPr/>
        <w:t>The framework can also distinguish two levels of judgment:</w:t>
      </w:r>
    </w:p>
    <w:p>
      <w:pPr>
        <w:pStyle w:val="BodyText"/>
        <w:numPr>
          <w:ilvl w:val="0"/>
          <w:numId w:val="34"/>
        </w:numPr>
        <w:tabs>
          <w:tab w:val="clear" w:pos="720"/>
          <w:tab w:val="left" w:pos="0" w:leader="none"/>
        </w:tabs>
        <w:spacing w:before="0" w:after="200"/>
        <w:ind w:hanging="283" w:left="709"/>
        <w:rPr/>
      </w:pPr>
      <w:r>
        <w:rPr>
          <w:rStyle w:val="Strong"/>
        </w:rPr>
        <w:t>Action-level assessment:</w:t>
      </w:r>
      <w:r>
        <w:rPr/>
        <w:t xml:space="preserve"> Whether the Actor adopted a permissible maxim, possessed legitimate authority, respected applicable duties, and used morally permissible means.</w:t>
      </w:r>
    </w:p>
    <w:p>
      <w:pPr>
        <w:pStyle w:val="BodyText"/>
        <w:numPr>
          <w:ilvl w:val="0"/>
          <w:numId w:val="34"/>
        </w:numPr>
        <w:tabs>
          <w:tab w:val="clear" w:pos="720"/>
          <w:tab w:val="left" w:pos="0" w:leader="none"/>
        </w:tabs>
        <w:spacing w:before="0" w:after="200"/>
        <w:ind w:hanging="283" w:left="709"/>
        <w:rPr/>
      </w:pPr>
      <w:r>
        <w:rPr>
          <w:rStyle w:val="Strong"/>
        </w:rPr>
        <w:t>Transition-level assessment:</w:t>
      </w:r>
      <w:r>
        <w:rPr/>
        <w:t xml:space="preserve"> Whether the action produced a morally supportable World Context across affected entities and Assessment Horizons.</w:t>
      </w:r>
    </w:p>
    <w:p>
      <w:pPr>
        <w:pStyle w:val="BodyText"/>
        <w:spacing w:before="0" w:after="200"/>
        <w:rPr/>
      </w:pPr>
      <w:r>
        <w:rPr/>
        <w:t>This distinction allows two actions with similar material outcomes to receive different moral assessments because their intentions, means, legitimacy, and policy effects differ. It also permits an Actor to have acted responsibly on the available evidence even when the observed outcome is harmful.</w:t>
      </w:r>
    </w:p>
    <w:p>
      <w:pPr>
        <w:pStyle w:val="BodyText"/>
        <w:spacing w:before="0" w:after="200"/>
        <w:rPr/>
      </w:pPr>
      <w:r>
        <w:rPr/>
        <w:t>The framework’s emphasis on Distributed Policy Effects should not be interpreted as the only reason means matter. A coercive or deceptive act directly changes Associations, agency, consent, information state, legitimacy, and the Actor’s policy state. The violation can therefore be represented even if no observer discovers it and no future imitation occurs. If the framework concludes that some such violations are categorically impermissible, however, it must express that conclusion through an explicit deontic constraint rather than infer it solely from predicted consequences.</w:t>
      </w:r>
    </w:p>
    <w:p>
      <w:pPr>
        <w:pStyle w:val="BodyText"/>
        <w:spacing w:before="0" w:after="200"/>
        <w:rPr/>
      </w:pPr>
      <w:r>
        <w:rPr/>
        <w:t xml:space="preserve">The framework can further respond that deontology itself requires mechanisms for handling uncertainty, conflicting duties, emergencies, and catastrophic consequences. Kantian absolutism, Rossian </w:t>
      </w:r>
      <w:r>
        <w:rPr>
          <w:rStyle w:val="Emphasis"/>
        </w:rPr>
        <w:t>prima facie</w:t>
      </w:r>
      <w:r>
        <w:rPr/>
        <w:t xml:space="preserve"> duties, and threshold deontology provide different answers. Threshold deontology attempts to preserve categorical constraints until sufficiently severe consequences are reached, but it faces the unresolved problem of locating and justifying the threshold. </w:t>
      </w:r>
      <w:hyperlink r:id="rId237">
        <w:r>
          <w:rPr>
            <w:rStyle w:val="Hyperlink"/>
          </w:rPr>
          <w:t>Stanford Encyclopedia of Philosophy</w:t>
        </w:r>
      </w:hyperlink>
    </w:p>
    <w:p>
      <w:pPr>
        <w:pStyle w:val="BodyText"/>
        <w:spacing w:before="0" w:after="200"/>
        <w:rPr/>
      </w:pPr>
      <w:r>
        <w:rPr/>
        <w:t>World Context analysis can help resolve these problems without claiming that consequences generate every duty. It can identify:</w:t>
      </w:r>
    </w:p>
    <w:p>
      <w:pPr>
        <w:pStyle w:val="BodyText"/>
        <w:numPr>
          <w:ilvl w:val="0"/>
          <w:numId w:val="35"/>
        </w:numPr>
        <w:tabs>
          <w:tab w:val="clear" w:pos="720"/>
          <w:tab w:val="left" w:pos="0" w:leader="none"/>
        </w:tabs>
        <w:spacing w:before="0" w:after="200"/>
        <w:ind w:hanging="283" w:left="709"/>
        <w:rPr/>
      </w:pPr>
      <w:r>
        <w:rPr/>
        <w:t>Which duties apply</w:t>
      </w:r>
    </w:p>
    <w:p>
      <w:pPr>
        <w:pStyle w:val="BodyText"/>
        <w:numPr>
          <w:ilvl w:val="0"/>
          <w:numId w:val="35"/>
        </w:numPr>
        <w:tabs>
          <w:tab w:val="clear" w:pos="720"/>
          <w:tab w:val="left" w:pos="0" w:leader="none"/>
        </w:tabs>
        <w:spacing w:before="0" w:after="200"/>
        <w:ind w:hanging="283" w:left="709"/>
        <w:rPr/>
      </w:pPr>
      <w:r>
        <w:rPr/>
        <w:t>Which entities hold and benefit from them</w:t>
      </w:r>
    </w:p>
    <w:p>
      <w:pPr>
        <w:pStyle w:val="BodyText"/>
        <w:numPr>
          <w:ilvl w:val="0"/>
          <w:numId w:val="35"/>
        </w:numPr>
        <w:tabs>
          <w:tab w:val="clear" w:pos="720"/>
          <w:tab w:val="left" w:pos="0" w:leader="none"/>
        </w:tabs>
        <w:spacing w:before="0" w:after="200"/>
        <w:ind w:hanging="283" w:left="709"/>
        <w:rPr/>
      </w:pPr>
      <w:r>
        <w:rPr/>
        <w:t>What conduct would satisfy or violate them</w:t>
      </w:r>
    </w:p>
    <w:p>
      <w:pPr>
        <w:pStyle w:val="BodyText"/>
        <w:numPr>
          <w:ilvl w:val="0"/>
          <w:numId w:val="35"/>
        </w:numPr>
        <w:tabs>
          <w:tab w:val="clear" w:pos="720"/>
          <w:tab w:val="left" w:pos="0" w:leader="none"/>
        </w:tabs>
        <w:spacing w:before="0" w:after="200"/>
        <w:ind w:hanging="283" w:left="709"/>
        <w:rPr/>
      </w:pPr>
      <w:r>
        <w:rPr/>
        <w:t>What alternatives are available</w:t>
      </w:r>
    </w:p>
    <w:p>
      <w:pPr>
        <w:pStyle w:val="BodyText"/>
        <w:numPr>
          <w:ilvl w:val="0"/>
          <w:numId w:val="35"/>
        </w:numPr>
        <w:tabs>
          <w:tab w:val="clear" w:pos="720"/>
          <w:tab w:val="left" w:pos="0" w:leader="none"/>
        </w:tabs>
        <w:spacing w:before="0" w:after="200"/>
        <w:ind w:hanging="283" w:left="709"/>
        <w:rPr/>
      </w:pPr>
      <w:r>
        <w:rPr/>
        <w:t>What harms are intended or merely foreseen</w:t>
      </w:r>
    </w:p>
    <w:p>
      <w:pPr>
        <w:pStyle w:val="BodyText"/>
        <w:numPr>
          <w:ilvl w:val="0"/>
          <w:numId w:val="35"/>
        </w:numPr>
        <w:tabs>
          <w:tab w:val="clear" w:pos="720"/>
          <w:tab w:val="left" w:pos="0" w:leader="none"/>
        </w:tabs>
        <w:spacing w:before="0" w:after="200"/>
        <w:ind w:hanging="283" w:left="709"/>
        <w:rPr/>
      </w:pPr>
      <w:r>
        <w:rPr/>
        <w:t>Whether an exception is necessary and proportionate</w:t>
      </w:r>
    </w:p>
    <w:p>
      <w:pPr>
        <w:pStyle w:val="BodyText"/>
        <w:numPr>
          <w:ilvl w:val="0"/>
          <w:numId w:val="35"/>
        </w:numPr>
        <w:tabs>
          <w:tab w:val="clear" w:pos="720"/>
          <w:tab w:val="left" w:pos="0" w:leader="none"/>
        </w:tabs>
        <w:spacing w:before="0" w:after="200"/>
        <w:ind w:hanging="283" w:left="709"/>
        <w:rPr/>
      </w:pPr>
      <w:r>
        <w:rPr/>
        <w:t>What institutional and policy effects would follow</w:t>
      </w:r>
    </w:p>
    <w:p>
      <w:pPr>
        <w:pStyle w:val="BodyText"/>
        <w:numPr>
          <w:ilvl w:val="0"/>
          <w:numId w:val="35"/>
        </w:numPr>
        <w:tabs>
          <w:tab w:val="clear" w:pos="720"/>
          <w:tab w:val="left" w:pos="0" w:leader="none"/>
        </w:tabs>
        <w:spacing w:before="0" w:after="200"/>
        <w:ind w:hanging="283" w:left="709"/>
        <w:rPr/>
      </w:pPr>
      <w:r>
        <w:rPr/>
        <w:t>What moral residue remains after the decision</w:t>
      </w:r>
    </w:p>
    <w:p>
      <w:pPr>
        <w:pStyle w:val="BodyText"/>
        <w:spacing w:before="0" w:after="200"/>
        <w:rPr/>
      </w:pPr>
      <w:r>
        <w:rPr/>
        <w:t>The framework can also argue that its broader entity model corrects a limitation of strictly rational-agency-based moral standing. Infants, cognitively impaired persons, non-human animals, ecosystems, and future artificial systems may require moral consideration even when they do not possess Kantian rational autonomy. Nevertheless, the current Flourishing Entity definition must be clarified so that broadening moral scope does not weaken the unconditional protection owed to vulnerable humans.</w:t>
      </w:r>
    </w:p>
    <w:p>
      <w:pPr>
        <w:pStyle w:val="BodyText"/>
        <w:spacing w:before="0" w:after="200"/>
        <w:rPr/>
      </w:pPr>
      <w:r>
        <w:rPr/>
        <w:t>The framework therefore need not choose between duties and consequences at the architectural level. It can represent duties as independent constraints and consequences as essential information about the World Context. What remains unresolved is how those two forms of moral reason interact when they conflict.</w:t>
      </w:r>
    </w:p>
    <w:p>
      <w:pPr>
        <w:pStyle w:val="Heading4"/>
        <w:ind w:hanging="0" w:left="0"/>
        <w:rPr>
          <w:rFonts w:ascii="Aptos" w:hAnsi="Aptos"/>
          <w:color w:val="auto"/>
        </w:rPr>
      </w:pPr>
      <w:bookmarkStart w:id="22" w:name="__RefHeading___Toc23498_3508477456"/>
      <w:bookmarkEnd w:id="22"/>
      <w:r>
        <w:rPr/>
        <w:t>Incremental Questions the Expert Should Then Ask</w:t>
      </w:r>
    </w:p>
    <w:p>
      <w:pPr>
        <w:pStyle w:val="BodyText"/>
        <w:numPr>
          <w:ilvl w:val="0"/>
          <w:numId w:val="36"/>
        </w:numPr>
        <w:tabs>
          <w:tab w:val="clear" w:pos="720"/>
          <w:tab w:val="left" w:pos="0" w:leader="none"/>
        </w:tabs>
        <w:spacing w:before="0" w:after="200"/>
        <w:ind w:hanging="283" w:left="709"/>
        <w:rPr/>
      </w:pPr>
      <w:r>
        <w:rPr/>
        <w:t>Does the framework recognize any actions as categorically prohibited?</w:t>
      </w:r>
    </w:p>
    <w:p>
      <w:pPr>
        <w:pStyle w:val="BodyText"/>
        <w:numPr>
          <w:ilvl w:val="0"/>
          <w:numId w:val="36"/>
        </w:numPr>
        <w:tabs>
          <w:tab w:val="clear" w:pos="720"/>
          <w:tab w:val="left" w:pos="0" w:leader="none"/>
        </w:tabs>
        <w:spacing w:before="0" w:after="200"/>
        <w:ind w:hanging="283" w:left="709"/>
        <w:rPr/>
      </w:pPr>
      <w:r>
        <w:rPr/>
        <w:t>What is the normative source of a duty within the architecture?</w:t>
      </w:r>
    </w:p>
    <w:p>
      <w:pPr>
        <w:pStyle w:val="BodyText"/>
        <w:numPr>
          <w:ilvl w:val="0"/>
          <w:numId w:val="36"/>
        </w:numPr>
        <w:tabs>
          <w:tab w:val="clear" w:pos="720"/>
          <w:tab w:val="left" w:pos="0" w:leader="none"/>
        </w:tabs>
        <w:spacing w:before="0" w:after="200"/>
        <w:ind w:hanging="283" w:left="709"/>
        <w:rPr/>
      </w:pPr>
      <w:r>
        <w:rPr/>
        <w:t>Can two actions producing the same World Context receive different moral judgments because they involve different maxims or intentions?</w:t>
      </w:r>
    </w:p>
    <w:p>
      <w:pPr>
        <w:pStyle w:val="BodyText"/>
        <w:numPr>
          <w:ilvl w:val="0"/>
          <w:numId w:val="36"/>
        </w:numPr>
        <w:tabs>
          <w:tab w:val="clear" w:pos="720"/>
          <w:tab w:val="left" w:pos="0" w:leader="none"/>
        </w:tabs>
        <w:spacing w:before="0" w:after="200"/>
        <w:ind w:hanging="283" w:left="709"/>
        <w:rPr/>
      </w:pPr>
      <w:r>
        <w:rPr/>
        <w:t>Can an action that maximizes Long-Term Flourishing remain impermissible because it treats a person merely as a means?</w:t>
      </w:r>
    </w:p>
    <w:p>
      <w:pPr>
        <w:pStyle w:val="BodyText"/>
        <w:numPr>
          <w:ilvl w:val="0"/>
          <w:numId w:val="36"/>
        </w:numPr>
        <w:tabs>
          <w:tab w:val="clear" w:pos="720"/>
          <w:tab w:val="left" w:pos="0" w:leader="none"/>
        </w:tabs>
        <w:spacing w:before="0" w:after="200"/>
        <w:ind w:hanging="283" w:left="709"/>
        <w:rPr/>
      </w:pPr>
      <w:r>
        <w:rPr/>
        <w:t>How does the framework distinguish Kantian universalization from forecasting widespread policy adoption?</w:t>
      </w:r>
    </w:p>
    <w:p>
      <w:pPr>
        <w:pStyle w:val="BodyText"/>
        <w:numPr>
          <w:ilvl w:val="0"/>
          <w:numId w:val="36"/>
        </w:numPr>
        <w:tabs>
          <w:tab w:val="clear" w:pos="720"/>
          <w:tab w:val="left" w:pos="0" w:leader="none"/>
        </w:tabs>
        <w:spacing w:before="0" w:after="200"/>
        <w:ind w:hanging="283" w:left="709"/>
        <w:rPr/>
      </w:pPr>
      <w:r>
        <w:rPr/>
        <w:t>Is a violation of consent, dignity, or duty itself a World Context change, even when it causes no measurable welfare loss?</w:t>
      </w:r>
    </w:p>
    <w:p>
      <w:pPr>
        <w:pStyle w:val="BodyText"/>
        <w:numPr>
          <w:ilvl w:val="0"/>
          <w:numId w:val="36"/>
        </w:numPr>
        <w:tabs>
          <w:tab w:val="clear" w:pos="720"/>
          <w:tab w:val="left" w:pos="0" w:leader="none"/>
        </w:tabs>
        <w:spacing w:before="0" w:after="200"/>
        <w:ind w:hanging="283" w:left="709"/>
        <w:rPr/>
      </w:pPr>
      <w:r>
        <w:rPr/>
        <w:t>How are conflicting duties resolved?</w:t>
      </w:r>
    </w:p>
    <w:p>
      <w:pPr>
        <w:pStyle w:val="BodyText"/>
        <w:numPr>
          <w:ilvl w:val="0"/>
          <w:numId w:val="36"/>
        </w:numPr>
        <w:tabs>
          <w:tab w:val="clear" w:pos="720"/>
          <w:tab w:val="left" w:pos="0" w:leader="none"/>
        </w:tabs>
        <w:spacing w:before="0" w:after="200"/>
        <w:ind w:hanging="283" w:left="709"/>
        <w:rPr/>
      </w:pPr>
      <w:r>
        <w:rPr/>
        <w:t>Can a deontological prohibition be overridden to prevent catastrophic consequences?</w:t>
      </w:r>
    </w:p>
    <w:p>
      <w:pPr>
        <w:pStyle w:val="BodyText"/>
        <w:numPr>
          <w:ilvl w:val="0"/>
          <w:numId w:val="36"/>
        </w:numPr>
        <w:tabs>
          <w:tab w:val="clear" w:pos="720"/>
          <w:tab w:val="left" w:pos="0" w:leader="none"/>
        </w:tabs>
        <w:spacing w:before="0" w:after="200"/>
        <w:ind w:hanging="283" w:left="709"/>
        <w:rPr/>
      </w:pPr>
      <w:r>
        <w:rPr/>
        <w:t>How will the framework define and assess valid consent?</w:t>
      </w:r>
    </w:p>
    <w:p>
      <w:pPr>
        <w:pStyle w:val="BodyText"/>
        <w:numPr>
          <w:ilvl w:val="0"/>
          <w:numId w:val="36"/>
        </w:numPr>
        <w:tabs>
          <w:tab w:val="clear" w:pos="720"/>
          <w:tab w:val="left" w:pos="0" w:leader="none"/>
        </w:tabs>
        <w:spacing w:before="0" w:after="200"/>
        <w:ind w:hanging="283" w:left="709"/>
        <w:rPr/>
      </w:pPr>
      <w:r>
        <w:rPr/>
        <w:t>How will it protect humans with limited or absent capacities for rational autonomy?</w:t>
      </w:r>
    </w:p>
    <w:p>
      <w:pPr>
        <w:pStyle w:val="BodyText"/>
        <w:numPr>
          <w:ilvl w:val="0"/>
          <w:numId w:val="36"/>
        </w:numPr>
        <w:tabs>
          <w:tab w:val="clear" w:pos="720"/>
          <w:tab w:val="left" w:pos="0" w:leader="none"/>
        </w:tabs>
        <w:spacing w:before="0" w:after="200"/>
        <w:ind w:hanging="283" w:left="709"/>
        <w:rPr/>
      </w:pPr>
      <w:r>
        <w:rPr/>
        <w:t>Can artificial systems possess duties, dignity, or rights, or are they only Objects and causal Actors?</w:t>
      </w:r>
    </w:p>
    <w:p>
      <w:pPr>
        <w:pStyle w:val="BodyText"/>
        <w:numPr>
          <w:ilvl w:val="0"/>
          <w:numId w:val="36"/>
        </w:numPr>
        <w:tabs>
          <w:tab w:val="clear" w:pos="720"/>
          <w:tab w:val="left" w:pos="0" w:leader="none"/>
        </w:tabs>
        <w:spacing w:before="0" w:after="200"/>
        <w:ind w:hanging="283" w:left="709"/>
        <w:rPr/>
      </w:pPr>
      <w:r>
        <w:rPr/>
        <w:t>Does the framework recognize a morally significant difference between doing harm and allowing harm?</w:t>
      </w:r>
    </w:p>
    <w:p>
      <w:pPr>
        <w:pStyle w:val="BodyText"/>
        <w:numPr>
          <w:ilvl w:val="0"/>
          <w:numId w:val="36"/>
        </w:numPr>
        <w:tabs>
          <w:tab w:val="clear" w:pos="720"/>
          <w:tab w:val="left" w:pos="0" w:leader="none"/>
        </w:tabs>
        <w:spacing w:before="0" w:after="200"/>
        <w:ind w:hanging="283" w:left="709"/>
        <w:rPr/>
      </w:pPr>
      <w:r>
        <w:rPr/>
        <w:t>How does it distinguish intended harm from foreseen but unintended harm?</w:t>
      </w:r>
    </w:p>
    <w:p>
      <w:pPr>
        <w:pStyle w:val="BodyText"/>
        <w:numPr>
          <w:ilvl w:val="0"/>
          <w:numId w:val="36"/>
        </w:numPr>
        <w:tabs>
          <w:tab w:val="clear" w:pos="720"/>
          <w:tab w:val="left" w:pos="0" w:leader="none"/>
        </w:tabs>
        <w:spacing w:before="0" w:after="200"/>
        <w:ind w:hanging="283" w:left="709"/>
        <w:rPr/>
      </w:pPr>
      <w:r>
        <w:rPr/>
        <w:t>How will the framework prevent Actors from manipulating the description of their maxim or intention?</w:t>
      </w:r>
    </w:p>
    <w:p>
      <w:pPr>
        <w:pStyle w:val="BodyText"/>
        <w:numPr>
          <w:ilvl w:val="0"/>
          <w:numId w:val="36"/>
        </w:numPr>
        <w:tabs>
          <w:tab w:val="clear" w:pos="720"/>
          <w:tab w:val="left" w:pos="0" w:leader="none"/>
        </w:tabs>
        <w:spacing w:before="0" w:after="200"/>
        <w:ind w:hanging="283" w:left="709"/>
        <w:rPr/>
      </w:pPr>
      <w:r>
        <w:rPr/>
        <w:t>What happens when the deontic assessment and the World Context assessment produce conflicting recommendations?</w:t>
      </w:r>
    </w:p>
    <w:p>
      <w:pPr>
        <w:pStyle w:val="BodyText"/>
        <w:numPr>
          <w:ilvl w:val="0"/>
          <w:numId w:val="36"/>
        </w:numPr>
        <w:tabs>
          <w:tab w:val="clear" w:pos="720"/>
          <w:tab w:val="left" w:pos="0" w:leader="none"/>
        </w:tabs>
        <w:spacing w:before="0" w:after="200"/>
        <w:ind w:hanging="283" w:left="709"/>
        <w:rPr/>
      </w:pPr>
      <w:r>
        <w:rPr/>
        <w:t>Can deontological principles be computationally represented without reducing moral judgment to mechanical rule application?</w:t>
      </w:r>
    </w:p>
    <w:p>
      <w:pPr>
        <w:pStyle w:val="Heading4"/>
        <w:ind w:hanging="0" w:left="0"/>
        <w:rPr>
          <w:rFonts w:ascii="Aptos" w:hAnsi="Aptos"/>
          <w:color w:val="auto"/>
        </w:rPr>
      </w:pPr>
      <w:r>
        <w:rPr/>
        <w:t>Responses to Those Incremental Questions</w:t>
      </w:r>
    </w:p>
    <w:p>
      <w:pPr>
        <w:pStyle w:val="BodyText"/>
        <w:numPr>
          <w:ilvl w:val="0"/>
          <w:numId w:val="37"/>
        </w:numPr>
        <w:tabs>
          <w:tab w:val="clear" w:pos="720"/>
          <w:tab w:val="left" w:pos="0" w:leader="none"/>
        </w:tabs>
        <w:spacing w:before="0" w:after="200"/>
        <w:ind w:hanging="283" w:left="709"/>
        <w:rPr/>
      </w:pPr>
      <w:r>
        <w:rPr>
          <w:rStyle w:val="Strong"/>
        </w:rPr>
        <w:t>Categorical prohibitions</w:t>
      </w:r>
    </w:p>
    <w:p>
      <w:pPr>
        <w:pStyle w:val="BodyText"/>
        <w:numPr>
          <w:ilvl w:val="0"/>
          <w:numId w:val="0"/>
        </w:numPr>
        <w:spacing w:before="0" w:after="200"/>
        <w:ind w:hanging="0" w:left="0"/>
        <w:rPr/>
      </w:pPr>
      <w:r>
        <w:rPr/>
        <w:t>The architecture can represent categorical prohibitions, but the current Foundational Axiom does not identify a definitive list. Candidate prohibitions might include torture, enslavement, intentional targeting of innocents, nonconsensual human experimentation, or deliberate destruction of moral agency. Adopting any as exceptionless would require an explicit normative decision.</w:t>
      </w:r>
    </w:p>
    <w:p>
      <w:pPr>
        <w:pStyle w:val="BodyText"/>
        <w:numPr>
          <w:ilvl w:val="0"/>
          <w:numId w:val="37"/>
        </w:numPr>
        <w:tabs>
          <w:tab w:val="clear" w:pos="720"/>
          <w:tab w:val="left" w:pos="0" w:leader="none"/>
        </w:tabs>
        <w:spacing w:before="0" w:after="200"/>
        <w:ind w:hanging="283" w:left="709"/>
        <w:rPr/>
      </w:pPr>
      <w:r>
        <w:rPr>
          <w:rStyle w:val="Strong"/>
        </w:rPr>
        <w:t>Source of duties</w:t>
      </w:r>
    </w:p>
    <w:p>
      <w:pPr>
        <w:pStyle w:val="BodyText"/>
        <w:numPr>
          <w:ilvl w:val="0"/>
          <w:numId w:val="0"/>
        </w:numPr>
        <w:spacing w:before="0" w:after="200"/>
        <w:ind w:hanging="0" w:left="0"/>
        <w:rPr/>
      </w:pPr>
      <w:r>
        <w:rPr/>
        <w:t>A duty should record its normative source. Possible sources include the Foundational Axiom, universal rational principle, valid promise, consent, legitimate law, professional role, fiduciary relationship, prior wrongdoing, institutional office, or domain-specific ethical standard. A duty’s existence should not be inferred merely from an Actor’s assertion of authority.</w:t>
      </w:r>
    </w:p>
    <w:p>
      <w:pPr>
        <w:pStyle w:val="BodyText"/>
        <w:numPr>
          <w:ilvl w:val="0"/>
          <w:numId w:val="37"/>
        </w:numPr>
        <w:tabs>
          <w:tab w:val="clear" w:pos="720"/>
          <w:tab w:val="left" w:pos="0" w:leader="none"/>
        </w:tabs>
        <w:spacing w:before="0" w:after="200"/>
        <w:ind w:hanging="283" w:left="709"/>
        <w:rPr/>
      </w:pPr>
      <w:r>
        <w:rPr>
          <w:rStyle w:val="Strong"/>
        </w:rPr>
        <w:t>Identical outcomes with different maxims</w:t>
      </w:r>
    </w:p>
    <w:p>
      <w:pPr>
        <w:pStyle w:val="BodyText"/>
        <w:numPr>
          <w:ilvl w:val="0"/>
          <w:numId w:val="0"/>
        </w:numPr>
        <w:spacing w:before="0" w:after="200"/>
        <w:ind w:hanging="0" w:left="0"/>
        <w:rPr/>
      </w:pPr>
      <w:r>
        <w:rPr/>
        <w:t>Yes. The Actor’s intention, operative maxim, chosen means, authority, and policy update should be included in the assessment. The resulting material states may be similar while the Actor-level and relational transitions differ.</w:t>
      </w:r>
    </w:p>
    <w:p>
      <w:pPr>
        <w:pStyle w:val="BodyText"/>
        <w:numPr>
          <w:ilvl w:val="0"/>
          <w:numId w:val="37"/>
        </w:numPr>
        <w:tabs>
          <w:tab w:val="clear" w:pos="720"/>
          <w:tab w:val="left" w:pos="0" w:leader="none"/>
        </w:tabs>
        <w:spacing w:before="0" w:after="200"/>
        <w:ind w:hanging="283" w:left="709"/>
        <w:rPr/>
      </w:pPr>
      <w:r>
        <w:rPr>
          <w:rStyle w:val="Strong"/>
        </w:rPr>
        <w:t>Treating a person merely as a means</w:t>
      </w:r>
    </w:p>
    <w:p>
      <w:pPr>
        <w:pStyle w:val="BodyText"/>
        <w:numPr>
          <w:ilvl w:val="0"/>
          <w:numId w:val="0"/>
        </w:numPr>
        <w:spacing w:before="0" w:after="200"/>
        <w:ind w:hanging="0" w:left="0"/>
        <w:rPr/>
      </w:pPr>
      <w:r>
        <w:rPr/>
        <w:t>The framework can classify such treatment as impermissible even when aggregate Long-Term Flourishing improves, but only if non-instrumentalization is established as an independent constraint. Without that addition, the framework provides strong reasons against instrumentalization but may not categorically prohibit it.</w:t>
      </w:r>
    </w:p>
    <w:p>
      <w:pPr>
        <w:pStyle w:val="BodyText"/>
        <w:numPr>
          <w:ilvl w:val="0"/>
          <w:numId w:val="37"/>
        </w:numPr>
        <w:tabs>
          <w:tab w:val="clear" w:pos="720"/>
          <w:tab w:val="left" w:pos="0" w:leader="none"/>
        </w:tabs>
        <w:spacing w:before="0" w:after="200"/>
        <w:ind w:hanging="283" w:left="709"/>
        <w:rPr/>
      </w:pPr>
      <w:r>
        <w:rPr>
          <w:rStyle w:val="Strong"/>
        </w:rPr>
        <w:t>Universalization versus propagation</w:t>
      </w:r>
    </w:p>
    <w:p>
      <w:pPr>
        <w:pStyle w:val="BodyText"/>
        <w:numPr>
          <w:ilvl w:val="0"/>
          <w:numId w:val="0"/>
        </w:numPr>
        <w:spacing w:before="0" w:after="200"/>
        <w:ind w:hanging="0" w:left="0"/>
        <w:rPr/>
      </w:pPr>
      <w:r>
        <w:rPr/>
        <w:t>The assessment should conduct two separate tests:</w:t>
      </w:r>
    </w:p>
    <w:p>
      <w:pPr>
        <w:pStyle w:val="BodyText"/>
        <w:numPr>
          <w:ilvl w:val="1"/>
          <w:numId w:val="37"/>
        </w:numPr>
        <w:tabs>
          <w:tab w:val="clear" w:pos="720"/>
          <w:tab w:val="left" w:pos="0" w:leader="none"/>
        </w:tabs>
        <w:spacing w:before="0" w:after="200"/>
        <w:ind w:hanging="283" w:left="1418"/>
        <w:rPr/>
      </w:pPr>
      <w:r>
        <w:rPr>
          <w:rStyle w:val="Strong"/>
        </w:rPr>
        <w:t>Rational universalization:</w:t>
      </w:r>
      <w:r>
        <w:rPr/>
        <w:t xml:space="preserve"> Can the maxim be consistently conceived and rationally willed for all similarly situated Moral Agents?</w:t>
      </w:r>
    </w:p>
    <w:p>
      <w:pPr>
        <w:pStyle w:val="BodyText"/>
        <w:numPr>
          <w:ilvl w:val="1"/>
          <w:numId w:val="37"/>
        </w:numPr>
        <w:tabs>
          <w:tab w:val="clear" w:pos="720"/>
          <w:tab w:val="left" w:pos="0" w:leader="none"/>
        </w:tabs>
        <w:spacing w:before="0" w:after="200"/>
        <w:ind w:hanging="283" w:left="1418"/>
        <w:rPr/>
      </w:pPr>
      <w:r>
        <w:rPr>
          <w:rStyle w:val="Strong"/>
        </w:rPr>
        <w:t>Policy propagation:</w:t>
      </w:r>
      <w:r>
        <w:rPr/>
        <w:t xml:space="preserve"> What consequences would follow if the maxim were learned, normalized, rewarded, or implemented widely?</w:t>
      </w:r>
    </w:p>
    <w:p>
      <w:pPr>
        <w:pStyle w:val="BodyText"/>
        <w:numPr>
          <w:ilvl w:val="0"/>
          <w:numId w:val="0"/>
        </w:numPr>
        <w:spacing w:before="0" w:after="200"/>
        <w:ind w:hanging="0" w:left="0"/>
        <w:rPr/>
      </w:pPr>
      <w:r>
        <w:rPr/>
        <w:t>Passing one test would not imply passing the other.</w:t>
      </w:r>
    </w:p>
    <w:p>
      <w:pPr>
        <w:pStyle w:val="BodyText"/>
        <w:numPr>
          <w:ilvl w:val="0"/>
          <w:numId w:val="37"/>
        </w:numPr>
        <w:tabs>
          <w:tab w:val="clear" w:pos="720"/>
          <w:tab w:val="left" w:pos="0" w:leader="none"/>
        </w:tabs>
        <w:spacing w:before="0" w:after="200"/>
        <w:ind w:hanging="283" w:left="709"/>
        <w:rPr/>
      </w:pPr>
      <w:r>
        <w:rPr>
          <w:rStyle w:val="Strong"/>
        </w:rPr>
        <w:t>Duty violation as a state change</w:t>
      </w:r>
    </w:p>
    <w:p>
      <w:pPr>
        <w:pStyle w:val="BodyText"/>
        <w:numPr>
          <w:ilvl w:val="0"/>
          <w:numId w:val="0"/>
        </w:numPr>
        <w:spacing w:before="0" w:after="200"/>
        <w:ind w:hanging="0" w:left="0"/>
        <w:rPr/>
      </w:pPr>
      <w:r>
        <w:rPr/>
        <w:t>Yes. A duty violation may change the moral and relational state between Objects even without measurable welfare loss. It can create liability, moral residue, illegitimacy, a claim to reparation, or corruption of the Actor’s policy state.</w:t>
      </w:r>
    </w:p>
    <w:p>
      <w:pPr>
        <w:pStyle w:val="BodyText"/>
        <w:numPr>
          <w:ilvl w:val="0"/>
          <w:numId w:val="37"/>
        </w:numPr>
        <w:tabs>
          <w:tab w:val="clear" w:pos="720"/>
          <w:tab w:val="left" w:pos="0" w:leader="none"/>
        </w:tabs>
        <w:spacing w:before="0" w:after="200"/>
        <w:ind w:hanging="283" w:left="709"/>
        <w:rPr/>
      </w:pPr>
      <w:r>
        <w:rPr>
          <w:rStyle w:val="Strong"/>
        </w:rPr>
        <w:t>Conflicting duties</w:t>
      </w:r>
    </w:p>
    <w:p>
      <w:pPr>
        <w:pStyle w:val="BodyText"/>
        <w:numPr>
          <w:ilvl w:val="0"/>
          <w:numId w:val="0"/>
        </w:numPr>
        <w:spacing w:before="0" w:after="200"/>
        <w:ind w:hanging="0" w:left="0"/>
        <w:rPr/>
      </w:pPr>
      <w:r>
        <w:rPr/>
        <w:t xml:space="preserve">A Rossian implementation could identify every applicable </w:t>
      </w:r>
      <w:r>
        <w:rPr>
          <w:rStyle w:val="Emphasis"/>
        </w:rPr>
        <w:t>prima facie</w:t>
      </w:r>
      <w:r>
        <w:rPr/>
        <w:t xml:space="preserve"> duty, evaluate its contextual stringency, and select the action with the strongest all-things-considered justification. Because Ross denied that a general ranking always resolves such conflicts, the assessment should retain uncertainty and the duties left unsatisfied.</w:t>
      </w:r>
    </w:p>
    <w:p>
      <w:pPr>
        <w:pStyle w:val="BodyText"/>
        <w:numPr>
          <w:ilvl w:val="0"/>
          <w:numId w:val="37"/>
        </w:numPr>
        <w:tabs>
          <w:tab w:val="clear" w:pos="720"/>
          <w:tab w:val="left" w:pos="0" w:leader="none"/>
        </w:tabs>
        <w:spacing w:before="0" w:after="200"/>
        <w:ind w:hanging="283" w:left="709"/>
        <w:rPr/>
      </w:pPr>
      <w:r>
        <w:rPr>
          <w:rStyle w:val="Strong"/>
        </w:rPr>
        <w:t>Catastrophic thresholds</w:t>
      </w:r>
    </w:p>
    <w:p>
      <w:pPr>
        <w:pStyle w:val="BodyText"/>
        <w:numPr>
          <w:ilvl w:val="0"/>
          <w:numId w:val="0"/>
        </w:numPr>
        <w:spacing w:before="0" w:after="200"/>
        <w:ind w:hanging="0" w:left="0"/>
        <w:rPr/>
      </w:pPr>
      <w:r>
        <w:rPr/>
        <w:t>A threshold-deontological implementation could permit overrides only when consequences exceed a defined severity and probability. It should specify the threshold, eligible duties, approving authority, evidentiary standard, proportionality requirement, and post-action review. The framework currently lacks these specifications.</w:t>
      </w:r>
    </w:p>
    <w:p>
      <w:pPr>
        <w:pStyle w:val="BodyText"/>
        <w:numPr>
          <w:ilvl w:val="0"/>
          <w:numId w:val="37"/>
        </w:numPr>
        <w:tabs>
          <w:tab w:val="clear" w:pos="720"/>
          <w:tab w:val="left" w:pos="0" w:leader="none"/>
        </w:tabs>
        <w:spacing w:before="0" w:after="200"/>
        <w:ind w:hanging="283" w:left="709"/>
        <w:rPr/>
      </w:pPr>
      <w:r>
        <w:rPr>
          <w:rStyle w:val="Strong"/>
        </w:rPr>
        <w:t>Valid consent</w:t>
      </w:r>
    </w:p>
    <w:p>
      <w:pPr>
        <w:pStyle w:val="BodyText"/>
        <w:numPr>
          <w:ilvl w:val="0"/>
          <w:numId w:val="0"/>
        </w:numPr>
        <w:spacing w:before="0" w:after="200"/>
        <w:ind w:hanging="0" w:left="0"/>
        <w:rPr/>
      </w:pPr>
      <w:r>
        <w:rPr/>
        <w:t>Consent should be evaluated for decision capacity, adequate disclosure, comprehension, voluntariness, specificity, scope, contemporaneity, and ability to withdraw. Consent obtained through deception, coercion, manipulation, or materially unequal power may be invalid.</w:t>
      </w:r>
    </w:p>
    <w:p>
      <w:pPr>
        <w:pStyle w:val="BodyText"/>
        <w:numPr>
          <w:ilvl w:val="0"/>
          <w:numId w:val="37"/>
        </w:numPr>
        <w:tabs>
          <w:tab w:val="clear" w:pos="720"/>
          <w:tab w:val="left" w:pos="0" w:leader="none"/>
        </w:tabs>
        <w:spacing w:before="0" w:after="200"/>
        <w:ind w:hanging="283" w:left="709"/>
        <w:rPr/>
      </w:pPr>
      <w:r>
        <w:rPr>
          <w:rStyle w:val="Strong"/>
        </w:rPr>
        <w:t>Protection of vulnerable humans</w:t>
      </w:r>
    </w:p>
    <w:p>
      <w:pPr>
        <w:pStyle w:val="BodyText"/>
        <w:numPr>
          <w:ilvl w:val="0"/>
          <w:numId w:val="0"/>
        </w:numPr>
        <w:spacing w:before="0" w:after="200"/>
        <w:ind w:hanging="0" w:left="0"/>
        <w:rPr/>
      </w:pPr>
      <w:r>
        <w:rPr/>
        <w:t>The architecture should distinguish moral agency from moral patiency. A human need not qualify as a Moral Agent to be owed protection. Sentience, vulnerability, dependency, identity, relational standing, and the interests of the entity may establish moral relevance independently of rational autonomy.</w:t>
      </w:r>
    </w:p>
    <w:p>
      <w:pPr>
        <w:pStyle w:val="BodyText"/>
        <w:numPr>
          <w:ilvl w:val="0"/>
          <w:numId w:val="37"/>
        </w:numPr>
        <w:tabs>
          <w:tab w:val="clear" w:pos="720"/>
          <w:tab w:val="left" w:pos="0" w:leader="none"/>
        </w:tabs>
        <w:spacing w:before="0" w:after="200"/>
        <w:ind w:hanging="283" w:left="709"/>
        <w:rPr/>
      </w:pPr>
      <w:r>
        <w:rPr>
          <w:rStyle w:val="Strong"/>
        </w:rPr>
        <w:t>Artificial systems</w:t>
      </w:r>
    </w:p>
    <w:p>
      <w:pPr>
        <w:pStyle w:val="BodyText"/>
        <w:numPr>
          <w:ilvl w:val="0"/>
          <w:numId w:val="0"/>
        </w:numPr>
        <w:spacing w:before="0" w:after="200"/>
        <w:ind w:hanging="0" w:left="0"/>
        <w:rPr/>
      </w:pPr>
      <w:r>
        <w:rPr/>
        <w:t>Artificial systems should not be presumed to possess duties or dignity merely because they behave autonomously. Moral agency would require sufficient capacities for objective representation, alternative selection, normative evaluation, and responsibility. Moral patiency would require a defensible account of welfare, interests, experience, or another basis for direct moral standing.</w:t>
      </w:r>
    </w:p>
    <w:p>
      <w:pPr>
        <w:pStyle w:val="BodyText"/>
        <w:numPr>
          <w:ilvl w:val="0"/>
          <w:numId w:val="37"/>
        </w:numPr>
        <w:tabs>
          <w:tab w:val="clear" w:pos="720"/>
          <w:tab w:val="left" w:pos="0" w:leader="none"/>
        </w:tabs>
        <w:spacing w:before="0" w:after="200"/>
        <w:ind w:hanging="283" w:left="709"/>
        <w:rPr/>
      </w:pPr>
      <w:r>
        <w:rPr>
          <w:rStyle w:val="Strong"/>
        </w:rPr>
        <w:t>Doing and allowing harm</w:t>
      </w:r>
    </w:p>
    <w:p>
      <w:pPr>
        <w:pStyle w:val="BodyText"/>
        <w:numPr>
          <w:ilvl w:val="0"/>
          <w:numId w:val="0"/>
        </w:numPr>
        <w:spacing w:before="0" w:after="200"/>
        <w:ind w:hanging="0" w:left="0"/>
        <w:rPr/>
      </w:pPr>
      <w:r>
        <w:rPr/>
        <w:t>The framework can represent the difference through causal role, authority, capability, omission, and responsibility. It should not assume that doing is always worse than allowing; failure to act can be highly culpable when the Actor has a clear duty, capacity, and legitimate opportunity to intervene.</w:t>
      </w:r>
    </w:p>
    <w:p>
      <w:pPr>
        <w:pStyle w:val="BodyText"/>
        <w:numPr>
          <w:ilvl w:val="0"/>
          <w:numId w:val="37"/>
        </w:numPr>
        <w:tabs>
          <w:tab w:val="clear" w:pos="720"/>
          <w:tab w:val="left" w:pos="0" w:leader="none"/>
        </w:tabs>
        <w:spacing w:before="0" w:after="200"/>
        <w:ind w:hanging="283" w:left="709"/>
        <w:rPr/>
      </w:pPr>
      <w:r>
        <w:rPr>
          <w:rStyle w:val="Strong"/>
        </w:rPr>
        <w:t>Intention and foresight</w:t>
      </w:r>
    </w:p>
    <w:p>
      <w:pPr>
        <w:pStyle w:val="BodyText"/>
        <w:numPr>
          <w:ilvl w:val="0"/>
          <w:numId w:val="0"/>
        </w:numPr>
        <w:spacing w:before="0" w:after="200"/>
        <w:ind w:hanging="0" w:left="0"/>
        <w:rPr/>
      </w:pPr>
      <w:r>
        <w:rPr/>
        <w:t>The assessment should separately represent intended ends, intended means, accepted risks, foreseen side effects, and unforeseeable consequences. Foreseeing harm does not automatically establish an intention to cause it, but a high probability of harm may increase responsibility even when the Actor describes it as incidental.</w:t>
      </w:r>
    </w:p>
    <w:p>
      <w:pPr>
        <w:pStyle w:val="BodyText"/>
        <w:numPr>
          <w:ilvl w:val="0"/>
          <w:numId w:val="37"/>
        </w:numPr>
        <w:tabs>
          <w:tab w:val="clear" w:pos="720"/>
          <w:tab w:val="left" w:pos="0" w:leader="none"/>
        </w:tabs>
        <w:spacing w:before="0" w:after="200"/>
        <w:ind w:hanging="283" w:left="709"/>
        <w:rPr/>
      </w:pPr>
      <w:r>
        <w:rPr>
          <w:rStyle w:val="Strong"/>
        </w:rPr>
        <w:t>Manipulation of maxims</w:t>
      </w:r>
    </w:p>
    <w:p>
      <w:pPr>
        <w:pStyle w:val="BodyText"/>
        <w:numPr>
          <w:ilvl w:val="0"/>
          <w:numId w:val="0"/>
        </w:numPr>
        <w:spacing w:before="0" w:after="200"/>
        <w:ind w:hanging="0" w:left="0"/>
        <w:rPr/>
      </w:pPr>
      <w:r>
        <w:rPr/>
        <w:t>The operative maxim should be inferred from the Actor’s conduct, evidence, incentives, prior policy, communications, and feasible alternatives—not solely from the Actor’s stated purpose. Equivalent actions should not evade universalization through strategically narrow descriptions.</w:t>
      </w:r>
    </w:p>
    <w:p>
      <w:pPr>
        <w:pStyle w:val="BodyText"/>
        <w:numPr>
          <w:ilvl w:val="0"/>
          <w:numId w:val="37"/>
        </w:numPr>
        <w:tabs>
          <w:tab w:val="clear" w:pos="720"/>
          <w:tab w:val="left" w:pos="0" w:leader="none"/>
        </w:tabs>
        <w:spacing w:before="0" w:after="200"/>
        <w:ind w:hanging="283" w:left="709"/>
        <w:rPr/>
      </w:pPr>
      <w:r>
        <w:rPr>
          <w:rStyle w:val="Strong"/>
        </w:rPr>
        <w:t>Conflicting outputs</w:t>
      </w:r>
    </w:p>
    <w:p>
      <w:pPr>
        <w:pStyle w:val="BodyText"/>
        <w:numPr>
          <w:ilvl w:val="0"/>
          <w:numId w:val="0"/>
        </w:numPr>
        <w:spacing w:before="0" w:after="200"/>
        <w:ind w:hanging="0" w:left="0"/>
        <w:rPr/>
      </w:pPr>
      <w:r>
        <w:rPr/>
        <w:t>The system should report the conflict explicitly. Possible outputs include:</w:t>
      </w:r>
    </w:p>
    <w:p>
      <w:pPr>
        <w:pStyle w:val="BodyText"/>
        <w:numPr>
          <w:ilvl w:val="1"/>
          <w:numId w:val="37"/>
        </w:numPr>
        <w:tabs>
          <w:tab w:val="clear" w:pos="720"/>
          <w:tab w:val="left" w:pos="0" w:leader="none"/>
        </w:tabs>
        <w:spacing w:before="0" w:after="200"/>
        <w:ind w:hanging="283" w:left="1418"/>
        <w:rPr/>
      </w:pPr>
      <w:r>
        <w:rPr/>
        <w:t>Deontically prohibited despite a beneficial predicted transition</w:t>
      </w:r>
    </w:p>
    <w:p>
      <w:pPr>
        <w:pStyle w:val="BodyText"/>
        <w:numPr>
          <w:ilvl w:val="1"/>
          <w:numId w:val="37"/>
        </w:numPr>
        <w:tabs>
          <w:tab w:val="clear" w:pos="720"/>
          <w:tab w:val="left" w:pos="0" w:leader="none"/>
        </w:tabs>
        <w:spacing w:before="0" w:after="200"/>
        <w:ind w:hanging="283" w:left="1418"/>
        <w:rPr/>
      </w:pPr>
      <w:r>
        <w:rPr/>
        <w:t>Deontically permissible but systemically detrimental</w:t>
      </w:r>
    </w:p>
    <w:p>
      <w:pPr>
        <w:pStyle w:val="BodyText"/>
        <w:numPr>
          <w:ilvl w:val="1"/>
          <w:numId w:val="37"/>
        </w:numPr>
        <w:tabs>
          <w:tab w:val="clear" w:pos="720"/>
          <w:tab w:val="left" w:pos="0" w:leader="none"/>
        </w:tabs>
        <w:spacing w:before="0" w:after="200"/>
        <w:ind w:hanging="283" w:left="1418"/>
        <w:rPr/>
      </w:pPr>
      <w:r>
        <w:rPr/>
        <w:t>Required by duty despite significant cost</w:t>
      </w:r>
    </w:p>
    <w:p>
      <w:pPr>
        <w:pStyle w:val="BodyText"/>
        <w:numPr>
          <w:ilvl w:val="1"/>
          <w:numId w:val="37"/>
        </w:numPr>
        <w:tabs>
          <w:tab w:val="clear" w:pos="720"/>
          <w:tab w:val="left" w:pos="0" w:leader="none"/>
        </w:tabs>
        <w:spacing w:before="0" w:after="200"/>
        <w:ind w:hanging="283" w:left="1418"/>
        <w:rPr/>
      </w:pPr>
      <w:r>
        <w:rPr/>
        <w:t>Threshold exception invoked</w:t>
      </w:r>
    </w:p>
    <w:p>
      <w:pPr>
        <w:pStyle w:val="BodyText"/>
        <w:numPr>
          <w:ilvl w:val="1"/>
          <w:numId w:val="37"/>
        </w:numPr>
        <w:tabs>
          <w:tab w:val="clear" w:pos="720"/>
          <w:tab w:val="left" w:pos="0" w:leader="none"/>
        </w:tabs>
        <w:spacing w:before="0" w:after="200"/>
        <w:ind w:hanging="283" w:left="1418"/>
        <w:rPr/>
      </w:pPr>
      <w:r>
        <w:rPr/>
        <w:t>Unresolved conflict requiring legitimate human review</w:t>
      </w:r>
    </w:p>
    <w:p>
      <w:pPr>
        <w:pStyle w:val="BodyText"/>
        <w:numPr>
          <w:ilvl w:val="0"/>
          <w:numId w:val="0"/>
        </w:numPr>
        <w:spacing w:before="0" w:after="200"/>
        <w:ind w:hanging="0" w:left="0"/>
        <w:rPr/>
      </w:pPr>
      <w:r>
        <w:rPr/>
        <w:t>The architecture should not silently merge these into one score.</w:t>
      </w:r>
    </w:p>
    <w:p>
      <w:pPr>
        <w:pStyle w:val="BodyText"/>
        <w:numPr>
          <w:ilvl w:val="0"/>
          <w:numId w:val="37"/>
        </w:numPr>
        <w:tabs>
          <w:tab w:val="clear" w:pos="720"/>
          <w:tab w:val="left" w:pos="0" w:leader="none"/>
        </w:tabs>
        <w:spacing w:before="0" w:after="200"/>
        <w:ind w:hanging="283" w:left="709"/>
        <w:rPr/>
      </w:pPr>
      <w:r>
        <w:rPr>
          <w:rStyle w:val="Strong"/>
        </w:rPr>
        <w:t>Computational representation</w:t>
      </w:r>
    </w:p>
    <w:p>
      <w:pPr>
        <w:pStyle w:val="BodyText"/>
        <w:numPr>
          <w:ilvl w:val="0"/>
          <w:numId w:val="0"/>
        </w:numPr>
        <w:spacing w:before="0" w:after="200"/>
        <w:ind w:hanging="0" w:left="0"/>
        <w:rPr/>
      </w:pPr>
      <w:r>
        <w:rPr/>
        <w:t>Deontic logic, constraint systems, rule ontologies, and structured argumentation can represent duties and conflicts. They cannot eliminate moral interpretation. Computational tools should expose the applicable principles and reasoning rather than imply that every duty conflict has a mechanical solution.</w:t>
      </w:r>
    </w:p>
    <w:p>
      <w:pPr>
        <w:pStyle w:val="Heading4"/>
        <w:ind w:hanging="0" w:left="0"/>
        <w:rPr>
          <w:rFonts w:ascii="Aptos" w:hAnsi="Aptos"/>
          <w:color w:val="auto"/>
        </w:rPr>
      </w:pPr>
      <w:r>
        <w:rPr/>
        <w:t>Remaining Open Issues</w:t>
      </w:r>
    </w:p>
    <w:tbl>
      <w:tblPr>
        <w:tblW w:w="8640" w:type="dxa"/>
        <w:jc w:val="left"/>
        <w:tblInd w:w="28" w:type="dxa"/>
        <w:tblLayout w:type="fixed"/>
        <w:tblCellMar>
          <w:top w:w="28" w:type="dxa"/>
          <w:left w:w="28" w:type="dxa"/>
          <w:bottom w:w="28" w:type="dxa"/>
          <w:right w:w="28" w:type="dxa"/>
        </w:tblCellMar>
      </w:tblPr>
      <w:tblGrid>
        <w:gridCol w:w="2395"/>
        <w:gridCol w:w="6245"/>
      </w:tblGrid>
      <w:tr>
        <w:trPr>
          <w:tblHeader w:val="true"/>
        </w:trPr>
        <w:tc>
          <w:tcPr>
            <w:tcW w:w="2395" w:type="dxa"/>
            <w:tcBorders/>
            <w:vAlign w:val="center"/>
          </w:tcPr>
          <w:p>
            <w:pPr>
              <w:pStyle w:val="TableHeading"/>
              <w:suppressLineNumbers/>
              <w:spacing w:before="0" w:after="200"/>
              <w:jc w:val="center"/>
              <w:rPr/>
            </w:pPr>
            <w:r>
              <w:rPr/>
              <w:t>Open issue</w:t>
            </w:r>
          </w:p>
        </w:tc>
        <w:tc>
          <w:tcPr>
            <w:tcW w:w="6245" w:type="dxa"/>
            <w:tcBorders/>
            <w:vAlign w:val="center"/>
          </w:tcPr>
          <w:p>
            <w:pPr>
              <w:pStyle w:val="TableHeading"/>
              <w:suppressLineNumbers/>
              <w:spacing w:before="0" w:after="200"/>
              <w:jc w:val="center"/>
              <w:rPr/>
            </w:pPr>
            <w:r>
              <w:rPr/>
              <w:t>Unresolved question</w:t>
            </w:r>
          </w:p>
        </w:tc>
      </w:tr>
      <w:tr>
        <w:trPr/>
        <w:tc>
          <w:tcPr>
            <w:tcW w:w="2395" w:type="dxa"/>
            <w:tcBorders/>
            <w:vAlign w:val="center"/>
          </w:tcPr>
          <w:p>
            <w:pPr>
              <w:pStyle w:val="TableContents"/>
              <w:widowControl w:val="false"/>
              <w:suppressLineNumbers/>
              <w:spacing w:before="0" w:after="200"/>
              <w:rPr/>
            </w:pPr>
            <w:r>
              <w:rPr/>
              <w:t>Independent normative force of duties</w:t>
            </w:r>
          </w:p>
        </w:tc>
        <w:tc>
          <w:tcPr>
            <w:tcW w:w="6245" w:type="dxa"/>
            <w:tcBorders/>
            <w:vAlign w:val="center"/>
          </w:tcPr>
          <w:p>
            <w:pPr>
              <w:pStyle w:val="TableContents"/>
              <w:widowControl w:val="false"/>
              <w:suppressLineNumbers/>
              <w:spacing w:before="0" w:after="200"/>
              <w:rPr/>
            </w:pPr>
            <w:r>
              <w:rPr/>
              <w:t>Are duties binding in themselves, or only because compliance promotes Long-Term Flourishing?</w:t>
            </w:r>
          </w:p>
        </w:tc>
      </w:tr>
      <w:tr>
        <w:trPr/>
        <w:tc>
          <w:tcPr>
            <w:tcW w:w="2395" w:type="dxa"/>
            <w:tcBorders/>
            <w:vAlign w:val="center"/>
          </w:tcPr>
          <w:p>
            <w:pPr>
              <w:pStyle w:val="TableContents"/>
              <w:widowControl w:val="false"/>
              <w:suppressLineNumbers/>
              <w:spacing w:before="0" w:after="200"/>
              <w:rPr/>
            </w:pPr>
            <w:r>
              <w:rPr/>
              <w:t>Categorical prohibitions</w:t>
            </w:r>
          </w:p>
        </w:tc>
        <w:tc>
          <w:tcPr>
            <w:tcW w:w="6245" w:type="dxa"/>
            <w:tcBorders/>
            <w:vAlign w:val="center"/>
          </w:tcPr>
          <w:p>
            <w:pPr>
              <w:pStyle w:val="TableContents"/>
              <w:widowControl w:val="false"/>
              <w:suppressLineNumbers/>
              <w:spacing w:before="0" w:after="200"/>
              <w:rPr/>
            </w:pPr>
            <w:r>
              <w:rPr/>
              <w:t>Which actions, if any, must remain prohibited regardless of predicted consequences?</w:t>
            </w:r>
          </w:p>
        </w:tc>
      </w:tr>
      <w:tr>
        <w:trPr/>
        <w:tc>
          <w:tcPr>
            <w:tcW w:w="2395" w:type="dxa"/>
            <w:tcBorders/>
            <w:vAlign w:val="center"/>
          </w:tcPr>
          <w:p>
            <w:pPr>
              <w:pStyle w:val="TableContents"/>
              <w:widowControl w:val="false"/>
              <w:suppressLineNumbers/>
              <w:spacing w:before="0" w:after="200"/>
              <w:rPr/>
            </w:pPr>
            <w:r>
              <w:rPr/>
              <w:t>Deontic hierarchy</w:t>
            </w:r>
          </w:p>
        </w:tc>
        <w:tc>
          <w:tcPr>
            <w:tcW w:w="6245" w:type="dxa"/>
            <w:tcBorders/>
            <w:vAlign w:val="center"/>
          </w:tcPr>
          <w:p>
            <w:pPr>
              <w:pStyle w:val="TableContents"/>
              <w:widowControl w:val="false"/>
              <w:suppressLineNumbers/>
              <w:spacing w:before="0" w:after="200"/>
              <w:rPr/>
            </w:pPr>
            <w:r>
              <w:rPr/>
              <w:t xml:space="preserve">How should absolute, threshold, presumptive, </w:t>
            </w:r>
            <w:r>
              <w:rPr>
                <w:rStyle w:val="Emphasis"/>
              </w:rPr>
              <w:t>prima facie</w:t>
            </w:r>
            <w:r>
              <w:rPr/>
              <w:t>, role-based, and discretionary obligations be distinguished?</w:t>
            </w:r>
          </w:p>
        </w:tc>
      </w:tr>
      <w:tr>
        <w:trPr/>
        <w:tc>
          <w:tcPr>
            <w:tcW w:w="2395" w:type="dxa"/>
            <w:tcBorders/>
            <w:vAlign w:val="center"/>
          </w:tcPr>
          <w:p>
            <w:pPr>
              <w:pStyle w:val="TableContents"/>
              <w:widowControl w:val="false"/>
              <w:suppressLineNumbers/>
              <w:spacing w:before="0" w:after="200"/>
              <w:rPr/>
            </w:pPr>
            <w:r>
              <w:rPr/>
              <w:t>Duty ontology</w:t>
            </w:r>
          </w:p>
        </w:tc>
        <w:tc>
          <w:tcPr>
            <w:tcW w:w="6245" w:type="dxa"/>
            <w:tcBorders/>
            <w:vAlign w:val="center"/>
          </w:tcPr>
          <w:p>
            <w:pPr>
              <w:pStyle w:val="TableContents"/>
              <w:widowControl w:val="false"/>
              <w:suppressLineNumbers/>
              <w:spacing w:before="0" w:after="200"/>
              <w:rPr/>
            </w:pPr>
            <w:r>
              <w:rPr/>
              <w:t>What properties must be recorded to represent duties, permissions, prohibitions, claims, and exemptions consistently?</w:t>
            </w:r>
          </w:p>
        </w:tc>
      </w:tr>
      <w:tr>
        <w:trPr/>
        <w:tc>
          <w:tcPr>
            <w:tcW w:w="2395" w:type="dxa"/>
            <w:tcBorders/>
            <w:vAlign w:val="center"/>
          </w:tcPr>
          <w:p>
            <w:pPr>
              <w:pStyle w:val="TableContents"/>
              <w:widowControl w:val="false"/>
              <w:suppressLineNumbers/>
              <w:spacing w:before="0" w:after="200"/>
              <w:rPr/>
            </w:pPr>
            <w:r>
              <w:rPr/>
              <w:t>Duty-conflict resolution</w:t>
            </w:r>
          </w:p>
        </w:tc>
        <w:tc>
          <w:tcPr>
            <w:tcW w:w="6245" w:type="dxa"/>
            <w:tcBorders/>
            <w:vAlign w:val="center"/>
          </w:tcPr>
          <w:p>
            <w:pPr>
              <w:pStyle w:val="TableContents"/>
              <w:widowControl w:val="false"/>
              <w:suppressLineNumbers/>
              <w:spacing w:before="0" w:after="200"/>
              <w:rPr/>
            </w:pPr>
            <w:r>
              <w:rPr/>
              <w:t>How should an implementation determine the Actor’s actual duty when several obligations conflict?</w:t>
            </w:r>
          </w:p>
        </w:tc>
      </w:tr>
      <w:tr>
        <w:trPr/>
        <w:tc>
          <w:tcPr>
            <w:tcW w:w="2395" w:type="dxa"/>
            <w:tcBorders/>
            <w:vAlign w:val="center"/>
          </w:tcPr>
          <w:p>
            <w:pPr>
              <w:pStyle w:val="TableContents"/>
              <w:widowControl w:val="false"/>
              <w:suppressLineNumbers/>
              <w:spacing w:before="0" w:after="200"/>
              <w:rPr/>
            </w:pPr>
            <w:r>
              <w:rPr/>
              <w:t>Threshold justification</w:t>
            </w:r>
          </w:p>
        </w:tc>
        <w:tc>
          <w:tcPr>
            <w:tcW w:w="6245" w:type="dxa"/>
            <w:tcBorders/>
            <w:vAlign w:val="center"/>
          </w:tcPr>
          <w:p>
            <w:pPr>
              <w:pStyle w:val="TableContents"/>
              <w:widowControl w:val="false"/>
              <w:suppressLineNumbers/>
              <w:spacing w:before="0" w:after="200"/>
              <w:rPr/>
            </w:pPr>
            <w:r>
              <w:rPr/>
              <w:t>What consequence threshold can override a prohibition, and why should that threshold be considered legitimate?</w:t>
            </w:r>
          </w:p>
        </w:tc>
      </w:tr>
      <w:tr>
        <w:trPr/>
        <w:tc>
          <w:tcPr>
            <w:tcW w:w="2395" w:type="dxa"/>
            <w:tcBorders/>
            <w:vAlign w:val="center"/>
          </w:tcPr>
          <w:p>
            <w:pPr>
              <w:pStyle w:val="TableContents"/>
              <w:widowControl w:val="false"/>
              <w:suppressLineNumbers/>
              <w:spacing w:before="0" w:after="200"/>
              <w:rPr/>
            </w:pPr>
            <w:r>
              <w:rPr/>
              <w:t>Dignity</w:t>
            </w:r>
          </w:p>
        </w:tc>
        <w:tc>
          <w:tcPr>
            <w:tcW w:w="6245" w:type="dxa"/>
            <w:tcBorders/>
            <w:vAlign w:val="center"/>
          </w:tcPr>
          <w:p>
            <w:pPr>
              <w:pStyle w:val="TableContents"/>
              <w:widowControl w:val="false"/>
              <w:suppressLineNumbers/>
              <w:spacing w:before="0" w:after="200"/>
              <w:rPr/>
            </w:pPr>
            <w:r>
              <w:rPr/>
              <w:t>Should dignity be a foundational property, a moral status, a constraint, or a dimension of Long-Term Flourishing?</w:t>
            </w:r>
          </w:p>
        </w:tc>
      </w:tr>
      <w:tr>
        <w:trPr/>
        <w:tc>
          <w:tcPr>
            <w:tcW w:w="2395" w:type="dxa"/>
            <w:tcBorders/>
            <w:vAlign w:val="center"/>
          </w:tcPr>
          <w:p>
            <w:pPr>
              <w:pStyle w:val="TableContents"/>
              <w:widowControl w:val="false"/>
              <w:suppressLineNumbers/>
              <w:spacing w:before="0" w:after="200"/>
              <w:rPr/>
            </w:pPr>
            <w:r>
              <w:rPr/>
              <w:t>Moral agency versus moral patiency</w:t>
            </w:r>
          </w:p>
        </w:tc>
        <w:tc>
          <w:tcPr>
            <w:tcW w:w="6245" w:type="dxa"/>
            <w:tcBorders/>
            <w:vAlign w:val="center"/>
          </w:tcPr>
          <w:p>
            <w:pPr>
              <w:pStyle w:val="TableContents"/>
              <w:widowControl w:val="false"/>
              <w:suppressLineNumbers/>
              <w:spacing w:before="0" w:after="200"/>
              <w:rPr/>
            </w:pPr>
            <w:r>
              <w:rPr/>
              <w:t>How should the architecture protect entities owed duties but incapable of bearing duties themselves?</w:t>
            </w:r>
          </w:p>
        </w:tc>
      </w:tr>
      <w:tr>
        <w:trPr/>
        <w:tc>
          <w:tcPr>
            <w:tcW w:w="2395" w:type="dxa"/>
            <w:tcBorders/>
            <w:vAlign w:val="center"/>
          </w:tcPr>
          <w:p>
            <w:pPr>
              <w:pStyle w:val="TableContents"/>
              <w:widowControl w:val="false"/>
              <w:suppressLineNumbers/>
              <w:spacing w:before="0" w:after="200"/>
              <w:rPr/>
            </w:pPr>
            <w:r>
              <w:rPr/>
              <w:t>Scope of protected entities</w:t>
            </w:r>
          </w:p>
        </w:tc>
        <w:tc>
          <w:tcPr>
            <w:tcW w:w="6245" w:type="dxa"/>
            <w:tcBorders/>
            <w:vAlign w:val="center"/>
          </w:tcPr>
          <w:p>
            <w:pPr>
              <w:pStyle w:val="TableContents"/>
              <w:widowControl w:val="false"/>
              <w:suppressLineNumbers/>
              <w:spacing w:before="0" w:after="200"/>
              <w:rPr/>
            </w:pPr>
            <w:r>
              <w:rPr/>
              <w:t>How should humans, animals, ecosystems, institutions, and artificial systems receive different forms of moral consideration?</w:t>
            </w:r>
          </w:p>
        </w:tc>
      </w:tr>
      <w:tr>
        <w:trPr/>
        <w:tc>
          <w:tcPr>
            <w:tcW w:w="2395" w:type="dxa"/>
            <w:tcBorders/>
            <w:vAlign w:val="center"/>
          </w:tcPr>
          <w:p>
            <w:pPr>
              <w:pStyle w:val="TableContents"/>
              <w:widowControl w:val="false"/>
              <w:suppressLineNumbers/>
              <w:spacing w:before="0" w:after="200"/>
              <w:rPr/>
            </w:pPr>
            <w:r>
              <w:rPr/>
              <w:t>Universalization procedure</w:t>
            </w:r>
          </w:p>
        </w:tc>
        <w:tc>
          <w:tcPr>
            <w:tcW w:w="6245" w:type="dxa"/>
            <w:tcBorders/>
            <w:vAlign w:val="center"/>
          </w:tcPr>
          <w:p>
            <w:pPr>
              <w:pStyle w:val="TableContents"/>
              <w:widowControl w:val="false"/>
              <w:suppressLineNumbers/>
              <w:spacing w:before="0" w:after="200"/>
              <w:rPr/>
            </w:pPr>
            <w:r>
              <w:rPr/>
              <w:t>How should maxims be formulated, generalized, tested, and protected against strategic description?</w:t>
            </w:r>
          </w:p>
        </w:tc>
      </w:tr>
      <w:tr>
        <w:trPr/>
        <w:tc>
          <w:tcPr>
            <w:tcW w:w="2395" w:type="dxa"/>
            <w:tcBorders/>
            <w:vAlign w:val="center"/>
          </w:tcPr>
          <w:p>
            <w:pPr>
              <w:pStyle w:val="TableContents"/>
              <w:widowControl w:val="false"/>
              <w:suppressLineNumbers/>
              <w:spacing w:before="0" w:after="200"/>
              <w:rPr/>
            </w:pPr>
            <w:r>
              <w:rPr/>
              <w:t>Intention and foresight</w:t>
            </w:r>
          </w:p>
        </w:tc>
        <w:tc>
          <w:tcPr>
            <w:tcW w:w="6245" w:type="dxa"/>
            <w:tcBorders/>
            <w:vAlign w:val="center"/>
          </w:tcPr>
          <w:p>
            <w:pPr>
              <w:pStyle w:val="TableContents"/>
              <w:widowControl w:val="false"/>
              <w:suppressLineNumbers/>
              <w:spacing w:before="0" w:after="200"/>
              <w:rPr/>
            </w:pPr>
            <w:r>
              <w:rPr/>
              <w:t>What evidence is sufficient to distinguish intended means from accepted or merely foreseeable side effects?</w:t>
            </w:r>
          </w:p>
        </w:tc>
      </w:tr>
      <w:tr>
        <w:trPr/>
        <w:tc>
          <w:tcPr>
            <w:tcW w:w="2395" w:type="dxa"/>
            <w:tcBorders/>
            <w:vAlign w:val="center"/>
          </w:tcPr>
          <w:p>
            <w:pPr>
              <w:pStyle w:val="TableContents"/>
              <w:widowControl w:val="false"/>
              <w:suppressLineNumbers/>
              <w:spacing w:before="0" w:after="200"/>
              <w:rPr/>
            </w:pPr>
            <w:r>
              <w:rPr/>
              <w:t>Doing and allowing</w:t>
            </w:r>
          </w:p>
        </w:tc>
        <w:tc>
          <w:tcPr>
            <w:tcW w:w="6245" w:type="dxa"/>
            <w:tcBorders/>
            <w:vAlign w:val="center"/>
          </w:tcPr>
          <w:p>
            <w:pPr>
              <w:pStyle w:val="TableContents"/>
              <w:widowControl w:val="false"/>
              <w:suppressLineNumbers/>
              <w:spacing w:before="0" w:after="200"/>
              <w:rPr/>
            </w:pPr>
            <w:r>
              <w:rPr/>
              <w:t>When should causal action and omission receive different moral treatment?</w:t>
            </w:r>
          </w:p>
        </w:tc>
      </w:tr>
      <w:tr>
        <w:trPr/>
        <w:tc>
          <w:tcPr>
            <w:tcW w:w="2395" w:type="dxa"/>
            <w:tcBorders/>
            <w:vAlign w:val="center"/>
          </w:tcPr>
          <w:p>
            <w:pPr>
              <w:pStyle w:val="TableContents"/>
              <w:widowControl w:val="false"/>
              <w:suppressLineNumbers/>
              <w:spacing w:before="0" w:after="200"/>
              <w:rPr/>
            </w:pPr>
            <w:r>
              <w:rPr/>
              <w:t>Consent</w:t>
            </w:r>
          </w:p>
        </w:tc>
        <w:tc>
          <w:tcPr>
            <w:tcW w:w="6245" w:type="dxa"/>
            <w:tcBorders/>
            <w:vAlign w:val="center"/>
          </w:tcPr>
          <w:p>
            <w:pPr>
              <w:pStyle w:val="TableContents"/>
              <w:widowControl w:val="false"/>
              <w:suppressLineNumbers/>
              <w:spacing w:before="0" w:after="200"/>
              <w:rPr/>
            </w:pPr>
            <w:r>
              <w:rPr/>
              <w:t>Which standards establish valid consent across healthcare, governance, employment, digital systems, and autonomous technologies?</w:t>
            </w:r>
          </w:p>
        </w:tc>
      </w:tr>
      <w:tr>
        <w:trPr/>
        <w:tc>
          <w:tcPr>
            <w:tcW w:w="2395" w:type="dxa"/>
            <w:tcBorders/>
            <w:vAlign w:val="center"/>
          </w:tcPr>
          <w:p>
            <w:pPr>
              <w:pStyle w:val="TableContents"/>
              <w:widowControl w:val="false"/>
              <w:suppressLineNumbers/>
              <w:spacing w:before="0" w:after="200"/>
              <w:rPr/>
            </w:pPr>
            <w:r>
              <w:rPr/>
              <w:t>Collective and institutional duties</w:t>
            </w:r>
          </w:p>
        </w:tc>
        <w:tc>
          <w:tcPr>
            <w:tcW w:w="6245" w:type="dxa"/>
            <w:tcBorders/>
            <w:vAlign w:val="center"/>
          </w:tcPr>
          <w:p>
            <w:pPr>
              <w:pStyle w:val="TableContents"/>
              <w:widowControl w:val="false"/>
              <w:suppressLineNumbers/>
              <w:spacing w:before="0" w:after="200"/>
              <w:rPr/>
            </w:pPr>
            <w:r>
              <w:rPr/>
              <w:t>How are duties assigned when responsibility is distributed across organizations, algorithms, operators, and regulators?</w:t>
            </w:r>
          </w:p>
        </w:tc>
      </w:tr>
      <w:tr>
        <w:trPr/>
        <w:tc>
          <w:tcPr>
            <w:tcW w:w="2395" w:type="dxa"/>
            <w:tcBorders/>
            <w:vAlign w:val="center"/>
          </w:tcPr>
          <w:p>
            <w:pPr>
              <w:pStyle w:val="TableContents"/>
              <w:widowControl w:val="false"/>
              <w:suppressLineNumbers/>
              <w:spacing w:before="0" w:after="200"/>
              <w:rPr/>
            </w:pPr>
            <w:r>
              <w:rPr/>
              <w:t>Moral uncertainty</w:t>
            </w:r>
          </w:p>
        </w:tc>
        <w:tc>
          <w:tcPr>
            <w:tcW w:w="6245" w:type="dxa"/>
            <w:tcBorders/>
            <w:vAlign w:val="center"/>
          </w:tcPr>
          <w:p>
            <w:pPr>
              <w:pStyle w:val="TableContents"/>
              <w:widowControl w:val="false"/>
              <w:suppressLineNumbers/>
              <w:spacing w:before="0" w:after="200"/>
              <w:rPr/>
            </w:pPr>
            <w:r>
              <w:rPr/>
              <w:t>How should the framework act when it is uncertain whether a categorical duty applies?</w:t>
            </w:r>
          </w:p>
        </w:tc>
      </w:tr>
      <w:tr>
        <w:trPr/>
        <w:tc>
          <w:tcPr>
            <w:tcW w:w="2395" w:type="dxa"/>
            <w:tcBorders/>
            <w:vAlign w:val="center"/>
          </w:tcPr>
          <w:p>
            <w:pPr>
              <w:pStyle w:val="TableContents"/>
              <w:widowControl w:val="false"/>
              <w:suppressLineNumbers/>
              <w:spacing w:before="0" w:after="200"/>
              <w:rPr/>
            </w:pPr>
            <w:r>
              <w:rPr/>
              <w:t>Moral residue</w:t>
            </w:r>
          </w:p>
        </w:tc>
        <w:tc>
          <w:tcPr>
            <w:tcW w:w="6245" w:type="dxa"/>
            <w:tcBorders/>
            <w:vAlign w:val="center"/>
          </w:tcPr>
          <w:p>
            <w:pPr>
              <w:pStyle w:val="TableContents"/>
              <w:widowControl w:val="false"/>
              <w:suppressLineNumbers/>
              <w:spacing w:before="0" w:after="200"/>
              <w:rPr/>
            </w:pPr>
            <w:r>
              <w:rPr/>
              <w:t>What obligations of apology, explanation, compensation, reparation, or institutional correction remain after a justified duty violation?</w:t>
            </w:r>
          </w:p>
        </w:tc>
      </w:tr>
      <w:tr>
        <w:trPr/>
        <w:tc>
          <w:tcPr>
            <w:tcW w:w="2395" w:type="dxa"/>
            <w:tcBorders/>
            <w:vAlign w:val="center"/>
          </w:tcPr>
          <w:p>
            <w:pPr>
              <w:pStyle w:val="TableContents"/>
              <w:widowControl w:val="false"/>
              <w:suppressLineNumbers/>
              <w:spacing w:before="0" w:after="200"/>
              <w:rPr/>
            </w:pPr>
            <w:r>
              <w:rPr/>
              <w:t>Deontic–consequential conflict</w:t>
            </w:r>
          </w:p>
        </w:tc>
        <w:tc>
          <w:tcPr>
            <w:tcW w:w="6245" w:type="dxa"/>
            <w:tcBorders/>
            <w:vAlign w:val="center"/>
          </w:tcPr>
          <w:p>
            <w:pPr>
              <w:pStyle w:val="TableContents"/>
              <w:widowControl w:val="false"/>
              <w:suppressLineNumbers/>
              <w:spacing w:before="0" w:after="200"/>
              <w:rPr/>
            </w:pPr>
            <w:r>
              <w:rPr/>
              <w:t>Which layer controls when a duty-based judgment conflicts with the preferred World Context Transition?</w:t>
            </w:r>
          </w:p>
        </w:tc>
      </w:tr>
      <w:tr>
        <w:trPr/>
        <w:tc>
          <w:tcPr>
            <w:tcW w:w="2395" w:type="dxa"/>
            <w:tcBorders/>
            <w:vAlign w:val="center"/>
          </w:tcPr>
          <w:p>
            <w:pPr>
              <w:pStyle w:val="TableContents"/>
              <w:widowControl w:val="false"/>
              <w:suppressLineNumbers/>
              <w:spacing w:before="0" w:after="200"/>
              <w:rPr/>
            </w:pPr>
            <w:r>
              <w:rPr/>
              <w:t>Implementation consistency</w:t>
            </w:r>
          </w:p>
        </w:tc>
        <w:tc>
          <w:tcPr>
            <w:tcW w:w="6245" w:type="dxa"/>
            <w:tcBorders/>
            <w:vAlign w:val="center"/>
          </w:tcPr>
          <w:p>
            <w:pPr>
              <w:pStyle w:val="TableContents"/>
              <w:widowControl w:val="false"/>
              <w:suppressLineNumbers/>
              <w:spacing w:before="0" w:after="200"/>
              <w:rPr/>
            </w:pPr>
            <w:r>
              <w:rPr/>
              <w:t>How much variation in duty definitions and thresholds can occur before implementations represent different moral frameworks?</w:t>
            </w:r>
          </w:p>
        </w:tc>
      </w:tr>
      <w:tr>
        <w:trPr/>
        <w:tc>
          <w:tcPr>
            <w:tcW w:w="2395" w:type="dxa"/>
            <w:tcBorders/>
            <w:vAlign w:val="center"/>
          </w:tcPr>
          <w:p>
            <w:pPr>
              <w:pStyle w:val="TableContents"/>
              <w:widowControl w:val="false"/>
              <w:suppressLineNumbers/>
              <w:spacing w:before="0" w:after="200"/>
              <w:rPr/>
            </w:pPr>
            <w:r>
              <w:rPr/>
              <w:t>Empirical validation</w:t>
            </w:r>
          </w:p>
        </w:tc>
        <w:tc>
          <w:tcPr>
            <w:tcW w:w="6245" w:type="dxa"/>
            <w:tcBorders/>
            <w:vAlign w:val="center"/>
          </w:tcPr>
          <w:p>
            <w:pPr>
              <w:pStyle w:val="TableContents"/>
              <w:widowControl w:val="false"/>
              <w:suppressLineNumbers/>
              <w:spacing w:before="0" w:after="200"/>
              <w:rPr/>
            </w:pPr>
            <w:r>
              <w:rPr/>
              <w:t>How can the addition of deontological constraints be tested for consistency, explainability, and practical improvement without treating moral truth as an empirical variable?</w:t>
            </w:r>
          </w:p>
        </w:tc>
      </w:tr>
    </w:tbl>
    <w:p>
      <w:pPr>
        <w:pStyle w:val="Normal"/>
        <w:widowControl/>
        <w:bidi w:val="0"/>
        <w:spacing w:lineRule="auto" w:line="276"/>
        <w:jc w:val="left"/>
        <w:rPr/>
      </w:pPr>
      <w:r>
        <w:rPr/>
      </w:r>
    </w:p>
    <w:p>
      <w:pPr>
        <w:pStyle w:val="Heading3"/>
        <w:ind w:hanging="0" w:left="0"/>
        <w:rPr/>
      </w:pPr>
      <w:r>
        <w:rPr/>
        <w:t>Virtue Ethics</w:t>
      </w:r>
    </w:p>
    <w:p>
      <w:pPr>
        <w:pStyle w:val="Heading4"/>
        <w:ind w:hanging="0" w:left="0"/>
        <w:rPr>
          <w:rFonts w:ascii="Aptos" w:hAnsi="Aptos"/>
          <w:color w:val="auto"/>
        </w:rPr>
      </w:pPr>
      <w:r>
        <w:rPr/>
        <w:t>Questioning Argument</w:t>
      </w:r>
    </w:p>
    <w:p>
      <w:pPr>
        <w:pStyle w:val="BodyText"/>
        <w:spacing w:before="0" w:after="200"/>
        <w:rPr/>
      </w:pPr>
      <w:r>
        <w:rPr/>
        <w:t xml:space="preserve">A virtue ethicist could argue that the proposed framework begins with the wrong primary question. It asks what World Context an action creates, whereas virtue ethics asks what a good and practically wise Moral Agent would perceive, choose, feel, and do—and what kind of person the Actor is becoming. Virtue ethics explains an action’s moral significance partly through the character from which it proceeds, not solely through the state of the world that follows. </w:t>
      </w:r>
      <w:hyperlink r:id="rId238">
        <w:r>
          <w:rPr>
            <w:rStyle w:val="Hyperlink"/>
          </w:rPr>
          <w:t>Stanford Encyclopedia of Philosophy</w:t>
        </w:r>
      </w:hyperlink>
    </w:p>
    <w:p>
      <w:pPr>
        <w:pStyle w:val="BodyText"/>
        <w:spacing w:before="0" w:after="200"/>
        <w:rPr/>
      </w:pPr>
      <w:r>
        <w:rPr/>
        <w:t xml:space="preserve">The proposed framework may therefore be criticized for treating character as a subordinate variable within a consequence-centered architecture. An Actor Policy State can describe behavioral tendencies, but a virtue is more than a probability of selecting certain actions. It involves appropriate moral perception, motivation, emotion, deliberation, judgment, and action. Aristotle describes virtue as a disposition developed through habituation that includes appropriate feelings. </w:t>
      </w:r>
      <w:hyperlink r:id="rId239">
        <w:r>
          <w:rPr>
            <w:rStyle w:val="Hyperlink"/>
          </w:rPr>
          <w:t>Stanford Encyclopedia of Philosophy</w:t>
        </w:r>
      </w:hyperlink>
      <w:r>
        <w:rPr/>
        <w:t xml:space="preserve"> An Actor who behaves honestly only because honesty is rewarded does not necessarily possess the virtue of honesty.</w:t>
      </w:r>
    </w:p>
    <w:p>
      <w:pPr>
        <w:pStyle w:val="BodyText"/>
        <w:spacing w:before="0" w:after="200"/>
        <w:rPr/>
      </w:pPr>
      <w:r>
        <w:rPr/>
        <w:t xml:space="preserve">A virtue ethicist could also object that the framework adopts the language of flourishing while assigning it a substantially different meaning. Aristotelian </w:t>
      </w:r>
      <w:r>
        <w:rPr>
          <w:rStyle w:val="Emphasis"/>
        </w:rPr>
        <w:t>eudaimonia</w:t>
      </w:r>
      <w:r>
        <w:rPr/>
        <w:t xml:space="preserve"> concerns living and acting well across a complete human life. Virtuous activity is partly constitutive of flourishing rather than merely a means for preserving capabilities or expanding future options. By defining Long-Term Flourishing through persistence, adaptive capacity, beneficial Future State Space, and compatibility with the larger World Context, the proposed framework may emphasize continued capability more than excellence in living.</w:t>
      </w:r>
    </w:p>
    <w:p>
      <w:pPr>
        <w:pStyle w:val="BodyText"/>
        <w:spacing w:before="0" w:after="200"/>
        <w:rPr/>
      </w:pPr>
      <w:r>
        <w:rPr/>
        <w:t>This distinction matters because persistent and highly adaptive entities are not necessarily virtuous. A dishonest institution, exploitative organization, invasive organism, or dangerous artificial system may persist, expand, and adapt extremely well. The framework explicitly states that expansion and persistence are insufficient for flourishing, but it must still explain what makes a future state space “beneficial” without presupposing the moral excellences virtue ethics seeks to identify.</w:t>
      </w:r>
    </w:p>
    <w:p>
      <w:pPr>
        <w:pStyle w:val="BodyText"/>
        <w:spacing w:before="0" w:after="200"/>
        <w:rPr/>
      </w:pPr>
      <w:r>
        <w:rPr/>
        <w:t>The framework’s emphasis on predicted World Context Transitions may also expose moral assessment to outcome bias or moral luck. A courageous and practically wise action can fail because of circumstances outside the Actor’s control. A cowardly, negligent, or dishonest action can accidentally produce a beneficial outcome. If the transition remains the principal object of assessment, the framework may assign excessive moral significance to consequences that do not reveal the quality of the Actor’s judgment or character.</w:t>
      </w:r>
    </w:p>
    <w:p>
      <w:pPr>
        <w:pStyle w:val="BodyText"/>
        <w:spacing w:before="0" w:after="200"/>
        <w:rPr/>
      </w:pPr>
      <w:r>
        <w:rPr/>
        <w:t xml:space="preserve">A further objection concerns practical wisdom. </w:t>
      </w:r>
      <w:r>
        <w:rPr>
          <w:rStyle w:val="Emphasis"/>
        </w:rPr>
        <w:t>Phronesis</w:t>
      </w:r>
      <w:r>
        <w:rPr/>
        <w:t xml:space="preserve"> is not simply the application of rules, optimization methods, or probability calculations. It is an experienced capacity to recognize morally relevant particulars, determine what matters in the circumstances, reconcile competing virtues, and act appropriately. Aristotle’s practical wisdom concerns particulars that become intelligible through experience. </w:t>
      </w:r>
      <w:hyperlink r:id="rId240">
        <w:r>
          <w:rPr>
            <w:rStyle w:val="Hyperlink"/>
          </w:rPr>
          <w:t>Stanford Encyclopedia of Philosophy</w:t>
        </w:r>
      </w:hyperlink>
      <w:r>
        <w:rPr/>
        <w:t xml:space="preserve"> A computational architecture may assist practical judgment but cannot assume that every morally salient feature can be specified in advance.</w:t>
      </w:r>
    </w:p>
    <w:p>
      <w:pPr>
        <w:pStyle w:val="BodyText"/>
        <w:spacing w:before="0" w:after="200"/>
        <w:rPr/>
      </w:pPr>
      <w:r>
        <w:rPr/>
        <w:t>The virtue ethicist may also challenge the framework’s aspiration to objective assessment. Concepts such as honesty, courage, compassion, cruelty, loyalty, justice, humility, and practical wisdom are “thick” concepts combining description and evaluation. Their application depends partly on context, social practices, historical understanding, and moral education. Converting them into state variables may create false precision or encode the unexamined assumptions of system designers.</w:t>
      </w:r>
    </w:p>
    <w:p>
      <w:pPr>
        <w:pStyle w:val="BodyText"/>
        <w:spacing w:before="0" w:after="200"/>
        <w:rPr/>
      </w:pPr>
      <w:r>
        <w:rPr/>
        <w:t>MacIntyrean virtue ethics would add that virtues cannot be separated from practices, internal goods, traditions, communities, and the narrative unity of a life. A system that evaluates actions as discrete transitions may fail to understand how an action derives its significance from the history and purposes of a practice. Efficiency, growth, reputation, and institutional survival are external goods; they can corrupt medicine, science, law, education, or government when they displace those practices’ internal standards of excellence.</w:t>
      </w:r>
    </w:p>
    <w:p>
      <w:pPr>
        <w:pStyle w:val="BodyText"/>
        <w:spacing w:before="0" w:after="200"/>
        <w:rPr/>
      </w:pPr>
      <w:r>
        <w:rPr/>
        <w:t>Finally, describing institutions or artificial systems as virtuous may create a category error. An institution can reliably promote honesty or justice, and an artificial system can produce behavior resembling restraint or fairness. It does not follow that either possesses practical wisdom, appropriate emotion, moral understanding, or a flourishing life. The framework must distinguish genuine moral virtue from functionally virtue-like behavior.</w:t>
      </w:r>
    </w:p>
    <w:p>
      <w:pPr>
        <w:pStyle w:val="BodyText"/>
        <w:spacing w:before="0" w:after="200"/>
        <w:rPr/>
      </w:pPr>
      <w:r>
        <w:rPr/>
        <w:t>The central virtue-ethical challenge can therefore be stated as follows:</w:t>
      </w:r>
    </w:p>
    <w:p>
      <w:pPr>
        <w:pStyle w:val="BlockQuotation"/>
        <w:spacing w:before="0" w:after="200"/>
        <w:rPr/>
      </w:pPr>
      <w:r>
        <w:rPr/>
        <w:t>If the framework reduces virtue to policy regularity and flourishing to a favorable state trajectory, it omits the moral perception, motivation, emotion, practical wisdom, practices, and life history that make character genuinely virtuous.</w:t>
      </w:r>
    </w:p>
    <w:p>
      <w:pPr>
        <w:pStyle w:val="Heading4"/>
        <w:ind w:hanging="0" w:left="0"/>
        <w:rPr>
          <w:rFonts w:ascii="Aptos" w:hAnsi="Aptos"/>
          <w:color w:val="auto"/>
        </w:rPr>
      </w:pPr>
      <w:r>
        <w:rPr/>
        <w:t>Assumptions Within the Ethical Model Relevant to the Questioning Argument</w:t>
      </w:r>
    </w:p>
    <w:tbl>
      <w:tblPr>
        <w:tblW w:w="8640" w:type="dxa"/>
        <w:jc w:val="left"/>
        <w:tblInd w:w="28" w:type="dxa"/>
        <w:tblLayout w:type="fixed"/>
        <w:tblCellMar>
          <w:top w:w="28" w:type="dxa"/>
          <w:left w:w="28" w:type="dxa"/>
          <w:bottom w:w="28" w:type="dxa"/>
          <w:right w:w="28" w:type="dxa"/>
        </w:tblCellMar>
      </w:tblPr>
      <w:tblGrid>
        <w:gridCol w:w="2579"/>
        <w:gridCol w:w="6061"/>
      </w:tblGrid>
      <w:tr>
        <w:trPr>
          <w:tblHeader w:val="true"/>
        </w:trPr>
        <w:tc>
          <w:tcPr>
            <w:tcW w:w="2579" w:type="dxa"/>
            <w:tcBorders/>
            <w:vAlign w:val="center"/>
          </w:tcPr>
          <w:p>
            <w:pPr>
              <w:pStyle w:val="TableHeading"/>
              <w:suppressLineNumbers/>
              <w:spacing w:before="0" w:after="200"/>
              <w:jc w:val="center"/>
              <w:rPr/>
            </w:pPr>
            <w:r>
              <w:rPr/>
              <w:t>Virtue-ethical assumption</w:t>
            </w:r>
          </w:p>
        </w:tc>
        <w:tc>
          <w:tcPr>
            <w:tcW w:w="6061" w:type="dxa"/>
            <w:tcBorders/>
            <w:vAlign w:val="center"/>
          </w:tcPr>
          <w:p>
            <w:pPr>
              <w:pStyle w:val="TableHeading"/>
              <w:suppressLineNumbers/>
              <w:spacing w:before="0" w:after="200"/>
              <w:jc w:val="center"/>
              <w:rPr/>
            </w:pPr>
            <w:r>
              <w:rPr/>
              <w:t>Relevance to the questioning argument</w:t>
            </w:r>
          </w:p>
        </w:tc>
      </w:tr>
      <w:tr>
        <w:trPr/>
        <w:tc>
          <w:tcPr>
            <w:tcW w:w="2579" w:type="dxa"/>
            <w:tcBorders/>
            <w:vAlign w:val="center"/>
          </w:tcPr>
          <w:p>
            <w:pPr>
              <w:pStyle w:val="TableContents"/>
              <w:widowControl w:val="false"/>
              <w:suppressLineNumbers/>
              <w:spacing w:before="0" w:after="200"/>
              <w:rPr/>
            </w:pPr>
            <w:r>
              <w:rPr/>
              <w:t>Character-centered assessment</w:t>
            </w:r>
          </w:p>
        </w:tc>
        <w:tc>
          <w:tcPr>
            <w:tcW w:w="6061" w:type="dxa"/>
            <w:tcBorders/>
            <w:vAlign w:val="center"/>
          </w:tcPr>
          <w:p>
            <w:pPr>
              <w:pStyle w:val="TableContents"/>
              <w:widowControl w:val="false"/>
              <w:suppressLineNumbers/>
              <w:spacing w:before="0" w:after="200"/>
              <w:rPr/>
            </w:pPr>
            <w:r>
              <w:rPr/>
              <w:t>Moral evaluation asks what kind of person the Actor is, not only whether the action complies with a rule or produces a favorable outcome.</w:t>
            </w:r>
          </w:p>
        </w:tc>
      </w:tr>
      <w:tr>
        <w:trPr/>
        <w:tc>
          <w:tcPr>
            <w:tcW w:w="2579" w:type="dxa"/>
            <w:tcBorders/>
            <w:vAlign w:val="center"/>
          </w:tcPr>
          <w:p>
            <w:pPr>
              <w:pStyle w:val="TableContents"/>
              <w:widowControl w:val="false"/>
              <w:suppressLineNumbers/>
              <w:spacing w:before="0" w:after="200"/>
              <w:rPr/>
            </w:pPr>
            <w:r>
              <w:rPr/>
              <w:t>Virtue as a stable excellence</w:t>
            </w:r>
          </w:p>
        </w:tc>
        <w:tc>
          <w:tcPr>
            <w:tcW w:w="6061" w:type="dxa"/>
            <w:tcBorders/>
            <w:vAlign w:val="center"/>
          </w:tcPr>
          <w:p>
            <w:pPr>
              <w:pStyle w:val="TableContents"/>
              <w:widowControl w:val="false"/>
              <w:suppressLineNumbers/>
              <w:spacing w:before="0" w:after="200"/>
              <w:rPr/>
            </w:pPr>
            <w:r>
              <w:rPr/>
              <w:t>A virtue is a reliable, integrated disposition to perceive, feel, deliberate, choose, and act well.</w:t>
            </w:r>
          </w:p>
        </w:tc>
      </w:tr>
      <w:tr>
        <w:trPr/>
        <w:tc>
          <w:tcPr>
            <w:tcW w:w="2579" w:type="dxa"/>
            <w:tcBorders/>
            <w:vAlign w:val="center"/>
          </w:tcPr>
          <w:p>
            <w:pPr>
              <w:pStyle w:val="TableContents"/>
              <w:widowControl w:val="false"/>
              <w:suppressLineNumbers/>
              <w:spacing w:before="0" w:after="200"/>
              <w:rPr/>
            </w:pPr>
            <w:r>
              <w:rPr/>
              <w:t>Eudaimonia</w:t>
            </w:r>
          </w:p>
        </w:tc>
        <w:tc>
          <w:tcPr>
            <w:tcW w:w="6061" w:type="dxa"/>
            <w:tcBorders/>
            <w:vAlign w:val="center"/>
          </w:tcPr>
          <w:p>
            <w:pPr>
              <w:pStyle w:val="TableContents"/>
              <w:widowControl w:val="false"/>
              <w:suppressLineNumbers/>
              <w:spacing w:before="0" w:after="200"/>
              <w:rPr/>
            </w:pPr>
            <w:r>
              <w:rPr/>
              <w:t>Flourishing concerns living well across a complete life rather than maximizing pleasure, resources, capabilities, or future options.</w:t>
            </w:r>
          </w:p>
        </w:tc>
      </w:tr>
      <w:tr>
        <w:trPr/>
        <w:tc>
          <w:tcPr>
            <w:tcW w:w="2579" w:type="dxa"/>
            <w:tcBorders/>
            <w:vAlign w:val="center"/>
          </w:tcPr>
          <w:p>
            <w:pPr>
              <w:pStyle w:val="TableContents"/>
              <w:widowControl w:val="false"/>
              <w:suppressLineNumbers/>
              <w:spacing w:before="0" w:after="200"/>
              <w:rPr/>
            </w:pPr>
            <w:r>
              <w:rPr/>
              <w:t>Virtue as constitutive of flourishing</w:t>
            </w:r>
          </w:p>
        </w:tc>
        <w:tc>
          <w:tcPr>
            <w:tcW w:w="6061" w:type="dxa"/>
            <w:tcBorders/>
            <w:vAlign w:val="center"/>
          </w:tcPr>
          <w:p>
            <w:pPr>
              <w:pStyle w:val="TableContents"/>
              <w:widowControl w:val="false"/>
              <w:suppressLineNumbers/>
              <w:spacing w:before="0" w:after="200"/>
              <w:rPr/>
            </w:pPr>
            <w:r>
              <w:rPr/>
              <w:t>Virtuous activity is part of flourishing, not merely an instrument for producing it.</w:t>
            </w:r>
          </w:p>
        </w:tc>
      </w:tr>
      <w:tr>
        <w:trPr/>
        <w:tc>
          <w:tcPr>
            <w:tcW w:w="2579" w:type="dxa"/>
            <w:tcBorders/>
            <w:vAlign w:val="center"/>
          </w:tcPr>
          <w:p>
            <w:pPr>
              <w:pStyle w:val="TableContents"/>
              <w:widowControl w:val="false"/>
              <w:suppressLineNumbers/>
              <w:spacing w:before="0" w:after="200"/>
              <w:rPr/>
            </w:pPr>
            <w:r>
              <w:rPr/>
              <w:t>Practical wisdom</w:t>
            </w:r>
          </w:p>
        </w:tc>
        <w:tc>
          <w:tcPr>
            <w:tcW w:w="6061" w:type="dxa"/>
            <w:tcBorders/>
            <w:vAlign w:val="center"/>
          </w:tcPr>
          <w:p>
            <w:pPr>
              <w:pStyle w:val="TableContents"/>
              <w:widowControl w:val="false"/>
              <w:suppressLineNumbers/>
              <w:spacing w:before="0" w:after="200"/>
              <w:rPr/>
            </w:pPr>
            <w:r>
              <w:rPr/>
              <w:t>Appropriate conduct requires context-sensitive judgment that cannot be replaced by general rules alone.</w:t>
            </w:r>
          </w:p>
        </w:tc>
      </w:tr>
      <w:tr>
        <w:trPr/>
        <w:tc>
          <w:tcPr>
            <w:tcW w:w="2579" w:type="dxa"/>
            <w:tcBorders/>
            <w:vAlign w:val="center"/>
          </w:tcPr>
          <w:p>
            <w:pPr>
              <w:pStyle w:val="TableContents"/>
              <w:widowControl w:val="false"/>
              <w:suppressLineNumbers/>
              <w:spacing w:before="0" w:after="200"/>
              <w:rPr/>
            </w:pPr>
            <w:r>
              <w:rPr/>
              <w:t>Moral perception</w:t>
            </w:r>
          </w:p>
        </w:tc>
        <w:tc>
          <w:tcPr>
            <w:tcW w:w="6061" w:type="dxa"/>
            <w:tcBorders/>
            <w:vAlign w:val="center"/>
          </w:tcPr>
          <w:p>
            <w:pPr>
              <w:pStyle w:val="TableContents"/>
              <w:widowControl w:val="false"/>
              <w:suppressLineNumbers/>
              <w:spacing w:before="0" w:after="200"/>
              <w:rPr/>
            </w:pPr>
            <w:r>
              <w:rPr/>
              <w:t>A virtuous Actor recognizes morally salient particulars that another Actor may fail to notice.</w:t>
            </w:r>
          </w:p>
        </w:tc>
      </w:tr>
      <w:tr>
        <w:trPr/>
        <w:tc>
          <w:tcPr>
            <w:tcW w:w="2579" w:type="dxa"/>
            <w:tcBorders/>
            <w:vAlign w:val="center"/>
          </w:tcPr>
          <w:p>
            <w:pPr>
              <w:pStyle w:val="TableContents"/>
              <w:widowControl w:val="false"/>
              <w:suppressLineNumbers/>
              <w:spacing w:before="0" w:after="200"/>
              <w:rPr/>
            </w:pPr>
            <w:r>
              <w:rPr/>
              <w:t>Appropriate motivation</w:t>
            </w:r>
          </w:p>
        </w:tc>
        <w:tc>
          <w:tcPr>
            <w:tcW w:w="6061" w:type="dxa"/>
            <w:tcBorders/>
            <w:vAlign w:val="center"/>
          </w:tcPr>
          <w:p>
            <w:pPr>
              <w:pStyle w:val="TableContents"/>
              <w:widowControl w:val="false"/>
              <w:suppressLineNumbers/>
              <w:spacing w:before="0" w:after="200"/>
              <w:rPr/>
            </w:pPr>
            <w:r>
              <w:rPr/>
              <w:t>Acting for the right reason is part of acting virtuously.</w:t>
            </w:r>
          </w:p>
        </w:tc>
      </w:tr>
      <w:tr>
        <w:trPr/>
        <w:tc>
          <w:tcPr>
            <w:tcW w:w="2579" w:type="dxa"/>
            <w:tcBorders/>
            <w:vAlign w:val="center"/>
          </w:tcPr>
          <w:p>
            <w:pPr>
              <w:pStyle w:val="TableContents"/>
              <w:widowControl w:val="false"/>
              <w:suppressLineNumbers/>
              <w:spacing w:before="0" w:after="200"/>
              <w:rPr/>
            </w:pPr>
            <w:r>
              <w:rPr/>
              <w:t>Educated emotion</w:t>
            </w:r>
          </w:p>
        </w:tc>
        <w:tc>
          <w:tcPr>
            <w:tcW w:w="6061" w:type="dxa"/>
            <w:tcBorders/>
            <w:vAlign w:val="center"/>
          </w:tcPr>
          <w:p>
            <w:pPr>
              <w:pStyle w:val="TableContents"/>
              <w:widowControl w:val="false"/>
              <w:suppressLineNumbers/>
              <w:spacing w:before="0" w:after="200"/>
              <w:rPr/>
            </w:pPr>
            <w:r>
              <w:rPr/>
              <w:t>Appropriate emotional responses are components of virtue rather than irrelevant psychological states.</w:t>
            </w:r>
          </w:p>
        </w:tc>
      </w:tr>
      <w:tr>
        <w:trPr/>
        <w:tc>
          <w:tcPr>
            <w:tcW w:w="2579" w:type="dxa"/>
            <w:tcBorders/>
            <w:vAlign w:val="center"/>
          </w:tcPr>
          <w:p>
            <w:pPr>
              <w:pStyle w:val="TableContents"/>
              <w:widowControl w:val="false"/>
              <w:suppressLineNumbers/>
              <w:spacing w:before="0" w:after="200"/>
              <w:rPr/>
            </w:pPr>
            <w:r>
              <w:rPr/>
              <w:t>Habituation</w:t>
            </w:r>
          </w:p>
        </w:tc>
        <w:tc>
          <w:tcPr>
            <w:tcW w:w="6061" w:type="dxa"/>
            <w:tcBorders/>
            <w:vAlign w:val="center"/>
          </w:tcPr>
          <w:p>
            <w:pPr>
              <w:pStyle w:val="TableContents"/>
              <w:widowControl w:val="false"/>
              <w:suppressLineNumbers/>
              <w:spacing w:before="0" w:after="200"/>
              <w:rPr/>
            </w:pPr>
            <w:r>
              <w:rPr/>
              <w:t>Repeated actions, instruction, correction, and social reinforcement form virtues and vices.</w:t>
            </w:r>
          </w:p>
        </w:tc>
      </w:tr>
      <w:tr>
        <w:trPr/>
        <w:tc>
          <w:tcPr>
            <w:tcW w:w="2579" w:type="dxa"/>
            <w:tcBorders/>
            <w:vAlign w:val="center"/>
          </w:tcPr>
          <w:p>
            <w:pPr>
              <w:pStyle w:val="TableContents"/>
              <w:widowControl w:val="false"/>
              <w:suppressLineNumbers/>
              <w:spacing w:before="0" w:after="200"/>
              <w:rPr/>
            </w:pPr>
            <w:r>
              <w:rPr/>
              <w:t>Doctrine of the mean</w:t>
            </w:r>
          </w:p>
        </w:tc>
        <w:tc>
          <w:tcPr>
            <w:tcW w:w="6061" w:type="dxa"/>
            <w:tcBorders/>
            <w:vAlign w:val="center"/>
          </w:tcPr>
          <w:p>
            <w:pPr>
              <w:pStyle w:val="TableContents"/>
              <w:widowControl w:val="false"/>
              <w:suppressLineNumbers/>
              <w:spacing w:before="0" w:after="200"/>
              <w:rPr/>
            </w:pPr>
            <w:r>
              <w:rPr/>
              <w:t>Virtue often involves the context-appropriate response between excess and deficiency, not an arithmetic midpoint.</w:t>
            </w:r>
          </w:p>
        </w:tc>
      </w:tr>
      <w:tr>
        <w:trPr/>
        <w:tc>
          <w:tcPr>
            <w:tcW w:w="2579" w:type="dxa"/>
            <w:tcBorders/>
            <w:vAlign w:val="center"/>
          </w:tcPr>
          <w:p>
            <w:pPr>
              <w:pStyle w:val="TableContents"/>
              <w:widowControl w:val="false"/>
              <w:suppressLineNumbers/>
              <w:spacing w:before="0" w:after="200"/>
              <w:rPr/>
            </w:pPr>
            <w:r>
              <w:rPr/>
              <w:t>Whole-life development</w:t>
            </w:r>
          </w:p>
        </w:tc>
        <w:tc>
          <w:tcPr>
            <w:tcW w:w="6061" w:type="dxa"/>
            <w:tcBorders/>
            <w:vAlign w:val="center"/>
          </w:tcPr>
          <w:p>
            <w:pPr>
              <w:pStyle w:val="TableContents"/>
              <w:widowControl w:val="false"/>
              <w:suppressLineNumbers/>
              <w:spacing w:before="0" w:after="200"/>
              <w:rPr/>
            </w:pPr>
            <w:r>
              <w:rPr/>
              <w:t>Character must be evaluated across an extended pattern of action rather than inferred from one decision.</w:t>
            </w:r>
          </w:p>
        </w:tc>
      </w:tr>
      <w:tr>
        <w:trPr/>
        <w:tc>
          <w:tcPr>
            <w:tcW w:w="2579" w:type="dxa"/>
            <w:tcBorders/>
            <w:vAlign w:val="center"/>
          </w:tcPr>
          <w:p>
            <w:pPr>
              <w:pStyle w:val="TableContents"/>
              <w:widowControl w:val="false"/>
              <w:suppressLineNumbers/>
              <w:spacing w:before="0" w:after="200"/>
              <w:rPr/>
            </w:pPr>
            <w:r>
              <w:rPr/>
              <w:t>Unity and interaction of virtues</w:t>
            </w:r>
          </w:p>
        </w:tc>
        <w:tc>
          <w:tcPr>
            <w:tcW w:w="6061" w:type="dxa"/>
            <w:tcBorders/>
            <w:vAlign w:val="center"/>
          </w:tcPr>
          <w:p>
            <w:pPr>
              <w:pStyle w:val="TableContents"/>
              <w:widowControl w:val="false"/>
              <w:suppressLineNumbers/>
              <w:spacing w:before="0" w:after="200"/>
              <w:rPr/>
            </w:pPr>
            <w:r>
              <w:rPr/>
              <w:t>Courage without justice or practical wisdom may become recklessness; loyalty without justice may become complicity.</w:t>
            </w:r>
          </w:p>
        </w:tc>
      </w:tr>
      <w:tr>
        <w:trPr/>
        <w:tc>
          <w:tcPr>
            <w:tcW w:w="2579" w:type="dxa"/>
            <w:tcBorders/>
            <w:vAlign w:val="center"/>
          </w:tcPr>
          <w:p>
            <w:pPr>
              <w:pStyle w:val="TableContents"/>
              <w:widowControl w:val="false"/>
              <w:suppressLineNumbers/>
              <w:spacing w:before="0" w:after="200"/>
              <w:rPr/>
            </w:pPr>
            <w:r>
              <w:rPr/>
              <w:t>Exemplars</w:t>
            </w:r>
          </w:p>
        </w:tc>
        <w:tc>
          <w:tcPr>
            <w:tcW w:w="6061" w:type="dxa"/>
            <w:tcBorders/>
            <w:vAlign w:val="center"/>
          </w:tcPr>
          <w:p>
            <w:pPr>
              <w:pStyle w:val="TableContents"/>
              <w:widowControl w:val="false"/>
              <w:suppressLineNumbers/>
              <w:spacing w:before="0" w:after="200"/>
              <w:rPr/>
            </w:pPr>
            <w:r>
              <w:rPr/>
              <w:t>Morally excellent people can demonstrate forms of judgment that are difficult to express as abstract rules.</w:t>
            </w:r>
          </w:p>
        </w:tc>
      </w:tr>
      <w:tr>
        <w:trPr/>
        <w:tc>
          <w:tcPr>
            <w:tcW w:w="2579" w:type="dxa"/>
            <w:tcBorders/>
            <w:vAlign w:val="center"/>
          </w:tcPr>
          <w:p>
            <w:pPr>
              <w:pStyle w:val="TableContents"/>
              <w:widowControl w:val="false"/>
              <w:suppressLineNumbers/>
              <w:spacing w:before="0" w:after="200"/>
              <w:rPr/>
            </w:pPr>
            <w:r>
              <w:rPr/>
              <w:t>Practices and internal goods</w:t>
            </w:r>
          </w:p>
        </w:tc>
        <w:tc>
          <w:tcPr>
            <w:tcW w:w="6061" w:type="dxa"/>
            <w:tcBorders/>
            <w:vAlign w:val="center"/>
          </w:tcPr>
          <w:p>
            <w:pPr>
              <w:pStyle w:val="TableContents"/>
              <w:widowControl w:val="false"/>
              <w:suppressLineNumbers/>
              <w:spacing w:before="0" w:after="200"/>
              <w:rPr/>
            </w:pPr>
            <w:r>
              <w:rPr/>
              <w:t>Virtues develop through practices containing standards of excellence and purposes not reducible to external rewards.</w:t>
            </w:r>
          </w:p>
        </w:tc>
      </w:tr>
      <w:tr>
        <w:trPr/>
        <w:tc>
          <w:tcPr>
            <w:tcW w:w="2579" w:type="dxa"/>
            <w:tcBorders/>
            <w:vAlign w:val="center"/>
          </w:tcPr>
          <w:p>
            <w:pPr>
              <w:pStyle w:val="TableContents"/>
              <w:widowControl w:val="false"/>
              <w:suppressLineNumbers/>
              <w:spacing w:before="0" w:after="200"/>
              <w:rPr/>
            </w:pPr>
            <w:r>
              <w:rPr/>
              <w:t>Community and tradition</w:t>
            </w:r>
          </w:p>
        </w:tc>
        <w:tc>
          <w:tcPr>
            <w:tcW w:w="6061" w:type="dxa"/>
            <w:tcBorders/>
            <w:vAlign w:val="center"/>
          </w:tcPr>
          <w:p>
            <w:pPr>
              <w:pStyle w:val="TableContents"/>
              <w:widowControl w:val="false"/>
              <w:suppressLineNumbers/>
              <w:spacing w:before="0" w:after="200"/>
              <w:rPr/>
            </w:pPr>
            <w:r>
              <w:rPr/>
              <w:t>Moral language, exemplars, roles, and practical reasoning arise within historically developed communities.</w:t>
            </w:r>
          </w:p>
        </w:tc>
      </w:tr>
      <w:tr>
        <w:trPr/>
        <w:tc>
          <w:tcPr>
            <w:tcW w:w="2579" w:type="dxa"/>
            <w:tcBorders/>
            <w:vAlign w:val="center"/>
          </w:tcPr>
          <w:p>
            <w:pPr>
              <w:pStyle w:val="TableContents"/>
              <w:widowControl w:val="false"/>
              <w:suppressLineNumbers/>
              <w:spacing w:before="0" w:after="200"/>
              <w:rPr/>
            </w:pPr>
            <w:r>
              <w:rPr/>
              <w:t>Narrative unity</w:t>
            </w:r>
          </w:p>
        </w:tc>
        <w:tc>
          <w:tcPr>
            <w:tcW w:w="6061" w:type="dxa"/>
            <w:tcBorders/>
            <w:vAlign w:val="center"/>
          </w:tcPr>
          <w:p>
            <w:pPr>
              <w:pStyle w:val="TableContents"/>
              <w:widowControl w:val="false"/>
              <w:suppressLineNumbers/>
              <w:spacing w:before="0" w:after="200"/>
              <w:rPr/>
            </w:pPr>
            <w:r>
              <w:rPr/>
              <w:t>Individual actions derive meaning partly from the continuing story, commitments, roles, and direction of a life.</w:t>
            </w:r>
          </w:p>
        </w:tc>
      </w:tr>
      <w:tr>
        <w:trPr/>
        <w:tc>
          <w:tcPr>
            <w:tcW w:w="2579" w:type="dxa"/>
            <w:tcBorders/>
            <w:vAlign w:val="center"/>
          </w:tcPr>
          <w:p>
            <w:pPr>
              <w:pStyle w:val="TableContents"/>
              <w:widowControl w:val="false"/>
              <w:suppressLineNumbers/>
              <w:spacing w:before="0" w:after="200"/>
              <w:rPr/>
            </w:pPr>
            <w:r>
              <w:rPr/>
              <w:t>Moral education</w:t>
            </w:r>
          </w:p>
        </w:tc>
        <w:tc>
          <w:tcPr>
            <w:tcW w:w="6061" w:type="dxa"/>
            <w:tcBorders/>
            <w:vAlign w:val="center"/>
          </w:tcPr>
          <w:p>
            <w:pPr>
              <w:pStyle w:val="TableContents"/>
              <w:widowControl w:val="false"/>
              <w:suppressLineNumbers/>
              <w:spacing w:before="0" w:after="200"/>
              <w:rPr/>
            </w:pPr>
            <w:r>
              <w:rPr/>
              <w:t>Ethics should cultivate better Moral Agents, not merely classify actions after they occur.</w:t>
            </w:r>
          </w:p>
        </w:tc>
      </w:tr>
      <w:tr>
        <w:trPr/>
        <w:tc>
          <w:tcPr>
            <w:tcW w:w="2579" w:type="dxa"/>
            <w:tcBorders/>
            <w:vAlign w:val="center"/>
          </w:tcPr>
          <w:p>
            <w:pPr>
              <w:pStyle w:val="TableContents"/>
              <w:widowControl w:val="false"/>
              <w:suppressLineNumbers/>
              <w:spacing w:before="0" w:after="200"/>
              <w:rPr/>
            </w:pPr>
            <w:r>
              <w:rPr/>
              <w:t>Human form of life</w:t>
            </w:r>
          </w:p>
        </w:tc>
        <w:tc>
          <w:tcPr>
            <w:tcW w:w="6061" w:type="dxa"/>
            <w:tcBorders/>
            <w:vAlign w:val="center"/>
          </w:tcPr>
          <w:p>
            <w:pPr>
              <w:pStyle w:val="TableContents"/>
              <w:widowControl w:val="false"/>
              <w:suppressLineNumbers/>
              <w:spacing w:before="0" w:after="200"/>
              <w:rPr/>
            </w:pPr>
            <w:r>
              <w:rPr/>
              <w:t>Neo-Aristotelian approaches commonly connect human virtue to the needs, capacities, and characteristic activities of human beings.</w:t>
            </w:r>
          </w:p>
        </w:tc>
      </w:tr>
      <w:tr>
        <w:trPr/>
        <w:tc>
          <w:tcPr>
            <w:tcW w:w="2579" w:type="dxa"/>
            <w:tcBorders/>
            <w:vAlign w:val="center"/>
          </w:tcPr>
          <w:p>
            <w:pPr>
              <w:pStyle w:val="TableContents"/>
              <w:widowControl w:val="false"/>
              <w:suppressLineNumbers/>
              <w:spacing w:before="0" w:after="200"/>
              <w:rPr/>
            </w:pPr>
            <w:r>
              <w:rPr/>
              <w:t>Limits of behavioral inference</w:t>
            </w:r>
          </w:p>
        </w:tc>
        <w:tc>
          <w:tcPr>
            <w:tcW w:w="6061" w:type="dxa"/>
            <w:tcBorders/>
            <w:vAlign w:val="center"/>
          </w:tcPr>
          <w:p>
            <w:pPr>
              <w:pStyle w:val="TableContents"/>
              <w:widowControl w:val="false"/>
              <w:suppressLineNumbers/>
              <w:spacing w:before="0" w:after="200"/>
              <w:rPr/>
            </w:pPr>
            <w:r>
              <w:rPr/>
              <w:t>A single action may not demonstrate a stable virtue or vice, and situational factors can substantially influence conduct.</w:t>
            </w:r>
          </w:p>
        </w:tc>
      </w:tr>
    </w:tbl>
    <w:p>
      <w:pPr>
        <w:pStyle w:val="Heading4"/>
        <w:ind w:hanging="0" w:left="0"/>
        <w:rPr>
          <w:rFonts w:ascii="Aptos" w:hAnsi="Aptos"/>
          <w:color w:val="auto"/>
        </w:rPr>
      </w:pPr>
      <w:r>
        <w:rPr/>
        <w:t>Concepts Incorporated from This Ethical Model</w:t>
      </w:r>
    </w:p>
    <w:p>
      <w:pPr>
        <w:pStyle w:val="BodyText"/>
        <w:spacing w:before="0" w:after="200"/>
        <w:rPr/>
      </w:pPr>
      <w:r>
        <w:rPr/>
        <w:t>The proposed framework incorporates or adapts the following virtue-ethical concepts:</w:t>
      </w:r>
    </w:p>
    <w:p>
      <w:pPr>
        <w:pStyle w:val="BodyText"/>
        <w:numPr>
          <w:ilvl w:val="0"/>
          <w:numId w:val="41"/>
        </w:numPr>
        <w:tabs>
          <w:tab w:val="clear" w:pos="720"/>
          <w:tab w:val="left" w:pos="0" w:leader="none"/>
        </w:tabs>
        <w:spacing w:before="0" w:after="200"/>
        <w:ind w:hanging="283" w:left="709"/>
        <w:rPr/>
      </w:pPr>
      <w:r>
        <w:rPr/>
        <w:t>Long-Term Flourishing as a multidimensional and developmental moral objective.</w:t>
      </w:r>
    </w:p>
    <w:p>
      <w:pPr>
        <w:pStyle w:val="BodyText"/>
        <w:numPr>
          <w:ilvl w:val="0"/>
          <w:numId w:val="41"/>
        </w:numPr>
        <w:tabs>
          <w:tab w:val="clear" w:pos="720"/>
          <w:tab w:val="left" w:pos="0" w:leader="none"/>
        </w:tabs>
        <w:spacing w:before="0" w:after="200"/>
        <w:ind w:hanging="283" w:left="709"/>
        <w:rPr/>
      </w:pPr>
      <w:r>
        <w:rPr/>
        <w:t>Adaptive development of Moral Agents as part of the Foundational Axiom.</w:t>
      </w:r>
    </w:p>
    <w:p>
      <w:pPr>
        <w:pStyle w:val="BodyText"/>
        <w:numPr>
          <w:ilvl w:val="0"/>
          <w:numId w:val="41"/>
        </w:numPr>
        <w:tabs>
          <w:tab w:val="clear" w:pos="720"/>
          <w:tab w:val="left" w:pos="0" w:leader="none"/>
        </w:tabs>
        <w:spacing w:before="0" w:after="200"/>
        <w:ind w:hanging="283" w:left="709"/>
        <w:rPr/>
      </w:pPr>
      <w:r>
        <w:rPr/>
        <w:t>Actor Policy States as persistent dispositions influencing future choices.</w:t>
      </w:r>
    </w:p>
    <w:p>
      <w:pPr>
        <w:pStyle w:val="BodyText"/>
        <w:numPr>
          <w:ilvl w:val="0"/>
          <w:numId w:val="41"/>
        </w:numPr>
        <w:tabs>
          <w:tab w:val="clear" w:pos="720"/>
          <w:tab w:val="left" w:pos="0" w:leader="none"/>
        </w:tabs>
        <w:spacing w:before="0" w:after="200"/>
        <w:ind w:hanging="283" w:left="709"/>
        <w:rPr/>
      </w:pPr>
      <w:r>
        <w:rPr/>
        <w:t>Beneficial and detrimental Actor Policy Updates as results of action and habituation.</w:t>
      </w:r>
    </w:p>
    <w:p>
      <w:pPr>
        <w:pStyle w:val="BodyText"/>
        <w:numPr>
          <w:ilvl w:val="0"/>
          <w:numId w:val="41"/>
        </w:numPr>
        <w:tabs>
          <w:tab w:val="clear" w:pos="720"/>
          <w:tab w:val="left" w:pos="0" w:leader="none"/>
        </w:tabs>
        <w:spacing w:before="0" w:after="200"/>
        <w:ind w:hanging="283" w:left="709"/>
        <w:rPr/>
      </w:pPr>
      <w:r>
        <w:rPr/>
        <w:t>Distributed Policy Effects as mechanisms through which observers and institutions learn from conduct.</w:t>
      </w:r>
    </w:p>
    <w:p>
      <w:pPr>
        <w:pStyle w:val="BodyText"/>
        <w:numPr>
          <w:ilvl w:val="0"/>
          <w:numId w:val="41"/>
        </w:numPr>
        <w:tabs>
          <w:tab w:val="clear" w:pos="720"/>
          <w:tab w:val="left" w:pos="0" w:leader="none"/>
        </w:tabs>
        <w:spacing w:before="0" w:after="200"/>
        <w:ind w:hanging="283" w:left="709"/>
        <w:rPr/>
      </w:pPr>
      <w:r>
        <w:rPr/>
        <w:t>Situational Context as the environment in which practical judgment occurs.</w:t>
      </w:r>
    </w:p>
    <w:p>
      <w:pPr>
        <w:pStyle w:val="BodyText"/>
        <w:numPr>
          <w:ilvl w:val="0"/>
          <w:numId w:val="41"/>
        </w:numPr>
        <w:tabs>
          <w:tab w:val="clear" w:pos="720"/>
          <w:tab w:val="left" w:pos="0" w:leader="none"/>
        </w:tabs>
        <w:spacing w:before="0" w:after="200"/>
        <w:ind w:hanging="283" w:left="709"/>
        <w:rPr/>
      </w:pPr>
      <w:r>
        <w:rPr/>
        <w:t>Objectives and intentions as indicators of motivation.</w:t>
      </w:r>
    </w:p>
    <w:p>
      <w:pPr>
        <w:pStyle w:val="BodyText"/>
        <w:numPr>
          <w:ilvl w:val="0"/>
          <w:numId w:val="41"/>
        </w:numPr>
        <w:tabs>
          <w:tab w:val="clear" w:pos="720"/>
          <w:tab w:val="left" w:pos="0" w:leader="none"/>
        </w:tabs>
        <w:spacing w:before="0" w:after="200"/>
        <w:ind w:hanging="283" w:left="709"/>
        <w:rPr/>
      </w:pPr>
      <w:r>
        <w:rPr/>
        <w:t>Multiple Assessment Horizons as a basis for evaluating long-term character development.</w:t>
      </w:r>
    </w:p>
    <w:p>
      <w:pPr>
        <w:pStyle w:val="BodyText"/>
        <w:numPr>
          <w:ilvl w:val="0"/>
          <w:numId w:val="41"/>
        </w:numPr>
        <w:tabs>
          <w:tab w:val="clear" w:pos="720"/>
          <w:tab w:val="left" w:pos="0" w:leader="none"/>
        </w:tabs>
        <w:spacing w:before="0" w:after="200"/>
        <w:ind w:hanging="283" w:left="709"/>
        <w:rPr/>
      </w:pPr>
      <w:r>
        <w:rPr/>
        <w:t>Persistent Patterns as representations of continuity through time.</w:t>
      </w:r>
    </w:p>
    <w:p>
      <w:pPr>
        <w:pStyle w:val="BodyText"/>
        <w:numPr>
          <w:ilvl w:val="0"/>
          <w:numId w:val="41"/>
        </w:numPr>
        <w:tabs>
          <w:tab w:val="clear" w:pos="720"/>
          <w:tab w:val="left" w:pos="0" w:leader="none"/>
        </w:tabs>
        <w:spacing w:before="0" w:after="200"/>
        <w:ind w:hanging="283" w:left="709"/>
        <w:rPr/>
      </w:pPr>
      <w:r>
        <w:rPr/>
        <w:t>Associations and institutions as social environments that cultivate or corrupt conduct.</w:t>
      </w:r>
    </w:p>
    <w:p>
      <w:pPr>
        <w:pStyle w:val="BodyText"/>
        <w:numPr>
          <w:ilvl w:val="0"/>
          <w:numId w:val="41"/>
        </w:numPr>
        <w:tabs>
          <w:tab w:val="clear" w:pos="720"/>
          <w:tab w:val="left" w:pos="0" w:leader="none"/>
        </w:tabs>
        <w:spacing w:before="0" w:after="200"/>
        <w:ind w:hanging="283" w:left="709"/>
        <w:rPr/>
      </w:pPr>
      <w:r>
        <w:rPr/>
        <w:t>Recognition that means affect the Actor and other Moral Agents, not merely the immediate outcome.</w:t>
      </w:r>
    </w:p>
    <w:p>
      <w:pPr>
        <w:pStyle w:val="BodyText"/>
        <w:numPr>
          <w:ilvl w:val="0"/>
          <w:numId w:val="41"/>
        </w:numPr>
        <w:tabs>
          <w:tab w:val="clear" w:pos="720"/>
          <w:tab w:val="left" w:pos="0" w:leader="none"/>
        </w:tabs>
        <w:spacing w:before="0" w:after="200"/>
        <w:ind w:hanging="283" w:left="709"/>
        <w:rPr/>
      </w:pPr>
      <w:r>
        <w:rPr/>
        <w:t>The ability to represent virtues, vices, emotional states, moral exemplars, practices, and standards of excellence as extensible architectural elements.</w:t>
      </w:r>
    </w:p>
    <w:p>
      <w:pPr>
        <w:pStyle w:val="BodyText"/>
        <w:numPr>
          <w:ilvl w:val="0"/>
          <w:numId w:val="41"/>
        </w:numPr>
        <w:tabs>
          <w:tab w:val="clear" w:pos="720"/>
          <w:tab w:val="left" w:pos="0" w:leader="none"/>
        </w:tabs>
        <w:spacing w:before="0" w:after="200"/>
        <w:ind w:hanging="283" w:left="709"/>
        <w:rPr/>
      </w:pPr>
      <w:r>
        <w:rPr/>
        <w:t>Recursive assessment in which each action changes the conditions and policies governing future action.</w:t>
      </w:r>
    </w:p>
    <w:p>
      <w:pPr>
        <w:pStyle w:val="BodyText"/>
        <w:spacing w:before="0" w:after="200"/>
        <w:rPr/>
      </w:pPr>
      <w:r>
        <w:rPr/>
        <w:t xml:space="preserve">These concepts create a substantial relationship with virtue ethics. Their inclusion does not yet establish that virtue, practical wisdom, or human </w:t>
      </w:r>
      <w:r>
        <w:rPr>
          <w:rStyle w:val="Emphasis"/>
        </w:rPr>
        <w:t>eudaimonia</w:t>
      </w:r>
      <w:r>
        <w:rPr/>
        <w:t xml:space="preserve"> has independent normative authority within the framework.</w:t>
      </w:r>
    </w:p>
    <w:p>
      <w:pPr>
        <w:pStyle w:val="Heading4"/>
        <w:ind w:hanging="0" w:left="0"/>
        <w:rPr>
          <w:rFonts w:ascii="Aptos" w:hAnsi="Aptos"/>
          <w:color w:val="auto"/>
        </w:rPr>
      </w:pPr>
      <w:r>
        <w:rPr/>
        <w:t>How This Framework Addresses Those Assumptions</w:t>
      </w:r>
    </w:p>
    <w:tbl>
      <w:tblPr>
        <w:tblW w:w="8640" w:type="dxa"/>
        <w:jc w:val="left"/>
        <w:tblInd w:w="28" w:type="dxa"/>
        <w:tblLayout w:type="fixed"/>
        <w:tblCellMar>
          <w:top w:w="28" w:type="dxa"/>
          <w:left w:w="28" w:type="dxa"/>
          <w:bottom w:w="28" w:type="dxa"/>
          <w:right w:w="28" w:type="dxa"/>
        </w:tblCellMar>
      </w:tblPr>
      <w:tblGrid>
        <w:gridCol w:w="2330"/>
        <w:gridCol w:w="6310"/>
      </w:tblGrid>
      <w:tr>
        <w:trPr>
          <w:tblHeader w:val="true"/>
        </w:trPr>
        <w:tc>
          <w:tcPr>
            <w:tcW w:w="2330" w:type="dxa"/>
            <w:tcBorders/>
            <w:vAlign w:val="center"/>
          </w:tcPr>
          <w:p>
            <w:pPr>
              <w:pStyle w:val="TableHeading"/>
              <w:suppressLineNumbers/>
              <w:spacing w:before="0" w:after="200"/>
              <w:jc w:val="center"/>
              <w:rPr/>
            </w:pPr>
            <w:r>
              <w:rPr/>
              <w:t>Virtue-ethical assumption</w:t>
            </w:r>
          </w:p>
        </w:tc>
        <w:tc>
          <w:tcPr>
            <w:tcW w:w="6310" w:type="dxa"/>
            <w:tcBorders/>
            <w:vAlign w:val="center"/>
          </w:tcPr>
          <w:p>
            <w:pPr>
              <w:pStyle w:val="TableHeading"/>
              <w:suppressLineNumbers/>
              <w:spacing w:before="0" w:after="200"/>
              <w:jc w:val="center"/>
              <w:rPr/>
            </w:pPr>
            <w:r>
              <w:rPr/>
              <w:t>Current treatment within the framework</w:t>
            </w:r>
          </w:p>
        </w:tc>
      </w:tr>
      <w:tr>
        <w:trPr/>
        <w:tc>
          <w:tcPr>
            <w:tcW w:w="2330" w:type="dxa"/>
            <w:tcBorders/>
            <w:vAlign w:val="center"/>
          </w:tcPr>
          <w:p>
            <w:pPr>
              <w:pStyle w:val="TableContents"/>
              <w:widowControl w:val="false"/>
              <w:suppressLineNumbers/>
              <w:spacing w:before="0" w:after="200"/>
              <w:rPr/>
            </w:pPr>
            <w:r>
              <w:rPr/>
              <w:t>Character-centered assessment</w:t>
            </w:r>
          </w:p>
        </w:tc>
        <w:tc>
          <w:tcPr>
            <w:tcW w:w="6310" w:type="dxa"/>
            <w:tcBorders/>
            <w:vAlign w:val="center"/>
          </w:tcPr>
          <w:p>
            <w:pPr>
              <w:pStyle w:val="TableContents"/>
              <w:widowControl w:val="false"/>
              <w:suppressLineNumbers/>
              <w:spacing w:before="0" w:after="200"/>
              <w:rPr/>
            </w:pPr>
            <w:r>
              <w:rPr/>
              <w:t>Character can be represented through Actor Policy States and longitudinal policy patterns, but the World Context Transition remains primary.</w:t>
            </w:r>
          </w:p>
        </w:tc>
      </w:tr>
      <w:tr>
        <w:trPr/>
        <w:tc>
          <w:tcPr>
            <w:tcW w:w="2330" w:type="dxa"/>
            <w:tcBorders/>
            <w:vAlign w:val="center"/>
          </w:tcPr>
          <w:p>
            <w:pPr>
              <w:pStyle w:val="TableContents"/>
              <w:widowControl w:val="false"/>
              <w:suppressLineNumbers/>
              <w:spacing w:before="0" w:after="200"/>
              <w:rPr/>
            </w:pPr>
            <w:r>
              <w:rPr/>
              <w:t>Stable virtues</w:t>
            </w:r>
          </w:p>
        </w:tc>
        <w:tc>
          <w:tcPr>
            <w:tcW w:w="6310" w:type="dxa"/>
            <w:tcBorders/>
            <w:vAlign w:val="center"/>
          </w:tcPr>
          <w:p>
            <w:pPr>
              <w:pStyle w:val="TableContents"/>
              <w:widowControl w:val="false"/>
              <w:suppressLineNumbers/>
              <w:spacing w:before="0" w:after="200"/>
              <w:rPr/>
            </w:pPr>
            <w:r>
              <w:rPr/>
              <w:t>Persistent Policy States can represent dispositions across situations, although stability and cross-situational consistency require evidence.</w:t>
            </w:r>
          </w:p>
        </w:tc>
      </w:tr>
      <w:tr>
        <w:trPr/>
        <w:tc>
          <w:tcPr>
            <w:tcW w:w="2330" w:type="dxa"/>
            <w:tcBorders/>
            <w:vAlign w:val="center"/>
          </w:tcPr>
          <w:p>
            <w:pPr>
              <w:pStyle w:val="TableContents"/>
              <w:widowControl w:val="false"/>
              <w:suppressLineNumbers/>
              <w:spacing w:before="0" w:after="200"/>
              <w:rPr/>
            </w:pPr>
            <w:r>
              <w:rPr/>
              <w:t>Eudaimonia</w:t>
            </w:r>
          </w:p>
        </w:tc>
        <w:tc>
          <w:tcPr>
            <w:tcW w:w="6310" w:type="dxa"/>
            <w:tcBorders/>
            <w:vAlign w:val="center"/>
          </w:tcPr>
          <w:p>
            <w:pPr>
              <w:pStyle w:val="TableContents"/>
              <w:widowControl w:val="false"/>
              <w:suppressLineNumbers/>
              <w:spacing w:before="0" w:after="200"/>
              <w:rPr/>
            </w:pPr>
            <w:r>
              <w:rPr/>
              <w:t xml:space="preserve">Long-Term Flourishing incorporates sustained development but applies beyond human life and differs from classical </w:t>
            </w:r>
            <w:r>
              <w:rPr>
                <w:rStyle w:val="Emphasis"/>
              </w:rPr>
              <w:t>eudaimonia</w:t>
            </w:r>
            <w:r>
              <w:rPr/>
              <w:t>.</w:t>
            </w:r>
          </w:p>
        </w:tc>
      </w:tr>
      <w:tr>
        <w:trPr/>
        <w:tc>
          <w:tcPr>
            <w:tcW w:w="2330" w:type="dxa"/>
            <w:tcBorders/>
            <w:vAlign w:val="center"/>
          </w:tcPr>
          <w:p>
            <w:pPr>
              <w:pStyle w:val="TableContents"/>
              <w:widowControl w:val="false"/>
              <w:suppressLineNumbers/>
              <w:spacing w:before="0" w:after="200"/>
              <w:rPr/>
            </w:pPr>
            <w:r>
              <w:rPr/>
              <w:t>Virtue as constitutive</w:t>
            </w:r>
          </w:p>
        </w:tc>
        <w:tc>
          <w:tcPr>
            <w:tcW w:w="6310" w:type="dxa"/>
            <w:tcBorders/>
            <w:vAlign w:val="center"/>
          </w:tcPr>
          <w:p>
            <w:pPr>
              <w:pStyle w:val="TableContents"/>
              <w:widowControl w:val="false"/>
              <w:suppressLineNumbers/>
              <w:spacing w:before="0" w:after="200"/>
              <w:rPr/>
            </w:pPr>
            <w:r>
              <w:rPr/>
              <w:t>Virtuous conduct can be represented as part of flourishing, but the framework has not established which virtues are constitutive rather than instrumentally beneficial.</w:t>
            </w:r>
          </w:p>
        </w:tc>
      </w:tr>
      <w:tr>
        <w:trPr/>
        <w:tc>
          <w:tcPr>
            <w:tcW w:w="2330" w:type="dxa"/>
            <w:tcBorders/>
            <w:vAlign w:val="center"/>
          </w:tcPr>
          <w:p>
            <w:pPr>
              <w:pStyle w:val="TableContents"/>
              <w:widowControl w:val="false"/>
              <w:suppressLineNumbers/>
              <w:spacing w:before="0" w:after="200"/>
              <w:rPr/>
            </w:pPr>
            <w:r>
              <w:rPr/>
              <w:t>Practical wisdom</w:t>
            </w:r>
          </w:p>
        </w:tc>
        <w:tc>
          <w:tcPr>
            <w:tcW w:w="6310" w:type="dxa"/>
            <w:tcBorders/>
            <w:vAlign w:val="center"/>
          </w:tcPr>
          <w:p>
            <w:pPr>
              <w:pStyle w:val="TableContents"/>
              <w:widowControl w:val="false"/>
              <w:suppressLineNumbers/>
              <w:spacing w:before="0" w:after="200"/>
              <w:rPr/>
            </w:pPr>
            <w:r>
              <w:rPr/>
              <w:t xml:space="preserve">Context selection, proportionality, uncertainty assessment, and action comparison partially model practical judgment. They do not fully capture </w:t>
            </w:r>
            <w:r>
              <w:rPr>
                <w:rStyle w:val="Emphasis"/>
              </w:rPr>
              <w:t>phronesis</w:t>
            </w:r>
            <w:r>
              <w:rPr/>
              <w:t>.</w:t>
            </w:r>
          </w:p>
        </w:tc>
      </w:tr>
      <w:tr>
        <w:trPr/>
        <w:tc>
          <w:tcPr>
            <w:tcW w:w="2330" w:type="dxa"/>
            <w:tcBorders/>
            <w:vAlign w:val="center"/>
          </w:tcPr>
          <w:p>
            <w:pPr>
              <w:pStyle w:val="TableContents"/>
              <w:widowControl w:val="false"/>
              <w:suppressLineNumbers/>
              <w:spacing w:before="0" w:after="200"/>
              <w:rPr/>
            </w:pPr>
            <w:r>
              <w:rPr/>
              <w:t>Moral perception</w:t>
            </w:r>
          </w:p>
        </w:tc>
        <w:tc>
          <w:tcPr>
            <w:tcW w:w="6310" w:type="dxa"/>
            <w:tcBorders/>
            <w:vAlign w:val="center"/>
          </w:tcPr>
          <w:p>
            <w:pPr>
              <w:pStyle w:val="TableContents"/>
              <w:widowControl w:val="false"/>
              <w:suppressLineNumbers/>
              <w:spacing w:before="0" w:after="200"/>
              <w:rPr/>
            </w:pPr>
            <w:r>
              <w:rPr/>
              <w:t>Selection of relevant Objects, Associations, harms, vulnerabilities, and Assessment Horizons represents moral salience, although the selection process remains vulnerable to omission and bias.</w:t>
            </w:r>
          </w:p>
        </w:tc>
      </w:tr>
      <w:tr>
        <w:trPr/>
        <w:tc>
          <w:tcPr>
            <w:tcW w:w="2330" w:type="dxa"/>
            <w:tcBorders/>
            <w:vAlign w:val="center"/>
          </w:tcPr>
          <w:p>
            <w:pPr>
              <w:pStyle w:val="TableContents"/>
              <w:widowControl w:val="false"/>
              <w:suppressLineNumbers/>
              <w:spacing w:before="0" w:after="200"/>
              <w:rPr/>
            </w:pPr>
            <w:r>
              <w:rPr/>
              <w:t>Motivation</w:t>
            </w:r>
          </w:p>
        </w:tc>
        <w:tc>
          <w:tcPr>
            <w:tcW w:w="6310" w:type="dxa"/>
            <w:tcBorders/>
            <w:vAlign w:val="center"/>
          </w:tcPr>
          <w:p>
            <w:pPr>
              <w:pStyle w:val="TableContents"/>
              <w:widowControl w:val="false"/>
              <w:suppressLineNumbers/>
              <w:spacing w:before="0" w:after="200"/>
              <w:rPr/>
            </w:pPr>
            <w:r>
              <w:rPr/>
              <w:t>Objectives, intentions, incentives, and Actor Policy States can distinguish some motivations, but internal reasons may remain uncertain.</w:t>
            </w:r>
          </w:p>
        </w:tc>
      </w:tr>
      <w:tr>
        <w:trPr/>
        <w:tc>
          <w:tcPr>
            <w:tcW w:w="2330" w:type="dxa"/>
            <w:tcBorders/>
            <w:vAlign w:val="center"/>
          </w:tcPr>
          <w:p>
            <w:pPr>
              <w:pStyle w:val="TableContents"/>
              <w:widowControl w:val="false"/>
              <w:suppressLineNumbers/>
              <w:spacing w:before="0" w:after="200"/>
              <w:rPr/>
            </w:pPr>
            <w:r>
              <w:rPr/>
              <w:t>Emotion</w:t>
            </w:r>
          </w:p>
        </w:tc>
        <w:tc>
          <w:tcPr>
            <w:tcW w:w="6310" w:type="dxa"/>
            <w:tcBorders/>
            <w:vAlign w:val="center"/>
          </w:tcPr>
          <w:p>
            <w:pPr>
              <w:pStyle w:val="TableContents"/>
              <w:widowControl w:val="false"/>
              <w:suppressLineNumbers/>
              <w:spacing w:before="0" w:after="200"/>
              <w:rPr/>
            </w:pPr>
            <w:r>
              <w:rPr/>
              <w:t>Emotional states can be added as state variables, but the present architecture does not treat educated emotion as a core component of virtue.</w:t>
            </w:r>
          </w:p>
        </w:tc>
      </w:tr>
      <w:tr>
        <w:trPr/>
        <w:tc>
          <w:tcPr>
            <w:tcW w:w="2330" w:type="dxa"/>
            <w:tcBorders/>
            <w:vAlign w:val="center"/>
          </w:tcPr>
          <w:p>
            <w:pPr>
              <w:pStyle w:val="TableContents"/>
              <w:widowControl w:val="false"/>
              <w:suppressLineNumbers/>
              <w:spacing w:before="0" w:after="200"/>
              <w:rPr/>
            </w:pPr>
            <w:r>
              <w:rPr/>
              <w:t>Habituation</w:t>
            </w:r>
          </w:p>
        </w:tc>
        <w:tc>
          <w:tcPr>
            <w:tcW w:w="6310" w:type="dxa"/>
            <w:tcBorders/>
            <w:vAlign w:val="center"/>
          </w:tcPr>
          <w:p>
            <w:pPr>
              <w:pStyle w:val="TableContents"/>
              <w:widowControl w:val="false"/>
              <w:suppressLineNumbers/>
              <w:spacing w:before="0" w:after="200"/>
              <w:rPr/>
            </w:pPr>
            <w:r>
              <w:rPr/>
              <w:t>Actor and Distributed Policy Updates explicitly represent how actions reinforce future dispositions.</w:t>
            </w:r>
          </w:p>
        </w:tc>
      </w:tr>
      <w:tr>
        <w:trPr/>
        <w:tc>
          <w:tcPr>
            <w:tcW w:w="2330" w:type="dxa"/>
            <w:tcBorders/>
            <w:vAlign w:val="center"/>
          </w:tcPr>
          <w:p>
            <w:pPr>
              <w:pStyle w:val="TableContents"/>
              <w:widowControl w:val="false"/>
              <w:suppressLineNumbers/>
              <w:spacing w:before="0" w:after="200"/>
              <w:rPr/>
            </w:pPr>
            <w:r>
              <w:rPr/>
              <w:t>Doctrine of the mean</w:t>
            </w:r>
          </w:p>
        </w:tc>
        <w:tc>
          <w:tcPr>
            <w:tcW w:w="6310" w:type="dxa"/>
            <w:tcBorders/>
            <w:vAlign w:val="center"/>
          </w:tcPr>
          <w:p>
            <w:pPr>
              <w:pStyle w:val="TableContents"/>
              <w:widowControl w:val="false"/>
              <w:suppressLineNumbers/>
              <w:spacing w:before="0" w:after="200"/>
              <w:rPr/>
            </w:pPr>
            <w:r>
              <w:rPr/>
              <w:t>Context-sensitive thresholds and proportionality can represent excess and deficiency, but no virtue-specific mean analysis is required.</w:t>
            </w:r>
          </w:p>
        </w:tc>
      </w:tr>
      <w:tr>
        <w:trPr/>
        <w:tc>
          <w:tcPr>
            <w:tcW w:w="2330" w:type="dxa"/>
            <w:tcBorders/>
            <w:vAlign w:val="center"/>
          </w:tcPr>
          <w:p>
            <w:pPr>
              <w:pStyle w:val="TableContents"/>
              <w:widowControl w:val="false"/>
              <w:suppressLineNumbers/>
              <w:spacing w:before="0" w:after="200"/>
              <w:rPr/>
            </w:pPr>
            <w:r>
              <w:rPr/>
              <w:t>Whole-life development</w:t>
            </w:r>
          </w:p>
        </w:tc>
        <w:tc>
          <w:tcPr>
            <w:tcW w:w="6310" w:type="dxa"/>
            <w:tcBorders/>
            <w:vAlign w:val="center"/>
          </w:tcPr>
          <w:p>
            <w:pPr>
              <w:pStyle w:val="TableContents"/>
              <w:widowControl w:val="false"/>
              <w:suppressLineNumbers/>
              <w:spacing w:before="0" w:after="200"/>
              <w:rPr/>
            </w:pPr>
            <w:r>
              <w:rPr/>
              <w:t>Recursive transitions and multiple horizons permit longitudinal assessment of the Actor.</w:t>
            </w:r>
          </w:p>
        </w:tc>
      </w:tr>
      <w:tr>
        <w:trPr/>
        <w:tc>
          <w:tcPr>
            <w:tcW w:w="2330" w:type="dxa"/>
            <w:tcBorders/>
            <w:vAlign w:val="center"/>
          </w:tcPr>
          <w:p>
            <w:pPr>
              <w:pStyle w:val="TableContents"/>
              <w:widowControl w:val="false"/>
              <w:suppressLineNumbers/>
              <w:spacing w:before="0" w:after="200"/>
              <w:rPr/>
            </w:pPr>
            <w:r>
              <w:rPr/>
              <w:t>Interaction of virtues</w:t>
            </w:r>
          </w:p>
        </w:tc>
        <w:tc>
          <w:tcPr>
            <w:tcW w:w="6310" w:type="dxa"/>
            <w:tcBorders/>
            <w:vAlign w:val="center"/>
          </w:tcPr>
          <w:p>
            <w:pPr>
              <w:pStyle w:val="TableContents"/>
              <w:widowControl w:val="false"/>
              <w:suppressLineNumbers/>
              <w:spacing w:before="0" w:after="200"/>
              <w:rPr/>
            </w:pPr>
            <w:r>
              <w:rPr/>
              <w:t>Multiple virtues and vices can be represented simultaneously, but their interdependence and conflicts are not formalized.</w:t>
            </w:r>
          </w:p>
        </w:tc>
      </w:tr>
      <w:tr>
        <w:trPr/>
        <w:tc>
          <w:tcPr>
            <w:tcW w:w="2330" w:type="dxa"/>
            <w:tcBorders/>
            <w:vAlign w:val="center"/>
          </w:tcPr>
          <w:p>
            <w:pPr>
              <w:pStyle w:val="TableContents"/>
              <w:widowControl w:val="false"/>
              <w:suppressLineNumbers/>
              <w:spacing w:before="0" w:after="200"/>
              <w:rPr/>
            </w:pPr>
            <w:r>
              <w:rPr/>
              <w:t>Exemplars</w:t>
            </w:r>
          </w:p>
        </w:tc>
        <w:tc>
          <w:tcPr>
            <w:tcW w:w="6310" w:type="dxa"/>
            <w:tcBorders/>
            <w:vAlign w:val="center"/>
          </w:tcPr>
          <w:p>
            <w:pPr>
              <w:pStyle w:val="TableContents"/>
              <w:widowControl w:val="false"/>
              <w:suppressLineNumbers/>
              <w:spacing w:before="0" w:after="200"/>
              <w:rPr/>
            </w:pPr>
            <w:r>
              <w:rPr/>
              <w:t>Reference cases and exemplary policy patterns can be incorporated, but exemplar selection and validation remain implementation questions.</w:t>
            </w:r>
          </w:p>
        </w:tc>
      </w:tr>
      <w:tr>
        <w:trPr/>
        <w:tc>
          <w:tcPr>
            <w:tcW w:w="2330" w:type="dxa"/>
            <w:tcBorders/>
            <w:vAlign w:val="center"/>
          </w:tcPr>
          <w:p>
            <w:pPr>
              <w:pStyle w:val="TableContents"/>
              <w:widowControl w:val="false"/>
              <w:suppressLineNumbers/>
              <w:spacing w:before="0" w:after="200"/>
              <w:rPr/>
            </w:pPr>
            <w:r>
              <w:rPr/>
              <w:t>Practices and internal goods</w:t>
            </w:r>
          </w:p>
        </w:tc>
        <w:tc>
          <w:tcPr>
            <w:tcW w:w="6310" w:type="dxa"/>
            <w:tcBorders/>
            <w:vAlign w:val="center"/>
          </w:tcPr>
          <w:p>
            <w:pPr>
              <w:pStyle w:val="TableContents"/>
              <w:widowControl w:val="false"/>
              <w:suppressLineNumbers/>
              <w:spacing w:before="0" w:after="200"/>
              <w:rPr/>
            </w:pPr>
            <w:r>
              <w:rPr/>
              <w:t>Institutions, domain objectives, Associations, and objective hierarchies can represent practices and their purposes.</w:t>
            </w:r>
          </w:p>
        </w:tc>
      </w:tr>
      <w:tr>
        <w:trPr/>
        <w:tc>
          <w:tcPr>
            <w:tcW w:w="2330" w:type="dxa"/>
            <w:tcBorders/>
            <w:vAlign w:val="center"/>
          </w:tcPr>
          <w:p>
            <w:pPr>
              <w:pStyle w:val="TableContents"/>
              <w:widowControl w:val="false"/>
              <w:suppressLineNumbers/>
              <w:spacing w:before="0" w:after="200"/>
              <w:rPr/>
            </w:pPr>
            <w:r>
              <w:rPr/>
              <w:t>Community and tradition</w:t>
            </w:r>
          </w:p>
        </w:tc>
        <w:tc>
          <w:tcPr>
            <w:tcW w:w="6310" w:type="dxa"/>
            <w:tcBorders/>
            <w:vAlign w:val="center"/>
          </w:tcPr>
          <w:p>
            <w:pPr>
              <w:pStyle w:val="TableContents"/>
              <w:widowControl w:val="false"/>
              <w:suppressLineNumbers/>
              <w:spacing w:before="0" w:after="200"/>
              <w:rPr/>
            </w:pPr>
            <w:r>
              <w:rPr/>
              <w:t>The World Context can include cultural norms, institutions, inherited policy states, and historical relationships.</w:t>
            </w:r>
          </w:p>
        </w:tc>
      </w:tr>
      <w:tr>
        <w:trPr/>
        <w:tc>
          <w:tcPr>
            <w:tcW w:w="2330" w:type="dxa"/>
            <w:tcBorders/>
            <w:vAlign w:val="center"/>
          </w:tcPr>
          <w:p>
            <w:pPr>
              <w:pStyle w:val="TableContents"/>
              <w:widowControl w:val="false"/>
              <w:suppressLineNumbers/>
              <w:spacing w:before="0" w:after="200"/>
              <w:rPr/>
            </w:pPr>
            <w:r>
              <w:rPr/>
              <w:t>Narrative unity</w:t>
            </w:r>
          </w:p>
        </w:tc>
        <w:tc>
          <w:tcPr>
            <w:tcW w:w="6310" w:type="dxa"/>
            <w:tcBorders/>
            <w:vAlign w:val="center"/>
          </w:tcPr>
          <w:p>
            <w:pPr>
              <w:pStyle w:val="TableContents"/>
              <w:widowControl w:val="false"/>
              <w:suppressLineNumbers/>
              <w:spacing w:before="0" w:after="200"/>
              <w:rPr/>
            </w:pPr>
            <w:r>
              <w:rPr/>
              <w:t>Persistent Patterns and transition histories can represent continuity, although narrative interpretation is not yet a defined methodology.</w:t>
            </w:r>
          </w:p>
        </w:tc>
      </w:tr>
      <w:tr>
        <w:trPr/>
        <w:tc>
          <w:tcPr>
            <w:tcW w:w="2330" w:type="dxa"/>
            <w:tcBorders/>
            <w:vAlign w:val="center"/>
          </w:tcPr>
          <w:p>
            <w:pPr>
              <w:pStyle w:val="TableContents"/>
              <w:widowControl w:val="false"/>
              <w:suppressLineNumbers/>
              <w:spacing w:before="0" w:after="200"/>
              <w:rPr/>
            </w:pPr>
            <w:r>
              <w:rPr/>
              <w:t>Moral education</w:t>
            </w:r>
          </w:p>
        </w:tc>
        <w:tc>
          <w:tcPr>
            <w:tcW w:w="6310" w:type="dxa"/>
            <w:tcBorders/>
            <w:vAlign w:val="center"/>
          </w:tcPr>
          <w:p>
            <w:pPr>
              <w:pStyle w:val="TableContents"/>
              <w:widowControl w:val="false"/>
              <w:suppressLineNumbers/>
              <w:spacing w:before="0" w:after="200"/>
              <w:rPr/>
            </w:pPr>
            <w:r>
              <w:rPr/>
              <w:t>Distributed Policy Effects can identify what actions teach or normalize, but the framework does not yet specify a program of moral formation.</w:t>
            </w:r>
          </w:p>
        </w:tc>
      </w:tr>
      <w:tr>
        <w:trPr/>
        <w:tc>
          <w:tcPr>
            <w:tcW w:w="2330" w:type="dxa"/>
            <w:tcBorders/>
            <w:vAlign w:val="center"/>
          </w:tcPr>
          <w:p>
            <w:pPr>
              <w:pStyle w:val="TableContents"/>
              <w:widowControl w:val="false"/>
              <w:suppressLineNumbers/>
              <w:spacing w:before="0" w:after="200"/>
              <w:rPr/>
            </w:pPr>
            <w:r>
              <w:rPr/>
              <w:t>Human form of life</w:t>
            </w:r>
          </w:p>
        </w:tc>
        <w:tc>
          <w:tcPr>
            <w:tcW w:w="6310" w:type="dxa"/>
            <w:tcBorders/>
            <w:vAlign w:val="center"/>
          </w:tcPr>
          <w:p>
            <w:pPr>
              <w:pStyle w:val="TableContents"/>
              <w:widowControl w:val="false"/>
              <w:suppressLineNumbers/>
              <w:spacing w:before="0" w:after="200"/>
              <w:rPr/>
            </w:pPr>
            <w:r>
              <w:rPr/>
              <w:t>Domain-specific flourishing models can incorporate human capacities and needs, while the general architecture remains entity-neutral.</w:t>
            </w:r>
          </w:p>
        </w:tc>
      </w:tr>
      <w:tr>
        <w:trPr/>
        <w:tc>
          <w:tcPr>
            <w:tcW w:w="2330" w:type="dxa"/>
            <w:tcBorders/>
            <w:vAlign w:val="center"/>
          </w:tcPr>
          <w:p>
            <w:pPr>
              <w:pStyle w:val="TableContents"/>
              <w:widowControl w:val="false"/>
              <w:suppressLineNumbers/>
              <w:spacing w:before="0" w:after="200"/>
              <w:rPr/>
            </w:pPr>
            <w:r>
              <w:rPr/>
              <w:t>Limits of behavioral inference</w:t>
            </w:r>
          </w:p>
        </w:tc>
        <w:tc>
          <w:tcPr>
            <w:tcW w:w="6310" w:type="dxa"/>
            <w:tcBorders/>
            <w:vAlign w:val="center"/>
          </w:tcPr>
          <w:p>
            <w:pPr>
              <w:pStyle w:val="TableContents"/>
              <w:widowControl w:val="false"/>
              <w:suppressLineNumbers/>
              <w:spacing w:before="0" w:after="200"/>
              <w:rPr/>
            </w:pPr>
            <w:r>
              <w:rPr/>
              <w:t>Confidence estimates and longitudinal evidence can limit overgeneralization, but no formal character-attribution standard has been established.</w:t>
            </w:r>
          </w:p>
        </w:tc>
      </w:tr>
    </w:tbl>
    <w:p>
      <w:pPr>
        <w:pStyle w:val="Heading4"/>
        <w:ind w:hanging="0" w:left="0"/>
        <w:rPr>
          <w:rFonts w:ascii="Aptos" w:hAnsi="Aptos"/>
          <w:color w:val="auto"/>
        </w:rPr>
      </w:pPr>
      <w:r>
        <w:rPr/>
        <w:t>Counterargument</w:t>
      </w:r>
    </w:p>
    <w:p>
      <w:pPr>
        <w:pStyle w:val="BodyText"/>
        <w:spacing w:before="0" w:after="200"/>
        <w:rPr/>
      </w:pPr>
      <w:r>
        <w:rPr/>
        <w:t>The proposed framework can respond that virtue ethics and World Context assessment address different but complementary moral questions. Virtue ethics asks what kind of Moral Agent should act and how that Agent should deliberate. The framework asks how an action changes the broader system, including entities that may never interact directly with the Actor. A virtuous intention does not eliminate the need to investigate foreseeable harm, institutional effects, or catastrophic consequences.</w:t>
      </w:r>
    </w:p>
    <w:p>
      <w:pPr>
        <w:pStyle w:val="BodyText"/>
        <w:spacing w:before="0" w:after="200"/>
        <w:rPr/>
      </w:pPr>
      <w:r>
        <w:rPr/>
        <w:t>The framework does not require character to be reduced to observable behavior. Actor Policy States can include motivation, emotional disposition, moral perception, reasoning competence, prior commitments, and responsiveness to correction. Some of these states will be difficult to observe, but explicit uncertainty is preferable to excluding them from the model.</w:t>
      </w:r>
    </w:p>
    <w:p>
      <w:pPr>
        <w:pStyle w:val="BodyText"/>
        <w:spacing w:before="0" w:after="200"/>
        <w:rPr/>
      </w:pPr>
      <w:r>
        <w:rPr/>
        <w:t>Computational representability also need not imply that practical wisdom can be completely converted into an algorithm. The architecture can represent judgments, qualitative classifications, unresolved ambiguity, expert interpretations, and human review. Its requirement is that the basis of the judgment be made sufficiently explicit for inspection—not that every virtue be assigned a numerical score.</w:t>
      </w:r>
    </w:p>
    <w:p>
      <w:pPr>
        <w:pStyle w:val="BodyText"/>
        <w:spacing w:before="0" w:after="200"/>
        <w:rPr/>
      </w:pPr>
      <w:r>
        <w:rPr/>
        <w:t>The framework can further distinguish four related assessments:</w:t>
      </w:r>
    </w:p>
    <w:p>
      <w:pPr>
        <w:pStyle w:val="BodyText"/>
        <w:numPr>
          <w:ilvl w:val="0"/>
          <w:numId w:val="42"/>
        </w:numPr>
        <w:tabs>
          <w:tab w:val="clear" w:pos="720"/>
          <w:tab w:val="left" w:pos="0" w:leader="none"/>
        </w:tabs>
        <w:spacing w:before="0" w:after="200"/>
        <w:ind w:hanging="283" w:left="709"/>
        <w:rPr/>
      </w:pPr>
      <w:r>
        <w:rPr>
          <w:rStyle w:val="Strong"/>
        </w:rPr>
        <w:t>Character assessment:</w:t>
      </w:r>
      <w:r>
        <w:rPr/>
        <w:t xml:space="preserve"> What dispositions did the Actor possess or express?</w:t>
      </w:r>
    </w:p>
    <w:p>
      <w:pPr>
        <w:pStyle w:val="BodyText"/>
        <w:numPr>
          <w:ilvl w:val="0"/>
          <w:numId w:val="42"/>
        </w:numPr>
        <w:tabs>
          <w:tab w:val="clear" w:pos="720"/>
          <w:tab w:val="left" w:pos="0" w:leader="none"/>
        </w:tabs>
        <w:spacing w:before="0" w:after="200"/>
        <w:ind w:hanging="283" w:left="709"/>
        <w:rPr/>
      </w:pPr>
      <w:r>
        <w:rPr>
          <w:rStyle w:val="Strong"/>
        </w:rPr>
        <w:t>Practical-wisdom assessment:</w:t>
      </w:r>
      <w:r>
        <w:rPr/>
        <w:t xml:space="preserve"> Did the Actor recognize and respond appropriately to the morally relevant particulars?</w:t>
      </w:r>
    </w:p>
    <w:p>
      <w:pPr>
        <w:pStyle w:val="BodyText"/>
        <w:numPr>
          <w:ilvl w:val="0"/>
          <w:numId w:val="42"/>
        </w:numPr>
        <w:tabs>
          <w:tab w:val="clear" w:pos="720"/>
          <w:tab w:val="left" w:pos="0" w:leader="none"/>
        </w:tabs>
        <w:spacing w:before="0" w:after="200"/>
        <w:ind w:hanging="283" w:left="709"/>
        <w:rPr/>
      </w:pPr>
      <w:r>
        <w:rPr>
          <w:rStyle w:val="Strong"/>
        </w:rPr>
        <w:t>Action assessment:</w:t>
      </w:r>
      <w:r>
        <w:rPr/>
        <w:t xml:space="preserve"> Were the intention, means, authority, and execution morally supportable?</w:t>
      </w:r>
    </w:p>
    <w:p>
      <w:pPr>
        <w:pStyle w:val="BodyText"/>
        <w:numPr>
          <w:ilvl w:val="0"/>
          <w:numId w:val="42"/>
        </w:numPr>
        <w:tabs>
          <w:tab w:val="clear" w:pos="720"/>
          <w:tab w:val="left" w:pos="0" w:leader="none"/>
        </w:tabs>
        <w:spacing w:before="0" w:after="200"/>
        <w:ind w:hanging="283" w:left="709"/>
        <w:rPr/>
      </w:pPr>
      <w:r>
        <w:rPr>
          <w:rStyle w:val="Strong"/>
        </w:rPr>
        <w:t>World Context assessment:</w:t>
      </w:r>
      <w:r>
        <w:rPr/>
        <w:t xml:space="preserve"> What effects did the action produce across affected entities, institutions, policies, and future possibilities?</w:t>
      </w:r>
    </w:p>
    <w:p>
      <w:pPr>
        <w:pStyle w:val="BodyText"/>
        <w:spacing w:before="0" w:after="200"/>
        <w:rPr/>
      </w:pPr>
      <w:r>
        <w:rPr/>
        <w:t>This separation reduces outcome bias. A well-reasoned and courageous action may be assessed positively at the Actor level even when unforeseen events produce a harmful transition. Conversely, an irresponsible Actor should not receive moral credit merely because luck produced a favorable result.</w:t>
      </w:r>
    </w:p>
    <w:p>
      <w:pPr>
        <w:pStyle w:val="BodyText"/>
        <w:spacing w:before="0" w:after="200"/>
        <w:rPr/>
      </w:pPr>
      <w:r>
        <w:rPr/>
        <w:t xml:space="preserve">Long-Term Flourishing also does not equate persistence, expansion, or adaptability with moral excellence. The framework explicitly treats these as necessary or value-neutral capacities rather than sufficient evidence of flourishing. Human </w:t>
      </w:r>
      <w:r>
        <w:rPr>
          <w:rStyle w:val="Emphasis"/>
        </w:rPr>
        <w:t>eudaimonia</w:t>
      </w:r>
      <w:r>
        <w:rPr/>
        <w:t xml:space="preserve"> can be represented as a domain-specific form of Long-Term Flourishing that includes virtuous activity, relationships, practical agency, knowledge, health, and meaningful participation.</w:t>
      </w:r>
    </w:p>
    <w:p>
      <w:pPr>
        <w:pStyle w:val="BodyText"/>
        <w:spacing w:before="0" w:after="200"/>
        <w:rPr/>
      </w:pPr>
      <w:r>
        <w:rPr/>
        <w:t>The architecture can also represent practices and internal goods. An institution’s operational objective can be evaluated against its domain objective and the Foundational Axiom. A hospital’s revenue, a university’s ranking, or a court’s case-processing speed cannot define the practice’s moral success if those objectives corrupt patient care, education, or justice.</w:t>
      </w:r>
    </w:p>
    <w:p>
      <w:pPr>
        <w:pStyle w:val="BodyText"/>
        <w:spacing w:before="0" w:after="200"/>
        <w:rPr/>
      </w:pPr>
      <w:r>
        <w:rPr/>
        <w:t xml:space="preserve">Virtue ethics itself faces difficult questions concerning which traits are virtues, how virtues guide specific actions, how conflicting virtues are reconciled, and whether stable global character traits are psychologically realistic. Empirical situationist research suggests caution when inferring broad character traits from limited behavior. </w:t>
      </w:r>
      <w:hyperlink r:id="rId241">
        <w:r>
          <w:rPr>
            <w:rStyle w:val="Hyperlink"/>
          </w:rPr>
          <w:t>Stanford Encyclopedia of Philosophy</w:t>
        </w:r>
      </w:hyperlink>
      <w:r>
        <w:rPr/>
        <w:t xml:space="preserve"> The proposed framework can help by requiring evidence, context, longitudinal assessment, and calibrated confidence.</w:t>
      </w:r>
    </w:p>
    <w:p>
      <w:pPr>
        <w:pStyle w:val="BodyText"/>
        <w:spacing w:before="0" w:after="200"/>
        <w:rPr/>
      </w:pPr>
      <w:r>
        <w:rPr/>
        <w:t>The framework should therefore not attempt to replace practical wisdom. Its contribution is to give practical wisdom a structured account of affected entities, causal pathways, uncertainty, institutional effects, and future consequences. Virtue supplies the quality of judgment; the architecture supplies a disciplined representation of the world in which that judgment operates.</w:t>
      </w:r>
    </w:p>
    <w:p>
      <w:pPr>
        <w:pStyle w:val="Heading4"/>
        <w:ind w:hanging="0" w:left="0"/>
        <w:rPr>
          <w:rFonts w:ascii="Aptos" w:hAnsi="Aptos"/>
          <w:color w:val="auto"/>
        </w:rPr>
      </w:pPr>
      <w:r>
        <w:rPr/>
        <w:t>Incremental Questions the Expert Should Then Ask</w:t>
      </w:r>
    </w:p>
    <w:p>
      <w:pPr>
        <w:pStyle w:val="BodyText"/>
        <w:numPr>
          <w:ilvl w:val="0"/>
          <w:numId w:val="43"/>
        </w:numPr>
        <w:tabs>
          <w:tab w:val="clear" w:pos="720"/>
          <w:tab w:val="left" w:pos="0" w:leader="none"/>
        </w:tabs>
        <w:spacing w:before="0" w:after="200"/>
        <w:ind w:hanging="283" w:left="709"/>
        <w:rPr/>
      </w:pPr>
      <w:r>
        <w:rPr/>
        <w:t>What conception of flourishing governs the framework?</w:t>
      </w:r>
    </w:p>
    <w:p>
      <w:pPr>
        <w:pStyle w:val="BodyText"/>
        <w:numPr>
          <w:ilvl w:val="0"/>
          <w:numId w:val="43"/>
        </w:numPr>
        <w:tabs>
          <w:tab w:val="clear" w:pos="720"/>
          <w:tab w:val="left" w:pos="0" w:leader="none"/>
        </w:tabs>
        <w:spacing w:before="0" w:after="200"/>
        <w:ind w:hanging="283" w:left="709"/>
        <w:rPr/>
      </w:pPr>
      <w:r>
        <w:rPr/>
        <w:t>Is virtuous activity constitutive of Long-Term Flourishing or merely instrumentally useful?</w:t>
      </w:r>
    </w:p>
    <w:p>
      <w:pPr>
        <w:pStyle w:val="BodyText"/>
        <w:numPr>
          <w:ilvl w:val="0"/>
          <w:numId w:val="43"/>
        </w:numPr>
        <w:tabs>
          <w:tab w:val="clear" w:pos="720"/>
          <w:tab w:val="left" w:pos="0" w:leader="none"/>
        </w:tabs>
        <w:spacing w:before="0" w:after="200"/>
        <w:ind w:hanging="283" w:left="709"/>
        <w:rPr/>
      </w:pPr>
      <w:r>
        <w:rPr/>
        <w:t>What is a virtue within the computational architecture?</w:t>
      </w:r>
    </w:p>
    <w:p>
      <w:pPr>
        <w:pStyle w:val="BodyText"/>
        <w:numPr>
          <w:ilvl w:val="0"/>
          <w:numId w:val="43"/>
        </w:numPr>
        <w:tabs>
          <w:tab w:val="clear" w:pos="720"/>
          <w:tab w:val="left" w:pos="0" w:leader="none"/>
        </w:tabs>
        <w:spacing w:before="0" w:after="200"/>
        <w:ind w:hanging="283" w:left="709"/>
        <w:rPr/>
      </w:pPr>
      <w:r>
        <w:rPr/>
        <w:t>How does the framework distinguish genuine virtue from strategic compliance?</w:t>
      </w:r>
    </w:p>
    <w:p>
      <w:pPr>
        <w:pStyle w:val="BodyText"/>
        <w:numPr>
          <w:ilvl w:val="0"/>
          <w:numId w:val="43"/>
        </w:numPr>
        <w:tabs>
          <w:tab w:val="clear" w:pos="720"/>
          <w:tab w:val="left" w:pos="0" w:leader="none"/>
        </w:tabs>
        <w:spacing w:before="0" w:after="200"/>
        <w:ind w:hanging="283" w:left="709"/>
        <w:rPr/>
      </w:pPr>
      <w:r>
        <w:rPr/>
        <w:t>How are motivation and emotion represented?</w:t>
      </w:r>
    </w:p>
    <w:p>
      <w:pPr>
        <w:pStyle w:val="BodyText"/>
        <w:numPr>
          <w:ilvl w:val="0"/>
          <w:numId w:val="43"/>
        </w:numPr>
        <w:tabs>
          <w:tab w:val="clear" w:pos="720"/>
          <w:tab w:val="left" w:pos="0" w:leader="none"/>
        </w:tabs>
        <w:spacing w:before="0" w:after="200"/>
        <w:ind w:hanging="283" w:left="709"/>
        <w:rPr/>
      </w:pPr>
      <w:r>
        <w:rPr/>
        <w:t>Can practical wisdom be computationally represented without being reduced to rules?</w:t>
      </w:r>
    </w:p>
    <w:p>
      <w:pPr>
        <w:pStyle w:val="BodyText"/>
        <w:numPr>
          <w:ilvl w:val="0"/>
          <w:numId w:val="43"/>
        </w:numPr>
        <w:tabs>
          <w:tab w:val="clear" w:pos="720"/>
          <w:tab w:val="left" w:pos="0" w:leader="none"/>
        </w:tabs>
        <w:spacing w:before="0" w:after="200"/>
        <w:ind w:hanging="283" w:left="709"/>
        <w:rPr/>
      </w:pPr>
      <w:r>
        <w:rPr/>
        <w:t>How does the framework determine which situational particulars are morally salient?</w:t>
      </w:r>
    </w:p>
    <w:p>
      <w:pPr>
        <w:pStyle w:val="BodyText"/>
        <w:numPr>
          <w:ilvl w:val="0"/>
          <w:numId w:val="43"/>
        </w:numPr>
        <w:tabs>
          <w:tab w:val="clear" w:pos="720"/>
          <w:tab w:val="left" w:pos="0" w:leader="none"/>
        </w:tabs>
        <w:spacing w:before="0" w:after="200"/>
        <w:ind w:hanging="283" w:left="709"/>
        <w:rPr/>
      </w:pPr>
      <w:r>
        <w:rPr/>
        <w:t>How would it represent Aristotle’s mean between excess and deficiency?</w:t>
      </w:r>
    </w:p>
    <w:p>
      <w:pPr>
        <w:pStyle w:val="BodyText"/>
        <w:numPr>
          <w:ilvl w:val="0"/>
          <w:numId w:val="43"/>
        </w:numPr>
        <w:tabs>
          <w:tab w:val="clear" w:pos="720"/>
          <w:tab w:val="left" w:pos="0" w:leader="none"/>
        </w:tabs>
        <w:spacing w:before="0" w:after="200"/>
        <w:ind w:hanging="283" w:left="709"/>
        <w:rPr/>
      </w:pPr>
      <w:r>
        <w:rPr/>
        <w:t>How much evidence is required before attributing a virtue or vice to an Actor?</w:t>
      </w:r>
    </w:p>
    <w:p>
      <w:pPr>
        <w:pStyle w:val="BodyText"/>
        <w:numPr>
          <w:ilvl w:val="0"/>
          <w:numId w:val="43"/>
        </w:numPr>
        <w:tabs>
          <w:tab w:val="clear" w:pos="720"/>
          <w:tab w:val="left" w:pos="0" w:leader="none"/>
        </w:tabs>
        <w:spacing w:before="0" w:after="200"/>
        <w:ind w:hanging="283" w:left="709"/>
        <w:rPr/>
      </w:pPr>
      <w:r>
        <w:rPr/>
        <w:t>How does the framework respond to situationist evidence concerning unstable character traits?</w:t>
      </w:r>
    </w:p>
    <w:p>
      <w:pPr>
        <w:pStyle w:val="BodyText"/>
        <w:numPr>
          <w:ilvl w:val="0"/>
          <w:numId w:val="43"/>
        </w:numPr>
        <w:tabs>
          <w:tab w:val="clear" w:pos="720"/>
          <w:tab w:val="left" w:pos="0" w:leader="none"/>
        </w:tabs>
        <w:spacing w:before="0" w:after="200"/>
        <w:ind w:hanging="283" w:left="709"/>
        <w:rPr/>
      </w:pPr>
      <w:r>
        <w:rPr/>
        <w:t>How does it prevent outcome luck from determining judgments of character?</w:t>
      </w:r>
    </w:p>
    <w:p>
      <w:pPr>
        <w:pStyle w:val="BodyText"/>
        <w:numPr>
          <w:ilvl w:val="0"/>
          <w:numId w:val="43"/>
        </w:numPr>
        <w:tabs>
          <w:tab w:val="clear" w:pos="720"/>
          <w:tab w:val="left" w:pos="0" w:leader="none"/>
        </w:tabs>
        <w:spacing w:before="0" w:after="200"/>
        <w:ind w:hanging="283" w:left="709"/>
        <w:rPr/>
      </w:pPr>
      <w:r>
        <w:rPr/>
        <w:t>How are practices, traditions, and narrative continuity represented?</w:t>
      </w:r>
    </w:p>
    <w:p>
      <w:pPr>
        <w:pStyle w:val="BodyText"/>
        <w:numPr>
          <w:ilvl w:val="0"/>
          <w:numId w:val="43"/>
        </w:numPr>
        <w:tabs>
          <w:tab w:val="clear" w:pos="720"/>
          <w:tab w:val="left" w:pos="0" w:leader="none"/>
        </w:tabs>
        <w:spacing w:before="0" w:after="200"/>
        <w:ind w:hanging="283" w:left="709"/>
        <w:rPr/>
      </w:pPr>
      <w:r>
        <w:rPr/>
        <w:t>How does the framework distinguish internal goods from external organizational objectives?</w:t>
      </w:r>
    </w:p>
    <w:p>
      <w:pPr>
        <w:pStyle w:val="BodyText"/>
        <w:numPr>
          <w:ilvl w:val="0"/>
          <w:numId w:val="43"/>
        </w:numPr>
        <w:tabs>
          <w:tab w:val="clear" w:pos="720"/>
          <w:tab w:val="left" w:pos="0" w:leader="none"/>
        </w:tabs>
        <w:spacing w:before="0" w:after="200"/>
        <w:ind w:hanging="283" w:left="709"/>
        <w:rPr/>
      </w:pPr>
      <w:r>
        <w:rPr/>
        <w:t>Can institutions genuinely possess virtues and vices?</w:t>
      </w:r>
    </w:p>
    <w:p>
      <w:pPr>
        <w:pStyle w:val="BodyText"/>
        <w:numPr>
          <w:ilvl w:val="0"/>
          <w:numId w:val="43"/>
        </w:numPr>
        <w:tabs>
          <w:tab w:val="clear" w:pos="720"/>
          <w:tab w:val="left" w:pos="0" w:leader="none"/>
        </w:tabs>
        <w:spacing w:before="0" w:after="200"/>
        <w:ind w:hanging="283" w:left="709"/>
        <w:rPr/>
      </w:pPr>
      <w:r>
        <w:rPr/>
        <w:t>Can artificial systems possess virtues, or only virtue-like behavioral policies?</w:t>
      </w:r>
    </w:p>
    <w:p>
      <w:pPr>
        <w:pStyle w:val="BodyText"/>
        <w:numPr>
          <w:ilvl w:val="0"/>
          <w:numId w:val="43"/>
        </w:numPr>
        <w:tabs>
          <w:tab w:val="clear" w:pos="720"/>
          <w:tab w:val="left" w:pos="0" w:leader="none"/>
        </w:tabs>
        <w:spacing w:before="0" w:after="200"/>
        <w:ind w:hanging="283" w:left="709"/>
        <w:rPr/>
      </w:pPr>
      <w:r>
        <w:rPr/>
        <w:t>What happens when a virtuous action produces a detrimental World Context Transition?</w:t>
      </w:r>
    </w:p>
    <w:p>
      <w:pPr>
        <w:pStyle w:val="BodyText"/>
        <w:numPr>
          <w:ilvl w:val="0"/>
          <w:numId w:val="43"/>
        </w:numPr>
        <w:tabs>
          <w:tab w:val="clear" w:pos="720"/>
          <w:tab w:val="left" w:pos="0" w:leader="none"/>
        </w:tabs>
        <w:spacing w:before="0" w:after="200"/>
        <w:ind w:hanging="283" w:left="709"/>
        <w:rPr/>
      </w:pPr>
      <w:r>
        <w:rPr/>
        <w:t>What happens when a viciously motivated action accidentally produces a beneficial transition?</w:t>
      </w:r>
    </w:p>
    <w:p>
      <w:pPr>
        <w:pStyle w:val="BodyText"/>
        <w:numPr>
          <w:ilvl w:val="0"/>
          <w:numId w:val="43"/>
        </w:numPr>
        <w:tabs>
          <w:tab w:val="clear" w:pos="720"/>
          <w:tab w:val="left" w:pos="0" w:leader="none"/>
        </w:tabs>
        <w:spacing w:before="0" w:after="200"/>
        <w:ind w:hanging="283" w:left="709"/>
        <w:rPr/>
      </w:pPr>
      <w:r>
        <w:rPr/>
        <w:t>How can the framework support moral education rather than merely moral classification?</w:t>
      </w:r>
    </w:p>
    <w:p>
      <w:pPr>
        <w:pStyle w:val="BodyText"/>
        <w:numPr>
          <w:ilvl w:val="0"/>
          <w:numId w:val="43"/>
        </w:numPr>
        <w:tabs>
          <w:tab w:val="clear" w:pos="720"/>
          <w:tab w:val="left" w:pos="0" w:leader="none"/>
        </w:tabs>
        <w:spacing w:before="0" w:after="200"/>
        <w:ind w:hanging="283" w:left="709"/>
        <w:rPr/>
      </w:pPr>
      <w:r>
        <w:rPr/>
        <w:t>How will it address cultural disagreement concerning virtues and flourishing?</w:t>
      </w:r>
    </w:p>
    <w:p>
      <w:pPr>
        <w:pStyle w:val="Heading4"/>
        <w:ind w:hanging="0" w:left="0"/>
        <w:rPr>
          <w:rFonts w:ascii="Aptos" w:hAnsi="Aptos"/>
          <w:color w:val="auto"/>
        </w:rPr>
      </w:pPr>
      <w:r>
        <w:rPr/>
        <w:t>Responses to Those Incremental Questions</w:t>
      </w:r>
    </w:p>
    <w:p>
      <w:pPr>
        <w:pStyle w:val="BodyText"/>
        <w:numPr>
          <w:ilvl w:val="0"/>
          <w:numId w:val="44"/>
        </w:numPr>
        <w:tabs>
          <w:tab w:val="clear" w:pos="720"/>
          <w:tab w:val="left" w:pos="0" w:leader="none"/>
        </w:tabs>
        <w:spacing w:before="0" w:after="200"/>
        <w:ind w:hanging="283" w:left="709"/>
        <w:rPr/>
      </w:pPr>
      <w:r>
        <w:rPr>
          <w:rStyle w:val="Strong"/>
        </w:rPr>
        <w:t>Conception of flourishing</w:t>
      </w:r>
    </w:p>
    <w:p>
      <w:pPr>
        <w:pStyle w:val="BodyText"/>
        <w:numPr>
          <w:ilvl w:val="0"/>
          <w:numId w:val="0"/>
        </w:numPr>
        <w:spacing w:before="0" w:after="200"/>
        <w:ind w:hanging="0" w:left="0"/>
        <w:rPr/>
      </w:pPr>
      <w:r>
        <w:rPr/>
        <w:t>Long-Term Flourishing is the framework’s general systems-level construct. Human implementations should include a more specific account of human flourishing incorporating practical agency, relationships, health, knowledge, meaningful activity, moral development, and virtuous participation. It should not be equated solely with survival or option expansion.</w:t>
      </w:r>
    </w:p>
    <w:p>
      <w:pPr>
        <w:pStyle w:val="BodyText"/>
        <w:numPr>
          <w:ilvl w:val="0"/>
          <w:numId w:val="44"/>
        </w:numPr>
        <w:tabs>
          <w:tab w:val="clear" w:pos="720"/>
          <w:tab w:val="left" w:pos="0" w:leader="none"/>
        </w:tabs>
        <w:spacing w:before="0" w:after="200"/>
        <w:ind w:hanging="283" w:left="709"/>
        <w:rPr/>
      </w:pPr>
      <w:r>
        <w:rPr>
          <w:rStyle w:val="Strong"/>
        </w:rPr>
        <w:t>Constitutive status of virtue</w:t>
      </w:r>
    </w:p>
    <w:p>
      <w:pPr>
        <w:pStyle w:val="BodyText"/>
        <w:numPr>
          <w:ilvl w:val="0"/>
          <w:numId w:val="0"/>
        </w:numPr>
        <w:spacing w:before="0" w:after="200"/>
        <w:ind w:hanging="0" w:left="0"/>
        <w:rPr/>
      </w:pPr>
      <w:r>
        <w:rPr/>
        <w:t>The framework can treat virtuous activity as a constituent of human flourishing rather than merely as an instrument. Doing so requires identifying which virtues possess this status and explaining how they relate to other Flourishing Entities and the larger World Context.</w:t>
      </w:r>
    </w:p>
    <w:p>
      <w:pPr>
        <w:pStyle w:val="BodyText"/>
        <w:numPr>
          <w:ilvl w:val="0"/>
          <w:numId w:val="44"/>
        </w:numPr>
        <w:tabs>
          <w:tab w:val="clear" w:pos="720"/>
          <w:tab w:val="left" w:pos="0" w:leader="none"/>
        </w:tabs>
        <w:spacing w:before="0" w:after="200"/>
        <w:ind w:hanging="283" w:left="709"/>
        <w:rPr/>
      </w:pPr>
      <w:r>
        <w:rPr>
          <w:rStyle w:val="Strong"/>
        </w:rPr>
        <w:t>Computational representation of virtue</w:t>
      </w:r>
    </w:p>
    <w:p>
      <w:pPr>
        <w:pStyle w:val="BodyText"/>
        <w:numPr>
          <w:ilvl w:val="0"/>
          <w:numId w:val="0"/>
        </w:numPr>
        <w:spacing w:before="0" w:after="200"/>
        <w:ind w:hanging="0" w:left="0"/>
        <w:rPr/>
      </w:pPr>
      <w:r>
        <w:rPr/>
        <w:t>A virtue should be represented as a multidimensional disposition involving perception, motivation, emotion, deliberation, action, and responsiveness to correction. A simple behavioral frequency or scalar score would be inadequate.</w:t>
      </w:r>
    </w:p>
    <w:p>
      <w:pPr>
        <w:pStyle w:val="BodyText"/>
        <w:numPr>
          <w:ilvl w:val="0"/>
          <w:numId w:val="44"/>
        </w:numPr>
        <w:tabs>
          <w:tab w:val="clear" w:pos="720"/>
          <w:tab w:val="left" w:pos="0" w:leader="none"/>
        </w:tabs>
        <w:spacing w:before="0" w:after="200"/>
        <w:ind w:hanging="283" w:left="709"/>
        <w:rPr/>
      </w:pPr>
      <w:r>
        <w:rPr>
          <w:rStyle w:val="Strong"/>
        </w:rPr>
        <w:t>Virtue versus strategic compliance</w:t>
      </w:r>
    </w:p>
    <w:p>
      <w:pPr>
        <w:pStyle w:val="BodyText"/>
        <w:numPr>
          <w:ilvl w:val="0"/>
          <w:numId w:val="0"/>
        </w:numPr>
        <w:spacing w:before="0" w:after="200"/>
        <w:ind w:hanging="0" w:left="0"/>
        <w:rPr/>
      </w:pPr>
      <w:r>
        <w:rPr/>
        <w:t>The assessment should examine why the Actor acted, whether the Actor understood the relevant reasons, whether the behavior persists when incentives change, and whether similar judgment appears across relevant situations. Where motivation is unknown, the system should assess conduct without claiming confirmed virtue.</w:t>
      </w:r>
    </w:p>
    <w:p>
      <w:pPr>
        <w:pStyle w:val="BodyText"/>
        <w:numPr>
          <w:ilvl w:val="0"/>
          <w:numId w:val="44"/>
        </w:numPr>
        <w:tabs>
          <w:tab w:val="clear" w:pos="720"/>
          <w:tab w:val="left" w:pos="0" w:leader="none"/>
        </w:tabs>
        <w:spacing w:before="0" w:after="200"/>
        <w:ind w:hanging="283" w:left="709"/>
        <w:rPr/>
      </w:pPr>
      <w:r>
        <w:rPr>
          <w:rStyle w:val="Strong"/>
        </w:rPr>
        <w:t>Motivation and emotion</w:t>
      </w:r>
    </w:p>
    <w:p>
      <w:pPr>
        <w:pStyle w:val="BodyText"/>
        <w:numPr>
          <w:ilvl w:val="0"/>
          <w:numId w:val="0"/>
        </w:numPr>
        <w:spacing w:before="0" w:after="200"/>
        <w:ind w:hanging="0" w:left="0"/>
        <w:rPr/>
      </w:pPr>
      <w:r>
        <w:rPr/>
        <w:t>Motivation can be represented through objectives, intended ends, incentives, stated reasons, and observed policy patterns. Emotional states can be represented where relevant, but inferences about internal experience should be confidence-limited and should not rely solely on self-report.</w:t>
      </w:r>
    </w:p>
    <w:p>
      <w:pPr>
        <w:pStyle w:val="BodyText"/>
        <w:numPr>
          <w:ilvl w:val="0"/>
          <w:numId w:val="44"/>
        </w:numPr>
        <w:tabs>
          <w:tab w:val="clear" w:pos="720"/>
          <w:tab w:val="left" w:pos="0" w:leader="none"/>
        </w:tabs>
        <w:spacing w:before="0" w:after="200"/>
        <w:ind w:hanging="283" w:left="709"/>
        <w:rPr/>
      </w:pPr>
      <w:r>
        <w:rPr>
          <w:rStyle w:val="Strong"/>
        </w:rPr>
        <w:t>Practical wisdom</w:t>
      </w:r>
    </w:p>
    <w:p>
      <w:pPr>
        <w:pStyle w:val="BodyText"/>
        <w:numPr>
          <w:ilvl w:val="0"/>
          <w:numId w:val="0"/>
        </w:numPr>
        <w:spacing w:before="0" w:after="200"/>
        <w:ind w:hanging="0" w:left="0"/>
        <w:rPr/>
      </w:pPr>
      <w:r>
        <w:rPr/>
        <w:t xml:space="preserve">Practical wisdom should function as a higher-order capacity to identify salient considerations, interpret competing values, calibrate response, and revise judgment. Computational tools can support this process with evidence and alternatives, but should not claim that </w:t>
      </w:r>
      <w:r>
        <w:rPr>
          <w:rStyle w:val="Emphasis"/>
        </w:rPr>
        <w:t>phronesis</w:t>
      </w:r>
      <w:r>
        <w:rPr/>
        <w:t xml:space="preserve"> is exhausted by an algorithm.</w:t>
      </w:r>
    </w:p>
    <w:p>
      <w:pPr>
        <w:pStyle w:val="BodyText"/>
        <w:numPr>
          <w:ilvl w:val="0"/>
          <w:numId w:val="44"/>
        </w:numPr>
        <w:tabs>
          <w:tab w:val="clear" w:pos="720"/>
          <w:tab w:val="left" w:pos="0" w:leader="none"/>
        </w:tabs>
        <w:spacing w:before="0" w:after="200"/>
        <w:ind w:hanging="283" w:left="709"/>
        <w:rPr/>
      </w:pPr>
      <w:r>
        <w:rPr>
          <w:rStyle w:val="Strong"/>
        </w:rPr>
        <w:t>Moral salience</w:t>
      </w:r>
    </w:p>
    <w:p>
      <w:pPr>
        <w:pStyle w:val="BodyText"/>
        <w:numPr>
          <w:ilvl w:val="0"/>
          <w:numId w:val="0"/>
        </w:numPr>
        <w:spacing w:before="0" w:after="200"/>
        <w:ind w:hanging="0" w:left="0"/>
        <w:rPr/>
      </w:pPr>
      <w:r>
        <w:rPr/>
        <w:t>The Actor and assessor should document why Objects, Associations, vulnerabilities, institutions, and horizons were included or excluded. Alternative boundary analyses and independent review can help identify morally relevant features omitted by the initial assessment.</w:t>
      </w:r>
    </w:p>
    <w:p>
      <w:pPr>
        <w:pStyle w:val="BodyText"/>
        <w:numPr>
          <w:ilvl w:val="0"/>
          <w:numId w:val="44"/>
        </w:numPr>
        <w:tabs>
          <w:tab w:val="clear" w:pos="720"/>
          <w:tab w:val="left" w:pos="0" w:leader="none"/>
        </w:tabs>
        <w:spacing w:before="0" w:after="200"/>
        <w:ind w:hanging="283" w:left="709"/>
        <w:rPr/>
      </w:pPr>
      <w:r>
        <w:rPr>
          <w:rStyle w:val="Strong"/>
        </w:rPr>
        <w:t>Doctrine of the mean</w:t>
      </w:r>
    </w:p>
    <w:p>
      <w:pPr>
        <w:pStyle w:val="BodyText"/>
        <w:numPr>
          <w:ilvl w:val="0"/>
          <w:numId w:val="0"/>
        </w:numPr>
        <w:spacing w:before="0" w:after="200"/>
        <w:ind w:hanging="0" w:left="0"/>
        <w:rPr/>
      </w:pPr>
      <w:r>
        <w:rPr/>
        <w:t>The system can define virtue-specific deficiency, appropriate range, and excess states. The appropriate range must remain relative to the Actor, role, risk, objective, affected entities, and circumstances. It should not be calculated as a numerical midpoint.</w:t>
      </w:r>
    </w:p>
    <w:p>
      <w:pPr>
        <w:pStyle w:val="BodyText"/>
        <w:numPr>
          <w:ilvl w:val="0"/>
          <w:numId w:val="44"/>
        </w:numPr>
        <w:tabs>
          <w:tab w:val="clear" w:pos="720"/>
          <w:tab w:val="left" w:pos="0" w:leader="none"/>
        </w:tabs>
        <w:spacing w:before="0" w:after="200"/>
        <w:ind w:hanging="283" w:left="709"/>
        <w:rPr/>
      </w:pPr>
      <w:r>
        <w:rPr>
          <w:rStyle w:val="Strong"/>
        </w:rPr>
        <w:t>Character attribution</w:t>
      </w:r>
    </w:p>
    <w:p>
      <w:pPr>
        <w:pStyle w:val="BodyText"/>
        <w:numPr>
          <w:ilvl w:val="0"/>
          <w:numId w:val="0"/>
        </w:numPr>
        <w:spacing w:before="0" w:after="200"/>
        <w:ind w:hanging="0" w:left="0"/>
        <w:rPr/>
      </w:pPr>
      <w:r>
        <w:rPr/>
        <w:t>A virtue or vice should ordinarily require repeated evidence across time and relevant contexts. A single action may support a provisional inference but should rarely justify a global character judgment.</w:t>
      </w:r>
    </w:p>
    <w:p>
      <w:pPr>
        <w:pStyle w:val="BodyText"/>
        <w:numPr>
          <w:ilvl w:val="0"/>
          <w:numId w:val="44"/>
        </w:numPr>
        <w:tabs>
          <w:tab w:val="clear" w:pos="720"/>
          <w:tab w:val="left" w:pos="0" w:leader="none"/>
        </w:tabs>
        <w:spacing w:before="0" w:after="200"/>
        <w:ind w:hanging="283" w:left="709"/>
        <w:rPr/>
      </w:pPr>
      <w:r>
        <w:rPr>
          <w:rStyle w:val="Strong"/>
        </w:rPr>
        <w:t>Situationist evidence</w:t>
      </w:r>
    </w:p>
    <w:p>
      <w:pPr>
        <w:pStyle w:val="BodyText"/>
        <w:numPr>
          <w:ilvl w:val="0"/>
          <w:numId w:val="0"/>
        </w:numPr>
        <w:spacing w:before="0" w:after="200"/>
        <w:ind w:hanging="0" w:left="0"/>
        <w:rPr/>
      </w:pPr>
      <w:r>
        <w:rPr/>
        <w:t>The framework should allow dispositions to be local, conditional, fragile, or developing rather than assuming globally stable traits. Environmental triggers, institutional pressures, incentives, fatigue, authority, and group behavior should be modeled alongside personal character.</w:t>
      </w:r>
    </w:p>
    <w:p>
      <w:pPr>
        <w:pStyle w:val="BodyText"/>
        <w:numPr>
          <w:ilvl w:val="0"/>
          <w:numId w:val="44"/>
        </w:numPr>
        <w:tabs>
          <w:tab w:val="clear" w:pos="720"/>
          <w:tab w:val="left" w:pos="0" w:leader="none"/>
        </w:tabs>
        <w:spacing w:before="0" w:after="200"/>
        <w:ind w:hanging="283" w:left="709"/>
        <w:rPr/>
      </w:pPr>
      <w:r>
        <w:rPr>
          <w:rStyle w:val="Strong"/>
        </w:rPr>
        <w:t>Moral luck</w:t>
      </w:r>
    </w:p>
    <w:p>
      <w:pPr>
        <w:pStyle w:val="BodyText"/>
        <w:numPr>
          <w:ilvl w:val="0"/>
          <w:numId w:val="0"/>
        </w:numPr>
        <w:spacing w:before="0" w:after="200"/>
        <w:ind w:hanging="0" w:left="0"/>
        <w:rPr/>
      </w:pPr>
      <w:r>
        <w:rPr/>
        <w:t>Actor assessment should use the Decision and Accessible Contexts, evaluating the quality of judgment based on what was reasonably knowable. Outcome assessment should use the observed transition. These results should be reported separately.</w:t>
      </w:r>
    </w:p>
    <w:p>
      <w:pPr>
        <w:pStyle w:val="BodyText"/>
        <w:numPr>
          <w:ilvl w:val="0"/>
          <w:numId w:val="44"/>
        </w:numPr>
        <w:tabs>
          <w:tab w:val="clear" w:pos="720"/>
          <w:tab w:val="left" w:pos="0" w:leader="none"/>
        </w:tabs>
        <w:spacing w:before="0" w:after="200"/>
        <w:ind w:hanging="283" w:left="709"/>
        <w:rPr/>
      </w:pPr>
      <w:r>
        <w:rPr>
          <w:rStyle w:val="Strong"/>
        </w:rPr>
        <w:t>Practices, traditions, and narrative</w:t>
      </w:r>
    </w:p>
    <w:p>
      <w:pPr>
        <w:pStyle w:val="BodyText"/>
        <w:numPr>
          <w:ilvl w:val="0"/>
          <w:numId w:val="0"/>
        </w:numPr>
        <w:spacing w:before="0" w:after="200"/>
        <w:ind w:hanging="0" w:left="0"/>
        <w:rPr/>
      </w:pPr>
      <w:r>
        <w:rPr/>
        <w:t>Practices can be represented as persistent institutional and social patterns with purposes, standards, roles, histories, and internal goods. Transition histories can provide narrative continuity, but qualitative interpretation may remain necessary.</w:t>
      </w:r>
    </w:p>
    <w:p>
      <w:pPr>
        <w:pStyle w:val="BodyText"/>
        <w:numPr>
          <w:ilvl w:val="0"/>
          <w:numId w:val="44"/>
        </w:numPr>
        <w:tabs>
          <w:tab w:val="clear" w:pos="720"/>
          <w:tab w:val="left" w:pos="0" w:leader="none"/>
        </w:tabs>
        <w:spacing w:before="0" w:after="200"/>
        <w:ind w:hanging="283" w:left="709"/>
        <w:rPr/>
      </w:pPr>
      <w:r>
        <w:rPr>
          <w:rStyle w:val="Strong"/>
        </w:rPr>
        <w:t>Internal and external goods</w:t>
      </w:r>
    </w:p>
    <w:p>
      <w:pPr>
        <w:pStyle w:val="BodyText"/>
        <w:numPr>
          <w:ilvl w:val="0"/>
          <w:numId w:val="0"/>
        </w:numPr>
        <w:spacing w:before="0" w:after="200"/>
        <w:ind w:hanging="0" w:left="0"/>
        <w:rPr/>
      </w:pPr>
      <w:r>
        <w:rPr/>
        <w:t>Domain objectives should identify the goods intrinsic to the practice. External objectives—such as revenue, prestige, growth, or power—should be evaluated for whether they support or displace those internal goods.</w:t>
      </w:r>
    </w:p>
    <w:p>
      <w:pPr>
        <w:pStyle w:val="BodyText"/>
        <w:numPr>
          <w:ilvl w:val="0"/>
          <w:numId w:val="44"/>
        </w:numPr>
        <w:tabs>
          <w:tab w:val="clear" w:pos="720"/>
          <w:tab w:val="left" w:pos="0" w:leader="none"/>
        </w:tabs>
        <w:spacing w:before="0" w:after="200"/>
        <w:ind w:hanging="283" w:left="709"/>
        <w:rPr/>
      </w:pPr>
      <w:r>
        <w:rPr>
          <w:rStyle w:val="Strong"/>
        </w:rPr>
        <w:t>Institutional virtues</w:t>
      </w:r>
    </w:p>
    <w:p>
      <w:pPr>
        <w:pStyle w:val="BodyText"/>
        <w:numPr>
          <w:ilvl w:val="0"/>
          <w:numId w:val="0"/>
        </w:numPr>
        <w:spacing w:before="0" w:after="200"/>
        <w:ind w:hanging="0" w:left="0"/>
        <w:rPr/>
      </w:pPr>
      <w:r>
        <w:rPr/>
        <w:t>Institutions can possess stable policies and cultures that are meaningfully described as honest, accountable, just, or corrupt. These are institutional analogues of virtue, not necessarily the same psychological qualities possessed by human Moral Agents.</w:t>
      </w:r>
    </w:p>
    <w:p>
      <w:pPr>
        <w:pStyle w:val="BodyText"/>
        <w:numPr>
          <w:ilvl w:val="0"/>
          <w:numId w:val="44"/>
        </w:numPr>
        <w:tabs>
          <w:tab w:val="clear" w:pos="720"/>
          <w:tab w:val="left" w:pos="0" w:leader="none"/>
        </w:tabs>
        <w:spacing w:before="0" w:after="200"/>
        <w:ind w:hanging="283" w:left="709"/>
        <w:rPr/>
      </w:pPr>
      <w:r>
        <w:rPr>
          <w:rStyle w:val="Strong"/>
        </w:rPr>
        <w:t>Artificial-system virtues</w:t>
      </w:r>
    </w:p>
    <w:p>
      <w:pPr>
        <w:pStyle w:val="BodyText"/>
        <w:numPr>
          <w:ilvl w:val="0"/>
          <w:numId w:val="0"/>
        </w:numPr>
        <w:spacing w:before="0" w:after="200"/>
        <w:ind w:hanging="0" w:left="0"/>
        <w:rPr/>
      </w:pPr>
      <w:r>
        <w:rPr/>
        <w:t>An artificial system may demonstrate reliable honesty, restraint, fairness, transparency, or corrigibility. These should initially be classified as functionally virtue-like policies. Claims of genuine virtue would require evidence of moral understanding, agency, motivation, and other capacities that current systems may lack.</w:t>
      </w:r>
    </w:p>
    <w:p>
      <w:pPr>
        <w:pStyle w:val="BodyText"/>
        <w:numPr>
          <w:ilvl w:val="0"/>
          <w:numId w:val="44"/>
        </w:numPr>
        <w:tabs>
          <w:tab w:val="clear" w:pos="720"/>
          <w:tab w:val="left" w:pos="0" w:leader="none"/>
        </w:tabs>
        <w:spacing w:before="0" w:after="200"/>
        <w:ind w:hanging="283" w:left="709"/>
        <w:rPr/>
      </w:pPr>
      <w:r>
        <w:rPr>
          <w:rStyle w:val="Strong"/>
        </w:rPr>
        <w:t>Virtuous action with detrimental consequences</w:t>
      </w:r>
    </w:p>
    <w:p>
      <w:pPr>
        <w:pStyle w:val="BodyText"/>
        <w:numPr>
          <w:ilvl w:val="0"/>
          <w:numId w:val="0"/>
        </w:numPr>
        <w:spacing w:before="0" w:after="200"/>
        <w:ind w:hanging="0" w:left="0"/>
        <w:rPr/>
      </w:pPr>
      <w:r>
        <w:rPr/>
        <w:t>The framework should recognize the Actor’s virtue and practical judgment while separately reporting the detrimental transition. New evidence should inform corrective action without retroactively attributing vice merely because the outcome was unfavorable.</w:t>
      </w:r>
    </w:p>
    <w:p>
      <w:pPr>
        <w:pStyle w:val="BodyText"/>
        <w:numPr>
          <w:ilvl w:val="0"/>
          <w:numId w:val="44"/>
        </w:numPr>
        <w:tabs>
          <w:tab w:val="clear" w:pos="720"/>
          <w:tab w:val="left" w:pos="0" w:leader="none"/>
        </w:tabs>
        <w:spacing w:before="0" w:after="200"/>
        <w:ind w:hanging="283" w:left="709"/>
        <w:rPr/>
      </w:pPr>
      <w:r>
        <w:rPr>
          <w:rStyle w:val="Strong"/>
        </w:rPr>
        <w:t>Vicious action with beneficial consequences</w:t>
      </w:r>
    </w:p>
    <w:p>
      <w:pPr>
        <w:pStyle w:val="BodyText"/>
        <w:numPr>
          <w:ilvl w:val="0"/>
          <w:numId w:val="0"/>
        </w:numPr>
        <w:spacing w:before="0" w:after="200"/>
        <w:ind w:hanging="0" w:left="0"/>
        <w:rPr/>
      </w:pPr>
      <w:r>
        <w:rPr/>
        <w:t>The favorable outcome should be acknowledged, but the Actor’s motivation, means, and detrimental policy update should remain morally negative. Luck should not transform vicious conduct into virtue.</w:t>
      </w:r>
    </w:p>
    <w:p>
      <w:pPr>
        <w:pStyle w:val="BodyText"/>
        <w:numPr>
          <w:ilvl w:val="0"/>
          <w:numId w:val="44"/>
        </w:numPr>
        <w:tabs>
          <w:tab w:val="clear" w:pos="720"/>
          <w:tab w:val="left" w:pos="0" w:leader="none"/>
        </w:tabs>
        <w:spacing w:before="0" w:after="200"/>
        <w:ind w:hanging="283" w:left="709"/>
        <w:rPr/>
      </w:pPr>
      <w:r>
        <w:rPr>
          <w:rStyle w:val="Strong"/>
        </w:rPr>
        <w:t>Moral education</w:t>
      </w:r>
    </w:p>
    <w:p>
      <w:pPr>
        <w:pStyle w:val="BodyText"/>
        <w:numPr>
          <w:ilvl w:val="0"/>
          <w:numId w:val="0"/>
        </w:numPr>
        <w:spacing w:before="0" w:after="200"/>
        <w:ind w:hanging="0" w:left="0"/>
        <w:rPr/>
      </w:pPr>
      <w:r>
        <w:rPr/>
        <w:t>A Moral Reasoning Runtime could explain which virtues a situation calls for, identify excesses and deficiencies, present exemplars, simulate downstream policy effects, and recommend reflective or institutional practices that strengthen future judgment.</w:t>
      </w:r>
    </w:p>
    <w:p>
      <w:pPr>
        <w:pStyle w:val="BodyText"/>
        <w:numPr>
          <w:ilvl w:val="0"/>
          <w:numId w:val="44"/>
        </w:numPr>
        <w:tabs>
          <w:tab w:val="clear" w:pos="720"/>
          <w:tab w:val="left" w:pos="0" w:leader="none"/>
        </w:tabs>
        <w:spacing w:before="0" w:after="200"/>
        <w:ind w:hanging="283" w:left="709"/>
        <w:rPr/>
      </w:pPr>
      <w:r>
        <w:rPr>
          <w:rStyle w:val="Strong"/>
        </w:rPr>
        <w:t>Cultural disagreement</w:t>
      </w:r>
    </w:p>
    <w:p>
      <w:pPr>
        <w:pStyle w:val="BodyText"/>
        <w:numPr>
          <w:ilvl w:val="0"/>
          <w:numId w:val="0"/>
        </w:numPr>
        <w:spacing w:before="0" w:after="200"/>
        <w:ind w:hanging="0" w:left="0"/>
        <w:rPr/>
      </w:pPr>
      <w:r>
        <w:rPr/>
        <w:t>Implementations should identify the tradition and interpretation supporting each virtue definition. Cross-cultural comparison, stakeholder review, and sensitivity analysis can distinguish shared functional requirements from tradition-specific expressions. Cultural acceptance alone should not validate conduct that materially diminishes relevant Flourishing Entities.</w:t>
      </w:r>
    </w:p>
    <w:p>
      <w:pPr>
        <w:pStyle w:val="Heading4"/>
        <w:ind w:hanging="0" w:left="0"/>
        <w:rPr>
          <w:rFonts w:ascii="Aptos" w:hAnsi="Aptos"/>
          <w:color w:val="auto"/>
        </w:rPr>
      </w:pPr>
      <w:r>
        <w:rPr/>
        <w:t>Remaining Open Issues</w:t>
      </w:r>
    </w:p>
    <w:tbl>
      <w:tblPr>
        <w:tblW w:w="8640" w:type="dxa"/>
        <w:jc w:val="left"/>
        <w:tblInd w:w="28" w:type="dxa"/>
        <w:tblLayout w:type="fixed"/>
        <w:tblCellMar>
          <w:top w:w="28" w:type="dxa"/>
          <w:left w:w="28" w:type="dxa"/>
          <w:bottom w:w="28" w:type="dxa"/>
          <w:right w:w="28" w:type="dxa"/>
        </w:tblCellMar>
      </w:tblPr>
      <w:tblGrid>
        <w:gridCol w:w="3201"/>
        <w:gridCol w:w="5439"/>
      </w:tblGrid>
      <w:tr>
        <w:trPr>
          <w:tblHeader w:val="true"/>
        </w:trPr>
        <w:tc>
          <w:tcPr>
            <w:tcW w:w="3201" w:type="dxa"/>
            <w:tcBorders/>
            <w:vAlign w:val="center"/>
          </w:tcPr>
          <w:p>
            <w:pPr>
              <w:pStyle w:val="TableHeading"/>
              <w:suppressLineNumbers/>
              <w:spacing w:before="0" w:after="200"/>
              <w:jc w:val="center"/>
              <w:rPr/>
            </w:pPr>
            <w:r>
              <w:rPr/>
              <w:t>Open issue</w:t>
            </w:r>
          </w:p>
        </w:tc>
        <w:tc>
          <w:tcPr>
            <w:tcW w:w="5439" w:type="dxa"/>
            <w:tcBorders/>
            <w:vAlign w:val="center"/>
          </w:tcPr>
          <w:p>
            <w:pPr>
              <w:pStyle w:val="TableHeading"/>
              <w:suppressLineNumbers/>
              <w:spacing w:before="0" w:after="200"/>
              <w:jc w:val="center"/>
              <w:rPr/>
            </w:pPr>
            <w:r>
              <w:rPr/>
              <w:t>Unresolved question</w:t>
            </w:r>
          </w:p>
        </w:tc>
      </w:tr>
      <w:tr>
        <w:trPr/>
        <w:tc>
          <w:tcPr>
            <w:tcW w:w="3201" w:type="dxa"/>
            <w:tcBorders/>
            <w:vAlign w:val="center"/>
          </w:tcPr>
          <w:p>
            <w:pPr>
              <w:pStyle w:val="TableContents"/>
              <w:widowControl w:val="false"/>
              <w:suppressLineNumbers/>
              <w:spacing w:before="0" w:after="200"/>
              <w:rPr/>
            </w:pPr>
            <w:r>
              <w:rPr/>
              <w:t xml:space="preserve">Relationship between Long-Term Flourishing and </w:t>
            </w:r>
            <w:r>
              <w:rPr>
                <w:rStyle w:val="Emphasis"/>
              </w:rPr>
              <w:t>eudaimonia</w:t>
            </w:r>
          </w:p>
        </w:tc>
        <w:tc>
          <w:tcPr>
            <w:tcW w:w="5439" w:type="dxa"/>
            <w:tcBorders/>
            <w:vAlign w:val="center"/>
          </w:tcPr>
          <w:p>
            <w:pPr>
              <w:pStyle w:val="TableContents"/>
              <w:widowControl w:val="false"/>
              <w:suppressLineNumbers/>
              <w:spacing w:before="0" w:after="200"/>
              <w:rPr/>
            </w:pPr>
            <w:r>
              <w:rPr/>
              <w:t xml:space="preserve">Is human </w:t>
            </w:r>
            <w:r>
              <w:rPr>
                <w:rStyle w:val="Emphasis"/>
              </w:rPr>
              <w:t>eudaimonia</w:t>
            </w:r>
            <w:r>
              <w:rPr/>
              <w:t xml:space="preserve"> a subtype, component, or competing conception of Long-Term Flourishing?</w:t>
            </w:r>
          </w:p>
        </w:tc>
      </w:tr>
      <w:tr>
        <w:trPr/>
        <w:tc>
          <w:tcPr>
            <w:tcW w:w="3201" w:type="dxa"/>
            <w:tcBorders/>
            <w:vAlign w:val="center"/>
          </w:tcPr>
          <w:p>
            <w:pPr>
              <w:pStyle w:val="TableContents"/>
              <w:widowControl w:val="false"/>
              <w:suppressLineNumbers/>
              <w:spacing w:before="0" w:after="200"/>
              <w:rPr/>
            </w:pPr>
            <w:r>
              <w:rPr/>
              <w:t>Constitutive value of virtue</w:t>
            </w:r>
          </w:p>
        </w:tc>
        <w:tc>
          <w:tcPr>
            <w:tcW w:w="5439" w:type="dxa"/>
            <w:tcBorders/>
            <w:vAlign w:val="center"/>
          </w:tcPr>
          <w:p>
            <w:pPr>
              <w:pStyle w:val="TableContents"/>
              <w:widowControl w:val="false"/>
              <w:suppressLineNumbers/>
              <w:spacing w:before="0" w:after="200"/>
              <w:rPr/>
            </w:pPr>
            <w:r>
              <w:rPr/>
              <w:t>Which virtues are parts of flourishing rather than instruments for producing favorable transitions?</w:t>
            </w:r>
          </w:p>
        </w:tc>
      </w:tr>
      <w:tr>
        <w:trPr/>
        <w:tc>
          <w:tcPr>
            <w:tcW w:w="3201" w:type="dxa"/>
            <w:tcBorders/>
            <w:vAlign w:val="center"/>
          </w:tcPr>
          <w:p>
            <w:pPr>
              <w:pStyle w:val="TableContents"/>
              <w:widowControl w:val="false"/>
              <w:suppressLineNumbers/>
              <w:spacing w:before="0" w:after="200"/>
              <w:rPr/>
            </w:pPr>
            <w:r>
              <w:rPr/>
              <w:t>Virtue ontology</w:t>
            </w:r>
          </w:p>
        </w:tc>
        <w:tc>
          <w:tcPr>
            <w:tcW w:w="5439" w:type="dxa"/>
            <w:tcBorders/>
            <w:vAlign w:val="center"/>
          </w:tcPr>
          <w:p>
            <w:pPr>
              <w:pStyle w:val="TableContents"/>
              <w:widowControl w:val="false"/>
              <w:suppressLineNumbers/>
              <w:spacing w:before="0" w:after="200"/>
              <w:rPr/>
            </w:pPr>
            <w:r>
              <w:rPr/>
              <w:t>What properties are necessary to distinguish virtue from skill, temperament, compliance, or behavioral regularity?</w:t>
            </w:r>
          </w:p>
        </w:tc>
      </w:tr>
      <w:tr>
        <w:trPr/>
        <w:tc>
          <w:tcPr>
            <w:tcW w:w="3201" w:type="dxa"/>
            <w:tcBorders/>
            <w:vAlign w:val="center"/>
          </w:tcPr>
          <w:p>
            <w:pPr>
              <w:pStyle w:val="TableContents"/>
              <w:widowControl w:val="false"/>
              <w:suppressLineNumbers/>
              <w:spacing w:before="0" w:after="200"/>
              <w:rPr/>
            </w:pPr>
            <w:r>
              <w:rPr/>
              <w:t>Practical wisdom</w:t>
            </w:r>
          </w:p>
        </w:tc>
        <w:tc>
          <w:tcPr>
            <w:tcW w:w="5439" w:type="dxa"/>
            <w:tcBorders/>
            <w:vAlign w:val="center"/>
          </w:tcPr>
          <w:p>
            <w:pPr>
              <w:pStyle w:val="TableContents"/>
              <w:widowControl w:val="false"/>
              <w:suppressLineNumbers/>
              <w:spacing w:before="0" w:after="200"/>
              <w:rPr/>
            </w:pPr>
            <w:r>
              <w:rPr/>
              <w:t xml:space="preserve">Which aspects of </w:t>
            </w:r>
            <w:r>
              <w:rPr>
                <w:rStyle w:val="Emphasis"/>
              </w:rPr>
              <w:t>phronesis</w:t>
            </w:r>
            <w:r>
              <w:rPr/>
              <w:t xml:space="preserve"> can be represented computationally, and which require irreducible human judgment?</w:t>
            </w:r>
          </w:p>
        </w:tc>
      </w:tr>
      <w:tr>
        <w:trPr/>
        <w:tc>
          <w:tcPr>
            <w:tcW w:w="3201" w:type="dxa"/>
            <w:tcBorders/>
            <w:vAlign w:val="center"/>
          </w:tcPr>
          <w:p>
            <w:pPr>
              <w:pStyle w:val="TableContents"/>
              <w:widowControl w:val="false"/>
              <w:suppressLineNumbers/>
              <w:spacing w:before="0" w:after="200"/>
              <w:rPr/>
            </w:pPr>
            <w:r>
              <w:rPr/>
              <w:t>Moral perception</w:t>
            </w:r>
          </w:p>
        </w:tc>
        <w:tc>
          <w:tcPr>
            <w:tcW w:w="5439" w:type="dxa"/>
            <w:tcBorders/>
            <w:vAlign w:val="center"/>
          </w:tcPr>
          <w:p>
            <w:pPr>
              <w:pStyle w:val="TableContents"/>
              <w:widowControl w:val="false"/>
              <w:suppressLineNumbers/>
              <w:spacing w:before="0" w:after="200"/>
              <w:rPr/>
            </w:pPr>
            <w:r>
              <w:rPr/>
              <w:t>How can an implementation identify morally salient particulars that its designers did not anticipate?</w:t>
            </w:r>
          </w:p>
        </w:tc>
      </w:tr>
      <w:tr>
        <w:trPr/>
        <w:tc>
          <w:tcPr>
            <w:tcW w:w="3201" w:type="dxa"/>
            <w:tcBorders/>
            <w:vAlign w:val="center"/>
          </w:tcPr>
          <w:p>
            <w:pPr>
              <w:pStyle w:val="TableContents"/>
              <w:widowControl w:val="false"/>
              <w:suppressLineNumbers/>
              <w:spacing w:before="0" w:after="200"/>
              <w:rPr/>
            </w:pPr>
            <w:r>
              <w:rPr/>
              <w:t>Motivation</w:t>
            </w:r>
          </w:p>
        </w:tc>
        <w:tc>
          <w:tcPr>
            <w:tcW w:w="5439" w:type="dxa"/>
            <w:tcBorders/>
            <w:vAlign w:val="center"/>
          </w:tcPr>
          <w:p>
            <w:pPr>
              <w:pStyle w:val="TableContents"/>
              <w:widowControl w:val="false"/>
              <w:suppressLineNumbers/>
              <w:spacing w:before="0" w:after="200"/>
              <w:rPr/>
            </w:pPr>
            <w:r>
              <w:rPr/>
              <w:t>What evidence can reliably establish the reasons for which an Actor acted?</w:t>
            </w:r>
          </w:p>
        </w:tc>
      </w:tr>
      <w:tr>
        <w:trPr/>
        <w:tc>
          <w:tcPr>
            <w:tcW w:w="3201" w:type="dxa"/>
            <w:tcBorders/>
            <w:vAlign w:val="center"/>
          </w:tcPr>
          <w:p>
            <w:pPr>
              <w:pStyle w:val="TableContents"/>
              <w:widowControl w:val="false"/>
              <w:suppressLineNumbers/>
              <w:spacing w:before="0" w:after="200"/>
              <w:rPr/>
            </w:pPr>
            <w:r>
              <w:rPr/>
              <w:t>Emotion</w:t>
            </w:r>
          </w:p>
        </w:tc>
        <w:tc>
          <w:tcPr>
            <w:tcW w:w="5439" w:type="dxa"/>
            <w:tcBorders/>
            <w:vAlign w:val="center"/>
          </w:tcPr>
          <w:p>
            <w:pPr>
              <w:pStyle w:val="TableContents"/>
              <w:widowControl w:val="false"/>
              <w:suppressLineNumbers/>
              <w:spacing w:before="0" w:after="200"/>
              <w:rPr/>
            </w:pPr>
            <w:r>
              <w:rPr/>
              <w:t>How should appropriate feeling be represented without speculative psychological inference?</w:t>
            </w:r>
          </w:p>
        </w:tc>
      </w:tr>
      <w:tr>
        <w:trPr/>
        <w:tc>
          <w:tcPr>
            <w:tcW w:w="3201" w:type="dxa"/>
            <w:tcBorders/>
            <w:vAlign w:val="center"/>
          </w:tcPr>
          <w:p>
            <w:pPr>
              <w:pStyle w:val="TableContents"/>
              <w:widowControl w:val="false"/>
              <w:suppressLineNumbers/>
              <w:spacing w:before="0" w:after="200"/>
              <w:rPr/>
            </w:pPr>
            <w:r>
              <w:rPr/>
              <w:t>Character stability</w:t>
            </w:r>
          </w:p>
        </w:tc>
        <w:tc>
          <w:tcPr>
            <w:tcW w:w="5439" w:type="dxa"/>
            <w:tcBorders/>
            <w:vAlign w:val="center"/>
          </w:tcPr>
          <w:p>
            <w:pPr>
              <w:pStyle w:val="TableContents"/>
              <w:widowControl w:val="false"/>
              <w:suppressLineNumbers/>
              <w:spacing w:before="0" w:after="200"/>
              <w:rPr/>
            </w:pPr>
            <w:r>
              <w:rPr/>
              <w:t>What duration and cross-situational consistency are required before attributing a virtue or vice?</w:t>
            </w:r>
          </w:p>
        </w:tc>
      </w:tr>
      <w:tr>
        <w:trPr/>
        <w:tc>
          <w:tcPr>
            <w:tcW w:w="3201" w:type="dxa"/>
            <w:tcBorders/>
            <w:vAlign w:val="center"/>
          </w:tcPr>
          <w:p>
            <w:pPr>
              <w:pStyle w:val="TableContents"/>
              <w:widowControl w:val="false"/>
              <w:suppressLineNumbers/>
              <w:spacing w:before="0" w:after="200"/>
              <w:rPr/>
            </w:pPr>
            <w:r>
              <w:rPr/>
              <w:t>Situationism</w:t>
            </w:r>
          </w:p>
        </w:tc>
        <w:tc>
          <w:tcPr>
            <w:tcW w:w="5439" w:type="dxa"/>
            <w:tcBorders/>
            <w:vAlign w:val="center"/>
          </w:tcPr>
          <w:p>
            <w:pPr>
              <w:pStyle w:val="TableContents"/>
              <w:widowControl w:val="false"/>
              <w:suppressLineNumbers/>
              <w:spacing w:before="0" w:after="200"/>
              <w:rPr/>
            </w:pPr>
            <w:r>
              <w:rPr/>
              <w:t>Should virtues be modeled as global traits, local dispositions, skills, or context-sensitive policy patterns?</w:t>
            </w:r>
          </w:p>
        </w:tc>
      </w:tr>
      <w:tr>
        <w:trPr/>
        <w:tc>
          <w:tcPr>
            <w:tcW w:w="3201" w:type="dxa"/>
            <w:tcBorders/>
            <w:vAlign w:val="center"/>
          </w:tcPr>
          <w:p>
            <w:pPr>
              <w:pStyle w:val="TableContents"/>
              <w:widowControl w:val="false"/>
              <w:suppressLineNumbers/>
              <w:spacing w:before="0" w:after="200"/>
              <w:rPr/>
            </w:pPr>
            <w:r>
              <w:rPr/>
              <w:t>Doctrine of the mean</w:t>
            </w:r>
          </w:p>
        </w:tc>
        <w:tc>
          <w:tcPr>
            <w:tcW w:w="5439" w:type="dxa"/>
            <w:tcBorders/>
            <w:vAlign w:val="center"/>
          </w:tcPr>
          <w:p>
            <w:pPr>
              <w:pStyle w:val="TableContents"/>
              <w:widowControl w:val="false"/>
              <w:suppressLineNumbers/>
              <w:spacing w:before="0" w:after="200"/>
              <w:rPr/>
            </w:pPr>
            <w:r>
              <w:rPr/>
              <w:t>How can deficiency and excess be operationalized without turning contextual judgment into arbitrary thresholds?</w:t>
            </w:r>
          </w:p>
        </w:tc>
      </w:tr>
      <w:tr>
        <w:trPr/>
        <w:tc>
          <w:tcPr>
            <w:tcW w:w="3201" w:type="dxa"/>
            <w:tcBorders/>
            <w:vAlign w:val="center"/>
          </w:tcPr>
          <w:p>
            <w:pPr>
              <w:pStyle w:val="TableContents"/>
              <w:widowControl w:val="false"/>
              <w:suppressLineNumbers/>
              <w:spacing w:before="0" w:after="200"/>
              <w:rPr/>
            </w:pPr>
            <w:r>
              <w:rPr/>
              <w:t>Interaction of virtues</w:t>
            </w:r>
          </w:p>
        </w:tc>
        <w:tc>
          <w:tcPr>
            <w:tcW w:w="5439" w:type="dxa"/>
            <w:tcBorders/>
            <w:vAlign w:val="center"/>
          </w:tcPr>
          <w:p>
            <w:pPr>
              <w:pStyle w:val="TableContents"/>
              <w:widowControl w:val="false"/>
              <w:suppressLineNumbers/>
              <w:spacing w:before="0" w:after="200"/>
              <w:rPr/>
            </w:pPr>
            <w:r>
              <w:rPr/>
              <w:t>How should conflicts or dependencies among honesty, loyalty, courage, justice, compassion, and prudence be resolved?</w:t>
            </w:r>
          </w:p>
        </w:tc>
      </w:tr>
      <w:tr>
        <w:trPr/>
        <w:tc>
          <w:tcPr>
            <w:tcW w:w="3201" w:type="dxa"/>
            <w:tcBorders/>
            <w:vAlign w:val="center"/>
          </w:tcPr>
          <w:p>
            <w:pPr>
              <w:pStyle w:val="TableContents"/>
              <w:widowControl w:val="false"/>
              <w:suppressLineNumbers/>
              <w:spacing w:before="0" w:after="200"/>
              <w:rPr/>
            </w:pPr>
            <w:r>
              <w:rPr/>
              <w:t>Moral luck</w:t>
            </w:r>
          </w:p>
        </w:tc>
        <w:tc>
          <w:tcPr>
            <w:tcW w:w="5439" w:type="dxa"/>
            <w:tcBorders/>
            <w:vAlign w:val="center"/>
          </w:tcPr>
          <w:p>
            <w:pPr>
              <w:pStyle w:val="TableContents"/>
              <w:widowControl w:val="false"/>
              <w:suppressLineNumbers/>
              <w:spacing w:before="0" w:after="200"/>
              <w:rPr/>
            </w:pPr>
            <w:r>
              <w:rPr/>
              <w:t>How should character, decision quality, causal impact, and observed outcome be weighted in the final assessment?</w:t>
            </w:r>
          </w:p>
        </w:tc>
      </w:tr>
      <w:tr>
        <w:trPr/>
        <w:tc>
          <w:tcPr>
            <w:tcW w:w="3201" w:type="dxa"/>
            <w:tcBorders/>
            <w:vAlign w:val="center"/>
          </w:tcPr>
          <w:p>
            <w:pPr>
              <w:pStyle w:val="TableContents"/>
              <w:widowControl w:val="false"/>
              <w:suppressLineNumbers/>
              <w:spacing w:before="0" w:after="200"/>
              <w:rPr/>
            </w:pPr>
            <w:r>
              <w:rPr/>
              <w:t>Practices and internal goods</w:t>
            </w:r>
          </w:p>
        </w:tc>
        <w:tc>
          <w:tcPr>
            <w:tcW w:w="5439" w:type="dxa"/>
            <w:tcBorders/>
            <w:vAlign w:val="center"/>
          </w:tcPr>
          <w:p>
            <w:pPr>
              <w:pStyle w:val="TableContents"/>
              <w:widowControl w:val="false"/>
              <w:suppressLineNumbers/>
              <w:spacing w:before="0" w:after="200"/>
              <w:rPr/>
            </w:pPr>
            <w:r>
              <w:rPr/>
              <w:t>How are the internal goods of medicine, law, science, education, governance, or engineering authoritatively identified?</w:t>
            </w:r>
          </w:p>
        </w:tc>
      </w:tr>
      <w:tr>
        <w:trPr/>
        <w:tc>
          <w:tcPr>
            <w:tcW w:w="3201" w:type="dxa"/>
            <w:tcBorders/>
            <w:vAlign w:val="center"/>
          </w:tcPr>
          <w:p>
            <w:pPr>
              <w:pStyle w:val="TableContents"/>
              <w:widowControl w:val="false"/>
              <w:suppressLineNumbers/>
              <w:spacing w:before="0" w:after="200"/>
              <w:rPr/>
            </w:pPr>
            <w:r>
              <w:rPr/>
              <w:t>Tradition dependence</w:t>
            </w:r>
          </w:p>
        </w:tc>
        <w:tc>
          <w:tcPr>
            <w:tcW w:w="5439" w:type="dxa"/>
            <w:tcBorders/>
            <w:vAlign w:val="center"/>
          </w:tcPr>
          <w:p>
            <w:pPr>
              <w:pStyle w:val="TableContents"/>
              <w:widowControl w:val="false"/>
              <w:suppressLineNumbers/>
              <w:spacing w:before="0" w:after="200"/>
              <w:rPr/>
            </w:pPr>
            <w:r>
              <w:rPr/>
              <w:t>How should the framework adjudicate between traditions that define virtues and flourishing differently?</w:t>
            </w:r>
          </w:p>
        </w:tc>
      </w:tr>
      <w:tr>
        <w:trPr/>
        <w:tc>
          <w:tcPr>
            <w:tcW w:w="3201" w:type="dxa"/>
            <w:tcBorders/>
            <w:vAlign w:val="center"/>
          </w:tcPr>
          <w:p>
            <w:pPr>
              <w:pStyle w:val="TableContents"/>
              <w:widowControl w:val="false"/>
              <w:suppressLineNumbers/>
              <w:spacing w:before="0" w:after="200"/>
              <w:rPr/>
            </w:pPr>
            <w:r>
              <w:rPr/>
              <w:t>Narrative representation</w:t>
            </w:r>
          </w:p>
        </w:tc>
        <w:tc>
          <w:tcPr>
            <w:tcW w:w="5439" w:type="dxa"/>
            <w:tcBorders/>
            <w:vAlign w:val="center"/>
          </w:tcPr>
          <w:p>
            <w:pPr>
              <w:pStyle w:val="TableContents"/>
              <w:widowControl w:val="false"/>
              <w:suppressLineNumbers/>
              <w:spacing w:before="0" w:after="200"/>
              <w:rPr/>
            </w:pPr>
            <w:r>
              <w:rPr/>
              <w:t>Can transition histories capture the narrative unity of a life, or is interpretive narrative an additional requirement?</w:t>
            </w:r>
          </w:p>
        </w:tc>
      </w:tr>
      <w:tr>
        <w:trPr/>
        <w:tc>
          <w:tcPr>
            <w:tcW w:w="3201" w:type="dxa"/>
            <w:tcBorders/>
            <w:vAlign w:val="center"/>
          </w:tcPr>
          <w:p>
            <w:pPr>
              <w:pStyle w:val="TableContents"/>
              <w:widowControl w:val="false"/>
              <w:suppressLineNumbers/>
              <w:spacing w:before="0" w:after="200"/>
              <w:rPr/>
            </w:pPr>
            <w:r>
              <w:rPr/>
              <w:t>Institutional character</w:t>
            </w:r>
          </w:p>
        </w:tc>
        <w:tc>
          <w:tcPr>
            <w:tcW w:w="5439" w:type="dxa"/>
            <w:tcBorders/>
            <w:vAlign w:val="center"/>
          </w:tcPr>
          <w:p>
            <w:pPr>
              <w:pStyle w:val="TableContents"/>
              <w:widowControl w:val="false"/>
              <w:suppressLineNumbers/>
              <w:spacing w:before="0" w:after="200"/>
              <w:rPr/>
            </w:pPr>
            <w:r>
              <w:rPr/>
              <w:t>When is it legitimate to attribute virtue or vice to a collective institution rather than its members?</w:t>
            </w:r>
          </w:p>
        </w:tc>
      </w:tr>
      <w:tr>
        <w:trPr/>
        <w:tc>
          <w:tcPr>
            <w:tcW w:w="3201" w:type="dxa"/>
            <w:tcBorders/>
            <w:vAlign w:val="center"/>
          </w:tcPr>
          <w:p>
            <w:pPr>
              <w:pStyle w:val="TableContents"/>
              <w:widowControl w:val="false"/>
              <w:suppressLineNumbers/>
              <w:spacing w:before="0" w:after="200"/>
              <w:rPr/>
            </w:pPr>
            <w:r>
              <w:rPr/>
              <w:t>Artificial virtue</w:t>
            </w:r>
          </w:p>
        </w:tc>
        <w:tc>
          <w:tcPr>
            <w:tcW w:w="5439" w:type="dxa"/>
            <w:tcBorders/>
            <w:vAlign w:val="center"/>
          </w:tcPr>
          <w:p>
            <w:pPr>
              <w:pStyle w:val="TableContents"/>
              <w:widowControl w:val="false"/>
              <w:suppressLineNumbers/>
              <w:spacing w:before="0" w:after="200"/>
              <w:rPr/>
            </w:pPr>
            <w:r>
              <w:rPr/>
              <w:t>What capacities would distinguish genuine artificial virtue from engineered behavioral reliability?</w:t>
            </w:r>
          </w:p>
        </w:tc>
      </w:tr>
      <w:tr>
        <w:trPr/>
        <w:tc>
          <w:tcPr>
            <w:tcW w:w="3201" w:type="dxa"/>
            <w:tcBorders/>
            <w:vAlign w:val="center"/>
          </w:tcPr>
          <w:p>
            <w:pPr>
              <w:pStyle w:val="TableContents"/>
              <w:widowControl w:val="false"/>
              <w:suppressLineNumbers/>
              <w:spacing w:before="0" w:after="200"/>
              <w:rPr/>
            </w:pPr>
            <w:r>
              <w:rPr/>
              <w:t>Exemplar selection</w:t>
            </w:r>
          </w:p>
        </w:tc>
        <w:tc>
          <w:tcPr>
            <w:tcW w:w="5439" w:type="dxa"/>
            <w:tcBorders/>
            <w:vAlign w:val="center"/>
          </w:tcPr>
          <w:p>
            <w:pPr>
              <w:pStyle w:val="TableContents"/>
              <w:widowControl w:val="false"/>
              <w:suppressLineNumbers/>
              <w:spacing w:before="0" w:after="200"/>
              <w:rPr/>
            </w:pPr>
            <w:r>
              <w:rPr/>
              <w:t>Who identifies moral exemplars, and how are bias, hagiography, and culturally narrow selection prevented?</w:t>
            </w:r>
          </w:p>
        </w:tc>
      </w:tr>
      <w:tr>
        <w:trPr/>
        <w:tc>
          <w:tcPr>
            <w:tcW w:w="3201" w:type="dxa"/>
            <w:tcBorders/>
            <w:vAlign w:val="center"/>
          </w:tcPr>
          <w:p>
            <w:pPr>
              <w:pStyle w:val="TableContents"/>
              <w:widowControl w:val="false"/>
              <w:suppressLineNumbers/>
              <w:spacing w:before="0" w:after="200"/>
              <w:rPr/>
            </w:pPr>
            <w:r>
              <w:rPr/>
              <w:t>Moral education</w:t>
            </w:r>
          </w:p>
        </w:tc>
        <w:tc>
          <w:tcPr>
            <w:tcW w:w="5439" w:type="dxa"/>
            <w:tcBorders/>
            <w:vAlign w:val="center"/>
          </w:tcPr>
          <w:p>
            <w:pPr>
              <w:pStyle w:val="TableContents"/>
              <w:widowControl w:val="false"/>
              <w:suppressLineNumbers/>
              <w:spacing w:before="0" w:after="200"/>
              <w:rPr/>
            </w:pPr>
            <w:r>
              <w:rPr/>
              <w:t>What forms of feedback genuinely develop practical wisdom rather than encourage rule compliance or metric gaming?</w:t>
            </w:r>
          </w:p>
        </w:tc>
      </w:tr>
      <w:tr>
        <w:trPr/>
        <w:tc>
          <w:tcPr>
            <w:tcW w:w="3201" w:type="dxa"/>
            <w:tcBorders/>
            <w:vAlign w:val="center"/>
          </w:tcPr>
          <w:p>
            <w:pPr>
              <w:pStyle w:val="TableContents"/>
              <w:widowControl w:val="false"/>
              <w:suppressLineNumbers/>
              <w:spacing w:before="0" w:after="200"/>
              <w:rPr/>
            </w:pPr>
            <w:r>
              <w:rPr/>
              <w:t>Character and World Context conflicts</w:t>
            </w:r>
          </w:p>
        </w:tc>
        <w:tc>
          <w:tcPr>
            <w:tcW w:w="5439" w:type="dxa"/>
            <w:tcBorders/>
            <w:vAlign w:val="center"/>
          </w:tcPr>
          <w:p>
            <w:pPr>
              <w:pStyle w:val="TableContents"/>
              <w:widowControl w:val="false"/>
              <w:suppressLineNumbers/>
              <w:spacing w:before="0" w:after="200"/>
              <w:rPr/>
            </w:pPr>
            <w:r>
              <w:rPr/>
              <w:t>Which assessment controls when excellent character and the preferred systemic transition point toward different actions?</w:t>
            </w:r>
          </w:p>
        </w:tc>
      </w:tr>
      <w:tr>
        <w:trPr/>
        <w:tc>
          <w:tcPr>
            <w:tcW w:w="3201" w:type="dxa"/>
            <w:tcBorders/>
            <w:vAlign w:val="center"/>
          </w:tcPr>
          <w:p>
            <w:pPr>
              <w:pStyle w:val="TableContents"/>
              <w:widowControl w:val="false"/>
              <w:suppressLineNumbers/>
              <w:spacing w:before="0" w:after="200"/>
              <w:rPr/>
            </w:pPr>
            <w:r>
              <w:rPr/>
              <w:t>Empirical validation</w:t>
            </w:r>
          </w:p>
        </w:tc>
        <w:tc>
          <w:tcPr>
            <w:tcW w:w="5439" w:type="dxa"/>
            <w:tcBorders/>
            <w:vAlign w:val="center"/>
          </w:tcPr>
          <w:p>
            <w:pPr>
              <w:pStyle w:val="TableContents"/>
              <w:widowControl w:val="false"/>
              <w:suppressLineNumbers/>
              <w:spacing w:before="0" w:after="200"/>
              <w:rPr/>
            </w:pPr>
            <w:r>
              <w:rPr/>
              <w:t>How can character models be tested without assuming that observed behavior fully reveals virtue?</w:t>
            </w:r>
          </w:p>
        </w:tc>
      </w:tr>
      <w:tr>
        <w:trPr/>
        <w:tc>
          <w:tcPr>
            <w:tcW w:w="3201" w:type="dxa"/>
            <w:tcBorders/>
            <w:vAlign w:val="center"/>
          </w:tcPr>
          <w:p>
            <w:pPr>
              <w:pStyle w:val="TableContents"/>
              <w:widowControl w:val="false"/>
              <w:suppressLineNumbers/>
              <w:spacing w:before="0" w:after="200"/>
              <w:rPr/>
            </w:pPr>
            <w:r>
              <w:rPr/>
              <w:t>Explainability</w:t>
            </w:r>
          </w:p>
        </w:tc>
        <w:tc>
          <w:tcPr>
            <w:tcW w:w="5439" w:type="dxa"/>
            <w:tcBorders/>
            <w:vAlign w:val="center"/>
          </w:tcPr>
          <w:p>
            <w:pPr>
              <w:pStyle w:val="TableContents"/>
              <w:widowControl w:val="false"/>
              <w:suppressLineNumbers/>
              <w:spacing w:before="0" w:after="200"/>
              <w:rPr/>
            </w:pPr>
            <w:r>
              <w:rPr/>
              <w:t>How can thick, context-dependent virtue judgments remain transparent and auditable without being oversimplified?</w:t>
            </w:r>
          </w:p>
        </w:tc>
      </w:tr>
    </w:tbl>
    <w:p>
      <w:pPr>
        <w:pStyle w:val="Normal"/>
        <w:widowControl/>
        <w:bidi w:val="0"/>
        <w:spacing w:lineRule="auto" w:line="276"/>
        <w:jc w:val="left"/>
        <w:rPr/>
      </w:pPr>
      <w:r>
        <w:rPr/>
      </w:r>
    </w:p>
    <w:p>
      <w:pPr>
        <w:pStyle w:val="Heading3"/>
        <w:ind w:hanging="0" w:left="0"/>
        <w:rPr/>
      </w:pPr>
      <w:r>
        <w:rPr/>
        <w:t>Rights-Based Ethics</w:t>
      </w:r>
    </w:p>
    <w:p>
      <w:pPr>
        <w:pStyle w:val="Heading4"/>
        <w:ind w:hanging="0" w:left="0"/>
        <w:rPr>
          <w:rFonts w:ascii="Aptos" w:hAnsi="Aptos"/>
          <w:color w:val="auto"/>
        </w:rPr>
      </w:pPr>
      <w:r>
        <w:rPr/>
        <w:t>Questioning Argument</w:t>
      </w:r>
    </w:p>
    <w:p>
      <w:pPr>
        <w:pStyle w:val="BodyText"/>
        <w:spacing w:before="0" w:after="200"/>
        <w:rPr/>
      </w:pPr>
      <w:r>
        <w:rPr/>
        <w:t>A rights-based ethicist may argue that this framework makes the protection of individuals contingent on predicted contributions to long-term flourishing. Because the framework evaluates the complete World Context Transition, it could permit an individual’s rights to be infringed whenever the projected systemic benefits are sufficiently large. A right, however, is not merely an interest to be included in an aggregate calculation. It is a justified claim held by a particular entity that imposes duties or limitations on others.</w:t>
      </w:r>
    </w:p>
    <w:p>
      <w:pPr>
        <w:pStyle w:val="BodyText"/>
        <w:spacing w:before="0" w:after="200"/>
        <w:rPr/>
      </w:pPr>
      <w:r>
        <w:rPr/>
        <w:t>The critic may therefore ask:</w:t>
      </w:r>
    </w:p>
    <w:p>
      <w:pPr>
        <w:pStyle w:val="BlockQuotation"/>
        <w:spacing w:before="0" w:after="200"/>
        <w:rPr/>
      </w:pPr>
      <w:r>
        <w:rPr/>
        <w:t>If rights do not operate as independent constraints on an Assessed Action, what prevents the framework from sacrificing the agency, liberty, property, privacy, bodily integrity, or procedural protections of a minority for the predicted flourishing of a larger system?</w:t>
      </w:r>
    </w:p>
    <w:p>
      <w:pPr>
        <w:pStyle w:val="BodyText"/>
        <w:spacing w:before="0" w:after="200"/>
        <w:rPr/>
      </w:pPr>
      <w:r>
        <w:rPr/>
        <w:t>The concern is intensified by the uncertainty inherent in long-term forecasting. An actor could invoke speculative future benefits to justify a present and identifiable rights violation. Without explicit rules defining right-holders, duty-bearers, permissible limitations, consent, enforcement, and remedy, the framework may recognize the effects of a rights violation without recognizing the violation itself.</w:t>
      </w:r>
    </w:p>
    <w:p>
      <w:pPr>
        <w:pStyle w:val="Heading4"/>
        <w:ind w:hanging="0" w:left="0"/>
        <w:rPr>
          <w:rFonts w:ascii="Aptos" w:hAnsi="Aptos"/>
          <w:color w:val="auto"/>
        </w:rPr>
      </w:pPr>
      <w:r>
        <w:rPr/>
        <w:t>Assumptions Within the Ethical Model Relevant to the Questioning Argument</w:t>
      </w:r>
    </w:p>
    <w:p>
      <w:pPr>
        <w:pStyle w:val="BodyText"/>
        <w:spacing w:before="0" w:after="200"/>
        <w:rPr/>
      </w:pPr>
      <w:r>
        <w:rPr/>
        <w:t>The questioning argument depends on several assumptions commonly found in rights-based theories:</w:t>
      </w:r>
    </w:p>
    <w:p>
      <w:pPr>
        <w:pStyle w:val="BodyText"/>
        <w:numPr>
          <w:ilvl w:val="0"/>
          <w:numId w:val="49"/>
        </w:numPr>
        <w:tabs>
          <w:tab w:val="clear" w:pos="720"/>
          <w:tab w:val="left" w:pos="0" w:leader="none"/>
        </w:tabs>
        <w:spacing w:before="0" w:after="200"/>
        <w:ind w:hanging="283" w:left="709"/>
        <w:rPr/>
      </w:pPr>
      <w:r>
        <w:rPr>
          <w:rStyle w:val="Strong"/>
        </w:rPr>
        <w:t>Individuals possess morally significant claims.</w:t>
      </w:r>
      <w:r>
        <w:rPr/>
        <w:t xml:space="preserve"> These claims cannot be reduced to preferences, aggregate welfare, or contributions to system performance.</w:t>
      </w:r>
    </w:p>
    <w:p>
      <w:pPr>
        <w:pStyle w:val="BodyText"/>
        <w:numPr>
          <w:ilvl w:val="0"/>
          <w:numId w:val="49"/>
        </w:numPr>
        <w:tabs>
          <w:tab w:val="clear" w:pos="720"/>
          <w:tab w:val="left" w:pos="0" w:leader="none"/>
        </w:tabs>
        <w:spacing w:before="0" w:after="200"/>
        <w:ind w:hanging="283" w:left="709"/>
        <w:rPr/>
      </w:pPr>
      <w:r>
        <w:rPr>
          <w:rStyle w:val="Strong"/>
        </w:rPr>
        <w:t>Rights create relational obligations.</w:t>
      </w:r>
      <w:r>
        <w:rPr/>
        <w:t xml:space="preserve"> A claim-right held by one entity ordinarily corresponds to a duty held by another. Rights analysis must therefore identify both the right-holder and the duty-bearer.</w:t>
      </w:r>
    </w:p>
    <w:p>
      <w:pPr>
        <w:pStyle w:val="BodyText"/>
        <w:numPr>
          <w:ilvl w:val="0"/>
          <w:numId w:val="49"/>
        </w:numPr>
        <w:tabs>
          <w:tab w:val="clear" w:pos="720"/>
          <w:tab w:val="left" w:pos="0" w:leader="none"/>
        </w:tabs>
        <w:spacing w:before="0" w:after="200"/>
        <w:ind w:hanging="283" w:left="709"/>
        <w:rPr/>
      </w:pPr>
      <w:r>
        <w:rPr>
          <w:rStyle w:val="Strong"/>
        </w:rPr>
        <w:t>Rights have special normative priority.</w:t>
      </w:r>
      <w:r>
        <w:rPr/>
        <w:t xml:space="preserve"> Rights may operate as side constraints, presumptive barriers, or reasons with greater force than ordinary welfare considerations.</w:t>
      </w:r>
    </w:p>
    <w:p>
      <w:pPr>
        <w:pStyle w:val="BodyText"/>
        <w:numPr>
          <w:ilvl w:val="0"/>
          <w:numId w:val="49"/>
        </w:numPr>
        <w:tabs>
          <w:tab w:val="clear" w:pos="720"/>
          <w:tab w:val="left" w:pos="0" w:leader="none"/>
        </w:tabs>
        <w:spacing w:before="0" w:after="200"/>
        <w:ind w:hanging="283" w:left="709"/>
        <w:rPr/>
      </w:pPr>
      <w:r>
        <w:rPr>
          <w:rStyle w:val="Strong"/>
        </w:rPr>
        <w:t>Some interests must be protected against aggregation.</w:t>
      </w:r>
      <w:r>
        <w:rPr/>
        <w:t xml:space="preserve"> A large benefit distributed among many entities does not automatically justify imposing a serious violation on one entity.</w:t>
      </w:r>
    </w:p>
    <w:p>
      <w:pPr>
        <w:pStyle w:val="BodyText"/>
        <w:numPr>
          <w:ilvl w:val="0"/>
          <w:numId w:val="49"/>
        </w:numPr>
        <w:tabs>
          <w:tab w:val="clear" w:pos="720"/>
          <w:tab w:val="left" w:pos="0" w:leader="none"/>
        </w:tabs>
        <w:spacing w:before="0" w:after="200"/>
        <w:ind w:hanging="283" w:left="709"/>
        <w:rPr/>
      </w:pPr>
      <w:r>
        <w:rPr>
          <w:rStyle w:val="Strong"/>
        </w:rPr>
        <w:t>Moral rights do not depend entirely on legal recognition.</w:t>
      </w:r>
      <w:r>
        <w:rPr/>
        <w:t xml:space="preserve"> Institutions can fail to recognize valid moral rights or can create legal entitlements that are morally unjustified.</w:t>
      </w:r>
    </w:p>
    <w:p>
      <w:pPr>
        <w:pStyle w:val="BodyText"/>
        <w:numPr>
          <w:ilvl w:val="0"/>
          <w:numId w:val="49"/>
        </w:numPr>
        <w:tabs>
          <w:tab w:val="clear" w:pos="720"/>
          <w:tab w:val="left" w:pos="0" w:leader="none"/>
        </w:tabs>
        <w:spacing w:before="0" w:after="200"/>
        <w:ind w:hanging="283" w:left="709"/>
        <w:rPr/>
      </w:pPr>
      <w:r>
        <w:rPr>
          <w:rStyle w:val="Strong"/>
        </w:rPr>
        <w:t>Rights protect status and agency as well as welfare.</w:t>
      </w:r>
      <w:r>
        <w:rPr/>
        <w:t xml:space="preserve"> A person can be wronged through coercion, deception, discrimination, or denial of due process even when the measurable material consequences are limited.</w:t>
      </w:r>
    </w:p>
    <w:p>
      <w:pPr>
        <w:pStyle w:val="BodyText"/>
        <w:numPr>
          <w:ilvl w:val="0"/>
          <w:numId w:val="49"/>
        </w:numPr>
        <w:tabs>
          <w:tab w:val="clear" w:pos="720"/>
          <w:tab w:val="left" w:pos="0" w:leader="none"/>
        </w:tabs>
        <w:spacing w:before="0" w:after="200"/>
        <w:ind w:hanging="283" w:left="709"/>
        <w:rPr/>
      </w:pPr>
      <w:r>
        <w:rPr>
          <w:rStyle w:val="Strong"/>
        </w:rPr>
        <w:t>Both negative and positive duties may exist.</w:t>
      </w:r>
      <w:r>
        <w:rPr/>
        <w:t xml:space="preserve"> Duty-bearers may be required to refrain from interference, protect right-holders against third parties, or provide essential assistance.</w:t>
      </w:r>
    </w:p>
    <w:p>
      <w:pPr>
        <w:pStyle w:val="BodyText"/>
        <w:numPr>
          <w:ilvl w:val="0"/>
          <w:numId w:val="49"/>
        </w:numPr>
        <w:tabs>
          <w:tab w:val="clear" w:pos="720"/>
          <w:tab w:val="left" w:pos="0" w:leader="none"/>
        </w:tabs>
        <w:spacing w:before="0" w:after="200"/>
        <w:ind w:hanging="283" w:left="709"/>
        <w:rPr/>
      </w:pPr>
      <w:r>
        <w:rPr>
          <w:rStyle w:val="Strong"/>
        </w:rPr>
        <w:t>Consent has normative significance.</w:t>
      </w:r>
      <w:r>
        <w:rPr/>
        <w:t xml:space="preserve"> Valid consent can alter some rights and duties, but consent must be informed, voluntary, competent, sufficiently specific, and applicable to a waivable right.</w:t>
      </w:r>
    </w:p>
    <w:p>
      <w:pPr>
        <w:pStyle w:val="BodyText"/>
        <w:numPr>
          <w:ilvl w:val="0"/>
          <w:numId w:val="49"/>
        </w:numPr>
        <w:tabs>
          <w:tab w:val="clear" w:pos="720"/>
          <w:tab w:val="left" w:pos="0" w:leader="none"/>
        </w:tabs>
        <w:spacing w:before="0" w:after="200"/>
        <w:ind w:hanging="283" w:left="709"/>
        <w:rPr/>
      </w:pPr>
      <w:r>
        <w:rPr>
          <w:rStyle w:val="Strong"/>
        </w:rPr>
        <w:t>Not all rights are absolute.</w:t>
      </w:r>
      <w:r>
        <w:rPr/>
        <w:t xml:space="preserve"> Some rights may be limited, but limitations ordinarily require established criteria such as necessity, proportionality, nondiscrimination, and use of the least restrictive effective alternative.</w:t>
      </w:r>
    </w:p>
    <w:p>
      <w:pPr>
        <w:pStyle w:val="BodyText"/>
        <w:numPr>
          <w:ilvl w:val="0"/>
          <w:numId w:val="49"/>
        </w:numPr>
        <w:tabs>
          <w:tab w:val="clear" w:pos="720"/>
          <w:tab w:val="left" w:pos="0" w:leader="none"/>
        </w:tabs>
        <w:spacing w:before="0" w:after="200"/>
        <w:ind w:hanging="283" w:left="709"/>
        <w:rPr/>
      </w:pPr>
      <w:r>
        <w:rPr>
          <w:rStyle w:val="Strong"/>
        </w:rPr>
        <w:t>Rights violations require remedies.</w:t>
      </w:r>
      <w:r>
        <w:rPr/>
        <w:t xml:space="preserve"> Ethical analysis is incomplete if it identifies a violation without considering cessation, restoration, compensation, accountability, or prevention of recurrence.</w:t>
      </w:r>
    </w:p>
    <w:p>
      <w:pPr>
        <w:pStyle w:val="BodyText"/>
        <w:numPr>
          <w:ilvl w:val="0"/>
          <w:numId w:val="49"/>
        </w:numPr>
        <w:tabs>
          <w:tab w:val="clear" w:pos="720"/>
          <w:tab w:val="left" w:pos="0" w:leader="none"/>
        </w:tabs>
        <w:spacing w:before="0" w:after="200"/>
        <w:ind w:hanging="283" w:left="709"/>
        <w:rPr/>
      </w:pPr>
      <w:r>
        <w:rPr>
          <w:rStyle w:val="Strong"/>
        </w:rPr>
        <w:t>Procedural protections have independent importance.</w:t>
      </w:r>
      <w:r>
        <w:rPr/>
        <w:t xml:space="preserve"> Notice, participation, impartial review, and appeal cannot always be replaced by a claim that the decision will produce a beneficial outcome.</w:t>
      </w:r>
    </w:p>
    <w:p>
      <w:pPr>
        <w:pStyle w:val="Heading4"/>
        <w:ind w:hanging="0" w:left="0"/>
        <w:rPr>
          <w:rFonts w:ascii="Aptos" w:hAnsi="Aptos"/>
          <w:color w:val="auto"/>
        </w:rPr>
      </w:pPr>
      <w:r>
        <w:rPr/>
        <w:t>Concepts Incorporated From This Ethical Model</w:t>
      </w:r>
    </w:p>
    <w:p>
      <w:pPr>
        <w:pStyle w:val="BodyText"/>
        <w:spacing w:before="0" w:after="200"/>
        <w:rPr/>
      </w:pPr>
      <w:r>
        <w:rPr/>
        <w:t>This framework already incorporates or functionally parallels several rights-based concepts:</w:t>
      </w:r>
    </w:p>
    <w:tbl>
      <w:tblPr>
        <w:tblW w:w="8640" w:type="dxa"/>
        <w:jc w:val="left"/>
        <w:tblInd w:w="28" w:type="dxa"/>
        <w:tblLayout w:type="fixed"/>
        <w:tblCellMar>
          <w:top w:w="28" w:type="dxa"/>
          <w:left w:w="28" w:type="dxa"/>
          <w:bottom w:w="28" w:type="dxa"/>
          <w:right w:w="28" w:type="dxa"/>
        </w:tblCellMar>
      </w:tblPr>
      <w:tblGrid>
        <w:gridCol w:w="2198"/>
        <w:gridCol w:w="6442"/>
      </w:tblGrid>
      <w:tr>
        <w:trPr>
          <w:tblHeader w:val="true"/>
        </w:trPr>
        <w:tc>
          <w:tcPr>
            <w:tcW w:w="2198" w:type="dxa"/>
            <w:tcBorders/>
            <w:vAlign w:val="center"/>
          </w:tcPr>
          <w:p>
            <w:pPr>
              <w:pStyle w:val="TableHeading"/>
              <w:suppressLineNumbers/>
              <w:spacing w:before="0" w:after="200"/>
              <w:jc w:val="center"/>
              <w:rPr/>
            </w:pPr>
            <w:r>
              <w:rPr/>
              <w:t>Rights-based concept</w:t>
            </w:r>
          </w:p>
        </w:tc>
        <w:tc>
          <w:tcPr>
            <w:tcW w:w="6442" w:type="dxa"/>
            <w:tcBorders/>
            <w:vAlign w:val="center"/>
          </w:tcPr>
          <w:p>
            <w:pPr>
              <w:pStyle w:val="TableHeading"/>
              <w:suppressLineNumbers/>
              <w:spacing w:before="0" w:after="200"/>
              <w:jc w:val="center"/>
              <w:rPr/>
            </w:pPr>
            <w:r>
              <w:rPr/>
              <w:t>Incorporation within this framework</w:t>
            </w:r>
          </w:p>
        </w:tc>
      </w:tr>
      <w:tr>
        <w:trPr/>
        <w:tc>
          <w:tcPr>
            <w:tcW w:w="2198" w:type="dxa"/>
            <w:tcBorders/>
            <w:vAlign w:val="center"/>
          </w:tcPr>
          <w:p>
            <w:pPr>
              <w:pStyle w:val="TableContents"/>
              <w:widowControl w:val="false"/>
              <w:suppressLineNumbers/>
              <w:spacing w:before="0" w:after="200"/>
              <w:rPr/>
            </w:pPr>
            <w:r>
              <w:rPr>
                <w:rStyle w:val="Strong"/>
              </w:rPr>
              <w:t>Moral standing</w:t>
            </w:r>
          </w:p>
        </w:tc>
        <w:tc>
          <w:tcPr>
            <w:tcW w:w="6442" w:type="dxa"/>
            <w:tcBorders/>
            <w:vAlign w:val="center"/>
          </w:tcPr>
          <w:p>
            <w:pPr>
              <w:pStyle w:val="TableContents"/>
              <w:widowControl w:val="false"/>
              <w:suppressLineNumbers/>
              <w:spacing w:before="0" w:after="200"/>
              <w:rPr/>
            </w:pPr>
            <w:r>
              <w:rPr/>
              <w:t>Relevant Flourishing Entities must be included in the assessment rather than disappearing into a single aggregate metric.</w:t>
            </w:r>
          </w:p>
        </w:tc>
      </w:tr>
      <w:tr>
        <w:trPr/>
        <w:tc>
          <w:tcPr>
            <w:tcW w:w="2198" w:type="dxa"/>
            <w:tcBorders/>
            <w:vAlign w:val="center"/>
          </w:tcPr>
          <w:p>
            <w:pPr>
              <w:pStyle w:val="TableContents"/>
              <w:widowControl w:val="false"/>
              <w:suppressLineNumbers/>
              <w:spacing w:before="0" w:after="200"/>
              <w:rPr/>
            </w:pPr>
            <w:r>
              <w:rPr>
                <w:rStyle w:val="Strong"/>
              </w:rPr>
              <w:t>Protected interests</w:t>
            </w:r>
          </w:p>
        </w:tc>
        <w:tc>
          <w:tcPr>
            <w:tcW w:w="6442" w:type="dxa"/>
            <w:tcBorders/>
            <w:vAlign w:val="center"/>
          </w:tcPr>
          <w:p>
            <w:pPr>
              <w:pStyle w:val="TableContents"/>
              <w:widowControl w:val="false"/>
              <w:suppressLineNumbers/>
              <w:spacing w:before="0" w:after="200"/>
              <w:rPr/>
            </w:pPr>
            <w:r>
              <w:rPr/>
              <w:t>Bodily integrity, agency, identity, relationships, resources, and beneficial future state space can be represented as ethically significant elements of the World Context.</w:t>
            </w:r>
          </w:p>
        </w:tc>
      </w:tr>
      <w:tr>
        <w:trPr/>
        <w:tc>
          <w:tcPr>
            <w:tcW w:w="2198" w:type="dxa"/>
            <w:tcBorders/>
            <w:vAlign w:val="center"/>
          </w:tcPr>
          <w:p>
            <w:pPr>
              <w:pStyle w:val="TableContents"/>
              <w:widowControl w:val="false"/>
              <w:suppressLineNumbers/>
              <w:spacing w:before="0" w:after="200"/>
              <w:rPr/>
            </w:pPr>
            <w:r>
              <w:rPr>
                <w:rStyle w:val="Strong"/>
              </w:rPr>
              <w:t>Duties and constraints</w:t>
            </w:r>
          </w:p>
        </w:tc>
        <w:tc>
          <w:tcPr>
            <w:tcW w:w="6442" w:type="dxa"/>
            <w:tcBorders/>
            <w:vAlign w:val="center"/>
          </w:tcPr>
          <w:p>
            <w:pPr>
              <w:pStyle w:val="TableContents"/>
              <w:widowControl w:val="false"/>
              <w:suppressLineNumbers/>
              <w:spacing w:before="0" w:after="200"/>
              <w:rPr/>
            </w:pPr>
            <w:r>
              <w:rPr/>
              <w:t>Obligations and prohibitions can be modeled as Associations and constraints connecting entities, roles, actions, and institutions.</w:t>
            </w:r>
          </w:p>
        </w:tc>
      </w:tr>
      <w:tr>
        <w:trPr/>
        <w:tc>
          <w:tcPr>
            <w:tcW w:w="2198" w:type="dxa"/>
            <w:tcBorders/>
            <w:vAlign w:val="center"/>
          </w:tcPr>
          <w:p>
            <w:pPr>
              <w:pStyle w:val="TableContents"/>
              <w:widowControl w:val="false"/>
              <w:suppressLineNumbers/>
              <w:spacing w:before="0" w:after="200"/>
              <w:rPr/>
            </w:pPr>
            <w:r>
              <w:rPr>
                <w:rStyle w:val="Strong"/>
              </w:rPr>
              <w:t>Consent</w:t>
            </w:r>
          </w:p>
        </w:tc>
        <w:tc>
          <w:tcPr>
            <w:tcW w:w="6442" w:type="dxa"/>
            <w:tcBorders/>
            <w:vAlign w:val="center"/>
          </w:tcPr>
          <w:p>
            <w:pPr>
              <w:pStyle w:val="TableContents"/>
              <w:widowControl w:val="false"/>
              <w:suppressLineNumbers/>
              <w:spacing w:before="0" w:after="200"/>
              <w:rPr/>
            </w:pPr>
            <w:r>
              <w:rPr/>
              <w:t>Consent affects the legitimacy of actions and the permissibility of changes to relationships or states.</w:t>
            </w:r>
          </w:p>
        </w:tc>
      </w:tr>
      <w:tr>
        <w:trPr/>
        <w:tc>
          <w:tcPr>
            <w:tcW w:w="2198" w:type="dxa"/>
            <w:tcBorders/>
            <w:vAlign w:val="center"/>
          </w:tcPr>
          <w:p>
            <w:pPr>
              <w:pStyle w:val="TableContents"/>
              <w:widowControl w:val="false"/>
              <w:suppressLineNumbers/>
              <w:spacing w:before="0" w:after="200"/>
              <w:rPr/>
            </w:pPr>
            <w:r>
              <w:rPr>
                <w:rStyle w:val="Strong"/>
              </w:rPr>
              <w:t>Authority and legitimacy</w:t>
            </w:r>
          </w:p>
        </w:tc>
        <w:tc>
          <w:tcPr>
            <w:tcW w:w="6442" w:type="dxa"/>
            <w:tcBorders/>
            <w:vAlign w:val="center"/>
          </w:tcPr>
          <w:p>
            <w:pPr>
              <w:pStyle w:val="TableContents"/>
              <w:widowControl w:val="false"/>
              <w:suppressLineNumbers/>
              <w:spacing w:before="0" w:after="200"/>
              <w:rPr/>
            </w:pPr>
            <w:r>
              <w:rPr/>
              <w:t>The framework evaluates whether an actor possesses the role or authority required to alter another entity’s status or circumstances.</w:t>
            </w:r>
          </w:p>
        </w:tc>
      </w:tr>
      <w:tr>
        <w:trPr/>
        <w:tc>
          <w:tcPr>
            <w:tcW w:w="2198" w:type="dxa"/>
            <w:tcBorders/>
            <w:vAlign w:val="center"/>
          </w:tcPr>
          <w:p>
            <w:pPr>
              <w:pStyle w:val="TableContents"/>
              <w:widowControl w:val="false"/>
              <w:suppressLineNumbers/>
              <w:spacing w:before="0" w:after="200"/>
              <w:rPr/>
            </w:pPr>
            <w:r>
              <w:rPr>
                <w:rStyle w:val="Strong"/>
              </w:rPr>
              <w:t>Positive responsibility</w:t>
            </w:r>
          </w:p>
        </w:tc>
        <w:tc>
          <w:tcPr>
            <w:tcW w:w="6442" w:type="dxa"/>
            <w:tcBorders/>
            <w:vAlign w:val="center"/>
          </w:tcPr>
          <w:p>
            <w:pPr>
              <w:pStyle w:val="TableContents"/>
              <w:widowControl w:val="false"/>
              <w:suppressLineNumbers/>
              <w:spacing w:before="0" w:after="200"/>
              <w:rPr/>
            </w:pPr>
            <w:r>
              <w:rPr/>
              <w:t>Roles, commitments, institutional functions, and available capabilities can generate duties to act rather than merely duties to refrain from acting.</w:t>
            </w:r>
          </w:p>
        </w:tc>
      </w:tr>
      <w:tr>
        <w:trPr/>
        <w:tc>
          <w:tcPr>
            <w:tcW w:w="2198" w:type="dxa"/>
            <w:tcBorders/>
            <w:vAlign w:val="center"/>
          </w:tcPr>
          <w:p>
            <w:pPr>
              <w:pStyle w:val="TableContents"/>
              <w:widowControl w:val="false"/>
              <w:suppressLineNumbers/>
              <w:spacing w:before="0" w:after="200"/>
              <w:rPr/>
            </w:pPr>
            <w:r>
              <w:rPr>
                <w:rStyle w:val="Strong"/>
              </w:rPr>
              <w:t>Individualized effects</w:t>
            </w:r>
          </w:p>
        </w:tc>
        <w:tc>
          <w:tcPr>
            <w:tcW w:w="6442" w:type="dxa"/>
            <w:tcBorders/>
            <w:vAlign w:val="center"/>
          </w:tcPr>
          <w:p>
            <w:pPr>
              <w:pStyle w:val="TableContents"/>
              <w:widowControl w:val="false"/>
              <w:suppressLineNumbers/>
              <w:spacing w:before="0" w:after="200"/>
              <w:rPr/>
            </w:pPr>
            <w:r>
              <w:rPr/>
              <w:t>The complete World Context Transition can preserve information about who receives a benefit, who bears a burden, and whether those entities are the same.</w:t>
            </w:r>
          </w:p>
        </w:tc>
      </w:tr>
      <w:tr>
        <w:trPr/>
        <w:tc>
          <w:tcPr>
            <w:tcW w:w="2198" w:type="dxa"/>
            <w:tcBorders/>
            <w:vAlign w:val="center"/>
          </w:tcPr>
          <w:p>
            <w:pPr>
              <w:pStyle w:val="TableContents"/>
              <w:widowControl w:val="false"/>
              <w:suppressLineNumbers/>
              <w:spacing w:before="0" w:after="200"/>
              <w:rPr/>
            </w:pPr>
            <w:r>
              <w:rPr>
                <w:rStyle w:val="Strong"/>
              </w:rPr>
              <w:t>Non-aggregation</w:t>
            </w:r>
          </w:p>
        </w:tc>
        <w:tc>
          <w:tcPr>
            <w:tcW w:w="6442" w:type="dxa"/>
            <w:tcBorders/>
            <w:vAlign w:val="center"/>
          </w:tcPr>
          <w:p>
            <w:pPr>
              <w:pStyle w:val="TableContents"/>
              <w:widowControl w:val="false"/>
              <w:suppressLineNumbers/>
              <w:spacing w:before="0" w:after="200"/>
              <w:rPr/>
            </w:pPr>
            <w:r>
              <w:rPr/>
              <w:t>Aggregate metrics inform the analysis but are not intended to replace assessment of the full transition and its distribution across affected entities.</w:t>
            </w:r>
          </w:p>
        </w:tc>
      </w:tr>
      <w:tr>
        <w:trPr/>
        <w:tc>
          <w:tcPr>
            <w:tcW w:w="2198" w:type="dxa"/>
            <w:tcBorders/>
            <w:vAlign w:val="center"/>
          </w:tcPr>
          <w:p>
            <w:pPr>
              <w:pStyle w:val="TableContents"/>
              <w:widowControl w:val="false"/>
              <w:suppressLineNumbers/>
              <w:spacing w:before="0" w:after="200"/>
              <w:rPr/>
            </w:pPr>
            <w:r>
              <w:rPr>
                <w:rStyle w:val="Strong"/>
              </w:rPr>
              <w:t>Distributed Policy Effects</w:t>
            </w:r>
          </w:p>
        </w:tc>
        <w:tc>
          <w:tcPr>
            <w:tcW w:w="6442" w:type="dxa"/>
            <w:tcBorders/>
            <w:vAlign w:val="center"/>
          </w:tcPr>
          <w:p>
            <w:pPr>
              <w:pStyle w:val="TableContents"/>
              <w:widowControl w:val="false"/>
              <w:suppressLineNumbers/>
              <w:spacing w:before="0" w:after="200"/>
              <w:rPr/>
            </w:pPr>
            <w:r>
              <w:rPr/>
              <w:t>The framework evaluates whether a violation changes social expectations, weakens institutional protections, normalizes coercion, or encourages later violations.</w:t>
            </w:r>
          </w:p>
        </w:tc>
      </w:tr>
      <w:tr>
        <w:trPr/>
        <w:tc>
          <w:tcPr>
            <w:tcW w:w="2198" w:type="dxa"/>
            <w:tcBorders/>
            <w:vAlign w:val="center"/>
          </w:tcPr>
          <w:p>
            <w:pPr>
              <w:pStyle w:val="TableContents"/>
              <w:widowControl w:val="false"/>
              <w:suppressLineNumbers/>
              <w:spacing w:before="0" w:after="200"/>
              <w:rPr/>
            </w:pPr>
            <w:r>
              <w:rPr>
                <w:rStyle w:val="Strong"/>
              </w:rPr>
              <w:t>Responsibility attribution</w:t>
            </w:r>
          </w:p>
        </w:tc>
        <w:tc>
          <w:tcPr>
            <w:tcW w:w="6442" w:type="dxa"/>
            <w:tcBorders/>
            <w:vAlign w:val="center"/>
          </w:tcPr>
          <w:p>
            <w:pPr>
              <w:pStyle w:val="TableContents"/>
              <w:widowControl w:val="false"/>
              <w:suppressLineNumbers/>
              <w:spacing w:before="0" w:after="200"/>
              <w:rPr/>
            </w:pPr>
            <w:r>
              <w:rPr/>
              <w:t>Role, knowledge, intent, authority, alternatives, and foreseeability help determine responsibility for violating or failing to protect a right.</w:t>
            </w:r>
          </w:p>
        </w:tc>
      </w:tr>
      <w:tr>
        <w:trPr/>
        <w:tc>
          <w:tcPr>
            <w:tcW w:w="2198" w:type="dxa"/>
            <w:tcBorders/>
            <w:vAlign w:val="center"/>
          </w:tcPr>
          <w:p>
            <w:pPr>
              <w:pStyle w:val="TableContents"/>
              <w:widowControl w:val="false"/>
              <w:suppressLineNumbers/>
              <w:spacing w:before="0" w:after="200"/>
              <w:rPr/>
            </w:pPr>
            <w:r>
              <w:rPr>
                <w:rStyle w:val="Strong"/>
              </w:rPr>
              <w:t>Explanation and review</w:t>
            </w:r>
          </w:p>
        </w:tc>
        <w:tc>
          <w:tcPr>
            <w:tcW w:w="6442" w:type="dxa"/>
            <w:tcBorders/>
            <w:vAlign w:val="center"/>
          </w:tcPr>
          <w:p>
            <w:pPr>
              <w:pStyle w:val="TableContents"/>
              <w:widowControl w:val="false"/>
              <w:suppressLineNumbers/>
              <w:spacing w:before="0" w:after="200"/>
              <w:rPr/>
            </w:pPr>
            <w:r>
              <w:rPr/>
              <w:t>Explicit assumptions, evidence, probabilities, constraints, and causal reasoning support review of decisions affecting protected interests.</w:t>
            </w:r>
          </w:p>
        </w:tc>
      </w:tr>
    </w:tbl>
    <w:p>
      <w:pPr>
        <w:pStyle w:val="BodyText"/>
        <w:spacing w:before="0" w:after="200"/>
        <w:rPr/>
      </w:pPr>
      <w:r>
        <w:rPr/>
        <w:t>These concepts provide a foundation for rights-sensitive analysis. They do not, however, constitute a complete rights model unless the framework explicitly identifies applicable rights and gives them a defined normative role.</w:t>
      </w:r>
    </w:p>
    <w:p>
      <w:pPr>
        <w:pStyle w:val="Heading4"/>
        <w:ind w:hanging="0" w:left="0"/>
        <w:rPr>
          <w:rFonts w:ascii="Aptos" w:hAnsi="Aptos"/>
          <w:color w:val="auto"/>
        </w:rPr>
      </w:pPr>
      <w:r>
        <w:rPr/>
        <w:t>How This Framework Addresses Those Assumptions</w:t>
      </w:r>
    </w:p>
    <w:p>
      <w:pPr>
        <w:pStyle w:val="BodyText"/>
        <w:spacing w:before="0" w:after="200"/>
        <w:rPr/>
      </w:pPr>
      <w:r>
        <w:rPr/>
        <w:t>The framework addresses the rights-based critique in several ways.</w:t>
      </w:r>
    </w:p>
    <w:p>
      <w:pPr>
        <w:pStyle w:val="BodyText"/>
        <w:spacing w:before="0" w:after="200"/>
        <w:rPr/>
      </w:pPr>
      <w:r>
        <w:rPr/>
        <w:t>First, its unit of assessment is not a single aggregate utility value. The complete World Context Transition preserves differences among affected entities, the distribution of benefits and burdens, changes in relationships, institutional effects, and reductions in future options. A severe burden imposed on one entity is therefore not mathematically erased merely because many others receive small benefits.</w:t>
      </w:r>
    </w:p>
    <w:p>
      <w:pPr>
        <w:pStyle w:val="BodyText"/>
        <w:spacing w:before="0" w:after="200"/>
        <w:rPr/>
      </w:pPr>
      <w:r>
        <w:rPr/>
        <w:t>Second, the Foundational Axiom requires consideration of whether an action materially diminishes the long-term flourishing of other relevant persistent adaptive entities. Rights frequently protect the conditions necessary for such flourishing, including bodily integrity, agency, security, identity, participation, access to resources, and the ability to develop and pursue objectives.</w:t>
      </w:r>
    </w:p>
    <w:p>
      <w:pPr>
        <w:pStyle w:val="BodyText"/>
        <w:spacing w:before="0" w:after="200"/>
        <w:rPr/>
      </w:pPr>
      <w:r>
        <w:rPr/>
        <w:t>Third, rights can be represented as explicit constraints rather than ordinary objectives. A constraint can prohibit an action, require a particular process, establish a minimum protected condition, or permit an exception only when specified thresholds are satisfied.</w:t>
      </w:r>
    </w:p>
    <w:p>
      <w:pPr>
        <w:pStyle w:val="BodyText"/>
        <w:spacing w:before="0" w:after="200"/>
        <w:rPr/>
      </w:pPr>
      <w:r>
        <w:rPr/>
        <w:t>Fourth, the framework’s treatment of authority, legitimacy, consent, and responsibility supports the relational structure of rights. It can distinguish between an entity being causally affected and being wrongfully affected by a party that possessed a corresponding duty.</w:t>
      </w:r>
    </w:p>
    <w:p>
      <w:pPr>
        <w:pStyle w:val="BodyText"/>
        <w:spacing w:before="0" w:after="200"/>
        <w:rPr/>
      </w:pPr>
      <w:r>
        <w:rPr/>
        <w:t>Fifth, Distributed Policy Effects capture the systemic consequences of respecting or violating rights. Even when the immediate measurable harm appears limited, an infringement may weaken trust, normalize arbitrary treatment, create discriminatory precedents, or increase the probability of future violations.</w:t>
      </w:r>
    </w:p>
    <w:p>
      <w:pPr>
        <w:pStyle w:val="BodyText"/>
        <w:spacing w:before="0" w:after="200"/>
        <w:rPr/>
      </w:pPr>
      <w:r>
        <w:rPr/>
        <w:t>Finally, the framework explicitly represents uncertainty. Claims of future benefit can therefore be examined for evidentiary quality, probability, reversibility, and sensitivity to disputed assumptions rather than being accepted as sufficient justification for a present infringement.</w:t>
      </w:r>
    </w:p>
    <w:p>
      <w:pPr>
        <w:pStyle w:val="BodyText"/>
        <w:spacing w:before="0" w:after="200"/>
        <w:rPr/>
      </w:pPr>
      <w:r>
        <w:rPr/>
        <w:t>These capabilities answer part of the critique. Nevertheless, the rights-based objection remains valid if rights are represented only as interests with numerical weights. The framework must specify when a right functions as a binding constraint, when it is defeasible, and what procedures govern any proposed limitation.</w:t>
      </w:r>
    </w:p>
    <w:p>
      <w:pPr>
        <w:pStyle w:val="Heading4"/>
        <w:ind w:hanging="0" w:left="0"/>
        <w:rPr>
          <w:rFonts w:ascii="Aptos" w:hAnsi="Aptos"/>
          <w:color w:val="auto"/>
        </w:rPr>
      </w:pPr>
      <w:r>
        <w:rPr/>
        <w:t>Counterargument</w:t>
      </w:r>
    </w:p>
    <w:p>
      <w:pPr>
        <w:pStyle w:val="BodyText"/>
        <w:spacing w:before="0" w:after="200"/>
        <w:rPr/>
      </w:pPr>
      <w:r>
        <w:rPr/>
        <w:t>The framework’s counterargument is that rights and systems-level consequences need not be competing forms of ethical reasoning. Rights identify protected relationships and boundaries within the World Context, while systems analysis evaluates whether those protections can remain coherent, effective, and sustainable across time.</w:t>
      </w:r>
    </w:p>
    <w:p>
      <w:pPr>
        <w:pStyle w:val="BodyText"/>
        <w:spacing w:before="0" w:after="200"/>
        <w:rPr/>
      </w:pPr>
      <w:r>
        <w:rPr/>
        <w:t>Rights cannot always resolve an ethical problem without additional contextual analysis. Rights can conflict; the identity of the duty-bearer may be unclear; compliance may require scarce resources; and protecting one right may limit another. Even an apparent prohibition may require interpretation to determine its scope, triggering conditions, exceptions, and application to new entities or technologies. A framework that considers consequences, institutional capacity, uncertainty, and future policy effects can help specify and implement rights without reducing them to aggregate welfare.</w:t>
      </w:r>
    </w:p>
    <w:p>
      <w:pPr>
        <w:pStyle w:val="BodyText"/>
        <w:spacing w:before="0" w:after="200"/>
        <w:rPr/>
      </w:pPr>
      <w:r>
        <w:rPr/>
        <w:t>The appropriate response is therefore not to subordinate rights to flourishing calculations, but to incorporate rights as a distinct deontic layer:</w:t>
      </w:r>
    </w:p>
    <w:p>
      <w:pPr>
        <w:pStyle w:val="BodyText"/>
        <w:numPr>
          <w:ilvl w:val="0"/>
          <w:numId w:val="50"/>
        </w:numPr>
        <w:tabs>
          <w:tab w:val="clear" w:pos="720"/>
          <w:tab w:val="left" w:pos="0" w:leader="none"/>
        </w:tabs>
        <w:spacing w:before="0" w:after="200"/>
        <w:ind w:hanging="283" w:left="709"/>
        <w:rPr/>
      </w:pPr>
      <w:r>
        <w:rPr/>
        <w:t>Identify the right-holder and duty-bearer.</w:t>
      </w:r>
    </w:p>
    <w:p>
      <w:pPr>
        <w:pStyle w:val="BodyText"/>
        <w:numPr>
          <w:ilvl w:val="0"/>
          <w:numId w:val="50"/>
        </w:numPr>
        <w:tabs>
          <w:tab w:val="clear" w:pos="720"/>
          <w:tab w:val="left" w:pos="0" w:leader="none"/>
        </w:tabs>
        <w:spacing w:before="0" w:after="200"/>
        <w:ind w:hanging="283" w:left="709"/>
        <w:rPr/>
      </w:pPr>
      <w:r>
        <w:rPr/>
        <w:t>Classify the right as a claim, liberty, power, immunity, or combination of these.</w:t>
      </w:r>
    </w:p>
    <w:p>
      <w:pPr>
        <w:pStyle w:val="BodyText"/>
        <w:numPr>
          <w:ilvl w:val="0"/>
          <w:numId w:val="50"/>
        </w:numPr>
        <w:tabs>
          <w:tab w:val="clear" w:pos="720"/>
          <w:tab w:val="left" w:pos="0" w:leader="none"/>
        </w:tabs>
        <w:spacing w:before="0" w:after="200"/>
        <w:ind w:hanging="283" w:left="709"/>
        <w:rPr/>
      </w:pPr>
      <w:r>
        <w:rPr/>
        <w:t>Determine whether the right is moral, legal, contractual, institutional, or derived from another relationship.</w:t>
      </w:r>
    </w:p>
    <w:p>
      <w:pPr>
        <w:pStyle w:val="BodyText"/>
        <w:numPr>
          <w:ilvl w:val="0"/>
          <w:numId w:val="50"/>
        </w:numPr>
        <w:tabs>
          <w:tab w:val="clear" w:pos="720"/>
          <w:tab w:val="left" w:pos="0" w:leader="none"/>
        </w:tabs>
        <w:spacing w:before="0" w:after="200"/>
        <w:ind w:hanging="283" w:left="709"/>
        <w:rPr/>
      </w:pPr>
      <w:r>
        <w:rPr/>
        <w:t>Establish its scope, strength, and any permissible exceptions.</w:t>
      </w:r>
    </w:p>
    <w:p>
      <w:pPr>
        <w:pStyle w:val="BodyText"/>
        <w:numPr>
          <w:ilvl w:val="0"/>
          <w:numId w:val="50"/>
        </w:numPr>
        <w:tabs>
          <w:tab w:val="clear" w:pos="720"/>
          <w:tab w:val="left" w:pos="0" w:leader="none"/>
        </w:tabs>
        <w:spacing w:before="0" w:after="200"/>
        <w:ind w:hanging="283" w:left="709"/>
        <w:rPr/>
      </w:pPr>
      <w:r>
        <w:rPr/>
        <w:t>Apply the right as a constraint or protected minimum.</w:t>
      </w:r>
    </w:p>
    <w:p>
      <w:pPr>
        <w:pStyle w:val="BodyText"/>
        <w:numPr>
          <w:ilvl w:val="0"/>
          <w:numId w:val="50"/>
        </w:numPr>
        <w:tabs>
          <w:tab w:val="clear" w:pos="720"/>
          <w:tab w:val="left" w:pos="0" w:leader="none"/>
        </w:tabs>
        <w:spacing w:before="0" w:after="200"/>
        <w:ind w:hanging="283" w:left="709"/>
        <w:rPr/>
      </w:pPr>
      <w:r>
        <w:rPr/>
        <w:t>Evaluate the remaining permissible actions through the complete World Context Transition.</w:t>
      </w:r>
    </w:p>
    <w:p>
      <w:pPr>
        <w:pStyle w:val="BodyText"/>
        <w:numPr>
          <w:ilvl w:val="0"/>
          <w:numId w:val="50"/>
        </w:numPr>
        <w:tabs>
          <w:tab w:val="clear" w:pos="720"/>
          <w:tab w:val="left" w:pos="0" w:leader="none"/>
        </w:tabs>
        <w:spacing w:before="0" w:after="200"/>
        <w:ind w:hanging="283" w:left="709"/>
        <w:rPr/>
      </w:pPr>
      <w:r>
        <w:rPr/>
        <w:t>Require justification, review, and remedy when a right is limited or violated.</w:t>
      </w:r>
    </w:p>
    <w:p>
      <w:pPr>
        <w:pStyle w:val="BodyText"/>
        <w:spacing w:before="0" w:after="200"/>
        <w:rPr/>
      </w:pPr>
      <w:r>
        <w:rPr/>
        <w:t>Under this structure, rights determine the boundaries of the ordinarily permissible action space, while the broader framework compares alternatives within those boundaries. Consequence-sensitive analysis remains relevant when specifying conflicting rights, selecting among permissible alternatives, assessing risks, and determining effective remedies.</w:t>
      </w:r>
    </w:p>
    <w:p>
      <w:pPr>
        <w:pStyle w:val="Heading4"/>
        <w:ind w:hanging="0" w:left="0"/>
        <w:rPr>
          <w:rFonts w:ascii="Aptos" w:hAnsi="Aptos"/>
          <w:color w:val="auto"/>
        </w:rPr>
      </w:pPr>
      <w:r>
        <w:rPr/>
        <w:t>Incremental Questions the Expert Should Then Ask</w:t>
      </w:r>
    </w:p>
    <w:tbl>
      <w:tblPr>
        <w:tblW w:w="8640" w:type="dxa"/>
        <w:jc w:val="left"/>
        <w:tblInd w:w="28" w:type="dxa"/>
        <w:tblLayout w:type="fixed"/>
        <w:tblCellMar>
          <w:top w:w="28" w:type="dxa"/>
          <w:left w:w="28" w:type="dxa"/>
          <w:bottom w:w="28" w:type="dxa"/>
          <w:right w:w="28" w:type="dxa"/>
        </w:tblCellMar>
      </w:tblPr>
      <w:tblGrid>
        <w:gridCol w:w="2827"/>
        <w:gridCol w:w="5813"/>
      </w:tblGrid>
      <w:tr>
        <w:trPr>
          <w:tblHeader w:val="true"/>
        </w:trPr>
        <w:tc>
          <w:tcPr>
            <w:tcW w:w="2827" w:type="dxa"/>
            <w:tcBorders/>
            <w:vAlign w:val="center"/>
          </w:tcPr>
          <w:p>
            <w:pPr>
              <w:pStyle w:val="TableHeading"/>
              <w:suppressLineNumbers/>
              <w:spacing w:before="0" w:after="200"/>
              <w:jc w:val="center"/>
              <w:rPr/>
            </w:pPr>
            <w:r>
              <w:rPr/>
              <w:t>Incremental question</w:t>
            </w:r>
          </w:p>
        </w:tc>
        <w:tc>
          <w:tcPr>
            <w:tcW w:w="5813" w:type="dxa"/>
            <w:tcBorders/>
            <w:vAlign w:val="center"/>
          </w:tcPr>
          <w:p>
            <w:pPr>
              <w:pStyle w:val="TableHeading"/>
              <w:suppressLineNumbers/>
              <w:spacing w:before="0" w:after="200"/>
              <w:jc w:val="center"/>
              <w:rPr/>
            </w:pPr>
            <w:r>
              <w:rPr/>
              <w:t>Response</w:t>
            </w:r>
          </w:p>
        </w:tc>
      </w:tr>
      <w:tr>
        <w:trPr/>
        <w:tc>
          <w:tcPr>
            <w:tcW w:w="2827" w:type="dxa"/>
            <w:tcBorders/>
            <w:vAlign w:val="center"/>
          </w:tcPr>
          <w:p>
            <w:pPr>
              <w:pStyle w:val="TableContents"/>
              <w:widowControl w:val="false"/>
              <w:suppressLineNumbers/>
              <w:spacing w:before="0" w:after="200"/>
              <w:rPr/>
            </w:pPr>
            <w:r>
              <w:rPr>
                <w:rStyle w:val="Strong"/>
              </w:rPr>
              <w:t>1. Are rights binding constraints or merely heavily weighted objectives?</w:t>
            </w:r>
          </w:p>
        </w:tc>
        <w:tc>
          <w:tcPr>
            <w:tcW w:w="5813" w:type="dxa"/>
            <w:tcBorders/>
            <w:vAlign w:val="center"/>
          </w:tcPr>
          <w:p>
            <w:pPr>
              <w:pStyle w:val="TableContents"/>
              <w:widowControl w:val="false"/>
              <w:suppressLineNumbers/>
              <w:spacing w:before="0" w:after="200"/>
              <w:rPr/>
            </w:pPr>
            <w:r>
              <w:rPr/>
              <w:t>The framework should permit both forms, but it must state which applies in each case. Absolute or non-waivable rights should operate as hard constraints. Other rights may function as presumptive or threshold constraints that can be limited only under defined conditions. Treating every right as an ordinary weighted objective would not adequately answer the rights-based critique.</w:t>
            </w:r>
          </w:p>
        </w:tc>
      </w:tr>
      <w:tr>
        <w:trPr/>
        <w:tc>
          <w:tcPr>
            <w:tcW w:w="2827" w:type="dxa"/>
            <w:tcBorders/>
            <w:vAlign w:val="center"/>
          </w:tcPr>
          <w:p>
            <w:pPr>
              <w:pStyle w:val="TableContents"/>
              <w:widowControl w:val="false"/>
              <w:suppressLineNumbers/>
              <w:spacing w:before="0" w:after="200"/>
              <w:rPr/>
            </w:pPr>
            <w:r>
              <w:rPr>
                <w:rStyle w:val="Strong"/>
              </w:rPr>
              <w:t>2. What grounds a right within the framework?</w:t>
            </w:r>
          </w:p>
        </w:tc>
        <w:tc>
          <w:tcPr>
            <w:tcW w:w="5813" w:type="dxa"/>
            <w:tcBorders/>
            <w:vAlign w:val="center"/>
          </w:tcPr>
          <w:p>
            <w:pPr>
              <w:pStyle w:val="TableContents"/>
              <w:widowControl w:val="false"/>
              <w:suppressLineNumbers/>
              <w:spacing w:before="0" w:after="200"/>
              <w:rPr/>
            </w:pPr>
            <w:r>
              <w:rPr/>
              <w:t>A proposed right should identify its normative basis, such as agency, bodily integrity, equality, dependency, a protected interest, legitimate agreement, institutional role, or conditions necessary for sustained flourishing. Legal recognition may provide evidence and institutional force, but it should not be treated as sufficient proof of moral validity.</w:t>
            </w:r>
          </w:p>
        </w:tc>
      </w:tr>
      <w:tr>
        <w:trPr/>
        <w:tc>
          <w:tcPr>
            <w:tcW w:w="2827" w:type="dxa"/>
            <w:tcBorders/>
            <w:vAlign w:val="center"/>
          </w:tcPr>
          <w:p>
            <w:pPr>
              <w:pStyle w:val="TableContents"/>
              <w:widowControl w:val="false"/>
              <w:suppressLineNumbers/>
              <w:spacing w:before="0" w:after="200"/>
              <w:rPr/>
            </w:pPr>
            <w:r>
              <w:rPr>
                <w:rStyle w:val="Strong"/>
              </w:rPr>
              <w:t>3. Does every Flourishing Entity automatically possess rights?</w:t>
            </w:r>
          </w:p>
        </w:tc>
        <w:tc>
          <w:tcPr>
            <w:tcW w:w="5813" w:type="dxa"/>
            <w:tcBorders/>
            <w:vAlign w:val="center"/>
          </w:tcPr>
          <w:p>
            <w:pPr>
              <w:pStyle w:val="TableContents"/>
              <w:widowControl w:val="false"/>
              <w:suppressLineNumbers/>
              <w:spacing w:before="0" w:after="200"/>
              <w:rPr/>
            </w:pPr>
            <w:r>
              <w:rPr/>
              <w:t>No. Inclusion as an ethically relevant entity requires consideration of its interests and effects, but it does not automatically establish that the entity holds every kind of right. Rights-bearing status and the types of rights supported by that status require separate criteria.</w:t>
            </w:r>
          </w:p>
        </w:tc>
      </w:tr>
      <w:tr>
        <w:trPr/>
        <w:tc>
          <w:tcPr>
            <w:tcW w:w="2827" w:type="dxa"/>
            <w:tcBorders/>
            <w:vAlign w:val="center"/>
          </w:tcPr>
          <w:p>
            <w:pPr>
              <w:pStyle w:val="TableContents"/>
              <w:widowControl w:val="false"/>
              <w:suppressLineNumbers/>
              <w:spacing w:before="0" w:after="200"/>
              <w:rPr/>
            </w:pPr>
            <w:r>
              <w:rPr>
                <w:rStyle w:val="Strong"/>
              </w:rPr>
              <w:t>4. Can the predicted flourishing of a majority override an individual right?</w:t>
            </w:r>
          </w:p>
        </w:tc>
        <w:tc>
          <w:tcPr>
            <w:tcW w:w="5813" w:type="dxa"/>
            <w:tcBorders/>
            <w:vAlign w:val="center"/>
          </w:tcPr>
          <w:p>
            <w:pPr>
              <w:pStyle w:val="TableContents"/>
              <w:widowControl w:val="false"/>
              <w:suppressLineNumbers/>
              <w:spacing w:before="0" w:after="200"/>
              <w:rPr/>
            </w:pPr>
            <w:r>
              <w:rPr/>
              <w:t>Not merely because the total predicted benefit is larger. An override would require the right to be defeasible, the limitation to address a sufficiently serious competing claim, and the action to satisfy necessity, proportionality, nondiscrimination, and least-restrictive-means requirements.</w:t>
            </w:r>
          </w:p>
        </w:tc>
      </w:tr>
      <w:tr>
        <w:trPr/>
        <w:tc>
          <w:tcPr>
            <w:tcW w:w="2827" w:type="dxa"/>
            <w:tcBorders/>
            <w:vAlign w:val="center"/>
          </w:tcPr>
          <w:p>
            <w:pPr>
              <w:pStyle w:val="TableContents"/>
              <w:widowControl w:val="false"/>
              <w:suppressLineNumbers/>
              <w:spacing w:before="0" w:after="200"/>
              <w:rPr/>
            </w:pPr>
            <w:r>
              <w:rPr>
                <w:rStyle w:val="Strong"/>
              </w:rPr>
              <w:t>5. Who bears the corresponding duty?</w:t>
            </w:r>
          </w:p>
        </w:tc>
        <w:tc>
          <w:tcPr>
            <w:tcW w:w="5813" w:type="dxa"/>
            <w:tcBorders/>
            <w:vAlign w:val="center"/>
          </w:tcPr>
          <w:p>
            <w:pPr>
              <w:pStyle w:val="TableContents"/>
              <w:widowControl w:val="false"/>
              <w:suppressLineNumbers/>
              <w:spacing w:before="0" w:after="200"/>
              <w:rPr/>
            </w:pPr>
            <w:r>
              <w:rPr/>
              <w:t>The duty should be assigned according to role, authority, control, prior commitment, relationship, causal capacity, institutional function, and reasonable ability to act. The framework should avoid recognizing an abstract right without identifying any entity responsible for respecting, protecting, or fulfilling it.</w:t>
            </w:r>
          </w:p>
        </w:tc>
      </w:tr>
      <w:tr>
        <w:trPr/>
        <w:tc>
          <w:tcPr>
            <w:tcW w:w="2827" w:type="dxa"/>
            <w:tcBorders/>
            <w:vAlign w:val="center"/>
          </w:tcPr>
          <w:p>
            <w:pPr>
              <w:pStyle w:val="TableContents"/>
              <w:widowControl w:val="false"/>
              <w:suppressLineNumbers/>
              <w:spacing w:before="0" w:after="200"/>
              <w:rPr/>
            </w:pPr>
            <w:r>
              <w:rPr>
                <w:rStyle w:val="Strong"/>
              </w:rPr>
              <w:t>6. How does the framework distinguish moral rights from legal rights?</w:t>
            </w:r>
          </w:p>
        </w:tc>
        <w:tc>
          <w:tcPr>
            <w:tcW w:w="5813" w:type="dxa"/>
            <w:tcBorders/>
            <w:vAlign w:val="center"/>
          </w:tcPr>
          <w:p>
            <w:pPr>
              <w:pStyle w:val="TableContents"/>
              <w:widowControl w:val="false"/>
              <w:suppressLineNumbers/>
              <w:spacing w:before="0" w:after="200"/>
              <w:rPr/>
            </w:pPr>
            <w:r>
              <w:rPr/>
              <w:t>Each right should include source metadata. A legal right may be institutionally enforceable without being morally justified, while a moral right may remain valid despite lacking legal recognition. Assessments should report both forms and identify conflicts between them.</w:t>
            </w:r>
          </w:p>
        </w:tc>
      </w:tr>
      <w:tr>
        <w:trPr/>
        <w:tc>
          <w:tcPr>
            <w:tcW w:w="2827" w:type="dxa"/>
            <w:tcBorders/>
            <w:vAlign w:val="center"/>
          </w:tcPr>
          <w:p>
            <w:pPr>
              <w:pStyle w:val="TableContents"/>
              <w:widowControl w:val="false"/>
              <w:suppressLineNumbers/>
              <w:spacing w:before="0" w:after="200"/>
              <w:rPr/>
            </w:pPr>
            <w:r>
              <w:rPr>
                <w:rStyle w:val="Strong"/>
              </w:rPr>
              <w:t>7. How are conflicts between rights resolved?</w:t>
            </w:r>
          </w:p>
        </w:tc>
        <w:tc>
          <w:tcPr>
            <w:tcW w:w="5813" w:type="dxa"/>
            <w:tcBorders/>
            <w:vAlign w:val="center"/>
          </w:tcPr>
          <w:p>
            <w:pPr>
              <w:pStyle w:val="TableContents"/>
              <w:widowControl w:val="false"/>
              <w:suppressLineNumbers/>
              <w:spacing w:before="0" w:after="200"/>
              <w:rPr/>
            </w:pPr>
            <w:r>
              <w:rPr/>
              <w:t>The framework should first determine whether the apparent conflict can be removed through more precise specification. If a genuine conflict remains, it should compare the rights’ scope, strength, urgency, reversibility, affected interests, available alternatives, and the distribution of burdens. No right should be silently converted into an ordinary welfare variable.</w:t>
            </w:r>
          </w:p>
        </w:tc>
      </w:tr>
      <w:tr>
        <w:trPr/>
        <w:tc>
          <w:tcPr>
            <w:tcW w:w="2827" w:type="dxa"/>
            <w:tcBorders/>
            <w:vAlign w:val="center"/>
          </w:tcPr>
          <w:p>
            <w:pPr>
              <w:pStyle w:val="TableContents"/>
              <w:widowControl w:val="false"/>
              <w:suppressLineNumbers/>
              <w:spacing w:before="0" w:after="200"/>
              <w:rPr/>
            </w:pPr>
            <w:r>
              <w:rPr>
                <w:rStyle w:val="Strong"/>
              </w:rPr>
              <w:t>8. How are positive rights handled when resources are scarce?</w:t>
            </w:r>
          </w:p>
        </w:tc>
        <w:tc>
          <w:tcPr>
            <w:tcW w:w="5813" w:type="dxa"/>
            <w:tcBorders/>
            <w:vAlign w:val="center"/>
          </w:tcPr>
          <w:p>
            <w:pPr>
              <w:pStyle w:val="TableContents"/>
              <w:widowControl w:val="false"/>
              <w:suppressLineNumbers/>
              <w:spacing w:before="0" w:after="200"/>
              <w:rPr/>
            </w:pPr>
            <w:r>
              <w:rPr/>
              <w:t>A positive right should identify a minimum protected level, responsible institutions, available resources, and principles for fair allocation. Scarcity may affect how a duty is fulfilled, but it does not automatically eliminate the right or permit arbitrary exclusion.</w:t>
            </w:r>
          </w:p>
        </w:tc>
      </w:tr>
      <w:tr>
        <w:trPr/>
        <w:tc>
          <w:tcPr>
            <w:tcW w:w="2827" w:type="dxa"/>
            <w:tcBorders/>
            <w:vAlign w:val="center"/>
          </w:tcPr>
          <w:p>
            <w:pPr>
              <w:pStyle w:val="TableContents"/>
              <w:widowControl w:val="false"/>
              <w:suppressLineNumbers/>
              <w:spacing w:before="0" w:after="200"/>
              <w:rPr/>
            </w:pPr>
            <w:r>
              <w:rPr>
                <w:rStyle w:val="Strong"/>
              </w:rPr>
              <w:t>9. Can uncertainty justify restricting a right?</w:t>
            </w:r>
          </w:p>
        </w:tc>
        <w:tc>
          <w:tcPr>
            <w:tcW w:w="5813" w:type="dxa"/>
            <w:tcBorders/>
            <w:vAlign w:val="center"/>
          </w:tcPr>
          <w:p>
            <w:pPr>
              <w:pStyle w:val="TableContents"/>
              <w:widowControl w:val="false"/>
              <w:suppressLineNumbers/>
              <w:spacing w:before="0" w:after="200"/>
              <w:rPr/>
            </w:pPr>
            <w:r>
              <w:rPr/>
              <w:t>Uncertainty alone is insufficient. The assessment should examine the magnitude and probability of the threatened harm, the quality of the evidence, the reversibility of the restriction, and whether less restrictive measures are available. Greater uncertainty should generally increase demands for safeguards, monitoring, review, and reversibility.</w:t>
            </w:r>
          </w:p>
        </w:tc>
      </w:tr>
      <w:tr>
        <w:trPr/>
        <w:tc>
          <w:tcPr>
            <w:tcW w:w="2827" w:type="dxa"/>
            <w:tcBorders/>
            <w:vAlign w:val="center"/>
          </w:tcPr>
          <w:p>
            <w:pPr>
              <w:pStyle w:val="TableContents"/>
              <w:widowControl w:val="false"/>
              <w:suppressLineNumbers/>
              <w:spacing w:before="0" w:after="200"/>
              <w:rPr/>
            </w:pPr>
            <w:r>
              <w:rPr>
                <w:rStyle w:val="Strong"/>
              </w:rPr>
              <w:t>10. Can consent make an otherwise impermissible action permissible?</w:t>
            </w:r>
          </w:p>
        </w:tc>
        <w:tc>
          <w:tcPr>
            <w:tcW w:w="5813" w:type="dxa"/>
            <w:tcBorders/>
            <w:vAlign w:val="center"/>
          </w:tcPr>
          <w:p>
            <w:pPr>
              <w:pStyle w:val="TableContents"/>
              <w:widowControl w:val="false"/>
              <w:suppressLineNumbers/>
              <w:spacing w:before="0" w:after="200"/>
              <w:rPr/>
            </w:pPr>
            <w:r>
              <w:rPr/>
              <w:t>Only when the consent is informed, voluntary, competent, specific, current, and applicable to a waivable right. Power imbalances, dependency, deception, coercion, and absence of viable alternatives may invalidate apparent consent.</w:t>
            </w:r>
          </w:p>
        </w:tc>
      </w:tr>
      <w:tr>
        <w:trPr/>
        <w:tc>
          <w:tcPr>
            <w:tcW w:w="2827" w:type="dxa"/>
            <w:tcBorders/>
            <w:vAlign w:val="center"/>
          </w:tcPr>
          <w:p>
            <w:pPr>
              <w:pStyle w:val="TableContents"/>
              <w:widowControl w:val="false"/>
              <w:suppressLineNumbers/>
              <w:spacing w:before="0" w:after="200"/>
              <w:rPr/>
            </w:pPr>
            <w:r>
              <w:rPr>
                <w:rStyle w:val="Strong"/>
              </w:rPr>
              <w:t>11. What happens during emergencies?</w:t>
            </w:r>
          </w:p>
        </w:tc>
        <w:tc>
          <w:tcPr>
            <w:tcW w:w="5813" w:type="dxa"/>
            <w:tcBorders/>
            <w:vAlign w:val="center"/>
          </w:tcPr>
          <w:p>
            <w:pPr>
              <w:pStyle w:val="TableContents"/>
              <w:widowControl w:val="false"/>
              <w:suppressLineNumbers/>
              <w:spacing w:before="0" w:after="200"/>
              <w:rPr/>
            </w:pPr>
            <w:r>
              <w:rPr/>
              <w:t>Emergency limitations should remain exceptional, necessary, proportionate, time-limited, reviewable, and no broader than required. Emergency authority should not automatically eliminate non-waivable rights or remove duties of documentation, oversight, and remedy.</w:t>
            </w:r>
          </w:p>
        </w:tc>
      </w:tr>
      <w:tr>
        <w:trPr/>
        <w:tc>
          <w:tcPr>
            <w:tcW w:w="2827" w:type="dxa"/>
            <w:tcBorders/>
            <w:vAlign w:val="center"/>
          </w:tcPr>
          <w:p>
            <w:pPr>
              <w:pStyle w:val="TableContents"/>
              <w:widowControl w:val="false"/>
              <w:suppressLineNumbers/>
              <w:spacing w:before="0" w:after="200"/>
              <w:rPr/>
            </w:pPr>
            <w:r>
              <w:rPr>
                <w:rStyle w:val="Strong"/>
              </w:rPr>
              <w:t>12. Does the framework protect procedural rights when a decision appears substantively beneficial?</w:t>
            </w:r>
          </w:p>
        </w:tc>
        <w:tc>
          <w:tcPr>
            <w:tcW w:w="5813" w:type="dxa"/>
            <w:tcBorders/>
            <w:vAlign w:val="center"/>
          </w:tcPr>
          <w:p>
            <w:pPr>
              <w:pStyle w:val="TableContents"/>
              <w:widowControl w:val="false"/>
              <w:suppressLineNumbers/>
              <w:spacing w:before="0" w:after="200"/>
              <w:rPr/>
            </w:pPr>
            <w:r>
              <w:rPr/>
              <w:t>It should. Notice, participation, access to evidence, impartial decision-making, explanation, and appeal may be independently required. A favorable predicted outcome does not necessarily cure an illegitimate decision process.</w:t>
            </w:r>
          </w:p>
        </w:tc>
      </w:tr>
      <w:tr>
        <w:trPr/>
        <w:tc>
          <w:tcPr>
            <w:tcW w:w="2827" w:type="dxa"/>
            <w:tcBorders/>
            <w:vAlign w:val="center"/>
          </w:tcPr>
          <w:p>
            <w:pPr>
              <w:pStyle w:val="TableContents"/>
              <w:widowControl w:val="false"/>
              <w:suppressLineNumbers/>
              <w:spacing w:before="0" w:after="200"/>
              <w:rPr/>
            </w:pPr>
            <w:r>
              <w:rPr>
                <w:rStyle w:val="Strong"/>
              </w:rPr>
              <w:t>13. How does the framework respond after a rights violation occurs?</w:t>
            </w:r>
          </w:p>
        </w:tc>
        <w:tc>
          <w:tcPr>
            <w:tcW w:w="5813" w:type="dxa"/>
            <w:tcBorders/>
            <w:vAlign w:val="center"/>
          </w:tcPr>
          <w:p>
            <w:pPr>
              <w:pStyle w:val="TableContents"/>
              <w:widowControl w:val="false"/>
              <w:suppressLineNumbers/>
              <w:spacing w:before="0" w:after="200"/>
              <w:rPr/>
            </w:pPr>
            <w:r>
              <w:rPr/>
              <w:t>The resulting transition should activate consideration of cessation, restoration, compensation, acknowledgment, accountability, institutional reform, and prevention of recurrence. Remedy should be treated as a duty, not merely as another optional beneficial action.</w:t>
            </w:r>
          </w:p>
        </w:tc>
      </w:tr>
      <w:tr>
        <w:trPr/>
        <w:tc>
          <w:tcPr>
            <w:tcW w:w="2827" w:type="dxa"/>
            <w:tcBorders/>
            <w:vAlign w:val="center"/>
          </w:tcPr>
          <w:p>
            <w:pPr>
              <w:pStyle w:val="TableContents"/>
              <w:widowControl w:val="false"/>
              <w:suppressLineNumbers/>
              <w:spacing w:before="0" w:after="200"/>
              <w:rPr/>
            </w:pPr>
            <w:r>
              <w:rPr>
                <w:rStyle w:val="Strong"/>
              </w:rPr>
              <w:t>14. How are future generations represented as right-holders?</w:t>
            </w:r>
          </w:p>
        </w:tc>
        <w:tc>
          <w:tcPr>
            <w:tcW w:w="5813" w:type="dxa"/>
            <w:tcBorders/>
            <w:vAlign w:val="center"/>
          </w:tcPr>
          <w:p>
            <w:pPr>
              <w:pStyle w:val="TableContents"/>
              <w:widowControl w:val="false"/>
              <w:suppressLineNumbers/>
              <w:spacing w:before="0" w:after="200"/>
              <w:rPr/>
            </w:pPr>
            <w:r>
              <w:rPr/>
              <w:t>Their probable interests and future state space can be represented through designated proxies, institutional trustees, minimum intergenerational constraints, and scenario analysis. Whether future entities possess present claim-rights, rather than merely morally relevant interests, remains a substantive issue requiring explicit resolution.</w:t>
            </w:r>
          </w:p>
        </w:tc>
      </w:tr>
      <w:tr>
        <w:trPr/>
        <w:tc>
          <w:tcPr>
            <w:tcW w:w="2827" w:type="dxa"/>
            <w:tcBorders/>
            <w:vAlign w:val="center"/>
          </w:tcPr>
          <w:p>
            <w:pPr>
              <w:pStyle w:val="TableContents"/>
              <w:widowControl w:val="false"/>
              <w:suppressLineNumbers/>
              <w:spacing w:before="0" w:after="200"/>
              <w:rPr/>
            </w:pPr>
            <w:r>
              <w:rPr>
                <w:rStyle w:val="Strong"/>
              </w:rPr>
              <w:t>15. Can nonhuman or artificial entities hold rights?</w:t>
            </w:r>
          </w:p>
        </w:tc>
        <w:tc>
          <w:tcPr>
            <w:tcW w:w="5813" w:type="dxa"/>
            <w:tcBorders/>
            <w:vAlign w:val="center"/>
          </w:tcPr>
          <w:p>
            <w:pPr>
              <w:pStyle w:val="TableContents"/>
              <w:widowControl w:val="false"/>
              <w:suppressLineNumbers/>
              <w:spacing w:before="0" w:after="200"/>
              <w:rPr/>
            </w:pPr>
            <w:r>
              <w:rPr/>
              <w:t>The framework can evaluate candidates using characteristics such as sentience, agency, persistence, autonomy, vulnerability, dependency, identity, and capacity for flourishing. It should not infer full rights-bearing status from complexity or persistence alone. Different characteristics may support different classes of rights.</w:t>
            </w:r>
          </w:p>
        </w:tc>
      </w:tr>
      <w:tr>
        <w:trPr/>
        <w:tc>
          <w:tcPr>
            <w:tcW w:w="2827" w:type="dxa"/>
            <w:tcBorders/>
            <w:vAlign w:val="center"/>
          </w:tcPr>
          <w:p>
            <w:pPr>
              <w:pStyle w:val="TableContents"/>
              <w:widowControl w:val="false"/>
              <w:suppressLineNumbers/>
              <w:spacing w:before="0" w:after="200"/>
              <w:rPr/>
            </w:pPr>
            <w:r>
              <w:rPr>
                <w:rStyle w:val="Strong"/>
              </w:rPr>
              <w:t>16. How can rights be made computationally explicit without oversimplifying them?</w:t>
            </w:r>
          </w:p>
        </w:tc>
        <w:tc>
          <w:tcPr>
            <w:tcW w:w="5813" w:type="dxa"/>
            <w:tcBorders/>
            <w:vAlign w:val="center"/>
          </w:tcPr>
          <w:p>
            <w:pPr>
              <w:pStyle w:val="TableContents"/>
              <w:widowControl w:val="false"/>
              <w:suppressLineNumbers/>
              <w:spacing w:before="0" w:after="200"/>
              <w:rPr/>
            </w:pPr>
            <w:r>
              <w:rPr/>
              <w:t>A machine-readable rights record could identify the holder, duty-bearer, protected interest, right type, source, scope, priority, triggering conditions, exceptions, waiver rules, jurisdiction, remedy, evidence, and uncertainty. Computational representation should support human interpretation and review rather than conceal contested moral judgments.</w:t>
            </w:r>
          </w:p>
        </w:tc>
      </w:tr>
      <w:tr>
        <w:trPr/>
        <w:tc>
          <w:tcPr>
            <w:tcW w:w="2827" w:type="dxa"/>
            <w:tcBorders/>
            <w:vAlign w:val="center"/>
          </w:tcPr>
          <w:p>
            <w:pPr>
              <w:pStyle w:val="TableContents"/>
              <w:widowControl w:val="false"/>
              <w:suppressLineNumbers/>
              <w:spacing w:before="0" w:after="200"/>
              <w:rPr/>
            </w:pPr>
            <w:r>
              <w:rPr>
                <w:rStyle w:val="Strong"/>
              </w:rPr>
              <w:t>17. What if respecting a right threatens the continued operation of the system that protects all rights?</w:t>
            </w:r>
          </w:p>
        </w:tc>
        <w:tc>
          <w:tcPr>
            <w:tcW w:w="5813" w:type="dxa"/>
            <w:tcBorders/>
            <w:vAlign w:val="center"/>
          </w:tcPr>
          <w:p>
            <w:pPr>
              <w:pStyle w:val="TableContents"/>
              <w:widowControl w:val="false"/>
              <w:suppressLineNumbers/>
              <w:spacing w:before="0" w:after="200"/>
              <w:rPr/>
            </w:pPr>
            <w:r>
              <w:rPr/>
              <w:t>The threat must be concrete and sufficiently serious, not speculative. The framework should consider whether the right contains an applicable limitation, whether less restrictive alternatives exist, and whether the proposed action preserves the institutional conditions for rights rather than merely protecting an incumbent authority.</w:t>
            </w:r>
          </w:p>
        </w:tc>
      </w:tr>
      <w:tr>
        <w:trPr/>
        <w:tc>
          <w:tcPr>
            <w:tcW w:w="2827" w:type="dxa"/>
            <w:tcBorders/>
            <w:vAlign w:val="center"/>
          </w:tcPr>
          <w:p>
            <w:pPr>
              <w:pStyle w:val="TableContents"/>
              <w:widowControl w:val="false"/>
              <w:suppressLineNumbers/>
              <w:spacing w:before="0" w:after="200"/>
              <w:rPr/>
            </w:pPr>
            <w:r>
              <w:rPr>
                <w:rStyle w:val="Strong"/>
              </w:rPr>
              <w:t>18. How will the framework prevent actors from redefining rights whenever compliance becomes inconvenient?</w:t>
            </w:r>
          </w:p>
        </w:tc>
        <w:tc>
          <w:tcPr>
            <w:tcW w:w="5813" w:type="dxa"/>
            <w:tcBorders/>
            <w:vAlign w:val="center"/>
          </w:tcPr>
          <w:p>
            <w:pPr>
              <w:pStyle w:val="TableContents"/>
              <w:widowControl w:val="false"/>
              <w:suppressLineNumbers/>
              <w:spacing w:before="0" w:after="200"/>
              <w:rPr/>
            </w:pPr>
            <w:r>
              <w:rPr/>
              <w:t>Rights definitions, exceptions, and priority rules should be established before the immediate dispute where possible. Changes should require transparent justification, consistent application, affected-party participation, independent review, and preservation of an auditable decision record.</w:t>
            </w:r>
          </w:p>
        </w:tc>
      </w:tr>
    </w:tbl>
    <w:p>
      <w:pPr>
        <w:pStyle w:val="Heading4"/>
        <w:ind w:hanging="0" w:left="0"/>
        <w:rPr>
          <w:rFonts w:ascii="Aptos" w:hAnsi="Aptos"/>
          <w:color w:val="auto"/>
        </w:rPr>
      </w:pPr>
      <w:r>
        <w:rPr/>
        <w:t>Responses to Those Incremental Questions</w:t>
      </w:r>
    </w:p>
    <w:p>
      <w:pPr>
        <w:pStyle w:val="BodyText"/>
        <w:spacing w:before="0" w:after="200"/>
        <w:rPr/>
      </w:pPr>
      <w:r>
        <w:rPr/>
        <w:t>Collectively, the responses establish that rights should enter the framework at three separate stages:</w:t>
      </w:r>
    </w:p>
    <w:p>
      <w:pPr>
        <w:pStyle w:val="BodyText"/>
        <w:numPr>
          <w:ilvl w:val="0"/>
          <w:numId w:val="51"/>
        </w:numPr>
        <w:tabs>
          <w:tab w:val="clear" w:pos="720"/>
          <w:tab w:val="left" w:pos="0" w:leader="none"/>
        </w:tabs>
        <w:spacing w:before="0" w:after="200"/>
        <w:ind w:hanging="283" w:left="709"/>
        <w:rPr/>
      </w:pPr>
      <w:r>
        <w:rPr>
          <w:rStyle w:val="Strong"/>
        </w:rPr>
        <w:t>Before comparison of outcomes</w:t>
      </w:r>
      <w:r>
        <w:rPr/>
        <w:t>, rights define prohibited actions, required procedures, protected minimums, and the boundaries of legitimate authority.</w:t>
      </w:r>
    </w:p>
    <w:p>
      <w:pPr>
        <w:pStyle w:val="BodyText"/>
        <w:numPr>
          <w:ilvl w:val="0"/>
          <w:numId w:val="51"/>
        </w:numPr>
        <w:tabs>
          <w:tab w:val="clear" w:pos="720"/>
          <w:tab w:val="left" w:pos="0" w:leader="none"/>
        </w:tabs>
        <w:spacing w:before="0" w:after="200"/>
        <w:ind w:hanging="283" w:left="709"/>
        <w:rPr/>
      </w:pPr>
      <w:r>
        <w:rPr>
          <w:rStyle w:val="Strong"/>
        </w:rPr>
        <w:t>During comparison of permissible alternatives</w:t>
      </w:r>
      <w:r>
        <w:rPr/>
        <w:t>, the framework evaluates which option best protects the relevant rights while promoting long-term flourishing and minimizing unresolved conflicts.</w:t>
      </w:r>
    </w:p>
    <w:p>
      <w:pPr>
        <w:pStyle w:val="BodyText"/>
        <w:numPr>
          <w:ilvl w:val="0"/>
          <w:numId w:val="51"/>
        </w:numPr>
        <w:tabs>
          <w:tab w:val="clear" w:pos="720"/>
          <w:tab w:val="left" w:pos="0" w:leader="none"/>
        </w:tabs>
        <w:spacing w:before="0" w:after="200"/>
        <w:ind w:hanging="283" w:left="709"/>
        <w:rPr/>
      </w:pPr>
      <w:r>
        <w:rPr>
          <w:rStyle w:val="Strong"/>
        </w:rPr>
        <w:t>After an action or violation</w:t>
      </w:r>
      <w:r>
        <w:rPr/>
        <w:t>, the framework assigns responsibility, determines remedies, monitors Distributed Policy Effects, and updates institutional safeguards.</w:t>
      </w:r>
    </w:p>
    <w:p>
      <w:pPr>
        <w:pStyle w:val="BodyText"/>
        <w:spacing w:before="0" w:after="200"/>
        <w:rPr/>
      </w:pPr>
      <w:r>
        <w:rPr/>
        <w:t>A rights-sensitive implementation should therefore produce a separate rights finding for every material assessment:</w:t>
      </w:r>
    </w:p>
    <w:p>
      <w:pPr>
        <w:pStyle w:val="BodyText"/>
        <w:numPr>
          <w:ilvl w:val="0"/>
          <w:numId w:val="52"/>
        </w:numPr>
        <w:tabs>
          <w:tab w:val="clear" w:pos="720"/>
          <w:tab w:val="left" w:pos="0" w:leader="none"/>
        </w:tabs>
        <w:spacing w:before="0" w:after="200"/>
        <w:ind w:hanging="283" w:left="709"/>
        <w:rPr/>
      </w:pPr>
      <w:r>
        <w:rPr/>
        <w:t>Applicable rights and their sources;</w:t>
      </w:r>
    </w:p>
    <w:p>
      <w:pPr>
        <w:pStyle w:val="BodyText"/>
        <w:numPr>
          <w:ilvl w:val="0"/>
          <w:numId w:val="52"/>
        </w:numPr>
        <w:tabs>
          <w:tab w:val="clear" w:pos="720"/>
          <w:tab w:val="left" w:pos="0" w:leader="none"/>
        </w:tabs>
        <w:spacing w:before="0" w:after="200"/>
        <w:ind w:hanging="283" w:left="709"/>
        <w:rPr/>
      </w:pPr>
      <w:r>
        <w:rPr/>
        <w:t>Right-holders and duty-bearers;</w:t>
      </w:r>
    </w:p>
    <w:p>
      <w:pPr>
        <w:pStyle w:val="BodyText"/>
        <w:numPr>
          <w:ilvl w:val="0"/>
          <w:numId w:val="52"/>
        </w:numPr>
        <w:tabs>
          <w:tab w:val="clear" w:pos="720"/>
          <w:tab w:val="left" w:pos="0" w:leader="none"/>
        </w:tabs>
        <w:spacing w:before="0" w:after="200"/>
        <w:ind w:hanging="283" w:left="709"/>
        <w:rPr/>
      </w:pPr>
      <w:r>
        <w:rPr/>
        <w:t>Threatened or actual infringements;</w:t>
      </w:r>
    </w:p>
    <w:p>
      <w:pPr>
        <w:pStyle w:val="BodyText"/>
        <w:numPr>
          <w:ilvl w:val="0"/>
          <w:numId w:val="52"/>
        </w:numPr>
        <w:tabs>
          <w:tab w:val="clear" w:pos="720"/>
          <w:tab w:val="left" w:pos="0" w:leader="none"/>
        </w:tabs>
        <w:spacing w:before="0" w:after="200"/>
        <w:ind w:hanging="283" w:left="709"/>
        <w:rPr/>
      </w:pPr>
      <w:r>
        <w:rPr/>
        <w:t>Whether consent or waiver is relevant and valid;</w:t>
      </w:r>
    </w:p>
    <w:p>
      <w:pPr>
        <w:pStyle w:val="BodyText"/>
        <w:numPr>
          <w:ilvl w:val="0"/>
          <w:numId w:val="52"/>
        </w:numPr>
        <w:tabs>
          <w:tab w:val="clear" w:pos="720"/>
          <w:tab w:val="left" w:pos="0" w:leader="none"/>
        </w:tabs>
        <w:spacing w:before="0" w:after="200"/>
        <w:ind w:hanging="283" w:left="709"/>
        <w:rPr/>
      </w:pPr>
      <w:r>
        <w:rPr/>
        <w:t>The strength and defeasibility of each right;</w:t>
      </w:r>
    </w:p>
    <w:p>
      <w:pPr>
        <w:pStyle w:val="BodyText"/>
        <w:numPr>
          <w:ilvl w:val="0"/>
          <w:numId w:val="52"/>
        </w:numPr>
        <w:tabs>
          <w:tab w:val="clear" w:pos="720"/>
          <w:tab w:val="left" w:pos="0" w:leader="none"/>
        </w:tabs>
        <w:spacing w:before="0" w:after="200"/>
        <w:ind w:hanging="283" w:left="709"/>
        <w:rPr/>
      </w:pPr>
      <w:r>
        <w:rPr/>
        <w:t>Any competing rights;</w:t>
      </w:r>
    </w:p>
    <w:p>
      <w:pPr>
        <w:pStyle w:val="BodyText"/>
        <w:numPr>
          <w:ilvl w:val="0"/>
          <w:numId w:val="52"/>
        </w:numPr>
        <w:tabs>
          <w:tab w:val="clear" w:pos="720"/>
          <w:tab w:val="left" w:pos="0" w:leader="none"/>
        </w:tabs>
        <w:spacing w:before="0" w:after="200"/>
        <w:ind w:hanging="283" w:left="709"/>
        <w:rPr/>
      </w:pPr>
      <w:r>
        <w:rPr/>
        <w:t>The justification for a limitation;</w:t>
      </w:r>
    </w:p>
    <w:p>
      <w:pPr>
        <w:pStyle w:val="BodyText"/>
        <w:numPr>
          <w:ilvl w:val="0"/>
          <w:numId w:val="52"/>
        </w:numPr>
        <w:tabs>
          <w:tab w:val="clear" w:pos="720"/>
          <w:tab w:val="left" w:pos="0" w:leader="none"/>
        </w:tabs>
        <w:spacing w:before="0" w:after="200"/>
        <w:ind w:hanging="283" w:left="709"/>
        <w:rPr/>
      </w:pPr>
      <w:r>
        <w:rPr/>
        <w:t>Procedural safeguards employed;</w:t>
      </w:r>
    </w:p>
    <w:p>
      <w:pPr>
        <w:pStyle w:val="BodyText"/>
        <w:numPr>
          <w:ilvl w:val="0"/>
          <w:numId w:val="52"/>
        </w:numPr>
        <w:tabs>
          <w:tab w:val="clear" w:pos="720"/>
          <w:tab w:val="left" w:pos="0" w:leader="none"/>
        </w:tabs>
        <w:spacing w:before="0" w:after="200"/>
        <w:ind w:hanging="283" w:left="709"/>
        <w:rPr/>
      </w:pPr>
      <w:r>
        <w:rPr/>
        <w:t>Residual risk and uncertainty; and</w:t>
      </w:r>
    </w:p>
    <w:p>
      <w:pPr>
        <w:pStyle w:val="BodyText"/>
        <w:numPr>
          <w:ilvl w:val="0"/>
          <w:numId w:val="52"/>
        </w:numPr>
        <w:tabs>
          <w:tab w:val="clear" w:pos="720"/>
          <w:tab w:val="left" w:pos="0" w:leader="none"/>
        </w:tabs>
        <w:spacing w:before="0" w:after="200"/>
        <w:ind w:hanging="283" w:left="709"/>
        <w:rPr/>
      </w:pPr>
      <w:r>
        <w:rPr/>
        <w:t>Required remedies or monitoring.</w:t>
      </w:r>
    </w:p>
    <w:p>
      <w:pPr>
        <w:pStyle w:val="BodyText"/>
        <w:spacing w:before="0" w:after="200"/>
        <w:rPr/>
      </w:pPr>
      <w:r>
        <w:rPr/>
        <w:t>This finding should remain distinct from the overall flourishing assessment. An action might improve predicted long-term flourishing while still constituting a rights violation. Conversely, an action might formally comply with a narrowly defined right while producing systemic conditions that make the future exercise of that right practically impossible. Reporting both conclusions prevents either dimension from concealing the other.</w:t>
      </w:r>
    </w:p>
    <w:p>
      <w:pPr>
        <w:pStyle w:val="Heading4"/>
        <w:ind w:hanging="0" w:left="0"/>
        <w:rPr>
          <w:rFonts w:ascii="Aptos" w:hAnsi="Aptos"/>
          <w:color w:val="auto"/>
        </w:rPr>
      </w:pPr>
      <w:r>
        <w:rPr/>
        <w:t>Remaining Open Issues</w:t>
      </w:r>
    </w:p>
    <w:p>
      <w:pPr>
        <w:pStyle w:val="BodyText"/>
        <w:spacing w:before="0" w:after="200"/>
        <w:rPr/>
      </w:pPr>
      <w:r>
        <w:rPr/>
        <w:t>Several issues require further development before rights-based ethics can be considered fully integrated:</w:t>
      </w:r>
    </w:p>
    <w:p>
      <w:pPr>
        <w:pStyle w:val="BodyText"/>
        <w:numPr>
          <w:ilvl w:val="0"/>
          <w:numId w:val="53"/>
        </w:numPr>
        <w:tabs>
          <w:tab w:val="clear" w:pos="720"/>
          <w:tab w:val="left" w:pos="0" w:leader="none"/>
        </w:tabs>
        <w:spacing w:before="0" w:after="200"/>
        <w:ind w:hanging="283" w:left="709"/>
        <w:rPr/>
      </w:pPr>
      <w:r>
        <w:rPr>
          <w:rStyle w:val="Strong"/>
        </w:rPr>
        <w:t>Grounding of rights:</w:t>
      </w:r>
      <w:r>
        <w:rPr/>
        <w:t xml:space="preserve"> The framework must determine whether rights derive from agency, sentience, dignity, protected interests, relationships, social practices, flourishing, or some combination of these foundations.</w:t>
      </w:r>
    </w:p>
    <w:p>
      <w:pPr>
        <w:pStyle w:val="BodyText"/>
        <w:numPr>
          <w:ilvl w:val="0"/>
          <w:numId w:val="53"/>
        </w:numPr>
        <w:tabs>
          <w:tab w:val="clear" w:pos="720"/>
          <w:tab w:val="left" w:pos="0" w:leader="none"/>
        </w:tabs>
        <w:spacing w:before="0" w:after="200"/>
        <w:ind w:hanging="283" w:left="709"/>
        <w:rPr/>
      </w:pPr>
      <w:r>
        <w:rPr>
          <w:rStyle w:val="Strong"/>
        </w:rPr>
        <w:t>Criteria for rights-bearing status:</w:t>
      </w:r>
      <w:r>
        <w:rPr/>
        <w:t xml:space="preserve"> Clear criteria are needed for humans, collectives, nonhuman organisms, ecosystems, artificial agents, and future entities.</w:t>
      </w:r>
    </w:p>
    <w:p>
      <w:pPr>
        <w:pStyle w:val="BodyText"/>
        <w:numPr>
          <w:ilvl w:val="0"/>
          <w:numId w:val="53"/>
        </w:numPr>
        <w:tabs>
          <w:tab w:val="clear" w:pos="720"/>
          <w:tab w:val="left" w:pos="0" w:leader="none"/>
        </w:tabs>
        <w:spacing w:before="0" w:after="200"/>
        <w:ind w:hanging="283" w:left="709"/>
        <w:rPr/>
      </w:pPr>
      <w:r>
        <w:rPr>
          <w:rStyle w:val="Strong"/>
        </w:rPr>
        <w:t>Strength and priority:</w:t>
      </w:r>
      <w:r>
        <w:rPr/>
        <w:t xml:space="preserve"> The framework must distinguish absolute, non-waivable, threshold, presumptive, and ordinary defeasible rights.</w:t>
      </w:r>
    </w:p>
    <w:p>
      <w:pPr>
        <w:pStyle w:val="BodyText"/>
        <w:numPr>
          <w:ilvl w:val="0"/>
          <w:numId w:val="53"/>
        </w:numPr>
        <w:tabs>
          <w:tab w:val="clear" w:pos="720"/>
          <w:tab w:val="left" w:pos="0" w:leader="none"/>
        </w:tabs>
        <w:spacing w:before="0" w:after="200"/>
        <w:ind w:hanging="283" w:left="709"/>
        <w:rPr/>
      </w:pPr>
      <w:r>
        <w:rPr>
          <w:rStyle w:val="Strong"/>
        </w:rPr>
        <w:t>Conflict resolution:</w:t>
      </w:r>
      <w:r>
        <w:rPr/>
        <w:t xml:space="preserve"> Further work is required to prevent proportionality or balancing analyses from becoming disguised aggregate consequentialism.</w:t>
      </w:r>
    </w:p>
    <w:p>
      <w:pPr>
        <w:pStyle w:val="BodyText"/>
        <w:numPr>
          <w:ilvl w:val="0"/>
          <w:numId w:val="53"/>
        </w:numPr>
        <w:tabs>
          <w:tab w:val="clear" w:pos="720"/>
          <w:tab w:val="left" w:pos="0" w:leader="none"/>
        </w:tabs>
        <w:spacing w:before="0" w:after="200"/>
        <w:ind w:hanging="283" w:left="709"/>
        <w:rPr/>
      </w:pPr>
      <w:r>
        <w:rPr>
          <w:rStyle w:val="Strong"/>
        </w:rPr>
        <w:t>Positive duties and scarcity:</w:t>
      </w:r>
      <w:r>
        <w:rPr/>
        <w:t xml:space="preserve"> The framework must specify how resource limitations affect the content, timing, and allocation of duties without eliminating protected minimums.</w:t>
      </w:r>
    </w:p>
    <w:p>
      <w:pPr>
        <w:pStyle w:val="BodyText"/>
        <w:numPr>
          <w:ilvl w:val="0"/>
          <w:numId w:val="53"/>
        </w:numPr>
        <w:tabs>
          <w:tab w:val="clear" w:pos="720"/>
          <w:tab w:val="left" w:pos="0" w:leader="none"/>
        </w:tabs>
        <w:spacing w:before="0" w:after="200"/>
        <w:ind w:hanging="283" w:left="709"/>
        <w:rPr/>
      </w:pPr>
      <w:r>
        <w:rPr>
          <w:rStyle w:val="Strong"/>
        </w:rPr>
        <w:t>Collective and individual rights:</w:t>
      </w:r>
      <w:r>
        <w:rPr/>
        <w:t xml:space="preserve"> Conflicts may arise between individual rights and the rights or continued functioning of communities, institutions, cultures, or ecosystems.</w:t>
      </w:r>
    </w:p>
    <w:p>
      <w:pPr>
        <w:pStyle w:val="BodyText"/>
        <w:numPr>
          <w:ilvl w:val="0"/>
          <w:numId w:val="53"/>
        </w:numPr>
        <w:tabs>
          <w:tab w:val="clear" w:pos="720"/>
          <w:tab w:val="left" w:pos="0" w:leader="none"/>
        </w:tabs>
        <w:spacing w:before="0" w:after="200"/>
        <w:ind w:hanging="283" w:left="709"/>
        <w:rPr/>
      </w:pPr>
      <w:r>
        <w:rPr>
          <w:rStyle w:val="Strong"/>
        </w:rPr>
        <w:t>Consent and power imbalance:</w:t>
      </w:r>
      <w:r>
        <w:rPr/>
        <w:t xml:space="preserve"> More precise standards are needed for consent involving dependency, unequal bargaining power, limited alternatives, or algorithmic influence.</w:t>
      </w:r>
    </w:p>
    <w:p>
      <w:pPr>
        <w:pStyle w:val="BodyText"/>
        <w:numPr>
          <w:ilvl w:val="0"/>
          <w:numId w:val="53"/>
        </w:numPr>
        <w:tabs>
          <w:tab w:val="clear" w:pos="720"/>
          <w:tab w:val="left" w:pos="0" w:leader="none"/>
        </w:tabs>
        <w:spacing w:before="0" w:after="200"/>
        <w:ind w:hanging="283" w:left="709"/>
        <w:rPr/>
      </w:pPr>
      <w:r>
        <w:rPr>
          <w:rStyle w:val="Strong"/>
        </w:rPr>
        <w:t>Moral and legal divergence:</w:t>
      </w:r>
      <w:r>
        <w:rPr/>
        <w:t xml:space="preserve"> The framework must determine how to proceed when legal requirements conflict with asserted moral rights.</w:t>
      </w:r>
    </w:p>
    <w:p>
      <w:pPr>
        <w:pStyle w:val="BodyText"/>
        <w:numPr>
          <w:ilvl w:val="0"/>
          <w:numId w:val="53"/>
        </w:numPr>
        <w:tabs>
          <w:tab w:val="clear" w:pos="720"/>
          <w:tab w:val="left" w:pos="0" w:leader="none"/>
        </w:tabs>
        <w:spacing w:before="0" w:after="200"/>
        <w:ind w:hanging="283" w:left="709"/>
        <w:rPr/>
      </w:pPr>
      <w:r>
        <w:rPr>
          <w:rStyle w:val="Strong"/>
        </w:rPr>
        <w:t>Emergency authority:</w:t>
      </w:r>
      <w:r>
        <w:rPr/>
        <w:t xml:space="preserve"> Non-waivable protections, review requirements, duration limits, and post-emergency remedies require explicit definition.</w:t>
      </w:r>
    </w:p>
    <w:p>
      <w:pPr>
        <w:pStyle w:val="BodyText"/>
        <w:numPr>
          <w:ilvl w:val="0"/>
          <w:numId w:val="53"/>
        </w:numPr>
        <w:tabs>
          <w:tab w:val="clear" w:pos="720"/>
          <w:tab w:val="left" w:pos="0" w:leader="none"/>
        </w:tabs>
        <w:spacing w:before="0" w:after="200"/>
        <w:ind w:hanging="283" w:left="709"/>
        <w:rPr/>
      </w:pPr>
      <w:r>
        <w:rPr>
          <w:rStyle w:val="Strong"/>
        </w:rPr>
        <w:t>Intergenerational rights:</w:t>
      </w:r>
      <w:r>
        <w:rPr/>
        <w:t xml:space="preserve"> The status, representation, and enforceability of claims attributed to future entities remain unresolved.</w:t>
      </w:r>
    </w:p>
    <w:p>
      <w:pPr>
        <w:pStyle w:val="BodyText"/>
        <w:numPr>
          <w:ilvl w:val="0"/>
          <w:numId w:val="53"/>
        </w:numPr>
        <w:tabs>
          <w:tab w:val="clear" w:pos="720"/>
          <w:tab w:val="left" w:pos="0" w:leader="none"/>
        </w:tabs>
        <w:spacing w:before="0" w:after="200"/>
        <w:ind w:hanging="283" w:left="709"/>
        <w:rPr/>
      </w:pPr>
      <w:r>
        <w:rPr>
          <w:rStyle w:val="Strong"/>
        </w:rPr>
        <w:t>Nonhuman and artificial rights:</w:t>
      </w:r>
      <w:r>
        <w:rPr/>
        <w:t xml:space="preserve"> Any extension of rights beyond humans must avoid both unjustified exclusion and indiscriminate attribution.</w:t>
      </w:r>
    </w:p>
    <w:p>
      <w:pPr>
        <w:pStyle w:val="BodyText"/>
        <w:numPr>
          <w:ilvl w:val="0"/>
          <w:numId w:val="53"/>
        </w:numPr>
        <w:tabs>
          <w:tab w:val="clear" w:pos="720"/>
          <w:tab w:val="left" w:pos="0" w:leader="none"/>
        </w:tabs>
        <w:spacing w:before="0" w:after="200"/>
        <w:ind w:hanging="283" w:left="709"/>
        <w:rPr/>
      </w:pPr>
      <w:r>
        <w:rPr>
          <w:rStyle w:val="Strong"/>
        </w:rPr>
        <w:t>Computational representation:</w:t>
      </w:r>
      <w:r>
        <w:rPr/>
        <w:t xml:space="preserve"> Formalization must preserve contextual meaning and contestability rather than creating false precision.</w:t>
      </w:r>
    </w:p>
    <w:p>
      <w:pPr>
        <w:pStyle w:val="BodyText"/>
        <w:numPr>
          <w:ilvl w:val="0"/>
          <w:numId w:val="53"/>
        </w:numPr>
        <w:tabs>
          <w:tab w:val="clear" w:pos="720"/>
          <w:tab w:val="left" w:pos="0" w:leader="none"/>
        </w:tabs>
        <w:spacing w:before="0" w:after="200"/>
        <w:ind w:hanging="283" w:left="709"/>
        <w:rPr/>
      </w:pPr>
      <w:r>
        <w:rPr>
          <w:rStyle w:val="Strong"/>
        </w:rPr>
        <w:t>Institutional enforcement:</w:t>
      </w:r>
      <w:r>
        <w:rPr/>
        <w:t xml:space="preserve"> A right without an identifiable duty-bearer, review process, or remedy may have limited practical effect.</w:t>
      </w:r>
    </w:p>
    <w:p>
      <w:pPr>
        <w:pStyle w:val="BodyText"/>
        <w:numPr>
          <w:ilvl w:val="0"/>
          <w:numId w:val="53"/>
        </w:numPr>
        <w:tabs>
          <w:tab w:val="clear" w:pos="720"/>
          <w:tab w:val="left" w:pos="0" w:leader="none"/>
        </w:tabs>
        <w:spacing w:before="0" w:after="200"/>
        <w:ind w:hanging="283" w:left="709"/>
        <w:rPr/>
      </w:pPr>
      <w:r>
        <w:rPr>
          <w:rStyle w:val="Strong"/>
        </w:rPr>
        <w:t>Rights under uncertainty:</w:t>
      </w:r>
      <w:r>
        <w:rPr/>
        <w:t xml:space="preserve"> The framework requires defensible thresholds for acting when either respecting or restricting a claimed right carries uncertain but potentially irreversible consequences.</w:t>
      </w:r>
    </w:p>
    <w:p>
      <w:pPr>
        <w:pStyle w:val="BodyText"/>
        <w:spacing w:before="0" w:after="200"/>
        <w:rPr/>
      </w:pPr>
      <w:r>
        <w:rPr/>
        <w:t>The central unresolved question is whether rights are foundational constraints within this framework or protections justified primarily by their contribution to long-term flourishing. Until that relationship is explicitly defined, a rights-based expert can reasonably maintain that the framework is rights-sensitive but not yet fully rights-based.</w:t>
      </w:r>
    </w:p>
    <w:p>
      <w:pPr>
        <w:pStyle w:val="Heading3"/>
        <w:ind w:hanging="0" w:left="0"/>
        <w:rPr/>
      </w:pPr>
      <w:r>
        <w:rPr/>
        <w:t>Ethics of Care</w:t>
      </w:r>
    </w:p>
    <w:p>
      <w:pPr>
        <w:pStyle w:val="Heading4"/>
        <w:ind w:hanging="0" w:left="0"/>
        <w:rPr>
          <w:rFonts w:ascii="Aptos" w:hAnsi="Aptos"/>
          <w:color w:val="auto"/>
        </w:rPr>
      </w:pPr>
      <w:r>
        <w:rPr/>
        <w:t>Questioning Argument</w:t>
      </w:r>
    </w:p>
    <w:p>
      <w:pPr>
        <w:pStyle w:val="BodyText"/>
        <w:spacing w:before="0" w:after="200"/>
        <w:rPr/>
      </w:pPr>
      <w:r>
        <w:rPr/>
        <w:t>An ethics-of-care expert may argue that this framework transforms moral relationships into abstract entities, variables, constraints, and predicted state transitions. In doing so, it risks losing the attentiveness, emotional understanding, embodied knowledge, historical context, and responsiveness that make care morally meaningful.</w:t>
      </w:r>
    </w:p>
    <w:p>
      <w:pPr>
        <w:pStyle w:val="BodyText"/>
        <w:spacing w:before="0" w:after="200"/>
        <w:rPr/>
      </w:pPr>
      <w:r>
        <w:rPr/>
        <w:t>The critic may ask:</w:t>
      </w:r>
    </w:p>
    <w:p>
      <w:pPr>
        <w:pStyle w:val="BlockQuotation"/>
        <w:spacing w:before="0" w:after="200"/>
        <w:rPr/>
      </w:pPr>
      <w:r>
        <w:rPr/>
        <w:t>If the needs of a vulnerable entity must first be identified and formalized before the framework can evaluate them, how will the framework recognize needs that are unspoken, misunderstood, institutionally hidden, or knowable only through an ongoing caring relationship?</w:t>
      </w:r>
    </w:p>
    <w:p>
      <w:pPr>
        <w:pStyle w:val="BodyText"/>
        <w:spacing w:before="0" w:after="200"/>
        <w:rPr/>
      </w:pPr>
      <w:r>
        <w:rPr/>
        <w:t>A related concern is that the framework’s emphasis on long-term systemic flourishing could subordinate immediate care to projected future benefits. An expensive, dependent, or low-capability entity might appear to contribute little to the wider system while requiring substantial resources. Care ethics rejects the assumption that such an entity has less moral importance merely because caring for it is inefficient or produces limited measurable benefit.</w:t>
      </w:r>
    </w:p>
    <w:p>
      <w:pPr>
        <w:pStyle w:val="BodyText"/>
        <w:spacing w:before="0" w:after="200"/>
        <w:rPr/>
      </w:pPr>
      <w:r>
        <w:rPr/>
        <w:t>The framework may also overvalue impartiality. Care ethics recognizes that particular relationships create special responsibilities. A parent’s responsibility to a child, a clinician’s responsibility to a patient, or an institution’s responsibility to a dependent population cannot necessarily be derived from a general comparison of outcomes. These responsibilities arise from dependency, relationship, role, history, and the vulnerability created by another party’s reliance.</w:t>
      </w:r>
    </w:p>
    <w:p>
      <w:pPr>
        <w:pStyle w:val="BodyText"/>
        <w:spacing w:before="0" w:after="200"/>
        <w:rPr/>
      </w:pPr>
      <w:r>
        <w:rPr/>
        <w:t>Unless these considerations receive independent normative status, the framework may become care-sensitive without becoming genuinely responsive to care.</w:t>
      </w:r>
    </w:p>
    <w:p>
      <w:pPr>
        <w:pStyle w:val="Heading4"/>
        <w:ind w:hanging="0" w:left="0"/>
        <w:rPr>
          <w:rFonts w:ascii="Aptos" w:hAnsi="Aptos"/>
          <w:color w:val="auto"/>
        </w:rPr>
      </w:pPr>
      <w:r>
        <w:rPr/>
        <w:t>Assumptions Within the Ethical Model Relevant to the Questioning Argument</w:t>
      </w:r>
    </w:p>
    <w:p>
      <w:pPr>
        <w:pStyle w:val="BodyText"/>
        <w:spacing w:before="0" w:after="200"/>
        <w:rPr/>
      </w:pPr>
      <w:r>
        <w:rPr/>
        <w:t>The questioning argument relies on several assumptions characteristic of ethics of care:</w:t>
      </w:r>
    </w:p>
    <w:p>
      <w:pPr>
        <w:pStyle w:val="BodyText"/>
        <w:numPr>
          <w:ilvl w:val="0"/>
          <w:numId w:val="60"/>
        </w:numPr>
        <w:tabs>
          <w:tab w:val="clear" w:pos="720"/>
          <w:tab w:val="left" w:pos="0" w:leader="none"/>
        </w:tabs>
        <w:spacing w:before="0" w:after="200"/>
        <w:ind w:hanging="283" w:left="709"/>
        <w:rPr/>
      </w:pPr>
      <w:r>
        <w:rPr>
          <w:rStyle w:val="Strong"/>
        </w:rPr>
        <w:t>Moral agents and care recipients are relational.</w:t>
      </w:r>
      <w:r>
        <w:rPr/>
        <w:t xml:space="preserve"> Their identities, needs, abilities, and responsibilities are shaped by relationships and social conditions.</w:t>
      </w:r>
    </w:p>
    <w:p>
      <w:pPr>
        <w:pStyle w:val="BodyText"/>
        <w:numPr>
          <w:ilvl w:val="0"/>
          <w:numId w:val="60"/>
        </w:numPr>
        <w:tabs>
          <w:tab w:val="clear" w:pos="720"/>
          <w:tab w:val="left" w:pos="0" w:leader="none"/>
        </w:tabs>
        <w:spacing w:before="0" w:after="200"/>
        <w:ind w:hanging="283" w:left="709"/>
        <w:rPr/>
      </w:pPr>
      <w:r>
        <w:rPr>
          <w:rStyle w:val="Strong"/>
        </w:rPr>
        <w:t>Dependency and vulnerability are normal.</w:t>
      </w:r>
      <w:r>
        <w:rPr/>
        <w:t xml:space="preserve"> Ethical theory should not treat independence as the default condition or dependency as a reduction in moral worth.</w:t>
      </w:r>
    </w:p>
    <w:p>
      <w:pPr>
        <w:pStyle w:val="BodyText"/>
        <w:numPr>
          <w:ilvl w:val="0"/>
          <w:numId w:val="60"/>
        </w:numPr>
        <w:tabs>
          <w:tab w:val="clear" w:pos="720"/>
          <w:tab w:val="left" w:pos="0" w:leader="none"/>
        </w:tabs>
        <w:spacing w:before="0" w:after="200"/>
        <w:ind w:hanging="283" w:left="709"/>
        <w:rPr/>
      </w:pPr>
      <w:r>
        <w:rPr>
          <w:rStyle w:val="Strong"/>
        </w:rPr>
        <w:t>Attentiveness is a moral responsibility.</w:t>
      </w:r>
      <w:r>
        <w:rPr/>
        <w:t xml:space="preserve"> An agent can fail ethically by not noticing a need that should reasonably have been recognized.</w:t>
      </w:r>
    </w:p>
    <w:p>
      <w:pPr>
        <w:pStyle w:val="BodyText"/>
        <w:numPr>
          <w:ilvl w:val="0"/>
          <w:numId w:val="60"/>
        </w:numPr>
        <w:tabs>
          <w:tab w:val="clear" w:pos="720"/>
          <w:tab w:val="left" w:pos="0" w:leader="none"/>
        </w:tabs>
        <w:spacing w:before="0" w:after="200"/>
        <w:ind w:hanging="283" w:left="709"/>
        <w:rPr/>
      </w:pPr>
      <w:r>
        <w:rPr>
          <w:rStyle w:val="Strong"/>
        </w:rPr>
        <w:t>Needs are context-dependent.</w:t>
      </w:r>
      <w:r>
        <w:rPr/>
        <w:t xml:space="preserve"> The same observable condition may require different responses depending on the recipient, relationship, history, culture, and available support.</w:t>
      </w:r>
    </w:p>
    <w:p>
      <w:pPr>
        <w:pStyle w:val="BodyText"/>
        <w:numPr>
          <w:ilvl w:val="0"/>
          <w:numId w:val="60"/>
        </w:numPr>
        <w:tabs>
          <w:tab w:val="clear" w:pos="720"/>
          <w:tab w:val="left" w:pos="0" w:leader="none"/>
        </w:tabs>
        <w:spacing w:before="0" w:after="200"/>
        <w:ind w:hanging="283" w:left="709"/>
        <w:rPr/>
      </w:pPr>
      <w:r>
        <w:rPr>
          <w:rStyle w:val="Strong"/>
        </w:rPr>
        <w:t>Moral understanding is not exclusively propositional.</w:t>
      </w:r>
      <w:r>
        <w:rPr/>
        <w:t xml:space="preserve"> Emotion, empathy, narrative, experience, presence, and embodied knowledge can reveal morally relevant information.</w:t>
      </w:r>
    </w:p>
    <w:p>
      <w:pPr>
        <w:pStyle w:val="BodyText"/>
        <w:numPr>
          <w:ilvl w:val="0"/>
          <w:numId w:val="60"/>
        </w:numPr>
        <w:tabs>
          <w:tab w:val="clear" w:pos="720"/>
          <w:tab w:val="left" w:pos="0" w:leader="none"/>
        </w:tabs>
        <w:spacing w:before="0" w:after="200"/>
        <w:ind w:hanging="283" w:left="709"/>
        <w:rPr/>
      </w:pPr>
      <w:r>
        <w:rPr>
          <w:rStyle w:val="Strong"/>
        </w:rPr>
        <w:t>Relationships generate differentiated responsibilities.</w:t>
      </w:r>
      <w:r>
        <w:rPr/>
        <w:t xml:space="preserve"> Agents do not necessarily owe identical forms of care to every entity.</w:t>
      </w:r>
    </w:p>
    <w:p>
      <w:pPr>
        <w:pStyle w:val="BodyText"/>
        <w:numPr>
          <w:ilvl w:val="0"/>
          <w:numId w:val="60"/>
        </w:numPr>
        <w:tabs>
          <w:tab w:val="clear" w:pos="720"/>
          <w:tab w:val="left" w:pos="0" w:leader="none"/>
        </w:tabs>
        <w:spacing w:before="0" w:after="200"/>
        <w:ind w:hanging="283" w:left="709"/>
        <w:rPr/>
      </w:pPr>
      <w:r>
        <w:rPr>
          <w:rStyle w:val="Strong"/>
        </w:rPr>
        <w:t>Good intentions are insufficient.</w:t>
      </w:r>
      <w:r>
        <w:rPr/>
        <w:t xml:space="preserve"> Care must be competently delivered and evaluated through its effect on the recipient.</w:t>
      </w:r>
    </w:p>
    <w:p>
      <w:pPr>
        <w:pStyle w:val="BodyText"/>
        <w:numPr>
          <w:ilvl w:val="0"/>
          <w:numId w:val="60"/>
        </w:numPr>
        <w:tabs>
          <w:tab w:val="clear" w:pos="720"/>
          <w:tab w:val="left" w:pos="0" w:leader="none"/>
        </w:tabs>
        <w:spacing w:before="0" w:after="200"/>
        <w:ind w:hanging="283" w:left="709"/>
        <w:rPr/>
      </w:pPr>
      <w:r>
        <w:rPr>
          <w:rStyle w:val="Strong"/>
        </w:rPr>
        <w:t>The recipient’s response matters.</w:t>
      </w:r>
      <w:r>
        <w:rPr/>
        <w:t xml:space="preserve"> Care cannot be defined solely by what the provider believes is beneficial.</w:t>
      </w:r>
    </w:p>
    <w:p>
      <w:pPr>
        <w:pStyle w:val="BodyText"/>
        <w:numPr>
          <w:ilvl w:val="0"/>
          <w:numId w:val="60"/>
        </w:numPr>
        <w:tabs>
          <w:tab w:val="clear" w:pos="720"/>
          <w:tab w:val="left" w:pos="0" w:leader="none"/>
        </w:tabs>
        <w:spacing w:before="0" w:after="200"/>
        <w:ind w:hanging="283" w:left="709"/>
        <w:rPr/>
      </w:pPr>
      <w:r>
        <w:rPr>
          <w:rStyle w:val="Strong"/>
        </w:rPr>
        <w:t>Care should preserve rather than unnecessarily replace agency.</w:t>
      </w:r>
      <w:r>
        <w:rPr/>
        <w:t xml:space="preserve"> Assistance should enable participation, supported decision-making, and capability where possible.</w:t>
      </w:r>
    </w:p>
    <w:p>
      <w:pPr>
        <w:pStyle w:val="BodyText"/>
        <w:numPr>
          <w:ilvl w:val="0"/>
          <w:numId w:val="60"/>
        </w:numPr>
        <w:tabs>
          <w:tab w:val="clear" w:pos="720"/>
          <w:tab w:val="left" w:pos="0" w:leader="none"/>
        </w:tabs>
        <w:spacing w:before="0" w:after="200"/>
        <w:ind w:hanging="283" w:left="709"/>
        <w:rPr/>
      </w:pPr>
      <w:r>
        <w:rPr>
          <w:rStyle w:val="Strong"/>
        </w:rPr>
        <w:t>Power is present within care relationships.</w:t>
      </w:r>
      <w:r>
        <w:rPr/>
        <w:t xml:space="preserve"> Caregivers and institutions may control information, resources, movement, classification, or access to alternatives.</w:t>
      </w:r>
    </w:p>
    <w:p>
      <w:pPr>
        <w:pStyle w:val="BodyText"/>
        <w:numPr>
          <w:ilvl w:val="0"/>
          <w:numId w:val="60"/>
        </w:numPr>
        <w:tabs>
          <w:tab w:val="clear" w:pos="720"/>
          <w:tab w:val="left" w:pos="0" w:leader="none"/>
        </w:tabs>
        <w:spacing w:before="0" w:after="200"/>
        <w:ind w:hanging="283" w:left="709"/>
        <w:rPr/>
      </w:pPr>
      <w:r>
        <w:rPr>
          <w:rStyle w:val="Strong"/>
        </w:rPr>
        <w:t>Care can become paternalistic or coercive.</w:t>
      </w:r>
      <w:r>
        <w:rPr/>
        <w:t xml:space="preserve"> An action described as caring may silence the recipient, impose the provider’s preferences, or create avoidable dependency.</w:t>
      </w:r>
    </w:p>
    <w:p>
      <w:pPr>
        <w:pStyle w:val="BodyText"/>
        <w:numPr>
          <w:ilvl w:val="0"/>
          <w:numId w:val="60"/>
        </w:numPr>
        <w:tabs>
          <w:tab w:val="clear" w:pos="720"/>
          <w:tab w:val="left" w:pos="0" w:leader="none"/>
        </w:tabs>
        <w:spacing w:before="0" w:after="200"/>
        <w:ind w:hanging="283" w:left="709"/>
        <w:rPr/>
      </w:pPr>
      <w:r>
        <w:rPr>
          <w:rStyle w:val="Strong"/>
        </w:rPr>
        <w:t>Care work is politically distributed.</w:t>
      </w:r>
      <w:r>
        <w:rPr/>
        <w:t xml:space="preserve"> Social institutions determine who performs care, whether it is compensated, and whose needs receive recognition.</w:t>
      </w:r>
    </w:p>
    <w:p>
      <w:pPr>
        <w:pStyle w:val="BodyText"/>
        <w:numPr>
          <w:ilvl w:val="0"/>
          <w:numId w:val="60"/>
        </w:numPr>
        <w:tabs>
          <w:tab w:val="clear" w:pos="720"/>
          <w:tab w:val="left" w:pos="0" w:leader="none"/>
        </w:tabs>
        <w:spacing w:before="0" w:after="200"/>
        <w:ind w:hanging="283" w:left="709"/>
        <w:rPr/>
      </w:pPr>
      <w:r>
        <w:rPr>
          <w:rStyle w:val="Strong"/>
        </w:rPr>
        <w:t>The caregiver is also morally relevant.</w:t>
      </w:r>
      <w:r>
        <w:rPr/>
        <w:t xml:space="preserve"> Ethical care cannot depend indefinitely on exhaustion, involuntary sacrifice, or exploitation of the caregiver.</w:t>
      </w:r>
    </w:p>
    <w:p>
      <w:pPr>
        <w:pStyle w:val="BodyText"/>
        <w:numPr>
          <w:ilvl w:val="0"/>
          <w:numId w:val="60"/>
        </w:numPr>
        <w:tabs>
          <w:tab w:val="clear" w:pos="720"/>
          <w:tab w:val="left" w:pos="0" w:leader="none"/>
        </w:tabs>
        <w:spacing w:before="0" w:after="200"/>
        <w:ind w:hanging="283" w:left="709"/>
        <w:rPr/>
      </w:pPr>
      <w:r>
        <w:rPr>
          <w:rStyle w:val="Strong"/>
        </w:rPr>
        <w:t>Partiality can be justified.</w:t>
      </w:r>
      <w:r>
        <w:rPr/>
        <w:t xml:space="preserve"> A particular relationship may create a stronger responsibility without implying that outsiders have no moral importance.</w:t>
      </w:r>
    </w:p>
    <w:p>
      <w:pPr>
        <w:pStyle w:val="BodyText"/>
        <w:numPr>
          <w:ilvl w:val="0"/>
          <w:numId w:val="60"/>
        </w:numPr>
        <w:tabs>
          <w:tab w:val="clear" w:pos="720"/>
          <w:tab w:val="left" w:pos="0" w:leader="none"/>
        </w:tabs>
        <w:spacing w:before="0" w:after="200"/>
        <w:ind w:hanging="283" w:left="709"/>
        <w:rPr/>
      </w:pPr>
      <w:r>
        <w:rPr>
          <w:rStyle w:val="Strong"/>
        </w:rPr>
        <w:t>Care has intrinsic value.</w:t>
      </w:r>
      <w:r>
        <w:rPr/>
        <w:t xml:space="preserve"> A caring relationship is not valuable only because it produces independently measurable outcomes. Attentiveness, presence, respect, and responsiveness may partly constitute the good being protected.</w:t>
      </w:r>
    </w:p>
    <w:p>
      <w:pPr>
        <w:pStyle w:val="BodyText"/>
        <w:numPr>
          <w:ilvl w:val="0"/>
          <w:numId w:val="60"/>
        </w:numPr>
        <w:tabs>
          <w:tab w:val="clear" w:pos="720"/>
          <w:tab w:val="left" w:pos="0" w:leader="none"/>
        </w:tabs>
        <w:spacing w:before="0" w:after="200"/>
        <w:ind w:hanging="283" w:left="709"/>
        <w:rPr/>
      </w:pPr>
      <w:r>
        <w:rPr>
          <w:rStyle w:val="Strong"/>
        </w:rPr>
        <w:t>Justice and care are complementary.</w:t>
      </w:r>
      <w:r>
        <w:rPr/>
        <w:t xml:space="preserve"> Care without justice can become exploitative or exclusionary, while justice without care can become impersonal and inattentive.</w:t>
      </w:r>
    </w:p>
    <w:p>
      <w:pPr>
        <w:pStyle w:val="BodyText"/>
        <w:numPr>
          <w:ilvl w:val="0"/>
          <w:numId w:val="60"/>
        </w:numPr>
        <w:tabs>
          <w:tab w:val="clear" w:pos="720"/>
          <w:tab w:val="left" w:pos="0" w:leader="none"/>
        </w:tabs>
        <w:spacing w:before="0" w:after="200"/>
        <w:ind w:hanging="283" w:left="709"/>
        <w:rPr/>
      </w:pPr>
      <w:r>
        <w:rPr>
          <w:rStyle w:val="Strong"/>
        </w:rPr>
        <w:t>Care is a continuing practice.</w:t>
      </w:r>
      <w:r>
        <w:rPr/>
        <w:t xml:space="preserve"> Ethical care involves maintenance, adaptation, feedback, and continuity rather than a single isolated action.</w:t>
      </w:r>
    </w:p>
    <w:p>
      <w:pPr>
        <w:pStyle w:val="Heading4"/>
        <w:ind w:hanging="0" w:left="0"/>
        <w:rPr>
          <w:rFonts w:ascii="Aptos" w:hAnsi="Aptos"/>
          <w:color w:val="auto"/>
        </w:rPr>
      </w:pPr>
      <w:r>
        <w:rPr/>
        <w:t>Concepts Incorporated From This Ethical Model</w:t>
      </w:r>
    </w:p>
    <w:p>
      <w:pPr>
        <w:pStyle w:val="BodyText"/>
        <w:spacing w:before="0" w:after="200"/>
        <w:rPr/>
      </w:pPr>
      <w:r>
        <w:rPr/>
        <w:t>This framework already incorporates or can functionally represent several concepts central to ethics of care:</w:t>
      </w:r>
    </w:p>
    <w:tbl>
      <w:tblPr>
        <w:tblW w:w="8640" w:type="dxa"/>
        <w:jc w:val="left"/>
        <w:tblInd w:w="28" w:type="dxa"/>
        <w:tblLayout w:type="fixed"/>
        <w:tblCellMar>
          <w:top w:w="28" w:type="dxa"/>
          <w:left w:w="28" w:type="dxa"/>
          <w:bottom w:w="28" w:type="dxa"/>
          <w:right w:w="28" w:type="dxa"/>
        </w:tblCellMar>
      </w:tblPr>
      <w:tblGrid>
        <w:gridCol w:w="2478"/>
        <w:gridCol w:w="6162"/>
      </w:tblGrid>
      <w:tr>
        <w:trPr>
          <w:tblHeader w:val="true"/>
        </w:trPr>
        <w:tc>
          <w:tcPr>
            <w:tcW w:w="2478" w:type="dxa"/>
            <w:tcBorders/>
            <w:vAlign w:val="center"/>
          </w:tcPr>
          <w:p>
            <w:pPr>
              <w:pStyle w:val="TableHeading"/>
              <w:suppressLineNumbers/>
              <w:spacing w:before="0" w:after="200"/>
              <w:jc w:val="center"/>
              <w:rPr/>
            </w:pPr>
            <w:r>
              <w:rPr/>
              <w:t>Care-ethics concept</w:t>
            </w:r>
          </w:p>
        </w:tc>
        <w:tc>
          <w:tcPr>
            <w:tcW w:w="6162" w:type="dxa"/>
            <w:tcBorders/>
            <w:vAlign w:val="center"/>
          </w:tcPr>
          <w:p>
            <w:pPr>
              <w:pStyle w:val="TableHeading"/>
              <w:suppressLineNumbers/>
              <w:spacing w:before="0" w:after="200"/>
              <w:jc w:val="center"/>
              <w:rPr/>
            </w:pPr>
            <w:r>
              <w:rPr/>
              <w:t>Incorporation within this framework</w:t>
            </w:r>
          </w:p>
        </w:tc>
      </w:tr>
      <w:tr>
        <w:trPr/>
        <w:tc>
          <w:tcPr>
            <w:tcW w:w="2478" w:type="dxa"/>
            <w:tcBorders/>
            <w:vAlign w:val="center"/>
          </w:tcPr>
          <w:p>
            <w:pPr>
              <w:pStyle w:val="TableContents"/>
              <w:widowControl w:val="false"/>
              <w:suppressLineNumbers/>
              <w:spacing w:before="0" w:after="200"/>
              <w:rPr/>
            </w:pPr>
            <w:r>
              <w:rPr>
                <w:rStyle w:val="Strong"/>
              </w:rPr>
              <w:t>Relational identity</w:t>
            </w:r>
          </w:p>
        </w:tc>
        <w:tc>
          <w:tcPr>
            <w:tcW w:w="6162" w:type="dxa"/>
            <w:tcBorders/>
            <w:vAlign w:val="center"/>
          </w:tcPr>
          <w:p>
            <w:pPr>
              <w:pStyle w:val="TableContents"/>
              <w:widowControl w:val="false"/>
              <w:suppressLineNumbers/>
              <w:spacing w:before="0" w:after="200"/>
              <w:rPr/>
            </w:pPr>
            <w:r>
              <w:rPr/>
              <w:t>Entities are represented within a World Context containing Associations, roles, histories, dependencies, and institutions.</w:t>
            </w:r>
          </w:p>
        </w:tc>
      </w:tr>
      <w:tr>
        <w:trPr/>
        <w:tc>
          <w:tcPr>
            <w:tcW w:w="2478" w:type="dxa"/>
            <w:tcBorders/>
            <w:vAlign w:val="center"/>
          </w:tcPr>
          <w:p>
            <w:pPr>
              <w:pStyle w:val="TableContents"/>
              <w:widowControl w:val="false"/>
              <w:suppressLineNumbers/>
              <w:spacing w:before="0" w:after="200"/>
              <w:rPr/>
            </w:pPr>
            <w:r>
              <w:rPr>
                <w:rStyle w:val="Strong"/>
              </w:rPr>
              <w:t>Interdependence</w:t>
            </w:r>
          </w:p>
        </w:tc>
        <w:tc>
          <w:tcPr>
            <w:tcW w:w="6162" w:type="dxa"/>
            <w:tcBorders/>
            <w:vAlign w:val="center"/>
          </w:tcPr>
          <w:p>
            <w:pPr>
              <w:pStyle w:val="TableContents"/>
              <w:widowControl w:val="false"/>
              <w:suppressLineNumbers/>
              <w:spacing w:before="0" w:after="200"/>
              <w:rPr/>
            </w:pPr>
            <w:r>
              <w:rPr/>
              <w:t>The complete transition includes effects propagated across connected entities and systems.</w:t>
            </w:r>
          </w:p>
        </w:tc>
      </w:tr>
      <w:tr>
        <w:trPr/>
        <w:tc>
          <w:tcPr>
            <w:tcW w:w="2478" w:type="dxa"/>
            <w:tcBorders/>
            <w:vAlign w:val="center"/>
          </w:tcPr>
          <w:p>
            <w:pPr>
              <w:pStyle w:val="TableContents"/>
              <w:widowControl w:val="false"/>
              <w:suppressLineNumbers/>
              <w:spacing w:before="0" w:after="200"/>
              <w:rPr/>
            </w:pPr>
            <w:r>
              <w:rPr>
                <w:rStyle w:val="Strong"/>
              </w:rPr>
              <w:t>Contextual judgment</w:t>
            </w:r>
          </w:p>
        </w:tc>
        <w:tc>
          <w:tcPr>
            <w:tcW w:w="6162" w:type="dxa"/>
            <w:tcBorders/>
            <w:vAlign w:val="center"/>
          </w:tcPr>
          <w:p>
            <w:pPr>
              <w:pStyle w:val="TableContents"/>
              <w:widowControl w:val="false"/>
              <w:suppressLineNumbers/>
              <w:spacing w:before="0" w:after="200"/>
              <w:rPr/>
            </w:pPr>
            <w:r>
              <w:rPr/>
              <w:t>The Situational Context permits facts about history, dependency, culture, and relationship to affect the assessment.</w:t>
            </w:r>
          </w:p>
        </w:tc>
      </w:tr>
      <w:tr>
        <w:trPr/>
        <w:tc>
          <w:tcPr>
            <w:tcW w:w="2478" w:type="dxa"/>
            <w:tcBorders/>
            <w:vAlign w:val="center"/>
          </w:tcPr>
          <w:p>
            <w:pPr>
              <w:pStyle w:val="TableContents"/>
              <w:widowControl w:val="false"/>
              <w:suppressLineNumbers/>
              <w:spacing w:before="0" w:after="200"/>
              <w:rPr/>
            </w:pPr>
            <w:r>
              <w:rPr>
                <w:rStyle w:val="Strong"/>
              </w:rPr>
              <w:t>Attentiveness</w:t>
            </w:r>
          </w:p>
        </w:tc>
        <w:tc>
          <w:tcPr>
            <w:tcW w:w="6162" w:type="dxa"/>
            <w:tcBorders/>
            <w:vAlign w:val="center"/>
          </w:tcPr>
          <w:p>
            <w:pPr>
              <w:pStyle w:val="TableContents"/>
              <w:widowControl w:val="false"/>
              <w:suppressLineNumbers/>
              <w:spacing w:before="0" w:after="200"/>
              <w:rPr/>
            </w:pPr>
            <w:r>
              <w:rPr/>
              <w:t>The requirement to use the best available evidence supports inquiry into needs and vulnerabilities, although it does not by itself guarantee that they will be noticed.</w:t>
            </w:r>
          </w:p>
        </w:tc>
      </w:tr>
      <w:tr>
        <w:trPr/>
        <w:tc>
          <w:tcPr>
            <w:tcW w:w="2478" w:type="dxa"/>
            <w:tcBorders/>
            <w:vAlign w:val="center"/>
          </w:tcPr>
          <w:p>
            <w:pPr>
              <w:pStyle w:val="TableContents"/>
              <w:widowControl w:val="false"/>
              <w:suppressLineNumbers/>
              <w:spacing w:before="0" w:after="200"/>
              <w:rPr/>
            </w:pPr>
            <w:r>
              <w:rPr>
                <w:rStyle w:val="Strong"/>
              </w:rPr>
              <w:t>Responsibility</w:t>
            </w:r>
          </w:p>
        </w:tc>
        <w:tc>
          <w:tcPr>
            <w:tcW w:w="6162" w:type="dxa"/>
            <w:tcBorders/>
            <w:vAlign w:val="center"/>
          </w:tcPr>
          <w:p>
            <w:pPr>
              <w:pStyle w:val="TableContents"/>
              <w:widowControl w:val="false"/>
              <w:suppressLineNumbers/>
              <w:spacing w:before="0" w:after="200"/>
              <w:rPr/>
            </w:pPr>
            <w:r>
              <w:rPr/>
              <w:t>Role, authority, knowledge, capacity, alternatives, commitments, and foreseeability can generate or strengthen responsibility.</w:t>
            </w:r>
          </w:p>
        </w:tc>
      </w:tr>
      <w:tr>
        <w:trPr/>
        <w:tc>
          <w:tcPr>
            <w:tcW w:w="2478" w:type="dxa"/>
            <w:tcBorders/>
            <w:vAlign w:val="center"/>
          </w:tcPr>
          <w:p>
            <w:pPr>
              <w:pStyle w:val="TableContents"/>
              <w:widowControl w:val="false"/>
              <w:suppressLineNumbers/>
              <w:spacing w:before="0" w:after="200"/>
              <w:rPr/>
            </w:pPr>
            <w:r>
              <w:rPr>
                <w:rStyle w:val="Strong"/>
              </w:rPr>
              <w:t>Competence</w:t>
            </w:r>
          </w:p>
        </w:tc>
        <w:tc>
          <w:tcPr>
            <w:tcW w:w="6162" w:type="dxa"/>
            <w:tcBorders/>
            <w:vAlign w:val="center"/>
          </w:tcPr>
          <w:p>
            <w:pPr>
              <w:pStyle w:val="TableContents"/>
              <w:widowControl w:val="false"/>
              <w:suppressLineNumbers/>
              <w:spacing w:before="0" w:after="200"/>
              <w:rPr/>
            </w:pPr>
            <w:r>
              <w:rPr/>
              <w:t>The framework can distinguish the intention to provide care from whether the intervention actually improves the recipient’s condition.</w:t>
            </w:r>
          </w:p>
        </w:tc>
      </w:tr>
      <w:tr>
        <w:trPr/>
        <w:tc>
          <w:tcPr>
            <w:tcW w:w="2478" w:type="dxa"/>
            <w:tcBorders/>
            <w:vAlign w:val="center"/>
          </w:tcPr>
          <w:p>
            <w:pPr>
              <w:pStyle w:val="TableContents"/>
              <w:widowControl w:val="false"/>
              <w:suppressLineNumbers/>
              <w:spacing w:before="0" w:after="200"/>
              <w:rPr/>
            </w:pPr>
            <w:r>
              <w:rPr>
                <w:rStyle w:val="Strong"/>
              </w:rPr>
              <w:t>Responsiveness</w:t>
            </w:r>
          </w:p>
        </w:tc>
        <w:tc>
          <w:tcPr>
            <w:tcW w:w="6162" w:type="dxa"/>
            <w:tcBorders/>
            <w:vAlign w:val="center"/>
          </w:tcPr>
          <w:p>
            <w:pPr>
              <w:pStyle w:val="TableContents"/>
              <w:widowControl w:val="false"/>
              <w:suppressLineNumbers/>
              <w:spacing w:before="0" w:after="200"/>
              <w:rPr/>
            </w:pPr>
            <w:r>
              <w:rPr/>
              <w:t>Recipient feedback and observed outcomes can update the assessment and alter future actions.</w:t>
            </w:r>
          </w:p>
        </w:tc>
      </w:tr>
      <w:tr>
        <w:trPr/>
        <w:tc>
          <w:tcPr>
            <w:tcW w:w="2478" w:type="dxa"/>
            <w:tcBorders/>
            <w:vAlign w:val="center"/>
          </w:tcPr>
          <w:p>
            <w:pPr>
              <w:pStyle w:val="TableContents"/>
              <w:widowControl w:val="false"/>
              <w:suppressLineNumbers/>
              <w:spacing w:before="0" w:after="200"/>
              <w:rPr/>
            </w:pPr>
            <w:r>
              <w:rPr>
                <w:rStyle w:val="Strong"/>
              </w:rPr>
              <w:t>Dependency and vulnerability</w:t>
            </w:r>
          </w:p>
        </w:tc>
        <w:tc>
          <w:tcPr>
            <w:tcW w:w="6162" w:type="dxa"/>
            <w:tcBorders/>
            <w:vAlign w:val="center"/>
          </w:tcPr>
          <w:p>
            <w:pPr>
              <w:pStyle w:val="TableContents"/>
              <w:widowControl w:val="false"/>
              <w:suppressLineNumbers/>
              <w:spacing w:before="0" w:after="200"/>
              <w:rPr/>
            </w:pPr>
            <w:r>
              <w:rPr/>
              <w:t>These can be represented through resource needs, power differences, limited alternatives, sensitivity to disruption, and reliance on other entities.</w:t>
            </w:r>
          </w:p>
        </w:tc>
      </w:tr>
      <w:tr>
        <w:trPr/>
        <w:tc>
          <w:tcPr>
            <w:tcW w:w="2478" w:type="dxa"/>
            <w:tcBorders/>
            <w:vAlign w:val="center"/>
          </w:tcPr>
          <w:p>
            <w:pPr>
              <w:pStyle w:val="TableContents"/>
              <w:widowControl w:val="false"/>
              <w:suppressLineNumbers/>
              <w:spacing w:before="0" w:after="200"/>
              <w:rPr/>
            </w:pPr>
            <w:r>
              <w:rPr>
                <w:rStyle w:val="Strong"/>
              </w:rPr>
              <w:t>Agency-preserving care</w:t>
            </w:r>
          </w:p>
        </w:tc>
        <w:tc>
          <w:tcPr>
            <w:tcW w:w="6162" w:type="dxa"/>
            <w:tcBorders/>
            <w:vAlign w:val="center"/>
          </w:tcPr>
          <w:p>
            <w:pPr>
              <w:pStyle w:val="TableContents"/>
              <w:widowControl w:val="false"/>
              <w:suppressLineNumbers/>
              <w:spacing w:before="0" w:after="200"/>
              <w:rPr/>
            </w:pPr>
            <w:r>
              <w:rPr/>
              <w:t>Long-Term Flourishing includes the preservation and expansion of beneficial future state space.</w:t>
            </w:r>
          </w:p>
        </w:tc>
      </w:tr>
      <w:tr>
        <w:trPr/>
        <w:tc>
          <w:tcPr>
            <w:tcW w:w="2478" w:type="dxa"/>
            <w:tcBorders/>
            <w:vAlign w:val="center"/>
          </w:tcPr>
          <w:p>
            <w:pPr>
              <w:pStyle w:val="TableContents"/>
              <w:widowControl w:val="false"/>
              <w:suppressLineNumbers/>
              <w:spacing w:before="0" w:after="200"/>
              <w:rPr/>
            </w:pPr>
            <w:r>
              <w:rPr>
                <w:rStyle w:val="Strong"/>
              </w:rPr>
              <w:t>Caregiver well-being</w:t>
            </w:r>
          </w:p>
        </w:tc>
        <w:tc>
          <w:tcPr>
            <w:tcW w:w="6162" w:type="dxa"/>
            <w:tcBorders/>
            <w:vAlign w:val="center"/>
          </w:tcPr>
          <w:p>
            <w:pPr>
              <w:pStyle w:val="TableContents"/>
              <w:widowControl w:val="false"/>
              <w:suppressLineNumbers/>
              <w:spacing w:before="0" w:after="200"/>
              <w:rPr/>
            </w:pPr>
            <w:r>
              <w:rPr/>
              <w:t>The caregiver remains a relevant entity whose capacity and flourishing must be included in the transition.</w:t>
            </w:r>
          </w:p>
        </w:tc>
      </w:tr>
      <w:tr>
        <w:trPr/>
        <w:tc>
          <w:tcPr>
            <w:tcW w:w="2478" w:type="dxa"/>
            <w:tcBorders/>
            <w:vAlign w:val="center"/>
          </w:tcPr>
          <w:p>
            <w:pPr>
              <w:pStyle w:val="TableContents"/>
              <w:widowControl w:val="false"/>
              <w:suppressLineNumbers/>
              <w:spacing w:before="0" w:after="200"/>
              <w:rPr/>
            </w:pPr>
            <w:r>
              <w:rPr>
                <w:rStyle w:val="Strong"/>
              </w:rPr>
              <w:t>Continuity of care</w:t>
            </w:r>
          </w:p>
        </w:tc>
        <w:tc>
          <w:tcPr>
            <w:tcW w:w="6162" w:type="dxa"/>
            <w:tcBorders/>
            <w:vAlign w:val="center"/>
          </w:tcPr>
          <w:p>
            <w:pPr>
              <w:pStyle w:val="TableContents"/>
              <w:widowControl w:val="false"/>
              <w:suppressLineNumbers/>
              <w:spacing w:before="0" w:after="200"/>
              <w:rPr/>
            </w:pPr>
            <w:r>
              <w:rPr/>
              <w:t>Multi-horizon analysis can examine maintenance, follow-up, handoffs, and the effects of withdrawal.</w:t>
            </w:r>
          </w:p>
        </w:tc>
      </w:tr>
      <w:tr>
        <w:trPr/>
        <w:tc>
          <w:tcPr>
            <w:tcW w:w="2478" w:type="dxa"/>
            <w:tcBorders/>
            <w:vAlign w:val="center"/>
          </w:tcPr>
          <w:p>
            <w:pPr>
              <w:pStyle w:val="TableContents"/>
              <w:widowControl w:val="false"/>
              <w:suppressLineNumbers/>
              <w:spacing w:before="0" w:after="200"/>
              <w:rPr/>
            </w:pPr>
            <w:r>
              <w:rPr>
                <w:rStyle w:val="Strong"/>
              </w:rPr>
              <w:t>Institutional care</w:t>
            </w:r>
          </w:p>
        </w:tc>
        <w:tc>
          <w:tcPr>
            <w:tcW w:w="6162" w:type="dxa"/>
            <w:tcBorders/>
            <w:vAlign w:val="center"/>
          </w:tcPr>
          <w:p>
            <w:pPr>
              <w:pStyle w:val="TableContents"/>
              <w:widowControl w:val="false"/>
              <w:suppressLineNumbers/>
              <w:spacing w:before="0" w:after="200"/>
              <w:rPr/>
            </w:pPr>
            <w:r>
              <w:rPr/>
              <w:t>Institutions can be modeled as organizers, providers, funders, regulators, or obstructers of care.</w:t>
            </w:r>
          </w:p>
        </w:tc>
      </w:tr>
      <w:tr>
        <w:trPr/>
        <w:tc>
          <w:tcPr>
            <w:tcW w:w="2478" w:type="dxa"/>
            <w:tcBorders/>
            <w:vAlign w:val="center"/>
          </w:tcPr>
          <w:p>
            <w:pPr>
              <w:pStyle w:val="TableContents"/>
              <w:widowControl w:val="false"/>
              <w:suppressLineNumbers/>
              <w:spacing w:before="0" w:after="200"/>
              <w:rPr/>
            </w:pPr>
            <w:r>
              <w:rPr>
                <w:rStyle w:val="Strong"/>
              </w:rPr>
              <w:t>Distribution of care burdens</w:t>
            </w:r>
          </w:p>
        </w:tc>
        <w:tc>
          <w:tcPr>
            <w:tcW w:w="6162" w:type="dxa"/>
            <w:tcBorders/>
            <w:vAlign w:val="center"/>
          </w:tcPr>
          <w:p>
            <w:pPr>
              <w:pStyle w:val="TableContents"/>
              <w:widowControl w:val="false"/>
              <w:suppressLineNumbers/>
              <w:spacing w:before="0" w:after="200"/>
              <w:rPr/>
            </w:pPr>
            <w:r>
              <w:rPr/>
              <w:t>The transition can identify who performs care, who bears its costs, and who controls its allocation.</w:t>
            </w:r>
          </w:p>
        </w:tc>
      </w:tr>
      <w:tr>
        <w:trPr/>
        <w:tc>
          <w:tcPr>
            <w:tcW w:w="2478" w:type="dxa"/>
            <w:tcBorders/>
            <w:vAlign w:val="center"/>
          </w:tcPr>
          <w:p>
            <w:pPr>
              <w:pStyle w:val="TableContents"/>
              <w:widowControl w:val="false"/>
              <w:suppressLineNumbers/>
              <w:spacing w:before="0" w:after="200"/>
              <w:rPr/>
            </w:pPr>
            <w:r>
              <w:rPr>
                <w:rStyle w:val="Strong"/>
              </w:rPr>
              <w:t>Relational harm</w:t>
            </w:r>
          </w:p>
        </w:tc>
        <w:tc>
          <w:tcPr>
            <w:tcW w:w="6162" w:type="dxa"/>
            <w:tcBorders/>
            <w:vAlign w:val="center"/>
          </w:tcPr>
          <w:p>
            <w:pPr>
              <w:pStyle w:val="TableContents"/>
              <w:widowControl w:val="false"/>
              <w:suppressLineNumbers/>
              <w:spacing w:before="0" w:after="200"/>
              <w:rPr/>
            </w:pPr>
            <w:r>
              <w:rPr/>
              <w:t>Loss of trust, abandonment, humiliation, silencing, and dependency can be represented as changes in Associations and entity states.</w:t>
            </w:r>
          </w:p>
        </w:tc>
      </w:tr>
      <w:tr>
        <w:trPr/>
        <w:tc>
          <w:tcPr>
            <w:tcW w:w="2478" w:type="dxa"/>
            <w:tcBorders/>
            <w:vAlign w:val="center"/>
          </w:tcPr>
          <w:p>
            <w:pPr>
              <w:pStyle w:val="TableContents"/>
              <w:widowControl w:val="false"/>
              <w:suppressLineNumbers/>
              <w:spacing w:before="0" w:after="200"/>
              <w:rPr/>
            </w:pPr>
            <w:r>
              <w:rPr>
                <w:rStyle w:val="Strong"/>
              </w:rPr>
              <w:t>Care-related precedent</w:t>
            </w:r>
          </w:p>
        </w:tc>
        <w:tc>
          <w:tcPr>
            <w:tcW w:w="6162" w:type="dxa"/>
            <w:tcBorders/>
            <w:vAlign w:val="center"/>
          </w:tcPr>
          <w:p>
            <w:pPr>
              <w:pStyle w:val="TableContents"/>
              <w:widowControl w:val="false"/>
              <w:suppressLineNumbers/>
              <w:spacing w:before="0" w:after="200"/>
              <w:rPr/>
            </w:pPr>
            <w:r>
              <w:rPr/>
              <w:t>Distributed Policy Effects can capture the normalization of attentiveness, neglect, paternalism, or institutional indifference.</w:t>
            </w:r>
          </w:p>
        </w:tc>
      </w:tr>
    </w:tbl>
    <w:p>
      <w:pPr>
        <w:pStyle w:val="BodyText"/>
        <w:spacing w:before="0" w:after="200"/>
        <w:rPr/>
      </w:pPr>
      <w:r>
        <w:rPr/>
        <w:t>These concepts provide a basis for care-sensitive assessment. They do not fully answer the critique unless the framework also specifies how relational and qualitative knowledge enters the assessment and how it affects the decision.</w:t>
      </w:r>
    </w:p>
    <w:p>
      <w:pPr>
        <w:pStyle w:val="Heading4"/>
        <w:ind w:hanging="0" w:left="0"/>
        <w:rPr>
          <w:rFonts w:ascii="Aptos" w:hAnsi="Aptos"/>
          <w:color w:val="auto"/>
        </w:rPr>
      </w:pPr>
      <w:r>
        <w:rPr/>
        <w:t>How This Framework Addresses Those Assumptions</w:t>
      </w:r>
    </w:p>
    <w:p>
      <w:pPr>
        <w:pStyle w:val="BodyText"/>
        <w:spacing w:before="0" w:after="200"/>
        <w:rPr/>
      </w:pPr>
      <w:r>
        <w:rPr/>
        <w:t>The framework addresses the care-based critique first by using the complete World Context Transition rather than a single aggregate result. A care recipient’s needs, the caregiver’s burden, the quality of the relationship, institutional constraints, and effects on future care can remain distinct parts of the assessment.</w:t>
      </w:r>
    </w:p>
    <w:p>
      <w:pPr>
        <w:pStyle w:val="BodyText"/>
        <w:spacing w:before="0" w:after="200"/>
        <w:rPr/>
      </w:pPr>
      <w:r>
        <w:rPr/>
        <w:t>Second, Associations can preserve ethically relevant relational information. A caregiver and recipient are not represented merely as two interchangeable Objects. Their roles, history, reliance, authority, expectations, trust, commitments, and power differences can be included in the Situational Context.</w:t>
      </w:r>
    </w:p>
    <w:p>
      <w:pPr>
        <w:pStyle w:val="BodyText"/>
        <w:spacing w:before="0" w:after="200"/>
        <w:rPr/>
      </w:pPr>
      <w:r>
        <w:rPr/>
        <w:t>Third, the framework does not treat the actor’s declared objective as conclusive. An action intended as care may still be assessed as harmful if it is incompetent, coercive, humiliating, unsustainable, or unresponsive to the recipient.</w:t>
      </w:r>
    </w:p>
    <w:p>
      <w:pPr>
        <w:pStyle w:val="BodyText"/>
        <w:spacing w:before="0" w:after="200"/>
        <w:rPr/>
      </w:pPr>
      <w:r>
        <w:rPr/>
        <w:t>Fourth, the separation of causal effect from responsibility allows the framework to recognize special obligations. A person may not be responsible for creating another entity’s vulnerability but may still acquire responsibility through role, relationship, authority, prior commitment, or unique capacity to help.</w:t>
      </w:r>
    </w:p>
    <w:p>
      <w:pPr>
        <w:pStyle w:val="BodyText"/>
        <w:spacing w:before="0" w:after="200"/>
        <w:rPr/>
      </w:pPr>
      <w:r>
        <w:rPr/>
        <w:t>Fifth, multi-horizon assessment supports the longitudinal character of care. It can distinguish immediate relief from sustainable support and can identify interventions that satisfy a present need while weakening future capability, trust, or care availability.</w:t>
      </w:r>
    </w:p>
    <w:p>
      <w:pPr>
        <w:pStyle w:val="BodyText"/>
        <w:spacing w:before="0" w:after="200"/>
        <w:rPr/>
      </w:pPr>
      <w:r>
        <w:rPr/>
        <w:t>Sixth, Distributed Policy Effects capture the broader influence of care practices. Repeatedly ignoring difficult or expensive needs may establish a policy of abandonment. Conversely, competent and respectful care can strengthen institutional trust and improve later responses.</w:t>
      </w:r>
    </w:p>
    <w:p>
      <w:pPr>
        <w:pStyle w:val="BodyText"/>
        <w:spacing w:before="0" w:after="200"/>
        <w:rPr/>
      </w:pPr>
      <w:r>
        <w:rPr/>
        <w:t>Finally, the framework can revise its conclusions as new information becomes available. Recipient feedback, caregiver observation, changes in capacity, and unexpected outcomes can update the modeled context and future course of action.</w:t>
      </w:r>
    </w:p>
    <w:p>
      <w:pPr>
        <w:pStyle w:val="BodyText"/>
        <w:spacing w:before="0" w:after="200"/>
        <w:rPr/>
      </w:pPr>
      <w:r>
        <w:rPr/>
        <w:t>These features answer part of the challenge. However, the critique succeeds if the framework assumes that all relevant needs are already visible and accurately formalized. A formal assessment cannot compensate for a failure to listen, observe, investigate, or establish relationships through which relevant information can emerge.</w:t>
      </w:r>
    </w:p>
    <w:p>
      <w:pPr>
        <w:pStyle w:val="Heading4"/>
        <w:ind w:hanging="0" w:left="0"/>
        <w:rPr>
          <w:rFonts w:ascii="Aptos" w:hAnsi="Aptos"/>
          <w:color w:val="auto"/>
        </w:rPr>
      </w:pPr>
      <w:r>
        <w:rPr/>
        <w:t>Counterargument</w:t>
      </w:r>
    </w:p>
    <w:p>
      <w:pPr>
        <w:pStyle w:val="BodyText"/>
        <w:spacing w:before="0" w:after="200"/>
        <w:rPr/>
      </w:pPr>
      <w:r>
        <w:rPr/>
        <w:t>The framework’s counterargument is that formalization need not replace care. It can make caring responsibilities more visible, persistent, reviewable, and accountable.</w:t>
      </w:r>
    </w:p>
    <w:p>
      <w:pPr>
        <w:pStyle w:val="BodyText"/>
        <w:spacing w:before="0" w:after="200"/>
        <w:rPr/>
      </w:pPr>
      <w:r>
        <w:rPr/>
        <w:t>Care relationships often fail not because no one feels concern, but because responsibilities are unclear, relevant information is fragmented, caregivers lack resources, institutional incentives reward neglect, or burdens are transferred to actors with little power. A structured framework can expose these failures by identifying:</w:t>
      </w:r>
    </w:p>
    <w:p>
      <w:pPr>
        <w:pStyle w:val="BodyText"/>
        <w:numPr>
          <w:ilvl w:val="0"/>
          <w:numId w:val="61"/>
        </w:numPr>
        <w:tabs>
          <w:tab w:val="clear" w:pos="720"/>
          <w:tab w:val="left" w:pos="0" w:leader="none"/>
        </w:tabs>
        <w:spacing w:before="0" w:after="200"/>
        <w:ind w:hanging="283" w:left="709"/>
        <w:rPr/>
      </w:pPr>
      <w:r>
        <w:rPr/>
        <w:t>Whose needs were recognized or ignored;</w:t>
      </w:r>
    </w:p>
    <w:p>
      <w:pPr>
        <w:pStyle w:val="BodyText"/>
        <w:numPr>
          <w:ilvl w:val="0"/>
          <w:numId w:val="61"/>
        </w:numPr>
        <w:tabs>
          <w:tab w:val="clear" w:pos="720"/>
          <w:tab w:val="left" w:pos="0" w:leader="none"/>
        </w:tabs>
        <w:spacing w:before="0" w:after="200"/>
        <w:ind w:hanging="283" w:left="709"/>
        <w:rPr/>
      </w:pPr>
      <w:r>
        <w:rPr/>
        <w:t>Who possessed the capacity and responsibility to respond;</w:t>
      </w:r>
    </w:p>
    <w:p>
      <w:pPr>
        <w:pStyle w:val="BodyText"/>
        <w:numPr>
          <w:ilvl w:val="0"/>
          <w:numId w:val="61"/>
        </w:numPr>
        <w:tabs>
          <w:tab w:val="clear" w:pos="720"/>
          <w:tab w:val="left" w:pos="0" w:leader="none"/>
        </w:tabs>
        <w:spacing w:before="0" w:after="200"/>
        <w:ind w:hanging="283" w:left="709"/>
        <w:rPr/>
      </w:pPr>
      <w:r>
        <w:rPr/>
        <w:t>Whether adequate resources were provided;</w:t>
      </w:r>
    </w:p>
    <w:p>
      <w:pPr>
        <w:pStyle w:val="BodyText"/>
        <w:numPr>
          <w:ilvl w:val="0"/>
          <w:numId w:val="61"/>
        </w:numPr>
        <w:tabs>
          <w:tab w:val="clear" w:pos="720"/>
          <w:tab w:val="left" w:pos="0" w:leader="none"/>
        </w:tabs>
        <w:spacing w:before="0" w:after="200"/>
        <w:ind w:hanging="283" w:left="709"/>
        <w:rPr/>
      </w:pPr>
      <w:r>
        <w:rPr/>
        <w:t>Whether care was competently delivered;</w:t>
      </w:r>
    </w:p>
    <w:p>
      <w:pPr>
        <w:pStyle w:val="BodyText"/>
        <w:numPr>
          <w:ilvl w:val="0"/>
          <w:numId w:val="61"/>
        </w:numPr>
        <w:tabs>
          <w:tab w:val="clear" w:pos="720"/>
          <w:tab w:val="left" w:pos="0" w:leader="none"/>
        </w:tabs>
        <w:spacing w:before="0" w:after="200"/>
        <w:ind w:hanging="283" w:left="709"/>
        <w:rPr/>
      </w:pPr>
      <w:r>
        <w:rPr/>
        <w:t>Whether the recipient participated in the decision;</w:t>
      </w:r>
    </w:p>
    <w:p>
      <w:pPr>
        <w:pStyle w:val="BodyText"/>
        <w:numPr>
          <w:ilvl w:val="0"/>
          <w:numId w:val="61"/>
        </w:numPr>
        <w:tabs>
          <w:tab w:val="clear" w:pos="720"/>
          <w:tab w:val="left" w:pos="0" w:leader="none"/>
        </w:tabs>
        <w:spacing w:before="0" w:after="200"/>
        <w:ind w:hanging="283" w:left="709"/>
        <w:rPr/>
      </w:pPr>
      <w:r>
        <w:rPr/>
        <w:t>Whether the caregiver was supported;</w:t>
      </w:r>
    </w:p>
    <w:p>
      <w:pPr>
        <w:pStyle w:val="BodyText"/>
        <w:numPr>
          <w:ilvl w:val="0"/>
          <w:numId w:val="61"/>
        </w:numPr>
        <w:tabs>
          <w:tab w:val="clear" w:pos="720"/>
          <w:tab w:val="left" w:pos="0" w:leader="none"/>
        </w:tabs>
        <w:spacing w:before="0" w:after="200"/>
        <w:ind w:hanging="283" w:left="709"/>
        <w:rPr/>
      </w:pPr>
      <w:r>
        <w:rPr/>
        <w:t>Whether the arrangement was sustainable; and</w:t>
      </w:r>
    </w:p>
    <w:p>
      <w:pPr>
        <w:pStyle w:val="BodyText"/>
        <w:numPr>
          <w:ilvl w:val="0"/>
          <w:numId w:val="61"/>
        </w:numPr>
        <w:tabs>
          <w:tab w:val="clear" w:pos="720"/>
          <w:tab w:val="left" w:pos="0" w:leader="none"/>
        </w:tabs>
        <w:spacing w:before="0" w:after="200"/>
        <w:ind w:hanging="283" w:left="709"/>
        <w:rPr/>
      </w:pPr>
      <w:r>
        <w:rPr/>
        <w:t>Whether institutional policy reinforced care or neglect.</w:t>
      </w:r>
    </w:p>
    <w:p>
      <w:pPr>
        <w:pStyle w:val="BodyText"/>
        <w:spacing w:before="0" w:after="200"/>
        <w:rPr/>
      </w:pPr>
      <w:r>
        <w:rPr/>
        <w:t>The framework should therefore treat ethics of care as both an input discipline and an evaluative layer. Care-oriented practices help discover the relevant World Context through attention, listening, narrative, and participation. The framework then preserves and evaluates that information across entities, relationships, institutions, and time.</w:t>
      </w:r>
    </w:p>
    <w:p>
      <w:pPr>
        <w:pStyle w:val="BodyText"/>
        <w:spacing w:before="0" w:after="200"/>
        <w:rPr/>
      </w:pPr>
      <w:r>
        <w:rPr/>
        <w:t>The computational structure should support—not substitute for—relational judgment. Where evidence depends on lived experience, testimony, or tacit knowledge, the framework should record those sources and their interpretive context rather than excluding them because they cannot be reduced to a simple metric.</w:t>
      </w:r>
    </w:p>
    <w:p>
      <w:pPr>
        <w:pStyle w:val="BodyText"/>
        <w:spacing w:before="0" w:after="200"/>
        <w:rPr/>
      </w:pPr>
      <w:r>
        <w:rPr/>
        <w:t>Under this interpretation, care is not merely an instrument for maximizing flourishing. Attentive, competent, respectful, and responsive relationships can be constitutive elements of flourishing. The manner in which assistance is provided can therefore have independent ethical significance.</w:t>
      </w:r>
    </w:p>
    <w:p>
      <w:pPr>
        <w:pStyle w:val="Heading4"/>
        <w:ind w:hanging="0" w:left="0"/>
        <w:rPr>
          <w:rFonts w:ascii="Aptos" w:hAnsi="Aptos"/>
          <w:color w:val="auto"/>
        </w:rPr>
      </w:pPr>
      <w:r>
        <w:rPr/>
        <w:t>Incremental Questions the Expert Should Then Ask</w:t>
      </w:r>
    </w:p>
    <w:tbl>
      <w:tblPr>
        <w:tblW w:w="8640" w:type="dxa"/>
        <w:jc w:val="left"/>
        <w:tblInd w:w="28" w:type="dxa"/>
        <w:tblLayout w:type="fixed"/>
        <w:tblCellMar>
          <w:top w:w="28" w:type="dxa"/>
          <w:left w:w="28" w:type="dxa"/>
          <w:bottom w:w="28" w:type="dxa"/>
          <w:right w:w="28" w:type="dxa"/>
        </w:tblCellMar>
      </w:tblPr>
      <w:tblGrid>
        <w:gridCol w:w="2770"/>
        <w:gridCol w:w="5870"/>
      </w:tblGrid>
      <w:tr>
        <w:trPr>
          <w:tblHeader w:val="true"/>
        </w:trPr>
        <w:tc>
          <w:tcPr>
            <w:tcW w:w="2770" w:type="dxa"/>
            <w:tcBorders/>
            <w:vAlign w:val="center"/>
          </w:tcPr>
          <w:p>
            <w:pPr>
              <w:pStyle w:val="TableHeading"/>
              <w:suppressLineNumbers/>
              <w:spacing w:before="0" w:after="200"/>
              <w:jc w:val="center"/>
              <w:rPr/>
            </w:pPr>
            <w:r>
              <w:rPr/>
              <w:t>Incremental question</w:t>
            </w:r>
          </w:p>
        </w:tc>
        <w:tc>
          <w:tcPr>
            <w:tcW w:w="5870" w:type="dxa"/>
            <w:tcBorders/>
            <w:vAlign w:val="center"/>
          </w:tcPr>
          <w:p>
            <w:pPr>
              <w:pStyle w:val="TableHeading"/>
              <w:suppressLineNumbers/>
              <w:spacing w:before="0" w:after="200"/>
              <w:jc w:val="center"/>
              <w:rPr/>
            </w:pPr>
            <w:r>
              <w:rPr/>
              <w:t>Response</w:t>
            </w:r>
          </w:p>
        </w:tc>
      </w:tr>
      <w:tr>
        <w:trPr/>
        <w:tc>
          <w:tcPr>
            <w:tcW w:w="2770" w:type="dxa"/>
            <w:tcBorders/>
            <w:vAlign w:val="center"/>
          </w:tcPr>
          <w:p>
            <w:pPr>
              <w:pStyle w:val="TableContents"/>
              <w:widowControl w:val="false"/>
              <w:suppressLineNumbers/>
              <w:spacing w:before="0" w:after="200"/>
              <w:rPr/>
            </w:pPr>
            <w:r>
              <w:rPr>
                <w:rStyle w:val="Strong"/>
              </w:rPr>
              <w:t>1. How will the framework notice needs that have not been explicitly stated?</w:t>
            </w:r>
          </w:p>
        </w:tc>
        <w:tc>
          <w:tcPr>
            <w:tcW w:w="5870" w:type="dxa"/>
            <w:tcBorders/>
            <w:vAlign w:val="center"/>
          </w:tcPr>
          <w:p>
            <w:pPr>
              <w:pStyle w:val="TableContents"/>
              <w:widowControl w:val="false"/>
              <w:suppressLineNumbers/>
              <w:spacing w:before="0" w:after="200"/>
              <w:rPr/>
            </w:pPr>
            <w:r>
              <w:rPr/>
              <w:t>It should require an attentiveness inquiry that considers behavioral evidence, known vulnerabilities, changes in condition, prior history, caregiver observations, and barriers to communication. Silence should not automatically be interpreted as absence of need.</w:t>
            </w:r>
          </w:p>
        </w:tc>
      </w:tr>
      <w:tr>
        <w:trPr/>
        <w:tc>
          <w:tcPr>
            <w:tcW w:w="2770" w:type="dxa"/>
            <w:tcBorders/>
            <w:vAlign w:val="center"/>
          </w:tcPr>
          <w:p>
            <w:pPr>
              <w:pStyle w:val="TableContents"/>
              <w:widowControl w:val="false"/>
              <w:suppressLineNumbers/>
              <w:spacing w:before="0" w:after="200"/>
              <w:rPr/>
            </w:pPr>
            <w:r>
              <w:rPr>
                <w:rStyle w:val="Strong"/>
              </w:rPr>
              <w:t>2. Who determines what the recipient needs?</w:t>
            </w:r>
          </w:p>
        </w:tc>
        <w:tc>
          <w:tcPr>
            <w:tcW w:w="5870" w:type="dxa"/>
            <w:tcBorders/>
            <w:vAlign w:val="center"/>
          </w:tcPr>
          <w:p>
            <w:pPr>
              <w:pStyle w:val="TableContents"/>
              <w:widowControl w:val="false"/>
              <w:suppressLineNumbers/>
              <w:spacing w:before="0" w:after="200"/>
              <w:rPr/>
            </w:pPr>
            <w:r>
              <w:rPr/>
              <w:t>The recipient should ordinarily be the primary source concerning lived needs and preferences. Providers may contribute expertise, but disagreements should be documented rather than resolved solely through provider authority.</w:t>
            </w:r>
          </w:p>
        </w:tc>
      </w:tr>
      <w:tr>
        <w:trPr/>
        <w:tc>
          <w:tcPr>
            <w:tcW w:w="2770" w:type="dxa"/>
            <w:tcBorders/>
            <w:vAlign w:val="center"/>
          </w:tcPr>
          <w:p>
            <w:pPr>
              <w:pStyle w:val="TableContents"/>
              <w:widowControl w:val="false"/>
              <w:suppressLineNumbers/>
              <w:spacing w:before="0" w:after="200"/>
              <w:rPr/>
            </w:pPr>
            <w:r>
              <w:rPr>
                <w:rStyle w:val="Strong"/>
              </w:rPr>
              <w:t>3. What if the recipient cannot communicate or make an independent decision?</w:t>
            </w:r>
          </w:p>
        </w:tc>
        <w:tc>
          <w:tcPr>
            <w:tcW w:w="5870" w:type="dxa"/>
            <w:tcBorders/>
            <w:vAlign w:val="center"/>
          </w:tcPr>
          <w:p>
            <w:pPr>
              <w:pStyle w:val="TableContents"/>
              <w:widowControl w:val="false"/>
              <w:suppressLineNumbers/>
              <w:spacing w:before="0" w:after="200"/>
              <w:rPr/>
            </w:pPr>
            <w:r>
              <w:rPr/>
              <w:t>The framework should use supported decision-making where possible and otherwise rely on advance directives, known values, trusted representatives, multidisciplinary evidence, and best-interest safeguards. Any substitute decision should remain reviewable.</w:t>
            </w:r>
          </w:p>
        </w:tc>
      </w:tr>
      <w:tr>
        <w:trPr/>
        <w:tc>
          <w:tcPr>
            <w:tcW w:w="2770" w:type="dxa"/>
            <w:tcBorders/>
            <w:vAlign w:val="center"/>
          </w:tcPr>
          <w:p>
            <w:pPr>
              <w:pStyle w:val="TableContents"/>
              <w:widowControl w:val="false"/>
              <w:suppressLineNumbers/>
              <w:spacing w:before="0" w:after="200"/>
              <w:rPr/>
            </w:pPr>
            <w:r>
              <w:rPr>
                <w:rStyle w:val="Strong"/>
              </w:rPr>
              <w:t>4. How are expressed preferences distinguished from underlying needs?</w:t>
            </w:r>
          </w:p>
        </w:tc>
        <w:tc>
          <w:tcPr>
            <w:tcW w:w="5870" w:type="dxa"/>
            <w:tcBorders/>
            <w:vAlign w:val="center"/>
          </w:tcPr>
          <w:p>
            <w:pPr>
              <w:pStyle w:val="TableContents"/>
              <w:widowControl w:val="false"/>
              <w:suppressLineNumbers/>
              <w:spacing w:before="0" w:after="200"/>
              <w:rPr/>
            </w:pPr>
            <w:r>
              <w:rPr/>
              <w:t>Both should be represented. A preference should not be dismissed simply because a provider disagrees, while a stated preference should not automatically override imminent and serious harm. The disagreement and its evidentiary basis should remain visible.</w:t>
            </w:r>
          </w:p>
        </w:tc>
      </w:tr>
      <w:tr>
        <w:trPr/>
        <w:tc>
          <w:tcPr>
            <w:tcW w:w="2770" w:type="dxa"/>
            <w:tcBorders/>
            <w:vAlign w:val="center"/>
          </w:tcPr>
          <w:p>
            <w:pPr>
              <w:pStyle w:val="TableContents"/>
              <w:widowControl w:val="false"/>
              <w:suppressLineNumbers/>
              <w:spacing w:before="0" w:after="200"/>
              <w:rPr/>
            </w:pPr>
            <w:r>
              <w:rPr>
                <w:rStyle w:val="Strong"/>
              </w:rPr>
              <w:t>5. Can the framework recognize special responsibilities toward particular individuals?</w:t>
            </w:r>
          </w:p>
        </w:tc>
        <w:tc>
          <w:tcPr>
            <w:tcW w:w="5870" w:type="dxa"/>
            <w:tcBorders/>
            <w:vAlign w:val="center"/>
          </w:tcPr>
          <w:p>
            <w:pPr>
              <w:pStyle w:val="TableContents"/>
              <w:widowControl w:val="false"/>
              <w:suppressLineNumbers/>
              <w:spacing w:before="0" w:after="200"/>
              <w:rPr/>
            </w:pPr>
            <w:r>
              <w:rPr/>
              <w:t>Yes. Relationships, roles, commitments, dependency, proximity, and unique capacity can create differentiated responsibilities. The framework should record the basis and limits of those responsibilities.</w:t>
            </w:r>
          </w:p>
        </w:tc>
      </w:tr>
      <w:tr>
        <w:trPr/>
        <w:tc>
          <w:tcPr>
            <w:tcW w:w="2770" w:type="dxa"/>
            <w:tcBorders/>
            <w:vAlign w:val="center"/>
          </w:tcPr>
          <w:p>
            <w:pPr>
              <w:pStyle w:val="TableContents"/>
              <w:widowControl w:val="false"/>
              <w:suppressLineNumbers/>
              <w:spacing w:before="0" w:after="200"/>
              <w:rPr/>
            </w:pPr>
            <w:r>
              <w:rPr>
                <w:rStyle w:val="Strong"/>
              </w:rPr>
              <w:t>6. How does the framework prevent justified partiality from becoming favoritism?</w:t>
            </w:r>
          </w:p>
        </w:tc>
        <w:tc>
          <w:tcPr>
            <w:tcW w:w="5870" w:type="dxa"/>
            <w:tcBorders/>
            <w:vAlign w:val="center"/>
          </w:tcPr>
          <w:p>
            <w:pPr>
              <w:pStyle w:val="TableContents"/>
              <w:widowControl w:val="false"/>
              <w:suppressLineNumbers/>
              <w:spacing w:before="0" w:after="200"/>
              <w:rPr/>
            </w:pPr>
            <w:r>
              <w:rPr/>
              <w:t>Partiality should be tied to a defensible relationship or role and constrained by minimum protections, nondiscrimination, transparency, and responsibilities to other affected entities.</w:t>
            </w:r>
          </w:p>
        </w:tc>
      </w:tr>
      <w:tr>
        <w:trPr/>
        <w:tc>
          <w:tcPr>
            <w:tcW w:w="2770" w:type="dxa"/>
            <w:tcBorders/>
            <w:vAlign w:val="center"/>
          </w:tcPr>
          <w:p>
            <w:pPr>
              <w:pStyle w:val="TableContents"/>
              <w:widowControl w:val="false"/>
              <w:suppressLineNumbers/>
              <w:spacing w:before="0" w:after="200"/>
              <w:rPr/>
            </w:pPr>
            <w:r>
              <w:rPr>
                <w:rStyle w:val="Strong"/>
              </w:rPr>
              <w:t>7. Does the recipient’s response determine whether an action was caring?</w:t>
            </w:r>
          </w:p>
        </w:tc>
        <w:tc>
          <w:tcPr>
            <w:tcW w:w="5870" w:type="dxa"/>
            <w:tcBorders/>
            <w:vAlign w:val="center"/>
          </w:tcPr>
          <w:p>
            <w:pPr>
              <w:pStyle w:val="TableContents"/>
              <w:widowControl w:val="false"/>
              <w:suppressLineNumbers/>
              <w:spacing w:before="0" w:after="200"/>
              <w:rPr/>
            </w:pPr>
            <w:r>
              <w:rPr/>
              <w:t>The response is necessary evidence but is not always conclusive. Fear, coercion, misinformation, cognitive impairment, or adaptive preference may affect the response. Ethical evaluation should consider both the recipient’s account and the surrounding conditions.</w:t>
            </w:r>
          </w:p>
        </w:tc>
      </w:tr>
      <w:tr>
        <w:trPr/>
        <w:tc>
          <w:tcPr>
            <w:tcW w:w="2770" w:type="dxa"/>
            <w:tcBorders/>
            <w:vAlign w:val="center"/>
          </w:tcPr>
          <w:p>
            <w:pPr>
              <w:pStyle w:val="TableContents"/>
              <w:widowControl w:val="false"/>
              <w:suppressLineNumbers/>
              <w:spacing w:before="0" w:after="200"/>
              <w:rPr/>
            </w:pPr>
            <w:r>
              <w:rPr>
                <w:rStyle w:val="Strong"/>
              </w:rPr>
              <w:t>8. How is competence evaluated?</w:t>
            </w:r>
          </w:p>
        </w:tc>
        <w:tc>
          <w:tcPr>
            <w:tcW w:w="5870" w:type="dxa"/>
            <w:tcBorders/>
            <w:vAlign w:val="center"/>
          </w:tcPr>
          <w:p>
            <w:pPr>
              <w:pStyle w:val="TableContents"/>
              <w:widowControl w:val="false"/>
              <w:suppressLineNumbers/>
              <w:spacing w:before="0" w:after="200"/>
              <w:rPr/>
            </w:pPr>
            <w:r>
              <w:rPr/>
              <w:t>The assessment should examine whether the provider possessed appropriate knowledge, skill, resources, preparation, continuity, and ability to revise the intervention. Benevolent intent cannot substitute for competent performance.</w:t>
            </w:r>
          </w:p>
        </w:tc>
      </w:tr>
      <w:tr>
        <w:trPr/>
        <w:tc>
          <w:tcPr>
            <w:tcW w:w="2770" w:type="dxa"/>
            <w:tcBorders/>
            <w:vAlign w:val="center"/>
          </w:tcPr>
          <w:p>
            <w:pPr>
              <w:pStyle w:val="TableContents"/>
              <w:widowControl w:val="false"/>
              <w:suppressLineNumbers/>
              <w:spacing w:before="0" w:after="200"/>
              <w:rPr/>
            </w:pPr>
            <w:r>
              <w:rPr>
                <w:rStyle w:val="Strong"/>
              </w:rPr>
              <w:t>9. Can emotional knowledge be included without being treated as objective fact?</w:t>
            </w:r>
          </w:p>
        </w:tc>
        <w:tc>
          <w:tcPr>
            <w:tcW w:w="5870" w:type="dxa"/>
            <w:tcBorders/>
            <w:vAlign w:val="center"/>
          </w:tcPr>
          <w:p>
            <w:pPr>
              <w:pStyle w:val="TableContents"/>
              <w:widowControl w:val="false"/>
              <w:suppressLineNumbers/>
              <w:spacing w:before="0" w:after="200"/>
              <w:rPr/>
            </w:pPr>
            <w:r>
              <w:rPr/>
              <w:t>Yes. Emotional and narrative evidence can be recorded with its source, context, interpretation, and uncertainty. The framework need not classify such evidence as either infallible or irrelevant.</w:t>
            </w:r>
          </w:p>
        </w:tc>
      </w:tr>
      <w:tr>
        <w:trPr/>
        <w:tc>
          <w:tcPr>
            <w:tcW w:w="2770" w:type="dxa"/>
            <w:tcBorders/>
            <w:vAlign w:val="center"/>
          </w:tcPr>
          <w:p>
            <w:pPr>
              <w:pStyle w:val="TableContents"/>
              <w:widowControl w:val="false"/>
              <w:suppressLineNumbers/>
              <w:spacing w:before="0" w:after="200"/>
              <w:rPr/>
            </w:pPr>
            <w:r>
              <w:rPr>
                <w:rStyle w:val="Strong"/>
              </w:rPr>
              <w:t>10. How does the framework identify paternalism?</w:t>
            </w:r>
          </w:p>
        </w:tc>
        <w:tc>
          <w:tcPr>
            <w:tcW w:w="5870" w:type="dxa"/>
            <w:tcBorders/>
            <w:vAlign w:val="center"/>
          </w:tcPr>
          <w:p>
            <w:pPr>
              <w:pStyle w:val="TableContents"/>
              <w:widowControl w:val="false"/>
              <w:suppressLineNumbers/>
              <w:spacing w:before="0" w:after="200"/>
              <w:rPr/>
            </w:pPr>
            <w:r>
              <w:rPr/>
              <w:t>It should examine whether the provider unnecessarily displaced the recipient’s agency, withheld information, restricted alternatives, ignored refusal, or defined the recipient’s good without meaningful participation.</w:t>
            </w:r>
          </w:p>
        </w:tc>
      </w:tr>
      <w:tr>
        <w:trPr/>
        <w:tc>
          <w:tcPr>
            <w:tcW w:w="2770" w:type="dxa"/>
            <w:tcBorders/>
            <w:vAlign w:val="center"/>
          </w:tcPr>
          <w:p>
            <w:pPr>
              <w:pStyle w:val="TableContents"/>
              <w:widowControl w:val="false"/>
              <w:suppressLineNumbers/>
              <w:spacing w:before="0" w:after="200"/>
              <w:rPr/>
            </w:pPr>
            <w:r>
              <w:rPr>
                <w:rStyle w:val="Strong"/>
              </w:rPr>
              <w:t>11. What prevents care from becoming coercive dependency?</w:t>
            </w:r>
          </w:p>
        </w:tc>
        <w:tc>
          <w:tcPr>
            <w:tcW w:w="5870" w:type="dxa"/>
            <w:tcBorders/>
            <w:vAlign w:val="center"/>
          </w:tcPr>
          <w:p>
            <w:pPr>
              <w:pStyle w:val="TableContents"/>
              <w:widowControl w:val="false"/>
              <w:suppressLineNumbers/>
              <w:spacing w:before="0" w:after="200"/>
              <w:rPr/>
            </w:pPr>
            <w:r>
              <w:rPr/>
              <w:t>Care should be evaluated for whether it builds capability, preserves alternatives, enables exit where possible, and avoids making support contingent on obedience or personal loyalty.</w:t>
            </w:r>
          </w:p>
        </w:tc>
      </w:tr>
      <w:tr>
        <w:trPr/>
        <w:tc>
          <w:tcPr>
            <w:tcW w:w="2770" w:type="dxa"/>
            <w:tcBorders/>
            <w:vAlign w:val="center"/>
          </w:tcPr>
          <w:p>
            <w:pPr>
              <w:pStyle w:val="TableContents"/>
              <w:widowControl w:val="false"/>
              <w:suppressLineNumbers/>
              <w:spacing w:before="0" w:after="200"/>
              <w:rPr/>
            </w:pPr>
            <w:r>
              <w:rPr>
                <w:rStyle w:val="Strong"/>
              </w:rPr>
              <w:t>12. How are caregivers protected from exploitation?</w:t>
            </w:r>
          </w:p>
        </w:tc>
        <w:tc>
          <w:tcPr>
            <w:tcW w:w="5870" w:type="dxa"/>
            <w:tcBorders/>
            <w:vAlign w:val="center"/>
          </w:tcPr>
          <w:p>
            <w:pPr>
              <w:pStyle w:val="TableContents"/>
              <w:widowControl w:val="false"/>
              <w:suppressLineNumbers/>
              <w:spacing w:before="0" w:after="200"/>
              <w:rPr/>
            </w:pPr>
            <w:r>
              <w:rPr/>
              <w:t>Caregiver workload, health, consent, resources, compensation, respite, alternatives, and ability to decline or transfer responsibility should be included in the transition. Care obligations must have reasonable limits.</w:t>
            </w:r>
          </w:p>
        </w:tc>
      </w:tr>
      <w:tr>
        <w:trPr/>
        <w:tc>
          <w:tcPr>
            <w:tcW w:w="2770" w:type="dxa"/>
            <w:tcBorders/>
            <w:vAlign w:val="center"/>
          </w:tcPr>
          <w:p>
            <w:pPr>
              <w:pStyle w:val="TableContents"/>
              <w:widowControl w:val="false"/>
              <w:suppressLineNumbers/>
              <w:spacing w:before="0" w:after="200"/>
              <w:rPr/>
            </w:pPr>
            <w:r>
              <w:rPr>
                <w:rStyle w:val="Strong"/>
              </w:rPr>
              <w:t>13. How will the framework identify an unjust distribution of care work?</w:t>
            </w:r>
          </w:p>
        </w:tc>
        <w:tc>
          <w:tcPr>
            <w:tcW w:w="5870" w:type="dxa"/>
            <w:tcBorders/>
            <w:vAlign w:val="center"/>
          </w:tcPr>
          <w:p>
            <w:pPr>
              <w:pStyle w:val="TableContents"/>
              <w:widowControl w:val="false"/>
              <w:suppressLineNumbers/>
              <w:spacing w:before="0" w:after="200"/>
              <w:rPr/>
            </w:pPr>
            <w:r>
              <w:rPr/>
              <w:t>It should compare who performs care, who benefits, who decides, and who bears financial, emotional, physical, and opportunity costs. Patterns correlated with social power or protected status should trigger further review.</w:t>
            </w:r>
          </w:p>
        </w:tc>
      </w:tr>
      <w:tr>
        <w:trPr/>
        <w:tc>
          <w:tcPr>
            <w:tcW w:w="2770" w:type="dxa"/>
            <w:tcBorders/>
            <w:vAlign w:val="center"/>
          </w:tcPr>
          <w:p>
            <w:pPr>
              <w:pStyle w:val="TableContents"/>
              <w:widowControl w:val="false"/>
              <w:suppressLineNumbers/>
              <w:spacing w:before="0" w:after="200"/>
              <w:rPr/>
            </w:pPr>
            <w:r>
              <w:rPr>
                <w:rStyle w:val="Strong"/>
              </w:rPr>
              <w:t>14. What if immediate care conflicts with long-term capability development?</w:t>
            </w:r>
          </w:p>
        </w:tc>
        <w:tc>
          <w:tcPr>
            <w:tcW w:w="5870" w:type="dxa"/>
            <w:tcBorders/>
            <w:vAlign w:val="center"/>
          </w:tcPr>
          <w:p>
            <w:pPr>
              <w:pStyle w:val="TableContents"/>
              <w:widowControl w:val="false"/>
              <w:suppressLineNumbers/>
              <w:spacing w:before="0" w:after="200"/>
              <w:rPr/>
            </w:pPr>
            <w:r>
              <w:rPr/>
              <w:t>The assessment should consider staged or adaptive responses that meet the immediate need while preserving or expanding future agency. Long-term development should not be used to deny essential present support.</w:t>
            </w:r>
          </w:p>
        </w:tc>
      </w:tr>
      <w:tr>
        <w:trPr/>
        <w:tc>
          <w:tcPr>
            <w:tcW w:w="2770" w:type="dxa"/>
            <w:tcBorders/>
            <w:vAlign w:val="center"/>
          </w:tcPr>
          <w:p>
            <w:pPr>
              <w:pStyle w:val="TableContents"/>
              <w:widowControl w:val="false"/>
              <w:suppressLineNumbers/>
              <w:spacing w:before="0" w:after="200"/>
              <w:rPr/>
            </w:pPr>
            <w:r>
              <w:rPr>
                <w:rStyle w:val="Strong"/>
              </w:rPr>
              <w:t>15. What if caring for one highly dependent entity requires substantial resources?</w:t>
            </w:r>
          </w:p>
        </w:tc>
        <w:tc>
          <w:tcPr>
            <w:tcW w:w="5870" w:type="dxa"/>
            <w:tcBorders/>
            <w:vAlign w:val="center"/>
          </w:tcPr>
          <w:p>
            <w:pPr>
              <w:pStyle w:val="TableContents"/>
              <w:widowControl w:val="false"/>
              <w:suppressLineNumbers/>
              <w:spacing w:before="0" w:after="200"/>
              <w:rPr/>
            </w:pPr>
            <w:r>
              <w:rPr/>
              <w:t>Resource intensity does not reduce the entity’s moral standing. The framework should examine minimum care obligations, available alternatives, fair allocation, institutional responsibility, and the severity of neglect rather than relying solely on efficiency.</w:t>
            </w:r>
          </w:p>
        </w:tc>
      </w:tr>
      <w:tr>
        <w:trPr/>
        <w:tc>
          <w:tcPr>
            <w:tcW w:w="2770" w:type="dxa"/>
            <w:tcBorders/>
            <w:vAlign w:val="center"/>
          </w:tcPr>
          <w:p>
            <w:pPr>
              <w:pStyle w:val="TableContents"/>
              <w:widowControl w:val="false"/>
              <w:suppressLineNumbers/>
              <w:spacing w:before="0" w:after="200"/>
              <w:rPr/>
            </w:pPr>
            <w:r>
              <w:rPr>
                <w:rStyle w:val="Strong"/>
              </w:rPr>
              <w:t>16. How are care and justice reconciled when they conflict?</w:t>
            </w:r>
          </w:p>
        </w:tc>
        <w:tc>
          <w:tcPr>
            <w:tcW w:w="5870" w:type="dxa"/>
            <w:tcBorders/>
            <w:vAlign w:val="center"/>
          </w:tcPr>
          <w:p>
            <w:pPr>
              <w:pStyle w:val="TableContents"/>
              <w:widowControl w:val="false"/>
              <w:suppressLineNumbers/>
              <w:spacing w:before="0" w:after="200"/>
              <w:rPr/>
            </w:pPr>
            <w:r>
              <w:rPr/>
              <w:t>Care should reveal particular needs and relationships, while justice and rights constrain discrimination, coercion, and unfair burden allocation. Neither should automatically replace the other. The assessment should report the conflict explicitly.</w:t>
            </w:r>
          </w:p>
        </w:tc>
      </w:tr>
      <w:tr>
        <w:trPr/>
        <w:tc>
          <w:tcPr>
            <w:tcW w:w="2770" w:type="dxa"/>
            <w:tcBorders/>
            <w:vAlign w:val="center"/>
          </w:tcPr>
          <w:p>
            <w:pPr>
              <w:pStyle w:val="TableContents"/>
              <w:widowControl w:val="false"/>
              <w:suppressLineNumbers/>
              <w:spacing w:before="0" w:after="200"/>
              <w:rPr/>
            </w:pPr>
            <w:r>
              <w:rPr>
                <w:rStyle w:val="Strong"/>
              </w:rPr>
              <w:t>17. How does the framework account for relational history?</w:t>
            </w:r>
          </w:p>
        </w:tc>
        <w:tc>
          <w:tcPr>
            <w:tcW w:w="5870" w:type="dxa"/>
            <w:tcBorders/>
            <w:vAlign w:val="center"/>
          </w:tcPr>
          <w:p>
            <w:pPr>
              <w:pStyle w:val="TableContents"/>
              <w:widowControl w:val="false"/>
              <w:suppressLineNumbers/>
              <w:spacing w:before="0" w:after="200"/>
              <w:rPr/>
            </w:pPr>
            <w:r>
              <w:rPr/>
              <w:t>Relevant histories of trust, betrayal, dependency, promises, prior care, neglect, and trauma should be included in the Situational Context. A current action cannot always be evaluated independently of that history.</w:t>
            </w:r>
          </w:p>
        </w:tc>
      </w:tr>
      <w:tr>
        <w:trPr/>
        <w:tc>
          <w:tcPr>
            <w:tcW w:w="2770" w:type="dxa"/>
            <w:tcBorders/>
            <w:vAlign w:val="center"/>
          </w:tcPr>
          <w:p>
            <w:pPr>
              <w:pStyle w:val="TableContents"/>
              <w:widowControl w:val="false"/>
              <w:suppressLineNumbers/>
              <w:spacing w:before="0" w:after="200"/>
              <w:rPr/>
            </w:pPr>
            <w:r>
              <w:rPr>
                <w:rStyle w:val="Strong"/>
              </w:rPr>
              <w:t>18. Can an institution provide care, or can only individuals care?</w:t>
            </w:r>
          </w:p>
        </w:tc>
        <w:tc>
          <w:tcPr>
            <w:tcW w:w="5870" w:type="dxa"/>
            <w:tcBorders/>
            <w:vAlign w:val="center"/>
          </w:tcPr>
          <w:p>
            <w:pPr>
              <w:pStyle w:val="TableContents"/>
              <w:widowControl w:val="false"/>
              <w:suppressLineNumbers/>
              <w:spacing w:before="0" w:after="200"/>
              <w:rPr/>
            </w:pPr>
            <w:r>
              <w:rPr/>
              <w:t>Individuals perform many caring practices, but institutions structure attention, resources, continuity, authority, and accountability. Institutions can therefore support or obstruct care and can possess care-related responsibilities.</w:t>
            </w:r>
          </w:p>
        </w:tc>
      </w:tr>
      <w:tr>
        <w:trPr/>
        <w:tc>
          <w:tcPr>
            <w:tcW w:w="2770" w:type="dxa"/>
            <w:tcBorders/>
            <w:vAlign w:val="center"/>
          </w:tcPr>
          <w:p>
            <w:pPr>
              <w:pStyle w:val="TableContents"/>
              <w:widowControl w:val="false"/>
              <w:suppressLineNumbers/>
              <w:spacing w:before="0" w:after="200"/>
              <w:rPr/>
            </w:pPr>
            <w:r>
              <w:rPr>
                <w:rStyle w:val="Strong"/>
              </w:rPr>
              <w:t>19. How does the framework protect privacy while gathering information about needs?</w:t>
            </w:r>
          </w:p>
        </w:tc>
        <w:tc>
          <w:tcPr>
            <w:tcW w:w="5870" w:type="dxa"/>
            <w:tcBorders/>
            <w:vAlign w:val="center"/>
          </w:tcPr>
          <w:p>
            <w:pPr>
              <w:pStyle w:val="TableContents"/>
              <w:widowControl w:val="false"/>
              <w:suppressLineNumbers/>
              <w:spacing w:before="0" w:after="200"/>
              <w:rPr/>
            </w:pPr>
            <w:r>
              <w:rPr/>
              <w:t>Information collection should satisfy necessity, proportionality, consent, access control, and data-minimization requirements. Attentiveness does not justify unrestricted observation or surveillance.</w:t>
            </w:r>
          </w:p>
        </w:tc>
      </w:tr>
      <w:tr>
        <w:trPr/>
        <w:tc>
          <w:tcPr>
            <w:tcW w:w="2770" w:type="dxa"/>
            <w:tcBorders/>
            <w:vAlign w:val="center"/>
          </w:tcPr>
          <w:p>
            <w:pPr>
              <w:pStyle w:val="TableContents"/>
              <w:widowControl w:val="false"/>
              <w:suppressLineNumbers/>
              <w:spacing w:before="0" w:after="200"/>
              <w:rPr/>
            </w:pPr>
            <w:r>
              <w:rPr>
                <w:rStyle w:val="Strong"/>
              </w:rPr>
              <w:t>20. Can an artificial system genuinely care?</w:t>
            </w:r>
          </w:p>
        </w:tc>
        <w:tc>
          <w:tcPr>
            <w:tcW w:w="5870" w:type="dxa"/>
            <w:tcBorders/>
            <w:vAlign w:val="center"/>
          </w:tcPr>
          <w:p>
            <w:pPr>
              <w:pStyle w:val="TableContents"/>
              <w:widowControl w:val="false"/>
              <w:suppressLineNumbers/>
              <w:spacing w:before="0" w:after="200"/>
              <w:rPr/>
            </w:pPr>
            <w:r>
              <w:rPr/>
              <w:t>An artificial system may support care by detecting needs, coordinating resources, preserving continuity, or assisting communication. Whether it possesses the emotional and relational capacities required for genuine caring remains unresolved. Its performance should not be confused with human accountability.</w:t>
            </w:r>
          </w:p>
        </w:tc>
      </w:tr>
      <w:tr>
        <w:trPr/>
        <w:tc>
          <w:tcPr>
            <w:tcW w:w="2770" w:type="dxa"/>
            <w:tcBorders/>
            <w:vAlign w:val="center"/>
          </w:tcPr>
          <w:p>
            <w:pPr>
              <w:pStyle w:val="TableContents"/>
              <w:widowControl w:val="false"/>
              <w:suppressLineNumbers/>
              <w:spacing w:before="0" w:after="200"/>
              <w:rPr/>
            </w:pPr>
            <w:r>
              <w:rPr>
                <w:rStyle w:val="Strong"/>
              </w:rPr>
              <w:t>21. How are handoffs and interruptions in care evaluated?</w:t>
            </w:r>
          </w:p>
        </w:tc>
        <w:tc>
          <w:tcPr>
            <w:tcW w:w="5870" w:type="dxa"/>
            <w:tcBorders/>
            <w:vAlign w:val="center"/>
          </w:tcPr>
          <w:p>
            <w:pPr>
              <w:pStyle w:val="TableContents"/>
              <w:widowControl w:val="false"/>
              <w:suppressLineNumbers/>
              <w:spacing w:before="0" w:after="200"/>
              <w:rPr/>
            </w:pPr>
            <w:r>
              <w:rPr/>
              <w:t>Continuity, information transfer, recipient consent, responsibility transfer, timing, and foreseeable disruption should be included. A nominal transfer does not end responsibility if no competent successor has accepted the role.</w:t>
            </w:r>
          </w:p>
        </w:tc>
      </w:tr>
      <w:tr>
        <w:trPr/>
        <w:tc>
          <w:tcPr>
            <w:tcW w:w="2770" w:type="dxa"/>
            <w:tcBorders/>
            <w:vAlign w:val="center"/>
          </w:tcPr>
          <w:p>
            <w:pPr>
              <w:pStyle w:val="TableContents"/>
              <w:widowControl w:val="false"/>
              <w:suppressLineNumbers/>
              <w:spacing w:before="0" w:after="200"/>
              <w:rPr/>
            </w:pPr>
            <w:r>
              <w:rPr>
                <w:rStyle w:val="Strong"/>
              </w:rPr>
              <w:t>22. How will the framework detect “carewashing”?</w:t>
            </w:r>
          </w:p>
        </w:tc>
        <w:tc>
          <w:tcPr>
            <w:tcW w:w="5870" w:type="dxa"/>
            <w:tcBorders/>
            <w:vAlign w:val="center"/>
          </w:tcPr>
          <w:p>
            <w:pPr>
              <w:pStyle w:val="TableContents"/>
              <w:widowControl w:val="false"/>
              <w:suppressLineNumbers/>
              <w:spacing w:before="0" w:after="200"/>
              <w:rPr/>
            </w:pPr>
            <w:r>
              <w:rPr/>
              <w:t>It should compare caring language with actual power, resource allocation, recipient participation, caregiver support, and observed outcomes. Claims of care should not override evidence of coercion, neglect, surveillance, or cost displacement.</w:t>
            </w:r>
          </w:p>
        </w:tc>
      </w:tr>
    </w:tbl>
    <w:p>
      <w:pPr>
        <w:pStyle w:val="Heading3"/>
        <w:ind w:hanging="0" w:left="0"/>
        <w:rPr/>
      </w:pPr>
      <w:r>
        <w:rPr/>
        <w:t>Stoicism</w:t>
      </w:r>
    </w:p>
    <w:p>
      <w:pPr>
        <w:pStyle w:val="Heading4"/>
        <w:ind w:hanging="0" w:left="0"/>
        <w:rPr>
          <w:rFonts w:ascii="Aptos" w:hAnsi="Aptos"/>
          <w:color w:val="auto"/>
        </w:rPr>
      </w:pPr>
      <w:r>
        <w:rPr/>
        <w:t>Questioning Argument</w:t>
      </w:r>
    </w:p>
    <w:p>
      <w:pPr>
        <w:pStyle w:val="BodyText"/>
        <w:spacing w:before="0" w:after="200"/>
        <w:rPr/>
      </w:pPr>
      <w:r>
        <w:rPr/>
        <w:t>A Stoic expert may argue that this framework places too much moral weight on external conditions and predicted outcomes. Health, wealth, reputation, institutional stability, material capability, and the successful attainment of objectives are all affected by circumstances outside the agent’s control. If ethical judgment depends primarily on the World Context Transition that actually occurs, an agent may be praised for good fortune or condemned for bad fortune rather than evaluated according to the quality of the agent’s reasoning and choice.</w:t>
      </w:r>
    </w:p>
    <w:p>
      <w:pPr>
        <w:pStyle w:val="BodyText"/>
        <w:spacing w:before="0" w:after="200"/>
        <w:rPr/>
      </w:pPr>
      <w:r>
        <w:rPr/>
        <w:t>The critic may ask:</w:t>
      </w:r>
    </w:p>
    <w:p>
      <w:pPr>
        <w:pStyle w:val="BlockQuotation"/>
        <w:spacing w:before="0" w:after="200"/>
        <w:rPr/>
      </w:pPr>
      <w:r>
        <w:rPr/>
        <w:t>If moral agents can directly control only their judgments, intentions, assent, and conduct—not the complete consequences of their actions—why should ethical value be grounded in a World Context Transition that no agent can fully predict or control?</w:t>
      </w:r>
    </w:p>
    <w:p>
      <w:pPr>
        <w:pStyle w:val="BodyText"/>
        <w:spacing w:before="0" w:after="200"/>
        <w:rPr/>
      </w:pPr>
      <w:r>
        <w:rPr/>
        <w:t>From the Stoic perspective, the framework may also confuse preferred external conditions with genuine moral goods. Health, security, resources, and institutional success are normally worth pursuing, but they do not make an unjust action good or a virtuous person morally deficient when they are lost through circumstances outside that person’s control.</w:t>
      </w:r>
    </w:p>
    <w:p>
      <w:pPr>
        <w:pStyle w:val="BodyText"/>
        <w:spacing w:before="0" w:after="200"/>
        <w:rPr/>
      </w:pPr>
      <w:r>
        <w:rPr/>
        <w:t>A further concern is that the framework’s emphasis on preserving future state space could encourage excessive attachment to outcomes. An agent may become unwilling to accept loss, mortality, uncertainty, or unavoidable constraints, treating every unfavorable event as an ethical failure that must be controlled. Such an approach risks anxiety, overintervention, coercion, and the manipulation of others in the name of securing a preferred future.</w:t>
      </w:r>
    </w:p>
    <w:p>
      <w:pPr>
        <w:pStyle w:val="Heading4"/>
        <w:ind w:hanging="0" w:left="0"/>
        <w:rPr>
          <w:rFonts w:ascii="Aptos" w:hAnsi="Aptos"/>
          <w:color w:val="auto"/>
        </w:rPr>
      </w:pPr>
      <w:r>
        <w:rPr/>
        <w:t>Assumptions Within the Ethical Model Relevant to the Questioning Argument</w:t>
      </w:r>
    </w:p>
    <w:p>
      <w:pPr>
        <w:pStyle w:val="BodyText"/>
        <w:spacing w:before="0" w:after="200"/>
        <w:rPr/>
      </w:pPr>
      <w:r>
        <w:rPr/>
        <w:t>The Stoic questioning argument depends on the following assumptions:</w:t>
      </w:r>
    </w:p>
    <w:p>
      <w:pPr>
        <w:pStyle w:val="BodyText"/>
        <w:numPr>
          <w:ilvl w:val="0"/>
          <w:numId w:val="71"/>
        </w:numPr>
        <w:tabs>
          <w:tab w:val="clear" w:pos="720"/>
          <w:tab w:val="left" w:pos="0" w:leader="none"/>
        </w:tabs>
        <w:spacing w:before="0" w:after="200"/>
        <w:ind w:hanging="283" w:left="709"/>
        <w:rPr/>
      </w:pPr>
      <w:r>
        <w:rPr>
          <w:rStyle w:val="Strong"/>
        </w:rPr>
        <w:t>Virtue is the only unconditional good.</w:t>
      </w:r>
      <w:r>
        <w:rPr/>
        <w:t xml:space="preserve"> Wisdom, justice, courage, and moderation determine the moral quality of an agent’s life.</w:t>
      </w:r>
    </w:p>
    <w:p>
      <w:pPr>
        <w:pStyle w:val="BodyText"/>
        <w:numPr>
          <w:ilvl w:val="0"/>
          <w:numId w:val="71"/>
        </w:numPr>
        <w:tabs>
          <w:tab w:val="clear" w:pos="720"/>
          <w:tab w:val="left" w:pos="0" w:leader="none"/>
        </w:tabs>
        <w:spacing w:before="0" w:after="200"/>
        <w:ind w:hanging="283" w:left="709"/>
        <w:rPr/>
      </w:pPr>
      <w:r>
        <w:rPr>
          <w:rStyle w:val="Strong"/>
        </w:rPr>
        <w:t>Vice is the only genuine moral evil.</w:t>
      </w:r>
      <w:r>
        <w:rPr/>
        <w:t xml:space="preserve"> External deprivation, illness, pain, failure, and death are serious conditions but do not by themselves corrupt an agent’s moral character.</w:t>
      </w:r>
    </w:p>
    <w:p>
      <w:pPr>
        <w:pStyle w:val="BodyText"/>
        <w:numPr>
          <w:ilvl w:val="0"/>
          <w:numId w:val="71"/>
        </w:numPr>
        <w:tabs>
          <w:tab w:val="clear" w:pos="720"/>
          <w:tab w:val="left" w:pos="0" w:leader="none"/>
        </w:tabs>
        <w:spacing w:before="0" w:after="200"/>
        <w:ind w:hanging="283" w:left="709"/>
        <w:rPr/>
      </w:pPr>
      <w:r>
        <w:rPr>
          <w:rStyle w:val="Strong"/>
        </w:rPr>
        <w:t>External conditions are preferred or dispreferred indifferents.</w:t>
      </w:r>
      <w:r>
        <w:rPr/>
        <w:t xml:space="preserve"> They should normally influence planning and appropriate action but should not be confused with virtue or vice.</w:t>
      </w:r>
    </w:p>
    <w:p>
      <w:pPr>
        <w:pStyle w:val="BodyText"/>
        <w:numPr>
          <w:ilvl w:val="0"/>
          <w:numId w:val="71"/>
        </w:numPr>
        <w:tabs>
          <w:tab w:val="clear" w:pos="720"/>
          <w:tab w:val="left" w:pos="0" w:leader="none"/>
        </w:tabs>
        <w:spacing w:before="0" w:after="200"/>
        <w:ind w:hanging="283" w:left="709"/>
        <w:rPr/>
      </w:pPr>
      <w:r>
        <w:rPr>
          <w:rStyle w:val="Strong"/>
        </w:rPr>
        <w:t>Moral responsibility concerns what is attributable to the agent.</w:t>
      </w:r>
      <w:r>
        <w:rPr/>
        <w:t xml:space="preserve"> Judgment, assent, intention, and chosen conduct are more directly attributable than final outcomes.</w:t>
      </w:r>
    </w:p>
    <w:p>
      <w:pPr>
        <w:pStyle w:val="BodyText"/>
        <w:numPr>
          <w:ilvl w:val="0"/>
          <w:numId w:val="71"/>
        </w:numPr>
        <w:tabs>
          <w:tab w:val="clear" w:pos="720"/>
          <w:tab w:val="left" w:pos="0" w:leader="none"/>
        </w:tabs>
        <w:spacing w:before="0" w:after="200"/>
        <w:ind w:hanging="283" w:left="709"/>
        <w:rPr/>
      </w:pPr>
      <w:r>
        <w:rPr>
          <w:rStyle w:val="Strong"/>
        </w:rPr>
        <w:t>The quality of choice is not identical to successful execution.</w:t>
      </w:r>
      <w:r>
        <w:rPr/>
        <w:t xml:space="preserve"> A rational and just action may fail because of events the agent could not control.</w:t>
      </w:r>
    </w:p>
    <w:p>
      <w:pPr>
        <w:pStyle w:val="BodyText"/>
        <w:numPr>
          <w:ilvl w:val="0"/>
          <w:numId w:val="71"/>
        </w:numPr>
        <w:tabs>
          <w:tab w:val="clear" w:pos="720"/>
          <w:tab w:val="left" w:pos="0" w:leader="none"/>
        </w:tabs>
        <w:spacing w:before="0" w:after="200"/>
        <w:ind w:hanging="283" w:left="709"/>
        <w:rPr/>
      </w:pPr>
      <w:r>
        <w:rPr>
          <w:rStyle w:val="Strong"/>
        </w:rPr>
        <w:t>Initial impressions are not conclusive.</w:t>
      </w:r>
      <w:r>
        <w:rPr/>
        <w:t xml:space="preserve"> Agents should examine appearances and emotional reactions before accepting the judgments contained within them.</w:t>
      </w:r>
    </w:p>
    <w:p>
      <w:pPr>
        <w:pStyle w:val="BodyText"/>
        <w:numPr>
          <w:ilvl w:val="0"/>
          <w:numId w:val="71"/>
        </w:numPr>
        <w:tabs>
          <w:tab w:val="clear" w:pos="720"/>
          <w:tab w:val="left" w:pos="0" w:leader="none"/>
        </w:tabs>
        <w:spacing w:before="0" w:after="200"/>
        <w:ind w:hanging="283" w:left="709"/>
        <w:rPr/>
      </w:pPr>
      <w:r>
        <w:rPr>
          <w:rStyle w:val="Strong"/>
        </w:rPr>
        <w:t>Reasoning should align with reality.</w:t>
      </w:r>
      <w:r>
        <w:rPr/>
        <w:t xml:space="preserve"> An agent should not demand that the world conform to desire, fear, status, or personal preference.</w:t>
      </w:r>
    </w:p>
    <w:p>
      <w:pPr>
        <w:pStyle w:val="BodyText"/>
        <w:numPr>
          <w:ilvl w:val="0"/>
          <w:numId w:val="71"/>
        </w:numPr>
        <w:tabs>
          <w:tab w:val="clear" w:pos="720"/>
          <w:tab w:val="left" w:pos="0" w:leader="none"/>
        </w:tabs>
        <w:spacing w:before="0" w:after="200"/>
        <w:ind w:hanging="283" w:left="709"/>
        <w:rPr/>
      </w:pPr>
      <w:r>
        <w:rPr>
          <w:rStyle w:val="Strong"/>
        </w:rPr>
        <w:t>Goals should be pursued conditionally.</w:t>
      </w:r>
      <w:r>
        <w:rPr/>
        <w:t xml:space="preserve"> The agent should seek appropriate outcomes while accepting that external circumstances may prevent their realization.</w:t>
      </w:r>
    </w:p>
    <w:p>
      <w:pPr>
        <w:pStyle w:val="BodyText"/>
        <w:numPr>
          <w:ilvl w:val="0"/>
          <w:numId w:val="71"/>
        </w:numPr>
        <w:tabs>
          <w:tab w:val="clear" w:pos="720"/>
          <w:tab w:val="left" w:pos="0" w:leader="none"/>
        </w:tabs>
        <w:spacing w:before="0" w:after="200"/>
        <w:ind w:hanging="283" w:left="709"/>
        <w:rPr/>
      </w:pPr>
      <w:r>
        <w:rPr>
          <w:rStyle w:val="Strong"/>
        </w:rPr>
        <w:t>Virtue must govern the use of external resources.</w:t>
      </w:r>
      <w:r>
        <w:rPr/>
        <w:t xml:space="preserve"> Wealth, authority, knowledge, and technology are neither good nor bad independently of how they are used.</w:t>
      </w:r>
    </w:p>
    <w:p>
      <w:pPr>
        <w:pStyle w:val="BodyText"/>
        <w:numPr>
          <w:ilvl w:val="0"/>
          <w:numId w:val="71"/>
        </w:numPr>
        <w:tabs>
          <w:tab w:val="clear" w:pos="720"/>
          <w:tab w:val="left" w:pos="0" w:leader="none"/>
        </w:tabs>
        <w:spacing w:before="0" w:after="200"/>
        <w:ind w:hanging="283" w:left="709"/>
        <w:rPr/>
      </w:pPr>
      <w:r>
        <w:rPr>
          <w:rStyle w:val="Strong"/>
        </w:rPr>
        <w:t>Justice is inseparable from virtue.</w:t>
      </w:r>
      <w:r>
        <w:rPr/>
        <w:t xml:space="preserve"> Stoic acceptance does not excuse exploitation, betrayal, or neglect of social responsibility.</w:t>
      </w:r>
    </w:p>
    <w:p>
      <w:pPr>
        <w:pStyle w:val="BodyText"/>
        <w:numPr>
          <w:ilvl w:val="0"/>
          <w:numId w:val="71"/>
        </w:numPr>
        <w:tabs>
          <w:tab w:val="clear" w:pos="720"/>
          <w:tab w:val="left" w:pos="0" w:leader="none"/>
        </w:tabs>
        <w:spacing w:before="0" w:after="200"/>
        <w:ind w:hanging="283" w:left="709"/>
        <w:rPr/>
      </w:pPr>
      <w:r>
        <w:rPr>
          <w:rStyle w:val="Strong"/>
        </w:rPr>
        <w:t>Humans are social and role-bearing beings.</w:t>
      </w:r>
      <w:r>
        <w:rPr/>
        <w:t xml:space="preserve"> Duties arise through family relationships, citizenship, profession, leadership, friendship, and participation in a shared moral community.</w:t>
      </w:r>
    </w:p>
    <w:p>
      <w:pPr>
        <w:pStyle w:val="BodyText"/>
        <w:numPr>
          <w:ilvl w:val="0"/>
          <w:numId w:val="71"/>
        </w:numPr>
        <w:tabs>
          <w:tab w:val="clear" w:pos="720"/>
          <w:tab w:val="left" w:pos="0" w:leader="none"/>
        </w:tabs>
        <w:spacing w:before="0" w:after="200"/>
        <w:ind w:hanging="283" w:left="709"/>
        <w:rPr/>
      </w:pPr>
      <w:r>
        <w:rPr>
          <w:rStyle w:val="Strong"/>
        </w:rPr>
        <w:t>Cosmopolitan concern extends beyond immediate self-interest.</w:t>
      </w:r>
      <w:r>
        <w:rPr/>
        <w:t xml:space="preserve"> The rational agent should regard other people as participants in a common moral order.</w:t>
      </w:r>
    </w:p>
    <w:p>
      <w:pPr>
        <w:pStyle w:val="BodyText"/>
        <w:numPr>
          <w:ilvl w:val="0"/>
          <w:numId w:val="71"/>
        </w:numPr>
        <w:tabs>
          <w:tab w:val="clear" w:pos="720"/>
          <w:tab w:val="left" w:pos="0" w:leader="none"/>
        </w:tabs>
        <w:spacing w:before="0" w:after="200"/>
        <w:ind w:hanging="283" w:left="709"/>
        <w:rPr/>
      </w:pPr>
      <w:r>
        <w:rPr>
          <w:rStyle w:val="Strong"/>
        </w:rPr>
        <w:t>Emotions frequently contain judgments.</w:t>
      </w:r>
      <w:r>
        <w:rPr/>
        <w:t xml:space="preserve"> Fear, anger, resentment, desire, and grief should be examined for the value claims they imply.</w:t>
      </w:r>
    </w:p>
    <w:p>
      <w:pPr>
        <w:pStyle w:val="BodyText"/>
        <w:numPr>
          <w:ilvl w:val="0"/>
          <w:numId w:val="71"/>
        </w:numPr>
        <w:tabs>
          <w:tab w:val="clear" w:pos="720"/>
          <w:tab w:val="left" w:pos="0" w:leader="none"/>
        </w:tabs>
        <w:spacing w:before="0" w:after="200"/>
        <w:ind w:hanging="283" w:left="709"/>
        <w:rPr/>
      </w:pPr>
      <w:r>
        <w:rPr>
          <w:rStyle w:val="Strong"/>
        </w:rPr>
        <w:t>Freedom requires disciplined volition.</w:t>
      </w:r>
      <w:r>
        <w:rPr/>
        <w:t xml:space="preserve"> An agent who is governed by external approval, fear, appetite, or uncontrollable events lacks genuine moral freedom.</w:t>
      </w:r>
    </w:p>
    <w:p>
      <w:pPr>
        <w:pStyle w:val="BodyText"/>
        <w:numPr>
          <w:ilvl w:val="0"/>
          <w:numId w:val="71"/>
        </w:numPr>
        <w:tabs>
          <w:tab w:val="clear" w:pos="720"/>
          <w:tab w:val="left" w:pos="0" w:leader="none"/>
        </w:tabs>
        <w:spacing w:before="0" w:after="200"/>
        <w:ind w:hanging="283" w:left="709"/>
        <w:rPr/>
      </w:pPr>
      <w:r>
        <w:rPr>
          <w:rStyle w:val="Strong"/>
        </w:rPr>
        <w:t>Adversity can be used for moral development.</w:t>
      </w:r>
      <w:r>
        <w:rPr/>
        <w:t xml:space="preserve"> Difficulty provides an opportunity to exercise courage, patience, justice, and sound judgment.</w:t>
      </w:r>
    </w:p>
    <w:p>
      <w:pPr>
        <w:pStyle w:val="BodyText"/>
        <w:numPr>
          <w:ilvl w:val="0"/>
          <w:numId w:val="71"/>
        </w:numPr>
        <w:tabs>
          <w:tab w:val="clear" w:pos="720"/>
          <w:tab w:val="left" w:pos="0" w:leader="none"/>
        </w:tabs>
        <w:spacing w:before="0" w:after="200"/>
        <w:ind w:hanging="283" w:left="709"/>
        <w:rPr/>
      </w:pPr>
      <w:r>
        <w:rPr>
          <w:rStyle w:val="Strong"/>
        </w:rPr>
        <w:t>Ethics is practical and developmental.</w:t>
      </w:r>
      <w:r>
        <w:rPr/>
        <w:t xml:space="preserve"> Repeated reflection, practice, correction, and examination of conduct are necessary for moral progress.</w:t>
      </w:r>
    </w:p>
    <w:p>
      <w:pPr>
        <w:pStyle w:val="BodyText"/>
        <w:numPr>
          <w:ilvl w:val="0"/>
          <w:numId w:val="71"/>
        </w:numPr>
        <w:tabs>
          <w:tab w:val="clear" w:pos="720"/>
          <w:tab w:val="left" w:pos="0" w:leader="none"/>
        </w:tabs>
        <w:spacing w:before="0" w:after="200"/>
        <w:ind w:hanging="283" w:left="709"/>
        <w:rPr/>
      </w:pPr>
      <w:r>
        <w:rPr>
          <w:rStyle w:val="Strong"/>
        </w:rPr>
        <w:t>Classical Stoicism assumes an ordered nature.</w:t>
      </w:r>
      <w:r>
        <w:rPr/>
        <w:t xml:space="preserve"> Living well involves bringing individual reason into agreement with human social nature and the wider rational order of the cosmos.</w:t>
      </w:r>
    </w:p>
    <w:p>
      <w:pPr>
        <w:pStyle w:val="Heading4"/>
        <w:ind w:hanging="0" w:left="0"/>
        <w:rPr>
          <w:rFonts w:ascii="Aptos" w:hAnsi="Aptos"/>
          <w:color w:val="auto"/>
        </w:rPr>
      </w:pPr>
      <w:r>
        <w:rPr/>
        <w:t>Concepts Incorporated From This Ethical Model</w:t>
      </w:r>
    </w:p>
    <w:p>
      <w:pPr>
        <w:pStyle w:val="BodyText"/>
        <w:spacing w:before="0" w:after="200"/>
        <w:rPr/>
      </w:pPr>
      <w:r>
        <w:rPr/>
        <w:t>This framework already incorporates or can functionally represent several Stoic concepts:</w:t>
      </w:r>
    </w:p>
    <w:tbl>
      <w:tblPr>
        <w:tblW w:w="8640" w:type="dxa"/>
        <w:jc w:val="left"/>
        <w:tblInd w:w="28" w:type="dxa"/>
        <w:tblLayout w:type="fixed"/>
        <w:tblCellMar>
          <w:top w:w="28" w:type="dxa"/>
          <w:left w:w="28" w:type="dxa"/>
          <w:bottom w:w="28" w:type="dxa"/>
          <w:right w:w="28" w:type="dxa"/>
        </w:tblCellMar>
      </w:tblPr>
      <w:tblGrid>
        <w:gridCol w:w="2662"/>
        <w:gridCol w:w="5978"/>
      </w:tblGrid>
      <w:tr>
        <w:trPr>
          <w:tblHeader w:val="true"/>
        </w:trPr>
        <w:tc>
          <w:tcPr>
            <w:tcW w:w="2662" w:type="dxa"/>
            <w:tcBorders/>
            <w:vAlign w:val="center"/>
          </w:tcPr>
          <w:p>
            <w:pPr>
              <w:pStyle w:val="TableHeading"/>
              <w:suppressLineNumbers/>
              <w:spacing w:before="0" w:after="200"/>
              <w:jc w:val="center"/>
              <w:rPr/>
            </w:pPr>
            <w:r>
              <w:rPr/>
              <w:t>Stoic concept</w:t>
            </w:r>
          </w:p>
        </w:tc>
        <w:tc>
          <w:tcPr>
            <w:tcW w:w="5978" w:type="dxa"/>
            <w:tcBorders/>
            <w:vAlign w:val="center"/>
          </w:tcPr>
          <w:p>
            <w:pPr>
              <w:pStyle w:val="TableHeading"/>
              <w:suppressLineNumbers/>
              <w:spacing w:before="0" w:after="200"/>
              <w:jc w:val="center"/>
              <w:rPr/>
            </w:pPr>
            <w:r>
              <w:rPr/>
              <w:t>Incorporation within this framework</w:t>
            </w:r>
          </w:p>
        </w:tc>
      </w:tr>
      <w:tr>
        <w:trPr/>
        <w:tc>
          <w:tcPr>
            <w:tcW w:w="2662" w:type="dxa"/>
            <w:tcBorders/>
            <w:vAlign w:val="center"/>
          </w:tcPr>
          <w:p>
            <w:pPr>
              <w:pStyle w:val="TableContents"/>
              <w:widowControl w:val="false"/>
              <w:suppressLineNumbers/>
              <w:spacing w:before="0" w:after="200"/>
              <w:rPr/>
            </w:pPr>
            <w:r>
              <w:rPr>
                <w:rStyle w:val="Strong"/>
              </w:rPr>
              <w:t>Moral-agent development</w:t>
            </w:r>
          </w:p>
        </w:tc>
        <w:tc>
          <w:tcPr>
            <w:tcW w:w="5978" w:type="dxa"/>
            <w:tcBorders/>
            <w:vAlign w:val="center"/>
          </w:tcPr>
          <w:p>
            <w:pPr>
              <w:pStyle w:val="TableContents"/>
              <w:widowControl w:val="false"/>
              <w:suppressLineNumbers/>
              <w:spacing w:before="0" w:after="200"/>
              <w:rPr/>
            </w:pPr>
            <w:r>
              <w:rPr/>
              <w:t>The Foundational Axiom includes the adaptive development of moral agents rather than evaluating only isolated outcomes.</w:t>
            </w:r>
          </w:p>
        </w:tc>
      </w:tr>
      <w:tr>
        <w:trPr/>
        <w:tc>
          <w:tcPr>
            <w:tcW w:w="2662" w:type="dxa"/>
            <w:tcBorders/>
            <w:vAlign w:val="center"/>
          </w:tcPr>
          <w:p>
            <w:pPr>
              <w:pStyle w:val="TableContents"/>
              <w:widowControl w:val="false"/>
              <w:suppressLineNumbers/>
              <w:spacing w:before="0" w:after="200"/>
              <w:rPr/>
            </w:pPr>
            <w:r>
              <w:rPr>
                <w:rStyle w:val="Strong"/>
              </w:rPr>
              <w:t>Judgment and assent</w:t>
            </w:r>
          </w:p>
        </w:tc>
        <w:tc>
          <w:tcPr>
            <w:tcW w:w="5978" w:type="dxa"/>
            <w:tcBorders/>
            <w:vAlign w:val="center"/>
          </w:tcPr>
          <w:p>
            <w:pPr>
              <w:pStyle w:val="TableContents"/>
              <w:widowControl w:val="false"/>
              <w:suppressLineNumbers/>
              <w:spacing w:before="0" w:after="200"/>
              <w:rPr/>
            </w:pPr>
            <w:r>
              <w:rPr/>
              <w:t>Evidence, assumptions, interpretations, and causal claims can be examined before they are accepted as a basis for action.</w:t>
            </w:r>
          </w:p>
        </w:tc>
      </w:tr>
      <w:tr>
        <w:trPr/>
        <w:tc>
          <w:tcPr>
            <w:tcW w:w="2662" w:type="dxa"/>
            <w:tcBorders/>
            <w:vAlign w:val="center"/>
          </w:tcPr>
          <w:p>
            <w:pPr>
              <w:pStyle w:val="TableContents"/>
              <w:widowControl w:val="false"/>
              <w:suppressLineNumbers/>
              <w:spacing w:before="0" w:after="200"/>
              <w:rPr/>
            </w:pPr>
            <w:r>
              <w:rPr>
                <w:rStyle w:val="Strong"/>
              </w:rPr>
              <w:t>Control distinction</w:t>
            </w:r>
          </w:p>
        </w:tc>
        <w:tc>
          <w:tcPr>
            <w:tcW w:w="5978" w:type="dxa"/>
            <w:tcBorders/>
            <w:vAlign w:val="center"/>
          </w:tcPr>
          <w:p>
            <w:pPr>
              <w:pStyle w:val="TableContents"/>
              <w:widowControl w:val="false"/>
              <w:suppressLineNumbers/>
              <w:spacing w:before="0" w:after="200"/>
              <w:rPr/>
            </w:pPr>
            <w:r>
              <w:rPr/>
              <w:t>Authority, capacity, alternatives, information, and causal influence help distinguish what an agent could control from what the agent could only influence.</w:t>
            </w:r>
          </w:p>
        </w:tc>
      </w:tr>
      <w:tr>
        <w:trPr/>
        <w:tc>
          <w:tcPr>
            <w:tcW w:w="2662" w:type="dxa"/>
            <w:tcBorders/>
            <w:vAlign w:val="center"/>
          </w:tcPr>
          <w:p>
            <w:pPr>
              <w:pStyle w:val="TableContents"/>
              <w:widowControl w:val="false"/>
              <w:suppressLineNumbers/>
              <w:spacing w:before="0" w:after="200"/>
              <w:rPr/>
            </w:pPr>
            <w:r>
              <w:rPr>
                <w:rStyle w:val="Strong"/>
              </w:rPr>
              <w:t>Separation of effects and responsibility</w:t>
            </w:r>
          </w:p>
        </w:tc>
        <w:tc>
          <w:tcPr>
            <w:tcW w:w="5978" w:type="dxa"/>
            <w:tcBorders/>
            <w:vAlign w:val="center"/>
          </w:tcPr>
          <w:p>
            <w:pPr>
              <w:pStyle w:val="TableContents"/>
              <w:widowControl w:val="false"/>
              <w:suppressLineNumbers/>
              <w:spacing w:before="0" w:after="200"/>
              <w:rPr/>
            </w:pPr>
            <w:r>
              <w:rPr/>
              <w:t>A harmful transition can be identified without automatically assigning full responsibility to the actor.</w:t>
            </w:r>
          </w:p>
        </w:tc>
      </w:tr>
      <w:tr>
        <w:trPr/>
        <w:tc>
          <w:tcPr>
            <w:tcW w:w="2662" w:type="dxa"/>
            <w:tcBorders/>
            <w:vAlign w:val="center"/>
          </w:tcPr>
          <w:p>
            <w:pPr>
              <w:pStyle w:val="TableContents"/>
              <w:widowControl w:val="false"/>
              <w:suppressLineNumbers/>
              <w:spacing w:before="0" w:after="200"/>
              <w:rPr/>
            </w:pPr>
            <w:r>
              <w:rPr>
                <w:rStyle w:val="Strong"/>
              </w:rPr>
              <w:t>Appropriate action</w:t>
            </w:r>
          </w:p>
        </w:tc>
        <w:tc>
          <w:tcPr>
            <w:tcW w:w="5978" w:type="dxa"/>
            <w:tcBorders/>
            <w:vAlign w:val="center"/>
          </w:tcPr>
          <w:p>
            <w:pPr>
              <w:pStyle w:val="TableContents"/>
              <w:widowControl w:val="false"/>
              <w:suppressLineNumbers/>
              <w:spacing w:before="0" w:after="200"/>
              <w:rPr/>
            </w:pPr>
            <w:r>
              <w:rPr/>
              <w:t>Roles, relationships, authority, commitments, and Situational Context can generate differentiated responsibilities.</w:t>
            </w:r>
          </w:p>
        </w:tc>
      </w:tr>
      <w:tr>
        <w:trPr/>
        <w:tc>
          <w:tcPr>
            <w:tcW w:w="2662" w:type="dxa"/>
            <w:tcBorders/>
            <w:vAlign w:val="center"/>
          </w:tcPr>
          <w:p>
            <w:pPr>
              <w:pStyle w:val="TableContents"/>
              <w:widowControl w:val="false"/>
              <w:suppressLineNumbers/>
              <w:spacing w:before="0" w:after="200"/>
              <w:rPr/>
            </w:pPr>
            <w:r>
              <w:rPr>
                <w:rStyle w:val="Strong"/>
              </w:rPr>
              <w:t>Wisdom</w:t>
            </w:r>
          </w:p>
        </w:tc>
        <w:tc>
          <w:tcPr>
            <w:tcW w:w="5978" w:type="dxa"/>
            <w:tcBorders/>
            <w:vAlign w:val="center"/>
          </w:tcPr>
          <w:p>
            <w:pPr>
              <w:pStyle w:val="TableContents"/>
              <w:widowControl w:val="false"/>
              <w:suppressLineNumbers/>
              <w:spacing w:before="0" w:after="200"/>
              <w:rPr/>
            </w:pPr>
            <w:r>
              <w:rPr/>
              <w:t>Explicit evidence, probability, uncertainty, causal modeling, and multiple time horizons support disciplined judgment.</w:t>
            </w:r>
          </w:p>
        </w:tc>
      </w:tr>
      <w:tr>
        <w:trPr/>
        <w:tc>
          <w:tcPr>
            <w:tcW w:w="2662" w:type="dxa"/>
            <w:tcBorders/>
            <w:vAlign w:val="center"/>
          </w:tcPr>
          <w:p>
            <w:pPr>
              <w:pStyle w:val="TableContents"/>
              <w:widowControl w:val="false"/>
              <w:suppressLineNumbers/>
              <w:spacing w:before="0" w:after="200"/>
              <w:rPr/>
            </w:pPr>
            <w:r>
              <w:rPr>
                <w:rStyle w:val="Strong"/>
              </w:rPr>
              <w:t>Justice</w:t>
            </w:r>
          </w:p>
        </w:tc>
        <w:tc>
          <w:tcPr>
            <w:tcW w:w="5978" w:type="dxa"/>
            <w:tcBorders/>
            <w:vAlign w:val="center"/>
          </w:tcPr>
          <w:p>
            <w:pPr>
              <w:pStyle w:val="TableContents"/>
              <w:widowControl w:val="false"/>
              <w:suppressLineNumbers/>
              <w:spacing w:before="0" w:after="200"/>
              <w:rPr/>
            </w:pPr>
            <w:r>
              <w:rPr/>
              <w:t>Effects on other relevant entities must be considered rather than subordinated to the actor’s objectives.</w:t>
            </w:r>
          </w:p>
        </w:tc>
      </w:tr>
      <w:tr>
        <w:trPr/>
        <w:tc>
          <w:tcPr>
            <w:tcW w:w="2662" w:type="dxa"/>
            <w:tcBorders/>
            <w:vAlign w:val="center"/>
          </w:tcPr>
          <w:p>
            <w:pPr>
              <w:pStyle w:val="TableContents"/>
              <w:widowControl w:val="false"/>
              <w:suppressLineNumbers/>
              <w:spacing w:before="0" w:after="200"/>
              <w:rPr/>
            </w:pPr>
            <w:r>
              <w:rPr>
                <w:rStyle w:val="Strong"/>
              </w:rPr>
              <w:t>Courage</w:t>
            </w:r>
          </w:p>
        </w:tc>
        <w:tc>
          <w:tcPr>
            <w:tcW w:w="5978" w:type="dxa"/>
            <w:tcBorders/>
            <w:vAlign w:val="center"/>
          </w:tcPr>
          <w:p>
            <w:pPr>
              <w:pStyle w:val="TableContents"/>
              <w:widowControl w:val="false"/>
              <w:suppressLineNumbers/>
              <w:spacing w:before="0" w:after="200"/>
              <w:rPr/>
            </w:pPr>
            <w:r>
              <w:rPr/>
              <w:t>The framework can evaluate willingness to perform a justified action despite personal cost, danger, uncertainty, or opposition.</w:t>
            </w:r>
          </w:p>
        </w:tc>
      </w:tr>
      <w:tr>
        <w:trPr/>
        <w:tc>
          <w:tcPr>
            <w:tcW w:w="2662" w:type="dxa"/>
            <w:tcBorders/>
            <w:vAlign w:val="center"/>
          </w:tcPr>
          <w:p>
            <w:pPr>
              <w:pStyle w:val="TableContents"/>
              <w:widowControl w:val="false"/>
              <w:suppressLineNumbers/>
              <w:spacing w:before="0" w:after="200"/>
              <w:rPr/>
            </w:pPr>
            <w:r>
              <w:rPr>
                <w:rStyle w:val="Strong"/>
              </w:rPr>
              <w:t>Moderation</w:t>
            </w:r>
          </w:p>
        </w:tc>
        <w:tc>
          <w:tcPr>
            <w:tcW w:w="5978" w:type="dxa"/>
            <w:tcBorders/>
            <w:vAlign w:val="center"/>
          </w:tcPr>
          <w:p>
            <w:pPr>
              <w:pStyle w:val="TableContents"/>
              <w:widowControl w:val="false"/>
              <w:suppressLineNumbers/>
              <w:spacing w:before="0" w:after="200"/>
              <w:rPr/>
            </w:pPr>
            <w:r>
              <w:rPr/>
              <w:t>Constraints can prevent impulsive, excessive, status-driven, or narrowly self-interested conduct.</w:t>
            </w:r>
          </w:p>
        </w:tc>
      </w:tr>
      <w:tr>
        <w:trPr/>
        <w:tc>
          <w:tcPr>
            <w:tcW w:w="2662" w:type="dxa"/>
            <w:tcBorders/>
            <w:vAlign w:val="center"/>
          </w:tcPr>
          <w:p>
            <w:pPr>
              <w:pStyle w:val="TableContents"/>
              <w:widowControl w:val="false"/>
              <w:suppressLineNumbers/>
              <w:spacing w:before="0" w:after="200"/>
              <w:rPr/>
            </w:pPr>
            <w:r>
              <w:rPr>
                <w:rStyle w:val="Strong"/>
              </w:rPr>
              <w:t>Conditional objectives</w:t>
            </w:r>
          </w:p>
        </w:tc>
        <w:tc>
          <w:tcPr>
            <w:tcW w:w="5978" w:type="dxa"/>
            <w:tcBorders/>
            <w:vAlign w:val="center"/>
          </w:tcPr>
          <w:p>
            <w:pPr>
              <w:pStyle w:val="TableContents"/>
              <w:widowControl w:val="false"/>
              <w:suppressLineNumbers/>
              <w:spacing w:before="0" w:after="200"/>
              <w:rPr/>
            </w:pPr>
            <w:r>
              <w:rPr/>
              <w:t>Objectives can be pursued subject to uncertainty, external interference, and revisable assumptions.</w:t>
            </w:r>
          </w:p>
        </w:tc>
      </w:tr>
      <w:tr>
        <w:trPr/>
        <w:tc>
          <w:tcPr>
            <w:tcW w:w="2662" w:type="dxa"/>
            <w:tcBorders/>
            <w:vAlign w:val="center"/>
          </w:tcPr>
          <w:p>
            <w:pPr>
              <w:pStyle w:val="TableContents"/>
              <w:widowControl w:val="false"/>
              <w:suppressLineNumbers/>
              <w:spacing w:before="0" w:after="200"/>
              <w:rPr/>
            </w:pPr>
            <w:r>
              <w:rPr>
                <w:rStyle w:val="Strong"/>
              </w:rPr>
              <w:t>View from the whole</w:t>
            </w:r>
          </w:p>
        </w:tc>
        <w:tc>
          <w:tcPr>
            <w:tcW w:w="5978" w:type="dxa"/>
            <w:tcBorders/>
            <w:vAlign w:val="center"/>
          </w:tcPr>
          <w:p>
            <w:pPr>
              <w:pStyle w:val="TableContents"/>
              <w:widowControl w:val="false"/>
              <w:suppressLineNumbers/>
              <w:spacing w:before="0" w:after="200"/>
              <w:rPr/>
            </w:pPr>
            <w:r>
              <w:rPr/>
              <w:t>The complete World Context Transition expands analysis beyond immediate personal advantage.</w:t>
            </w:r>
          </w:p>
        </w:tc>
      </w:tr>
      <w:tr>
        <w:trPr/>
        <w:tc>
          <w:tcPr>
            <w:tcW w:w="2662" w:type="dxa"/>
            <w:tcBorders/>
            <w:vAlign w:val="center"/>
          </w:tcPr>
          <w:p>
            <w:pPr>
              <w:pStyle w:val="TableContents"/>
              <w:widowControl w:val="false"/>
              <w:suppressLineNumbers/>
              <w:spacing w:before="0" w:after="200"/>
              <w:rPr/>
            </w:pPr>
            <w:r>
              <w:rPr>
                <w:rStyle w:val="Strong"/>
              </w:rPr>
              <w:t>Cosmopolitan concern</w:t>
            </w:r>
          </w:p>
        </w:tc>
        <w:tc>
          <w:tcPr>
            <w:tcW w:w="5978" w:type="dxa"/>
            <w:tcBorders/>
            <w:vAlign w:val="center"/>
          </w:tcPr>
          <w:p>
            <w:pPr>
              <w:pStyle w:val="TableContents"/>
              <w:widowControl w:val="false"/>
              <w:suppressLineNumbers/>
              <w:spacing w:before="0" w:after="200"/>
              <w:rPr/>
            </w:pPr>
            <w:r>
              <w:rPr/>
              <w:t>The framework can include distant, institutionally weak, and politically excluded entities within the relevant moral context.</w:t>
            </w:r>
          </w:p>
        </w:tc>
      </w:tr>
      <w:tr>
        <w:trPr/>
        <w:tc>
          <w:tcPr>
            <w:tcW w:w="2662" w:type="dxa"/>
            <w:tcBorders/>
            <w:vAlign w:val="center"/>
          </w:tcPr>
          <w:p>
            <w:pPr>
              <w:pStyle w:val="TableContents"/>
              <w:widowControl w:val="false"/>
              <w:suppressLineNumbers/>
              <w:spacing w:before="0" w:after="200"/>
              <w:rPr/>
            </w:pPr>
            <w:r>
              <w:rPr>
                <w:rStyle w:val="Strong"/>
              </w:rPr>
              <w:t>Self-examination</w:t>
            </w:r>
          </w:p>
        </w:tc>
        <w:tc>
          <w:tcPr>
            <w:tcW w:w="5978" w:type="dxa"/>
            <w:tcBorders/>
            <w:vAlign w:val="center"/>
          </w:tcPr>
          <w:p>
            <w:pPr>
              <w:pStyle w:val="TableContents"/>
              <w:widowControl w:val="false"/>
              <w:suppressLineNumbers/>
              <w:spacing w:before="0" w:after="200"/>
              <w:rPr/>
            </w:pPr>
            <w:r>
              <w:rPr/>
              <w:t>Decision records, outcome review, assumption testing, and policy updates support continuing moral development.</w:t>
            </w:r>
          </w:p>
        </w:tc>
      </w:tr>
      <w:tr>
        <w:trPr/>
        <w:tc>
          <w:tcPr>
            <w:tcW w:w="2662" w:type="dxa"/>
            <w:tcBorders/>
            <w:vAlign w:val="center"/>
          </w:tcPr>
          <w:p>
            <w:pPr>
              <w:pStyle w:val="TableContents"/>
              <w:widowControl w:val="false"/>
              <w:suppressLineNumbers/>
              <w:spacing w:before="0" w:after="200"/>
              <w:rPr/>
            </w:pPr>
            <w:r>
              <w:rPr>
                <w:rStyle w:val="Strong"/>
              </w:rPr>
              <w:t>Preparation for adversity</w:t>
            </w:r>
          </w:p>
        </w:tc>
        <w:tc>
          <w:tcPr>
            <w:tcW w:w="5978" w:type="dxa"/>
            <w:tcBorders/>
            <w:vAlign w:val="center"/>
          </w:tcPr>
          <w:p>
            <w:pPr>
              <w:pStyle w:val="TableContents"/>
              <w:widowControl w:val="false"/>
              <w:suppressLineNumbers/>
              <w:spacing w:before="0" w:after="200"/>
              <w:rPr/>
            </w:pPr>
            <w:r>
              <w:rPr/>
              <w:t>Scenario analysis and stress testing allow agents to anticipate obstacles without assuming that every outcome can be controlled.</w:t>
            </w:r>
          </w:p>
        </w:tc>
      </w:tr>
      <w:tr>
        <w:trPr/>
        <w:tc>
          <w:tcPr>
            <w:tcW w:w="2662" w:type="dxa"/>
            <w:tcBorders/>
            <w:vAlign w:val="center"/>
          </w:tcPr>
          <w:p>
            <w:pPr>
              <w:pStyle w:val="TableContents"/>
              <w:widowControl w:val="false"/>
              <w:suppressLineNumbers/>
              <w:spacing w:before="0" w:after="200"/>
              <w:rPr/>
            </w:pPr>
            <w:r>
              <w:rPr>
                <w:rStyle w:val="Strong"/>
              </w:rPr>
              <w:t>Policy consistency</w:t>
            </w:r>
          </w:p>
        </w:tc>
        <w:tc>
          <w:tcPr>
            <w:tcW w:w="5978" w:type="dxa"/>
            <w:tcBorders/>
            <w:vAlign w:val="center"/>
          </w:tcPr>
          <w:p>
            <w:pPr>
              <w:pStyle w:val="TableContents"/>
              <w:widowControl w:val="false"/>
              <w:suppressLineNumbers/>
              <w:spacing w:before="0" w:after="200"/>
              <w:rPr/>
            </w:pPr>
            <w:r>
              <w:rPr/>
              <w:t>Distributed Policy Effects evaluate how conduct shapes the future dispositions of agents, institutions, observers, and artificial systems.</w:t>
            </w:r>
          </w:p>
        </w:tc>
      </w:tr>
      <w:tr>
        <w:trPr/>
        <w:tc>
          <w:tcPr>
            <w:tcW w:w="2662" w:type="dxa"/>
            <w:tcBorders/>
            <w:vAlign w:val="center"/>
          </w:tcPr>
          <w:p>
            <w:pPr>
              <w:pStyle w:val="TableContents"/>
              <w:widowControl w:val="false"/>
              <w:suppressLineNumbers/>
              <w:spacing w:before="0" w:after="200"/>
              <w:rPr/>
            </w:pPr>
            <w:r>
              <w:rPr>
                <w:rStyle w:val="Strong"/>
              </w:rPr>
              <w:t>Corrective action</w:t>
            </w:r>
          </w:p>
        </w:tc>
        <w:tc>
          <w:tcPr>
            <w:tcW w:w="5978" w:type="dxa"/>
            <w:tcBorders/>
            <w:vAlign w:val="center"/>
          </w:tcPr>
          <w:p>
            <w:pPr>
              <w:pStyle w:val="TableContents"/>
              <w:widowControl w:val="false"/>
              <w:suppressLineNumbers/>
              <w:spacing w:before="0" w:after="200"/>
              <w:rPr/>
            </w:pPr>
            <w:r>
              <w:rPr/>
              <w:t>Once an adverse outcome becomes known, the framework can identify what responsible action is presently within the agent’s control.</w:t>
            </w:r>
          </w:p>
        </w:tc>
      </w:tr>
    </w:tbl>
    <w:p>
      <w:pPr>
        <w:pStyle w:val="BodyText"/>
        <w:spacing w:before="0" w:after="200"/>
        <w:rPr/>
      </w:pPr>
      <w:r>
        <w:rPr/>
        <w:t>These parallels do not mean that the framework accepts the Stoic position that virtue is the only good or that external harms are morally indifferent.</w:t>
      </w:r>
    </w:p>
    <w:p>
      <w:pPr>
        <w:pStyle w:val="Heading4"/>
        <w:ind w:hanging="0" w:left="0"/>
        <w:rPr>
          <w:rFonts w:ascii="Aptos" w:hAnsi="Aptos"/>
          <w:color w:val="auto"/>
        </w:rPr>
      </w:pPr>
      <w:r>
        <w:rPr/>
        <w:t>How This Framework Addresses Those Assumptions</w:t>
      </w:r>
    </w:p>
    <w:p>
      <w:pPr>
        <w:pStyle w:val="BodyText"/>
        <w:spacing w:before="0" w:after="200"/>
        <w:rPr/>
      </w:pPr>
      <w:r>
        <w:rPr/>
        <w:t>The framework addresses the Stoic critique by separating at least three questions that are sometimes collapsed into a single ethical conclusion:</w:t>
      </w:r>
    </w:p>
    <w:p>
      <w:pPr>
        <w:pStyle w:val="BodyText"/>
        <w:numPr>
          <w:ilvl w:val="0"/>
          <w:numId w:val="72"/>
        </w:numPr>
        <w:tabs>
          <w:tab w:val="clear" w:pos="720"/>
          <w:tab w:val="left" w:pos="0" w:leader="none"/>
        </w:tabs>
        <w:spacing w:before="0" w:after="200"/>
        <w:ind w:hanging="283" w:left="709"/>
        <w:rPr/>
      </w:pPr>
      <w:r>
        <w:rPr>
          <w:rStyle w:val="Strong"/>
        </w:rPr>
        <w:t>Was the expected World Context Transition ethically acceptable based on the information available at the time?</w:t>
      </w:r>
    </w:p>
    <w:p>
      <w:pPr>
        <w:pStyle w:val="BodyText"/>
        <w:numPr>
          <w:ilvl w:val="0"/>
          <w:numId w:val="72"/>
        </w:numPr>
        <w:tabs>
          <w:tab w:val="clear" w:pos="720"/>
          <w:tab w:val="left" w:pos="0" w:leader="none"/>
        </w:tabs>
        <w:spacing w:before="0" w:after="200"/>
        <w:ind w:hanging="283" w:left="709"/>
        <w:rPr/>
      </w:pPr>
      <w:r>
        <w:rPr>
          <w:rStyle w:val="Strong"/>
        </w:rPr>
        <w:t>What World Context Transition actually occurred?</w:t>
      </w:r>
    </w:p>
    <w:p>
      <w:pPr>
        <w:pStyle w:val="BodyText"/>
        <w:numPr>
          <w:ilvl w:val="0"/>
          <w:numId w:val="72"/>
        </w:numPr>
        <w:tabs>
          <w:tab w:val="clear" w:pos="720"/>
          <w:tab w:val="left" w:pos="0" w:leader="none"/>
        </w:tabs>
        <w:spacing w:before="0" w:after="200"/>
        <w:ind w:hanging="283" w:left="709"/>
        <w:rPr/>
      </w:pPr>
      <w:r>
        <w:rPr>
          <w:rStyle w:val="Strong"/>
        </w:rPr>
        <w:t>To what extent is the actor responsible for the difference between the expected and actual transition?</w:t>
      </w:r>
    </w:p>
    <w:p>
      <w:pPr>
        <w:pStyle w:val="BodyText"/>
        <w:spacing w:before="0" w:after="200"/>
        <w:rPr/>
      </w:pPr>
      <w:r>
        <w:rPr/>
        <w:t>This separation limits moral luck. An agent is not automatically blameworthy because a carefully reasoned action produced an unforeseeable result. Conversely, good fortune does not excuse negligent, reckless, or unjust reasoning merely because the eventual outcome was favorable.</w:t>
      </w:r>
    </w:p>
    <w:p>
      <w:pPr>
        <w:pStyle w:val="BodyText"/>
        <w:spacing w:before="0" w:after="200"/>
        <w:rPr/>
      </w:pPr>
      <w:r>
        <w:rPr/>
        <w:t>The framework’s requirement to use the best available evidence is compatible with the Stoic emphasis on the disciplined examination of impressions. The agent is responsible for the quality of the inquiry, the reasonableness of the assumptions, the treatment of uncertainty, and the selection of action—not for possessing impossible knowledge or absolute control over external events.</w:t>
      </w:r>
    </w:p>
    <w:p>
      <w:pPr>
        <w:pStyle w:val="BodyText"/>
        <w:spacing w:before="0" w:after="200"/>
        <w:rPr/>
      </w:pPr>
      <w:r>
        <w:rPr/>
        <w:t>Responsibility analysis also incorporates control. The framework can distinguish:</w:t>
      </w:r>
    </w:p>
    <w:p>
      <w:pPr>
        <w:pStyle w:val="BodyText"/>
        <w:numPr>
          <w:ilvl w:val="0"/>
          <w:numId w:val="73"/>
        </w:numPr>
        <w:tabs>
          <w:tab w:val="clear" w:pos="720"/>
          <w:tab w:val="left" w:pos="0" w:leader="none"/>
        </w:tabs>
        <w:spacing w:before="0" w:after="200"/>
        <w:ind w:hanging="283" w:left="709"/>
        <w:rPr/>
      </w:pPr>
      <w:r>
        <w:rPr/>
        <w:t>Directly controlled conduct;</w:t>
      </w:r>
    </w:p>
    <w:p>
      <w:pPr>
        <w:pStyle w:val="BodyText"/>
        <w:numPr>
          <w:ilvl w:val="0"/>
          <w:numId w:val="73"/>
        </w:numPr>
        <w:tabs>
          <w:tab w:val="clear" w:pos="720"/>
          <w:tab w:val="left" w:pos="0" w:leader="none"/>
        </w:tabs>
        <w:spacing w:before="0" w:after="200"/>
        <w:ind w:hanging="283" w:left="709"/>
        <w:rPr/>
      </w:pPr>
      <w:r>
        <w:rPr/>
        <w:t>Conditions the actor could materially influence;</w:t>
      </w:r>
    </w:p>
    <w:p>
      <w:pPr>
        <w:pStyle w:val="BodyText"/>
        <w:numPr>
          <w:ilvl w:val="0"/>
          <w:numId w:val="73"/>
        </w:numPr>
        <w:tabs>
          <w:tab w:val="clear" w:pos="720"/>
          <w:tab w:val="left" w:pos="0" w:leader="none"/>
        </w:tabs>
        <w:spacing w:before="0" w:after="200"/>
        <w:ind w:hanging="283" w:left="709"/>
        <w:rPr/>
      </w:pPr>
      <w:r>
        <w:rPr/>
        <w:t>Conditions controlled by other agents;</w:t>
      </w:r>
    </w:p>
    <w:p>
      <w:pPr>
        <w:pStyle w:val="BodyText"/>
        <w:numPr>
          <w:ilvl w:val="0"/>
          <w:numId w:val="73"/>
        </w:numPr>
        <w:tabs>
          <w:tab w:val="clear" w:pos="720"/>
          <w:tab w:val="left" w:pos="0" w:leader="none"/>
        </w:tabs>
        <w:spacing w:before="0" w:after="200"/>
        <w:ind w:hanging="283" w:left="709"/>
        <w:rPr/>
      </w:pPr>
      <w:r>
        <w:rPr/>
        <w:t>Environmental and systemic uncertainty;</w:t>
      </w:r>
    </w:p>
    <w:p>
      <w:pPr>
        <w:pStyle w:val="BodyText"/>
        <w:numPr>
          <w:ilvl w:val="0"/>
          <w:numId w:val="73"/>
        </w:numPr>
        <w:tabs>
          <w:tab w:val="clear" w:pos="720"/>
          <w:tab w:val="left" w:pos="0" w:leader="none"/>
        </w:tabs>
        <w:spacing w:before="0" w:after="200"/>
        <w:ind w:hanging="283" w:left="709"/>
        <w:rPr/>
      </w:pPr>
      <w:r>
        <w:rPr/>
        <w:t>Unforeseeable events; and</w:t>
      </w:r>
    </w:p>
    <w:p>
      <w:pPr>
        <w:pStyle w:val="BodyText"/>
        <w:numPr>
          <w:ilvl w:val="0"/>
          <w:numId w:val="73"/>
        </w:numPr>
        <w:tabs>
          <w:tab w:val="clear" w:pos="720"/>
          <w:tab w:val="left" w:pos="0" w:leader="none"/>
        </w:tabs>
        <w:spacing w:before="0" w:after="200"/>
        <w:ind w:hanging="283" w:left="709"/>
        <w:rPr/>
      </w:pPr>
      <w:r>
        <w:rPr/>
        <w:t>Outcomes outside any relevant agent’s practical control.</w:t>
      </w:r>
    </w:p>
    <w:p>
      <w:pPr>
        <w:pStyle w:val="BodyText"/>
        <w:spacing w:before="0" w:after="200"/>
        <w:rPr/>
      </w:pPr>
      <w:r>
        <w:rPr/>
        <w:t>The framework nevertheless rejects the conclusion that external effects are ethically irrelevant. Bodily injury, deprivation, loss of agency, institutional collapse, and destruction of future possibilities materially affect other entities even when they do not corrupt the actor’s character. The ethical status of the transition and the moral quality of the actor must therefore remain separate but related findings.</w:t>
      </w:r>
    </w:p>
    <w:p>
      <w:pPr>
        <w:pStyle w:val="BodyText"/>
        <w:spacing w:before="0" w:after="200"/>
        <w:rPr/>
      </w:pPr>
      <w:r>
        <w:rPr/>
        <w:t>The framework also addresses the risk of excessive attachment by evaluating feasibility, proportionality, uncertainty, reversibility, and available alternatives. It does not require an agent to control what cannot be controlled. Acceptance can be appropriate after reasonable corrective possibilities have been considered.</w:t>
      </w:r>
    </w:p>
    <w:p>
      <w:pPr>
        <w:pStyle w:val="BodyText"/>
        <w:spacing w:before="0" w:after="200"/>
        <w:rPr/>
      </w:pPr>
      <w:r>
        <w:rPr/>
        <w:t>Finally, the framework’s Distributed Policy Effects provide a systems-level analogue to Stoic character formation. An action affects not only the current environment but also the policies and dispositions that agents and institutions are likely to use in the future.</w:t>
      </w:r>
    </w:p>
    <w:p>
      <w:pPr>
        <w:pStyle w:val="Heading4"/>
        <w:ind w:hanging="0" w:left="0"/>
        <w:rPr>
          <w:rFonts w:ascii="Aptos" w:hAnsi="Aptos"/>
          <w:color w:val="auto"/>
        </w:rPr>
      </w:pPr>
      <w:r>
        <w:rPr/>
        <w:t>Counterargument</w:t>
      </w:r>
    </w:p>
    <w:p>
      <w:pPr>
        <w:pStyle w:val="BodyText"/>
        <w:spacing w:before="0" w:after="200"/>
        <w:rPr/>
      </w:pPr>
      <w:r>
        <w:rPr/>
        <w:t>The framework’s counterargument is that Stoic concentration on the agent’s internal moral condition is necessary but not sufficient for evaluating actions within complex systems.</w:t>
      </w:r>
    </w:p>
    <w:p>
      <w:pPr>
        <w:pStyle w:val="BodyText"/>
        <w:spacing w:before="0" w:after="200"/>
        <w:rPr/>
      </w:pPr>
      <w:r>
        <w:rPr/>
        <w:t>A decision-maker may act with composure, sincere intent, and internal consistency while relying on inadequate evidence or imposing avoidable harm on others. If ethical evaluation ends with the actor’s state of mind, it may overlook negligent system design, institutionalized deprivation, environmental destruction, or the cumulative effects of individually defensible choices.</w:t>
      </w:r>
    </w:p>
    <w:p>
      <w:pPr>
        <w:pStyle w:val="BodyText"/>
        <w:spacing w:before="0" w:after="200"/>
        <w:rPr/>
      </w:pPr>
      <w:r>
        <w:rPr/>
        <w:t>The Stoic distinction between virtue and external success does not eliminate the need to assess consequences. Stoics themselves recognize that health, safety, education, and adequate resources are normally preferred and that justice requires appropriate action toward others. Determining the appropriate action therefore requires evidence about probable effects, relationships, roles, and available alternatives.</w:t>
      </w:r>
    </w:p>
    <w:p>
      <w:pPr>
        <w:pStyle w:val="BodyText"/>
        <w:spacing w:before="0" w:after="200"/>
        <w:rPr/>
      </w:pPr>
      <w:r>
        <w:rPr/>
        <w:t>This framework consequently proposes a dual evaluation:</w:t>
      </w:r>
    </w:p>
    <w:p>
      <w:pPr>
        <w:pStyle w:val="BodyText"/>
        <w:numPr>
          <w:ilvl w:val="0"/>
          <w:numId w:val="74"/>
        </w:numPr>
        <w:tabs>
          <w:tab w:val="clear" w:pos="720"/>
          <w:tab w:val="left" w:pos="0" w:leader="none"/>
        </w:tabs>
        <w:spacing w:before="0" w:after="200"/>
        <w:ind w:hanging="283" w:left="709"/>
        <w:rPr/>
      </w:pPr>
      <w:r>
        <w:rPr>
          <w:rStyle w:val="Strong"/>
        </w:rPr>
        <w:t>Agent evaluation:</w:t>
      </w:r>
      <w:r>
        <w:rPr/>
        <w:t xml:space="preserve"> Did the actor exercise wisdom, justice, courage, moderation, epistemic discipline, and appropriate control?</w:t>
      </w:r>
    </w:p>
    <w:p>
      <w:pPr>
        <w:pStyle w:val="BodyText"/>
        <w:numPr>
          <w:ilvl w:val="0"/>
          <w:numId w:val="74"/>
        </w:numPr>
        <w:tabs>
          <w:tab w:val="clear" w:pos="720"/>
          <w:tab w:val="left" w:pos="0" w:leader="none"/>
        </w:tabs>
        <w:spacing w:before="0" w:after="200"/>
        <w:ind w:hanging="283" w:left="709"/>
        <w:rPr/>
      </w:pPr>
      <w:r>
        <w:rPr>
          <w:rStyle w:val="Strong"/>
        </w:rPr>
        <w:t>Transition evaluation:</w:t>
      </w:r>
      <w:r>
        <w:rPr/>
        <w:t xml:space="preserve"> What happened to the flourishing, relationships, capabilities, institutions, and future possibilities of affected entities?</w:t>
      </w:r>
    </w:p>
    <w:p>
      <w:pPr>
        <w:pStyle w:val="BodyText"/>
        <w:spacing w:before="0" w:after="200"/>
        <w:rPr/>
      </w:pPr>
      <w:r>
        <w:rPr/>
        <w:t>Neither evaluation should replace the other. Outcome analysis without agent analysis produces moral luck and unrealistic expectations of control. Agent analysis without outcome analysis risks moral self-absorption and neglect of preventable harm.</w:t>
      </w:r>
    </w:p>
    <w:p>
      <w:pPr>
        <w:pStyle w:val="BodyText"/>
        <w:spacing w:before="0" w:after="200"/>
        <w:rPr/>
      </w:pPr>
      <w:r>
        <w:rPr/>
        <w:t>The framework also need not accept the Stoic metaphysical claim that nature is providentially or rationally ordered. Stoic practices of disciplined judgment, conditional action, role responsibility, and acceptance of uncontrollable events can be incorporated without adopting classical cosmology.</w:t>
      </w:r>
    </w:p>
    <w:p>
      <w:pPr>
        <w:pStyle w:val="Heading4"/>
        <w:ind w:hanging="0" w:left="0"/>
        <w:rPr>
          <w:rFonts w:ascii="Aptos" w:hAnsi="Aptos"/>
          <w:color w:val="auto"/>
        </w:rPr>
      </w:pPr>
      <w:r>
        <w:rPr/>
        <w:t>Incremental Questions the Expert Should Then Ask</w:t>
      </w:r>
    </w:p>
    <w:tbl>
      <w:tblPr>
        <w:tblW w:w="8640" w:type="dxa"/>
        <w:jc w:val="left"/>
        <w:tblInd w:w="28" w:type="dxa"/>
        <w:tblLayout w:type="fixed"/>
        <w:tblCellMar>
          <w:top w:w="28" w:type="dxa"/>
          <w:left w:w="28" w:type="dxa"/>
          <w:bottom w:w="28" w:type="dxa"/>
          <w:right w:w="28" w:type="dxa"/>
        </w:tblCellMar>
      </w:tblPr>
      <w:tblGrid>
        <w:gridCol w:w="2935"/>
        <w:gridCol w:w="5705"/>
      </w:tblGrid>
      <w:tr>
        <w:trPr>
          <w:tblHeader w:val="true"/>
        </w:trPr>
        <w:tc>
          <w:tcPr>
            <w:tcW w:w="2935" w:type="dxa"/>
            <w:tcBorders/>
            <w:vAlign w:val="center"/>
          </w:tcPr>
          <w:p>
            <w:pPr>
              <w:pStyle w:val="TableHeading"/>
              <w:suppressLineNumbers/>
              <w:spacing w:before="0" w:after="200"/>
              <w:jc w:val="center"/>
              <w:rPr/>
            </w:pPr>
            <w:r>
              <w:rPr/>
              <w:t>Incremental question</w:t>
            </w:r>
          </w:p>
        </w:tc>
        <w:tc>
          <w:tcPr>
            <w:tcW w:w="5705" w:type="dxa"/>
            <w:tcBorders/>
            <w:vAlign w:val="center"/>
          </w:tcPr>
          <w:p>
            <w:pPr>
              <w:pStyle w:val="TableHeading"/>
              <w:suppressLineNumbers/>
              <w:spacing w:before="0" w:after="200"/>
              <w:jc w:val="center"/>
              <w:rPr/>
            </w:pPr>
            <w:r>
              <w:rPr/>
              <w:t>Response</w:t>
            </w:r>
          </w:p>
        </w:tc>
      </w:tr>
      <w:tr>
        <w:trPr/>
        <w:tc>
          <w:tcPr>
            <w:tcW w:w="2935" w:type="dxa"/>
            <w:tcBorders/>
            <w:vAlign w:val="center"/>
          </w:tcPr>
          <w:p>
            <w:pPr>
              <w:pStyle w:val="TableContents"/>
              <w:widowControl w:val="false"/>
              <w:suppressLineNumbers/>
              <w:spacing w:before="0" w:after="200"/>
              <w:rPr/>
            </w:pPr>
            <w:r>
              <w:rPr>
                <w:rStyle w:val="Strong"/>
              </w:rPr>
              <w:t>1. Does the framework judge agents by outcomes they could not control?</w:t>
            </w:r>
          </w:p>
        </w:tc>
        <w:tc>
          <w:tcPr>
            <w:tcW w:w="5705" w:type="dxa"/>
            <w:tcBorders/>
            <w:vAlign w:val="center"/>
          </w:tcPr>
          <w:p>
            <w:pPr>
              <w:pStyle w:val="TableContents"/>
              <w:widowControl w:val="false"/>
              <w:suppressLineNumbers/>
              <w:spacing w:before="0" w:after="200"/>
              <w:rPr/>
            </w:pPr>
            <w:r>
              <w:rPr/>
              <w:t>No. Outcomes determine the ethical character of the transition, while control, knowledge, authority, alternatives, and foreseeability determine the actor’s responsibility.</w:t>
            </w:r>
          </w:p>
        </w:tc>
      </w:tr>
      <w:tr>
        <w:trPr/>
        <w:tc>
          <w:tcPr>
            <w:tcW w:w="2935" w:type="dxa"/>
            <w:tcBorders/>
            <w:vAlign w:val="center"/>
          </w:tcPr>
          <w:p>
            <w:pPr>
              <w:pStyle w:val="TableContents"/>
              <w:widowControl w:val="false"/>
              <w:suppressLineNumbers/>
              <w:spacing w:before="0" w:after="200"/>
              <w:rPr/>
            </w:pPr>
            <w:r>
              <w:rPr>
                <w:rStyle w:val="Strong"/>
              </w:rPr>
              <w:t>2. Why call an outcome ethically bad if it did not result from vice?</w:t>
            </w:r>
          </w:p>
        </w:tc>
        <w:tc>
          <w:tcPr>
            <w:tcW w:w="5705" w:type="dxa"/>
            <w:tcBorders/>
            <w:vAlign w:val="center"/>
          </w:tcPr>
          <w:p>
            <w:pPr>
              <w:pStyle w:val="TableContents"/>
              <w:widowControl w:val="false"/>
              <w:suppressLineNumbers/>
              <w:spacing w:before="0" w:after="200"/>
              <w:rPr/>
            </w:pPr>
            <w:r>
              <w:rPr/>
              <w:t>Because an entity can suffer a real reduction in health, agency, capability, relationships, or future possibilities even when no actor is blameworthy. Ethical harm and personal vice are related but distinct categories.</w:t>
            </w:r>
          </w:p>
        </w:tc>
      </w:tr>
      <w:tr>
        <w:trPr/>
        <w:tc>
          <w:tcPr>
            <w:tcW w:w="2935" w:type="dxa"/>
            <w:tcBorders/>
            <w:vAlign w:val="center"/>
          </w:tcPr>
          <w:p>
            <w:pPr>
              <w:pStyle w:val="TableContents"/>
              <w:widowControl w:val="false"/>
              <w:suppressLineNumbers/>
              <w:spacing w:before="0" w:after="200"/>
              <w:rPr/>
            </w:pPr>
            <w:r>
              <w:rPr>
                <w:rStyle w:val="Strong"/>
              </w:rPr>
              <w:t>3. Is the framework vulnerable to moral luck?</w:t>
            </w:r>
          </w:p>
        </w:tc>
        <w:tc>
          <w:tcPr>
            <w:tcW w:w="5705" w:type="dxa"/>
            <w:tcBorders/>
            <w:vAlign w:val="center"/>
          </w:tcPr>
          <w:p>
            <w:pPr>
              <w:pStyle w:val="TableContents"/>
              <w:widowControl w:val="false"/>
              <w:suppressLineNumbers/>
              <w:spacing w:before="0" w:after="200"/>
              <w:rPr/>
            </w:pPr>
            <w:r>
              <w:rPr/>
              <w:t>It would be if it inferred responsibility directly from actual results. A complete assessment should compare the ex ante reasonableness of the decision with the ex post transition and report them separately.</w:t>
            </w:r>
          </w:p>
        </w:tc>
      </w:tr>
      <w:tr>
        <w:trPr/>
        <w:tc>
          <w:tcPr>
            <w:tcW w:w="2935" w:type="dxa"/>
            <w:tcBorders/>
            <w:vAlign w:val="center"/>
          </w:tcPr>
          <w:p>
            <w:pPr>
              <w:pStyle w:val="TableContents"/>
              <w:widowControl w:val="false"/>
              <w:suppressLineNumbers/>
              <w:spacing w:before="0" w:after="200"/>
              <w:rPr/>
            </w:pPr>
            <w:r>
              <w:rPr>
                <w:rStyle w:val="Strong"/>
              </w:rPr>
              <w:t>4. What counts as being within an agent’s control?</w:t>
            </w:r>
          </w:p>
        </w:tc>
        <w:tc>
          <w:tcPr>
            <w:tcW w:w="5705" w:type="dxa"/>
            <w:tcBorders/>
            <w:vAlign w:val="center"/>
          </w:tcPr>
          <w:p>
            <w:pPr>
              <w:pStyle w:val="TableContents"/>
              <w:widowControl w:val="false"/>
              <w:suppressLineNumbers/>
              <w:spacing w:before="0" w:after="200"/>
              <w:rPr/>
            </w:pPr>
            <w:r>
              <w:rPr/>
              <w:t>Control should be decomposed into direct control, material influence, institutional authority, informational access, ability to select alternatives, and ability to respond after the event.</w:t>
            </w:r>
          </w:p>
        </w:tc>
      </w:tr>
      <w:tr>
        <w:trPr/>
        <w:tc>
          <w:tcPr>
            <w:tcW w:w="2935" w:type="dxa"/>
            <w:tcBorders/>
            <w:vAlign w:val="center"/>
          </w:tcPr>
          <w:p>
            <w:pPr>
              <w:pStyle w:val="TableContents"/>
              <w:widowControl w:val="false"/>
              <w:suppressLineNumbers/>
              <w:spacing w:before="0" w:after="200"/>
              <w:rPr/>
            </w:pPr>
            <w:r>
              <w:rPr>
                <w:rStyle w:val="Strong"/>
              </w:rPr>
              <w:t>5. How much prediction does the framework require?</w:t>
            </w:r>
          </w:p>
        </w:tc>
        <w:tc>
          <w:tcPr>
            <w:tcW w:w="5705" w:type="dxa"/>
            <w:tcBorders/>
            <w:vAlign w:val="center"/>
          </w:tcPr>
          <w:p>
            <w:pPr>
              <w:pStyle w:val="TableContents"/>
              <w:widowControl w:val="false"/>
              <w:suppressLineNumbers/>
              <w:spacing w:before="0" w:after="200"/>
              <w:rPr/>
            </w:pPr>
            <w:r>
              <w:rPr/>
              <w:t>Only prediction proportionate to the action’s stakes, reversibility, available evidence, and potential harm. It requires reasonable judgment, not certainty.</w:t>
            </w:r>
          </w:p>
        </w:tc>
      </w:tr>
      <w:tr>
        <w:trPr/>
        <w:tc>
          <w:tcPr>
            <w:tcW w:w="2935" w:type="dxa"/>
            <w:tcBorders/>
            <w:vAlign w:val="center"/>
          </w:tcPr>
          <w:p>
            <w:pPr>
              <w:pStyle w:val="TableContents"/>
              <w:widowControl w:val="false"/>
              <w:suppressLineNumbers/>
              <w:spacing w:before="0" w:after="200"/>
              <w:rPr/>
            </w:pPr>
            <w:r>
              <w:rPr>
                <w:rStyle w:val="Strong"/>
              </w:rPr>
              <w:t>6. Does failed prediction imply failed virtue?</w:t>
            </w:r>
          </w:p>
        </w:tc>
        <w:tc>
          <w:tcPr>
            <w:tcW w:w="5705" w:type="dxa"/>
            <w:tcBorders/>
            <w:vAlign w:val="center"/>
          </w:tcPr>
          <w:p>
            <w:pPr>
              <w:pStyle w:val="TableContents"/>
              <w:widowControl w:val="false"/>
              <w:suppressLineNumbers/>
              <w:spacing w:before="0" w:after="200"/>
              <w:rPr/>
            </w:pPr>
            <w:r>
              <w:rPr/>
              <w:t>Not necessarily. A forecast can fail despite disciplined reasoning. Virtue-related failure arises when evidence was ignored, uncertainty concealed, alternatives neglected, or self-interest distorted the judgment.</w:t>
            </w:r>
          </w:p>
        </w:tc>
      </w:tr>
      <w:tr>
        <w:trPr/>
        <w:tc>
          <w:tcPr>
            <w:tcW w:w="2935" w:type="dxa"/>
            <w:tcBorders/>
            <w:vAlign w:val="center"/>
          </w:tcPr>
          <w:p>
            <w:pPr>
              <w:pStyle w:val="TableContents"/>
              <w:widowControl w:val="false"/>
              <w:suppressLineNumbers/>
              <w:spacing w:before="0" w:after="200"/>
              <w:rPr/>
            </w:pPr>
            <w:r>
              <w:rPr>
                <w:rStyle w:val="Strong"/>
              </w:rPr>
              <w:t>7. Does successful prediction prove ethical excellence?</w:t>
            </w:r>
          </w:p>
        </w:tc>
        <w:tc>
          <w:tcPr>
            <w:tcW w:w="5705" w:type="dxa"/>
            <w:tcBorders/>
            <w:vAlign w:val="center"/>
          </w:tcPr>
          <w:p>
            <w:pPr>
              <w:pStyle w:val="TableContents"/>
              <w:widowControl w:val="false"/>
              <w:suppressLineNumbers/>
              <w:spacing w:before="0" w:after="200"/>
              <w:rPr/>
            </w:pPr>
            <w:r>
              <w:rPr/>
              <w:t>No. A favorable outcome may result from luck, manipulation, injustice, or reckless risk-taking. The reasoning and means must be evaluated independently.</w:t>
            </w:r>
          </w:p>
        </w:tc>
      </w:tr>
      <w:tr>
        <w:trPr/>
        <w:tc>
          <w:tcPr>
            <w:tcW w:w="2935" w:type="dxa"/>
            <w:tcBorders/>
            <w:vAlign w:val="center"/>
          </w:tcPr>
          <w:p>
            <w:pPr>
              <w:pStyle w:val="TableContents"/>
              <w:widowControl w:val="false"/>
              <w:suppressLineNumbers/>
              <w:spacing w:before="0" w:after="200"/>
              <w:rPr/>
            </w:pPr>
            <w:r>
              <w:rPr>
                <w:rStyle w:val="Strong"/>
              </w:rPr>
              <w:t>8. Does the framework treat health, wealth, and security as unconditional moral goods?</w:t>
            </w:r>
          </w:p>
        </w:tc>
        <w:tc>
          <w:tcPr>
            <w:tcW w:w="5705" w:type="dxa"/>
            <w:tcBorders/>
            <w:vAlign w:val="center"/>
          </w:tcPr>
          <w:p>
            <w:pPr>
              <w:pStyle w:val="TableContents"/>
              <w:widowControl w:val="false"/>
              <w:suppressLineNumbers/>
              <w:spacing w:before="0" w:after="200"/>
              <w:rPr/>
            </w:pPr>
            <w:r>
              <w:rPr/>
              <w:t>No. These conditions can support flourishing but can also be obtained or used unjustly. Their value depends partly on their distribution, use, relationships, and wider effects.</w:t>
            </w:r>
          </w:p>
        </w:tc>
      </w:tr>
      <w:tr>
        <w:trPr/>
        <w:tc>
          <w:tcPr>
            <w:tcW w:w="2935" w:type="dxa"/>
            <w:tcBorders/>
            <w:vAlign w:val="center"/>
          </w:tcPr>
          <w:p>
            <w:pPr>
              <w:pStyle w:val="TableContents"/>
              <w:widowControl w:val="false"/>
              <w:suppressLineNumbers/>
              <w:spacing w:before="0" w:after="200"/>
              <w:rPr/>
            </w:pPr>
            <w:r>
              <w:rPr>
                <w:rStyle w:val="Strong"/>
              </w:rPr>
              <w:t>9. Why not classify these conditions as preferred indifferents?</w:t>
            </w:r>
          </w:p>
        </w:tc>
        <w:tc>
          <w:tcPr>
            <w:tcW w:w="5705" w:type="dxa"/>
            <w:tcBorders/>
            <w:vAlign w:val="center"/>
          </w:tcPr>
          <w:p>
            <w:pPr>
              <w:pStyle w:val="TableContents"/>
              <w:widowControl w:val="false"/>
              <w:suppressLineNumbers/>
              <w:spacing w:before="0" w:after="200"/>
              <w:rPr/>
            </w:pPr>
            <w:r>
              <w:rPr/>
              <w:t>That classification is useful for preventing personal attachment and moral luck. The framework nevertheless treats their loss as ethically relevant when it diminishes another entity’s actual capabilities or future state space.</w:t>
            </w:r>
          </w:p>
        </w:tc>
      </w:tr>
      <w:tr>
        <w:trPr/>
        <w:tc>
          <w:tcPr>
            <w:tcW w:w="2935" w:type="dxa"/>
            <w:tcBorders/>
            <w:vAlign w:val="center"/>
          </w:tcPr>
          <w:p>
            <w:pPr>
              <w:pStyle w:val="TableContents"/>
              <w:widowControl w:val="false"/>
              <w:suppressLineNumbers/>
              <w:spacing w:before="0" w:after="200"/>
              <w:rPr/>
            </w:pPr>
            <w:r>
              <w:rPr>
                <w:rStyle w:val="Strong"/>
              </w:rPr>
              <w:t>10. Is virtue sufficient for Long-Term Flourishing?</w:t>
            </w:r>
          </w:p>
        </w:tc>
        <w:tc>
          <w:tcPr>
            <w:tcW w:w="5705" w:type="dxa"/>
            <w:tcBorders/>
            <w:vAlign w:val="center"/>
          </w:tcPr>
          <w:p>
            <w:pPr>
              <w:pStyle w:val="TableContents"/>
              <w:widowControl w:val="false"/>
              <w:suppressLineNumbers/>
              <w:spacing w:before="0" w:after="200"/>
              <w:rPr/>
            </w:pPr>
            <w:r>
              <w:rPr/>
              <w:t>Not under the framework’s definition. Virtue supports moral agency, but an entity’s flourishing also depends on relational, material, informational, institutional, and environmental conditions.</w:t>
            </w:r>
          </w:p>
        </w:tc>
      </w:tr>
      <w:tr>
        <w:trPr/>
        <w:tc>
          <w:tcPr>
            <w:tcW w:w="2935" w:type="dxa"/>
            <w:tcBorders/>
            <w:vAlign w:val="center"/>
          </w:tcPr>
          <w:p>
            <w:pPr>
              <w:pStyle w:val="TableContents"/>
              <w:widowControl w:val="false"/>
              <w:suppressLineNumbers/>
              <w:spacing w:before="0" w:after="200"/>
              <w:rPr/>
            </w:pPr>
            <w:r>
              <w:rPr>
                <w:rStyle w:val="Strong"/>
              </w:rPr>
              <w:t>11. Can an agent remain virtuous after causing unforeseeable harm?</w:t>
            </w:r>
          </w:p>
        </w:tc>
        <w:tc>
          <w:tcPr>
            <w:tcW w:w="5705" w:type="dxa"/>
            <w:tcBorders/>
            <w:vAlign w:val="center"/>
          </w:tcPr>
          <w:p>
            <w:pPr>
              <w:pStyle w:val="TableContents"/>
              <w:widowControl w:val="false"/>
              <w:suppressLineNumbers/>
              <w:spacing w:before="0" w:after="200"/>
              <w:rPr/>
            </w:pPr>
            <w:r>
              <w:rPr/>
              <w:t>Potentially, yes. The agent’s response after discovering the harm becomes a new test of wisdom, justice, courage, and responsibility.</w:t>
            </w:r>
          </w:p>
        </w:tc>
      </w:tr>
      <w:tr>
        <w:trPr/>
        <w:tc>
          <w:tcPr>
            <w:tcW w:w="2935" w:type="dxa"/>
            <w:tcBorders/>
            <w:vAlign w:val="center"/>
          </w:tcPr>
          <w:p>
            <w:pPr>
              <w:pStyle w:val="TableContents"/>
              <w:widowControl w:val="false"/>
              <w:suppressLineNumbers/>
              <w:spacing w:before="0" w:after="200"/>
              <w:rPr/>
            </w:pPr>
            <w:r>
              <w:rPr>
                <w:rStyle w:val="Strong"/>
              </w:rPr>
              <w:t>12. What corrective duty exists when the original actor was not blameworthy?</w:t>
            </w:r>
          </w:p>
        </w:tc>
        <w:tc>
          <w:tcPr>
            <w:tcW w:w="5705" w:type="dxa"/>
            <w:tcBorders/>
            <w:vAlign w:val="center"/>
          </w:tcPr>
          <w:p>
            <w:pPr>
              <w:pStyle w:val="TableContents"/>
              <w:widowControl w:val="false"/>
              <w:suppressLineNumbers/>
              <w:spacing w:before="0" w:after="200"/>
              <w:rPr/>
            </w:pPr>
            <w:r>
              <w:rPr/>
              <w:t>The actor may still possess a role-based or capability-based duty to mitigate harm, share information, prevent recurrence, or support restoration. Corrective responsibility need not imply retrospective blame.</w:t>
            </w:r>
          </w:p>
        </w:tc>
      </w:tr>
      <w:tr>
        <w:trPr/>
        <w:tc>
          <w:tcPr>
            <w:tcW w:w="2935" w:type="dxa"/>
            <w:tcBorders/>
            <w:vAlign w:val="center"/>
          </w:tcPr>
          <w:p>
            <w:pPr>
              <w:pStyle w:val="TableContents"/>
              <w:widowControl w:val="false"/>
              <w:suppressLineNumbers/>
              <w:spacing w:before="0" w:after="200"/>
              <w:rPr/>
            </w:pPr>
            <w:r>
              <w:rPr>
                <w:rStyle w:val="Strong"/>
              </w:rPr>
              <w:t>13. How should an agent act when every available option produces harm?</w:t>
            </w:r>
          </w:p>
        </w:tc>
        <w:tc>
          <w:tcPr>
            <w:tcW w:w="5705" w:type="dxa"/>
            <w:tcBorders/>
            <w:vAlign w:val="center"/>
          </w:tcPr>
          <w:p>
            <w:pPr>
              <w:pStyle w:val="TableContents"/>
              <w:widowControl w:val="false"/>
              <w:suppressLineNumbers/>
              <w:spacing w:before="0" w:after="200"/>
              <w:rPr/>
            </w:pPr>
            <w:r>
              <w:rPr/>
              <w:t>The assessment should identify unavoidable constraints, minimize unjustified harm, preserve protected minimums, document the conflict, and select the most defensible action without pretending that the resulting transition is wholly good.</w:t>
            </w:r>
          </w:p>
        </w:tc>
      </w:tr>
      <w:tr>
        <w:trPr/>
        <w:tc>
          <w:tcPr>
            <w:tcW w:w="2935" w:type="dxa"/>
            <w:tcBorders/>
            <w:vAlign w:val="center"/>
          </w:tcPr>
          <w:p>
            <w:pPr>
              <w:pStyle w:val="TableContents"/>
              <w:widowControl w:val="false"/>
              <w:suppressLineNumbers/>
              <w:spacing w:before="0" w:after="200"/>
              <w:rPr/>
            </w:pPr>
            <w:r>
              <w:rPr>
                <w:rStyle w:val="Strong"/>
              </w:rPr>
              <w:t>14. Does the framework encourage attachment to preferred outcomes?</w:t>
            </w:r>
          </w:p>
        </w:tc>
        <w:tc>
          <w:tcPr>
            <w:tcW w:w="5705" w:type="dxa"/>
            <w:tcBorders/>
            <w:vAlign w:val="center"/>
          </w:tcPr>
          <w:p>
            <w:pPr>
              <w:pStyle w:val="TableContents"/>
              <w:widowControl w:val="false"/>
              <w:suppressLineNumbers/>
              <w:spacing w:before="0" w:after="200"/>
              <w:rPr/>
            </w:pPr>
            <w:r>
              <w:rPr/>
              <w:t>It should not. Objectives should be pursued conditionally, with explicit recognition of uncertainty, external constraints, and the possibility of failure.</w:t>
            </w:r>
          </w:p>
        </w:tc>
      </w:tr>
      <w:tr>
        <w:trPr/>
        <w:tc>
          <w:tcPr>
            <w:tcW w:w="2935" w:type="dxa"/>
            <w:tcBorders/>
            <w:vAlign w:val="center"/>
          </w:tcPr>
          <w:p>
            <w:pPr>
              <w:pStyle w:val="TableContents"/>
              <w:widowControl w:val="false"/>
              <w:suppressLineNumbers/>
              <w:spacing w:before="0" w:after="200"/>
              <w:rPr/>
            </w:pPr>
            <w:r>
              <w:rPr>
                <w:rStyle w:val="Strong"/>
              </w:rPr>
              <w:t>15. When is acceptance ethically appropriate?</w:t>
            </w:r>
          </w:p>
        </w:tc>
        <w:tc>
          <w:tcPr>
            <w:tcW w:w="5705" w:type="dxa"/>
            <w:tcBorders/>
            <w:vAlign w:val="center"/>
          </w:tcPr>
          <w:p>
            <w:pPr>
              <w:pStyle w:val="TableContents"/>
              <w:widowControl w:val="false"/>
              <w:suppressLineNumbers/>
              <w:spacing w:before="0" w:after="200"/>
              <w:rPr/>
            </w:pPr>
            <w:r>
              <w:rPr/>
              <w:t>Acceptance is appropriate when further intervention is infeasible, disproportionate, outside the agent’s authority, or more harmful than nonintervention. It is not appropriate merely because action would be difficult or costly.</w:t>
            </w:r>
          </w:p>
        </w:tc>
      </w:tr>
      <w:tr>
        <w:trPr/>
        <w:tc>
          <w:tcPr>
            <w:tcW w:w="2935" w:type="dxa"/>
            <w:tcBorders/>
            <w:vAlign w:val="center"/>
          </w:tcPr>
          <w:p>
            <w:pPr>
              <w:pStyle w:val="TableContents"/>
              <w:widowControl w:val="false"/>
              <w:suppressLineNumbers/>
              <w:spacing w:before="0" w:after="200"/>
              <w:rPr/>
            </w:pPr>
            <w:r>
              <w:rPr>
                <w:rStyle w:val="Strong"/>
              </w:rPr>
              <w:t>16. How does the framework prevent Stoic acceptance from becoming passivity?</w:t>
            </w:r>
          </w:p>
        </w:tc>
        <w:tc>
          <w:tcPr>
            <w:tcW w:w="5705" w:type="dxa"/>
            <w:tcBorders/>
            <w:vAlign w:val="center"/>
          </w:tcPr>
          <w:p>
            <w:pPr>
              <w:pStyle w:val="TableContents"/>
              <w:widowControl w:val="false"/>
              <w:suppressLineNumbers/>
              <w:spacing w:before="0" w:after="200"/>
              <w:rPr/>
            </w:pPr>
            <w:r>
              <w:rPr/>
              <w:t>It requires examination of feasible alternatives, role duties, authority, and expected effects before classifying a condition as uncontrollable. Remediable injustice should not be reclassified as fate.</w:t>
            </w:r>
          </w:p>
        </w:tc>
      </w:tr>
      <w:tr>
        <w:trPr/>
        <w:tc>
          <w:tcPr>
            <w:tcW w:w="2935" w:type="dxa"/>
            <w:tcBorders/>
            <w:vAlign w:val="center"/>
          </w:tcPr>
          <w:p>
            <w:pPr>
              <w:pStyle w:val="TableContents"/>
              <w:widowControl w:val="false"/>
              <w:suppressLineNumbers/>
              <w:spacing w:before="0" w:after="200"/>
              <w:rPr/>
            </w:pPr>
            <w:r>
              <w:rPr>
                <w:rStyle w:val="Strong"/>
              </w:rPr>
              <w:t>17. How does the framework evaluate emotional reactions?</w:t>
            </w:r>
          </w:p>
        </w:tc>
        <w:tc>
          <w:tcPr>
            <w:tcW w:w="5705" w:type="dxa"/>
            <w:tcBorders/>
            <w:vAlign w:val="center"/>
          </w:tcPr>
          <w:p>
            <w:pPr>
              <w:pStyle w:val="TableContents"/>
              <w:widowControl w:val="false"/>
              <w:suppressLineNumbers/>
              <w:spacing w:before="0" w:after="200"/>
              <w:rPr/>
            </w:pPr>
            <w:r>
              <w:rPr/>
              <w:t>Emotions may provide information about perceived threat, injustice, loss, or attachment. They should be examined as evidence-bearing states rather than treated as either infallible judgments or irrational noise.</w:t>
            </w:r>
          </w:p>
        </w:tc>
      </w:tr>
      <w:tr>
        <w:trPr/>
        <w:tc>
          <w:tcPr>
            <w:tcW w:w="2935" w:type="dxa"/>
            <w:tcBorders/>
            <w:vAlign w:val="center"/>
          </w:tcPr>
          <w:p>
            <w:pPr>
              <w:pStyle w:val="TableContents"/>
              <w:widowControl w:val="false"/>
              <w:suppressLineNumbers/>
              <w:spacing w:before="0" w:after="200"/>
              <w:rPr/>
            </w:pPr>
            <w:r>
              <w:rPr>
                <w:rStyle w:val="Strong"/>
              </w:rPr>
              <w:t>18. Does emotional calm indicate virtue?</w:t>
            </w:r>
          </w:p>
        </w:tc>
        <w:tc>
          <w:tcPr>
            <w:tcW w:w="5705" w:type="dxa"/>
            <w:tcBorders/>
            <w:vAlign w:val="center"/>
          </w:tcPr>
          <w:p>
            <w:pPr>
              <w:pStyle w:val="TableContents"/>
              <w:widowControl w:val="false"/>
              <w:suppressLineNumbers/>
              <w:spacing w:before="0" w:after="200"/>
              <w:rPr/>
            </w:pPr>
            <w:r>
              <w:rPr/>
              <w:t>Not by itself. Calm may accompany wisdom, but it may also reflect indifference, avoidance, lack of empathy, or confidence in an unjust position. Conduct and judgment remain decisive.</w:t>
            </w:r>
          </w:p>
        </w:tc>
      </w:tr>
      <w:tr>
        <w:trPr/>
        <w:tc>
          <w:tcPr>
            <w:tcW w:w="2935" w:type="dxa"/>
            <w:tcBorders/>
            <w:vAlign w:val="center"/>
          </w:tcPr>
          <w:p>
            <w:pPr>
              <w:pStyle w:val="TableContents"/>
              <w:widowControl w:val="false"/>
              <w:suppressLineNumbers/>
              <w:spacing w:before="0" w:after="200"/>
              <w:rPr/>
            </w:pPr>
            <w:r>
              <w:rPr>
                <w:rStyle w:val="Strong"/>
              </w:rPr>
              <w:t>19. How are anger and moral protest treated?</w:t>
            </w:r>
          </w:p>
        </w:tc>
        <w:tc>
          <w:tcPr>
            <w:tcW w:w="5705" w:type="dxa"/>
            <w:tcBorders/>
            <w:vAlign w:val="center"/>
          </w:tcPr>
          <w:p>
            <w:pPr>
              <w:pStyle w:val="TableContents"/>
              <w:widowControl w:val="false"/>
              <w:suppressLineNumbers/>
              <w:spacing w:before="0" w:after="200"/>
              <w:rPr/>
            </w:pPr>
            <w:r>
              <w:rPr/>
              <w:t>Anger should be examined for accuracy, proportionality, and its effects on action. Recognition of injustice and motivation to correct it may be appropriate even if uncontrolled rage is not.</w:t>
            </w:r>
          </w:p>
        </w:tc>
      </w:tr>
      <w:tr>
        <w:trPr/>
        <w:tc>
          <w:tcPr>
            <w:tcW w:w="2935" w:type="dxa"/>
            <w:tcBorders/>
            <w:vAlign w:val="center"/>
          </w:tcPr>
          <w:p>
            <w:pPr>
              <w:pStyle w:val="TableContents"/>
              <w:widowControl w:val="false"/>
              <w:suppressLineNumbers/>
              <w:spacing w:before="0" w:after="200"/>
              <w:rPr/>
            </w:pPr>
            <w:r>
              <w:rPr>
                <w:rStyle w:val="Strong"/>
              </w:rPr>
              <w:t>20. How are conflicting social roles resolved?</w:t>
            </w:r>
          </w:p>
        </w:tc>
        <w:tc>
          <w:tcPr>
            <w:tcW w:w="5705" w:type="dxa"/>
            <w:tcBorders/>
            <w:vAlign w:val="center"/>
          </w:tcPr>
          <w:p>
            <w:pPr>
              <w:pStyle w:val="TableContents"/>
              <w:widowControl w:val="false"/>
              <w:suppressLineNumbers/>
              <w:spacing w:before="0" w:after="200"/>
              <w:rPr/>
            </w:pPr>
            <w:r>
              <w:rPr/>
              <w:t>The framework should identify the source and scope of each role, relevant rights and commitments, affected entities, legitimacy of authority, and whether a higher-order duty limits the role.</w:t>
            </w:r>
          </w:p>
        </w:tc>
      </w:tr>
      <w:tr>
        <w:trPr/>
        <w:tc>
          <w:tcPr>
            <w:tcW w:w="2935" w:type="dxa"/>
            <w:tcBorders/>
            <w:vAlign w:val="center"/>
          </w:tcPr>
          <w:p>
            <w:pPr>
              <w:pStyle w:val="TableContents"/>
              <w:widowControl w:val="false"/>
              <w:suppressLineNumbers/>
              <w:spacing w:before="0" w:after="200"/>
              <w:rPr/>
            </w:pPr>
            <w:r>
              <w:rPr>
                <w:rStyle w:val="Strong"/>
              </w:rPr>
              <w:t>21. Does cosmopolitan concern include only rational humans?</w:t>
            </w:r>
          </w:p>
        </w:tc>
        <w:tc>
          <w:tcPr>
            <w:tcW w:w="5705" w:type="dxa"/>
            <w:tcBorders/>
            <w:vAlign w:val="center"/>
          </w:tcPr>
          <w:p>
            <w:pPr>
              <w:pStyle w:val="TableContents"/>
              <w:widowControl w:val="false"/>
              <w:suppressLineNumbers/>
              <w:spacing w:before="0" w:after="200"/>
              <w:rPr/>
            </w:pPr>
            <w:r>
              <w:rPr/>
              <w:t>No. This framework potentially includes a broader set of persistent adaptive and autopoietic entities. The basis and degree of moral standing must be specified separately.</w:t>
            </w:r>
          </w:p>
        </w:tc>
      </w:tr>
      <w:tr>
        <w:trPr/>
        <w:tc>
          <w:tcPr>
            <w:tcW w:w="2935" w:type="dxa"/>
            <w:tcBorders/>
            <w:vAlign w:val="center"/>
          </w:tcPr>
          <w:p>
            <w:pPr>
              <w:pStyle w:val="TableContents"/>
              <w:widowControl w:val="false"/>
              <w:suppressLineNumbers/>
              <w:spacing w:before="0" w:after="200"/>
              <w:rPr/>
            </w:pPr>
            <w:r>
              <w:rPr>
                <w:rStyle w:val="Strong"/>
              </w:rPr>
              <w:t>22. Can the framework retain Stoic naturalism without accepting providence?</w:t>
            </w:r>
          </w:p>
        </w:tc>
        <w:tc>
          <w:tcPr>
            <w:tcW w:w="5705" w:type="dxa"/>
            <w:tcBorders/>
            <w:vAlign w:val="center"/>
          </w:tcPr>
          <w:p>
            <w:pPr>
              <w:pStyle w:val="TableContents"/>
              <w:widowControl w:val="false"/>
              <w:suppressLineNumbers/>
              <w:spacing w:before="0" w:after="200"/>
              <w:rPr/>
            </w:pPr>
            <w:r>
              <w:rPr/>
              <w:t>It can interpret “living according to nature” as acting consistently with reliable knowledge about human capacities, social dependence, causal reality, and environmental constraints. It need not assume divine governance.</w:t>
            </w:r>
          </w:p>
        </w:tc>
      </w:tr>
      <w:tr>
        <w:trPr/>
        <w:tc>
          <w:tcPr>
            <w:tcW w:w="2935" w:type="dxa"/>
            <w:tcBorders/>
            <w:vAlign w:val="center"/>
          </w:tcPr>
          <w:p>
            <w:pPr>
              <w:pStyle w:val="TableContents"/>
              <w:widowControl w:val="false"/>
              <w:suppressLineNumbers/>
              <w:spacing w:before="0" w:after="200"/>
              <w:rPr/>
            </w:pPr>
            <w:r>
              <w:rPr>
                <w:rStyle w:val="Strong"/>
              </w:rPr>
              <w:t>23. How are virtues represented without reducing them to outcome metrics?</w:t>
            </w:r>
          </w:p>
        </w:tc>
        <w:tc>
          <w:tcPr>
            <w:tcW w:w="5705" w:type="dxa"/>
            <w:tcBorders/>
            <w:vAlign w:val="center"/>
          </w:tcPr>
          <w:p>
            <w:pPr>
              <w:pStyle w:val="TableContents"/>
              <w:widowControl w:val="false"/>
              <w:suppressLineNumbers/>
              <w:spacing w:before="0" w:after="200"/>
              <w:rPr/>
            </w:pPr>
            <w:r>
              <w:rPr/>
              <w:t>Virtues should be modeled as stable reasoning and action dispositions evidenced across decisions, not as labels inferred from a single successful outcome.</w:t>
            </w:r>
          </w:p>
        </w:tc>
      </w:tr>
      <w:tr>
        <w:trPr/>
        <w:tc>
          <w:tcPr>
            <w:tcW w:w="2935" w:type="dxa"/>
            <w:tcBorders/>
            <w:vAlign w:val="center"/>
          </w:tcPr>
          <w:p>
            <w:pPr>
              <w:pStyle w:val="TableContents"/>
              <w:widowControl w:val="false"/>
              <w:suppressLineNumbers/>
              <w:spacing w:before="0" w:after="200"/>
              <w:rPr/>
            </w:pPr>
            <w:r>
              <w:rPr>
                <w:rStyle w:val="Strong"/>
              </w:rPr>
              <w:t>24. Can institutions possess Stoic virtues?</w:t>
            </w:r>
          </w:p>
        </w:tc>
        <w:tc>
          <w:tcPr>
            <w:tcW w:w="5705" w:type="dxa"/>
            <w:tcBorders/>
            <w:vAlign w:val="center"/>
          </w:tcPr>
          <w:p>
            <w:pPr>
              <w:pStyle w:val="TableContents"/>
              <w:widowControl w:val="false"/>
              <w:suppressLineNumbers/>
              <w:spacing w:before="0" w:after="200"/>
              <w:rPr/>
            </w:pPr>
            <w:r>
              <w:rPr/>
              <w:t>Institutions do not necessarily possess human character, but their policies can functionally exhibit wisdom, justice, courage, moderation, consistency, or their opposites.</w:t>
            </w:r>
          </w:p>
        </w:tc>
      </w:tr>
      <w:tr>
        <w:trPr/>
        <w:tc>
          <w:tcPr>
            <w:tcW w:w="2935" w:type="dxa"/>
            <w:tcBorders/>
            <w:vAlign w:val="center"/>
          </w:tcPr>
          <w:p>
            <w:pPr>
              <w:pStyle w:val="TableContents"/>
              <w:widowControl w:val="false"/>
              <w:suppressLineNumbers/>
              <w:spacing w:before="0" w:after="200"/>
              <w:rPr/>
            </w:pPr>
            <w:r>
              <w:rPr>
                <w:rStyle w:val="Strong"/>
              </w:rPr>
              <w:t>25. Can artificial systems be Stoic moral agents?</w:t>
            </w:r>
          </w:p>
        </w:tc>
        <w:tc>
          <w:tcPr>
            <w:tcW w:w="5705" w:type="dxa"/>
            <w:tcBorders/>
            <w:vAlign w:val="center"/>
          </w:tcPr>
          <w:p>
            <w:pPr>
              <w:pStyle w:val="TableContents"/>
              <w:widowControl w:val="false"/>
              <w:suppressLineNumbers/>
              <w:spacing w:before="0" w:after="200"/>
              <w:rPr/>
            </w:pPr>
            <w:r>
              <w:rPr/>
              <w:t>Artificial systems may implement control analysis, disciplined assent, scenario testing, and stable decision policies. Whether this constitutes virtue depends on unresolved questions about agency, understanding, autonomy, and moral responsibility.</w:t>
            </w:r>
          </w:p>
        </w:tc>
      </w:tr>
      <w:tr>
        <w:trPr/>
        <w:tc>
          <w:tcPr>
            <w:tcW w:w="2935" w:type="dxa"/>
            <w:tcBorders/>
            <w:vAlign w:val="center"/>
          </w:tcPr>
          <w:p>
            <w:pPr>
              <w:pStyle w:val="TableContents"/>
              <w:widowControl w:val="false"/>
              <w:suppressLineNumbers/>
              <w:spacing w:before="0" w:after="200"/>
              <w:rPr/>
            </w:pPr>
            <w:r>
              <w:rPr>
                <w:rStyle w:val="Strong"/>
              </w:rPr>
              <w:t>26. How should the framework respond to suffering that cannot be eliminated?</w:t>
            </w:r>
          </w:p>
        </w:tc>
        <w:tc>
          <w:tcPr>
            <w:tcW w:w="5705" w:type="dxa"/>
            <w:tcBorders/>
            <w:vAlign w:val="center"/>
          </w:tcPr>
          <w:p>
            <w:pPr>
              <w:pStyle w:val="TableContents"/>
              <w:widowControl w:val="false"/>
              <w:suppressLineNumbers/>
              <w:spacing w:before="0" w:after="200"/>
              <w:rPr/>
            </w:pPr>
            <w:r>
              <w:rPr/>
              <w:t>It should avoid false promises of control, provide feasible assistance, preserve agency, reduce secondary harms, support meaning and resilience, and acknowledge the reality of the loss.</w:t>
            </w:r>
          </w:p>
        </w:tc>
      </w:tr>
    </w:tbl>
    <w:p>
      <w:pPr>
        <w:pStyle w:val="Heading4"/>
        <w:ind w:hanging="0" w:left="0"/>
        <w:rPr>
          <w:rFonts w:ascii="Aptos" w:hAnsi="Aptos"/>
          <w:color w:val="auto"/>
        </w:rPr>
      </w:pPr>
      <w:r>
        <w:rPr/>
        <w:t>Responses to Those Incremental Questions</w:t>
      </w:r>
    </w:p>
    <w:p>
      <w:pPr>
        <w:pStyle w:val="BodyText"/>
        <w:spacing w:before="0" w:after="200"/>
        <w:rPr/>
      </w:pPr>
      <w:r>
        <w:rPr/>
        <w:t>Collectively, the responses indicate that Stoic analysis should enter the framework at four stages:</w:t>
      </w:r>
    </w:p>
    <w:p>
      <w:pPr>
        <w:pStyle w:val="BodyText"/>
        <w:numPr>
          <w:ilvl w:val="0"/>
          <w:numId w:val="75"/>
        </w:numPr>
        <w:tabs>
          <w:tab w:val="clear" w:pos="720"/>
          <w:tab w:val="left" w:pos="0" w:leader="none"/>
        </w:tabs>
        <w:spacing w:before="0" w:after="200"/>
        <w:ind w:hanging="283" w:left="709"/>
        <w:rPr/>
      </w:pPr>
      <w:r>
        <w:rPr>
          <w:rStyle w:val="Strong"/>
        </w:rPr>
        <w:t>Impression review:</w:t>
      </w:r>
      <w:r>
        <w:rPr/>
        <w:t xml:space="preserve"> Determine how the situation initially appears and which value judgments are embedded in that appearance.</w:t>
      </w:r>
    </w:p>
    <w:p>
      <w:pPr>
        <w:pStyle w:val="BodyText"/>
        <w:numPr>
          <w:ilvl w:val="0"/>
          <w:numId w:val="75"/>
        </w:numPr>
        <w:tabs>
          <w:tab w:val="clear" w:pos="720"/>
          <w:tab w:val="left" w:pos="0" w:leader="none"/>
        </w:tabs>
        <w:spacing w:before="0" w:after="200"/>
        <w:ind w:hanging="283" w:left="709"/>
        <w:rPr/>
      </w:pPr>
      <w:r>
        <w:rPr>
          <w:rStyle w:val="Strong"/>
        </w:rPr>
        <w:t>Control and responsibility analysis:</w:t>
      </w:r>
      <w:r>
        <w:rPr/>
        <w:t xml:space="preserve"> Identify what the agent controls, influences, cannot control, and is responsible for attempting.</w:t>
      </w:r>
    </w:p>
    <w:p>
      <w:pPr>
        <w:pStyle w:val="BodyText"/>
        <w:numPr>
          <w:ilvl w:val="0"/>
          <w:numId w:val="75"/>
        </w:numPr>
        <w:tabs>
          <w:tab w:val="clear" w:pos="720"/>
          <w:tab w:val="left" w:pos="0" w:leader="none"/>
        </w:tabs>
        <w:spacing w:before="0" w:after="200"/>
        <w:ind w:hanging="283" w:left="709"/>
        <w:rPr/>
      </w:pPr>
      <w:r>
        <w:rPr>
          <w:rStyle w:val="Strong"/>
        </w:rPr>
        <w:t>Virtue-guided action selection:</w:t>
      </w:r>
      <w:r>
        <w:rPr/>
        <w:t xml:space="preserve"> Evaluate whether the proposed action reflects wisdom, justice, courage, moderation, and appropriate role fulfillment.</w:t>
      </w:r>
    </w:p>
    <w:p>
      <w:pPr>
        <w:pStyle w:val="BodyText"/>
        <w:numPr>
          <w:ilvl w:val="0"/>
          <w:numId w:val="75"/>
        </w:numPr>
        <w:tabs>
          <w:tab w:val="clear" w:pos="720"/>
          <w:tab w:val="left" w:pos="0" w:leader="none"/>
        </w:tabs>
        <w:spacing w:before="0" w:after="200"/>
        <w:ind w:hanging="283" w:left="709"/>
        <w:rPr/>
      </w:pPr>
      <w:r>
        <w:rPr>
          <w:rStyle w:val="Strong"/>
        </w:rPr>
        <w:t>Outcome and correction review:</w:t>
      </w:r>
      <w:r>
        <w:rPr/>
        <w:t xml:space="preserve"> Examine the actual transition without using external success as the sole measure of virtue, then determine what corrective action is currently possible.</w:t>
      </w:r>
    </w:p>
    <w:p>
      <w:pPr>
        <w:pStyle w:val="BodyText"/>
        <w:spacing w:before="0" w:after="200"/>
        <w:rPr/>
      </w:pPr>
      <w:r>
        <w:rPr/>
        <w:t>A Stoic-sensitive assessment should produce a separate agent finding containing:</w:t>
      </w:r>
    </w:p>
    <w:p>
      <w:pPr>
        <w:pStyle w:val="BodyText"/>
        <w:numPr>
          <w:ilvl w:val="0"/>
          <w:numId w:val="76"/>
        </w:numPr>
        <w:tabs>
          <w:tab w:val="clear" w:pos="720"/>
          <w:tab w:val="left" w:pos="0" w:leader="none"/>
        </w:tabs>
        <w:spacing w:before="0" w:after="200"/>
        <w:ind w:hanging="283" w:left="709"/>
        <w:rPr/>
      </w:pPr>
      <w:r>
        <w:rPr/>
        <w:t>The agent’s initial impression;</w:t>
      </w:r>
    </w:p>
    <w:p>
      <w:pPr>
        <w:pStyle w:val="BodyText"/>
        <w:numPr>
          <w:ilvl w:val="0"/>
          <w:numId w:val="76"/>
        </w:numPr>
        <w:tabs>
          <w:tab w:val="clear" w:pos="720"/>
          <w:tab w:val="left" w:pos="0" w:leader="none"/>
        </w:tabs>
        <w:spacing w:before="0" w:after="200"/>
        <w:ind w:hanging="283" w:left="709"/>
        <w:rPr/>
      </w:pPr>
      <w:r>
        <w:rPr/>
        <w:t>Relevant judgments and assumptions;</w:t>
      </w:r>
    </w:p>
    <w:p>
      <w:pPr>
        <w:pStyle w:val="BodyText"/>
        <w:numPr>
          <w:ilvl w:val="0"/>
          <w:numId w:val="76"/>
        </w:numPr>
        <w:tabs>
          <w:tab w:val="clear" w:pos="720"/>
          <w:tab w:val="left" w:pos="0" w:leader="none"/>
        </w:tabs>
        <w:spacing w:before="0" w:after="200"/>
        <w:ind w:hanging="283" w:left="709"/>
        <w:rPr/>
      </w:pPr>
      <w:r>
        <w:rPr/>
        <w:t>Evidence examined before assent;</w:t>
      </w:r>
    </w:p>
    <w:p>
      <w:pPr>
        <w:pStyle w:val="BodyText"/>
        <w:numPr>
          <w:ilvl w:val="0"/>
          <w:numId w:val="76"/>
        </w:numPr>
        <w:tabs>
          <w:tab w:val="clear" w:pos="720"/>
          <w:tab w:val="left" w:pos="0" w:leader="none"/>
        </w:tabs>
        <w:spacing w:before="0" w:after="200"/>
        <w:ind w:hanging="283" w:left="709"/>
        <w:rPr/>
      </w:pPr>
      <w:r>
        <w:rPr/>
        <w:t>Directly controlled and merely influenced factors;</w:t>
      </w:r>
    </w:p>
    <w:p>
      <w:pPr>
        <w:pStyle w:val="BodyText"/>
        <w:numPr>
          <w:ilvl w:val="0"/>
          <w:numId w:val="76"/>
        </w:numPr>
        <w:tabs>
          <w:tab w:val="clear" w:pos="720"/>
          <w:tab w:val="left" w:pos="0" w:leader="none"/>
        </w:tabs>
        <w:spacing w:before="0" w:after="200"/>
        <w:ind w:hanging="283" w:left="709"/>
        <w:rPr/>
      </w:pPr>
      <w:r>
        <w:rPr/>
        <w:t>Role-based responsibilities;</w:t>
      </w:r>
    </w:p>
    <w:p>
      <w:pPr>
        <w:pStyle w:val="BodyText"/>
        <w:numPr>
          <w:ilvl w:val="0"/>
          <w:numId w:val="76"/>
        </w:numPr>
        <w:tabs>
          <w:tab w:val="clear" w:pos="720"/>
          <w:tab w:val="left" w:pos="0" w:leader="none"/>
        </w:tabs>
        <w:spacing w:before="0" w:after="200"/>
        <w:ind w:hanging="283" w:left="709"/>
        <w:rPr/>
      </w:pPr>
      <w:r>
        <w:rPr/>
        <w:t>Available alternatives;</w:t>
      </w:r>
    </w:p>
    <w:p>
      <w:pPr>
        <w:pStyle w:val="BodyText"/>
        <w:numPr>
          <w:ilvl w:val="0"/>
          <w:numId w:val="76"/>
        </w:numPr>
        <w:tabs>
          <w:tab w:val="clear" w:pos="720"/>
          <w:tab w:val="left" w:pos="0" w:leader="none"/>
        </w:tabs>
        <w:spacing w:before="0" w:after="200"/>
        <w:ind w:hanging="283" w:left="709"/>
        <w:rPr/>
      </w:pPr>
      <w:r>
        <w:rPr/>
        <w:t>Applicable virtues;</w:t>
      </w:r>
    </w:p>
    <w:p>
      <w:pPr>
        <w:pStyle w:val="BodyText"/>
        <w:numPr>
          <w:ilvl w:val="0"/>
          <w:numId w:val="76"/>
        </w:numPr>
        <w:tabs>
          <w:tab w:val="clear" w:pos="720"/>
          <w:tab w:val="left" w:pos="0" w:leader="none"/>
        </w:tabs>
        <w:spacing w:before="0" w:after="200"/>
        <w:ind w:hanging="283" w:left="709"/>
        <w:rPr/>
      </w:pPr>
      <w:r>
        <w:rPr/>
        <w:t>Emotional or status-related pressures;</w:t>
      </w:r>
    </w:p>
    <w:p>
      <w:pPr>
        <w:pStyle w:val="BodyText"/>
        <w:numPr>
          <w:ilvl w:val="0"/>
          <w:numId w:val="76"/>
        </w:numPr>
        <w:tabs>
          <w:tab w:val="clear" w:pos="720"/>
          <w:tab w:val="left" w:pos="0" w:leader="none"/>
        </w:tabs>
        <w:spacing w:before="0" w:after="200"/>
        <w:ind w:hanging="283" w:left="709"/>
        <w:rPr/>
      </w:pPr>
      <w:r>
        <w:rPr/>
        <w:t>The reasonableness of the selected action;</w:t>
      </w:r>
    </w:p>
    <w:p>
      <w:pPr>
        <w:pStyle w:val="BodyText"/>
        <w:numPr>
          <w:ilvl w:val="0"/>
          <w:numId w:val="76"/>
        </w:numPr>
        <w:tabs>
          <w:tab w:val="clear" w:pos="720"/>
          <w:tab w:val="left" w:pos="0" w:leader="none"/>
        </w:tabs>
        <w:spacing w:before="0" w:after="200"/>
        <w:ind w:hanging="283" w:left="709"/>
        <w:rPr/>
      </w:pPr>
      <w:r>
        <w:rPr/>
        <w:t>External obstacles affecting the result;</w:t>
      </w:r>
    </w:p>
    <w:p>
      <w:pPr>
        <w:pStyle w:val="BodyText"/>
        <w:numPr>
          <w:ilvl w:val="0"/>
          <w:numId w:val="76"/>
        </w:numPr>
        <w:tabs>
          <w:tab w:val="clear" w:pos="720"/>
          <w:tab w:val="left" w:pos="0" w:leader="none"/>
        </w:tabs>
        <w:spacing w:before="0" w:after="200"/>
        <w:ind w:hanging="283" w:left="709"/>
        <w:rPr/>
      </w:pPr>
      <w:r>
        <w:rPr/>
        <w:t>The actor’s responsibility for the actual outcome;</w:t>
      </w:r>
    </w:p>
    <w:p>
      <w:pPr>
        <w:pStyle w:val="BodyText"/>
        <w:numPr>
          <w:ilvl w:val="0"/>
          <w:numId w:val="76"/>
        </w:numPr>
        <w:tabs>
          <w:tab w:val="clear" w:pos="720"/>
          <w:tab w:val="left" w:pos="0" w:leader="none"/>
        </w:tabs>
        <w:spacing w:before="0" w:after="200"/>
        <w:ind w:hanging="283" w:left="709"/>
        <w:rPr/>
      </w:pPr>
      <w:r>
        <w:rPr/>
        <w:t>The actor’s response to newly discovered information; and</w:t>
      </w:r>
    </w:p>
    <w:p>
      <w:pPr>
        <w:pStyle w:val="BodyText"/>
        <w:numPr>
          <w:ilvl w:val="0"/>
          <w:numId w:val="76"/>
        </w:numPr>
        <w:tabs>
          <w:tab w:val="clear" w:pos="720"/>
          <w:tab w:val="left" w:pos="0" w:leader="none"/>
        </w:tabs>
        <w:spacing w:before="0" w:after="200"/>
        <w:ind w:hanging="283" w:left="709"/>
        <w:rPr/>
      </w:pPr>
      <w:r>
        <w:rPr/>
        <w:t>Opportunities for moral-policy improvement.</w:t>
      </w:r>
    </w:p>
    <w:p>
      <w:pPr>
        <w:pStyle w:val="BodyText"/>
        <w:spacing w:before="0" w:after="200"/>
        <w:rPr/>
      </w:pPr>
      <w:r>
        <w:rPr/>
        <w:t>This finding should accompany, rather than replace, the World Context Transition assessment. The resulting output may conclude that:</w:t>
      </w:r>
    </w:p>
    <w:p>
      <w:pPr>
        <w:pStyle w:val="BodyText"/>
        <w:numPr>
          <w:ilvl w:val="0"/>
          <w:numId w:val="77"/>
        </w:numPr>
        <w:tabs>
          <w:tab w:val="clear" w:pos="720"/>
          <w:tab w:val="left" w:pos="0" w:leader="none"/>
        </w:tabs>
        <w:spacing w:before="0" w:after="200"/>
        <w:ind w:hanging="283" w:left="709"/>
        <w:rPr/>
      </w:pPr>
      <w:r>
        <w:rPr/>
        <w:t>An agent acted virtuously but encountered an unforeseeable adverse result;</w:t>
      </w:r>
    </w:p>
    <w:p>
      <w:pPr>
        <w:pStyle w:val="BodyText"/>
        <w:numPr>
          <w:ilvl w:val="0"/>
          <w:numId w:val="77"/>
        </w:numPr>
        <w:tabs>
          <w:tab w:val="clear" w:pos="720"/>
          <w:tab w:val="left" w:pos="0" w:leader="none"/>
        </w:tabs>
        <w:spacing w:before="0" w:after="200"/>
        <w:ind w:hanging="283" w:left="709"/>
        <w:rPr/>
      </w:pPr>
      <w:r>
        <w:rPr/>
        <w:t>An agent acted negligently but obtained a favorable result through luck;</w:t>
      </w:r>
    </w:p>
    <w:p>
      <w:pPr>
        <w:pStyle w:val="BodyText"/>
        <w:numPr>
          <w:ilvl w:val="0"/>
          <w:numId w:val="77"/>
        </w:numPr>
        <w:tabs>
          <w:tab w:val="clear" w:pos="720"/>
          <w:tab w:val="left" w:pos="0" w:leader="none"/>
        </w:tabs>
        <w:spacing w:before="0" w:after="200"/>
        <w:ind w:hanging="283" w:left="709"/>
        <w:rPr/>
      </w:pPr>
      <w:r>
        <w:rPr/>
        <w:t>An action produced mixed effects requiring corrective action without blame;</w:t>
      </w:r>
    </w:p>
    <w:p>
      <w:pPr>
        <w:pStyle w:val="BodyText"/>
        <w:numPr>
          <w:ilvl w:val="0"/>
          <w:numId w:val="77"/>
        </w:numPr>
        <w:tabs>
          <w:tab w:val="clear" w:pos="720"/>
          <w:tab w:val="left" w:pos="0" w:leader="none"/>
        </w:tabs>
        <w:spacing w:before="0" w:after="200"/>
        <w:ind w:hanging="283" w:left="709"/>
        <w:rPr/>
      </w:pPr>
      <w:r>
        <w:rPr/>
        <w:t>An agent displayed internal discipline while acting unjustly toward others; or</w:t>
      </w:r>
    </w:p>
    <w:p>
      <w:pPr>
        <w:pStyle w:val="BodyText"/>
        <w:numPr>
          <w:ilvl w:val="0"/>
          <w:numId w:val="77"/>
        </w:numPr>
        <w:tabs>
          <w:tab w:val="clear" w:pos="720"/>
          <w:tab w:val="left" w:pos="0" w:leader="none"/>
        </w:tabs>
        <w:spacing w:before="0" w:after="200"/>
        <w:ind w:hanging="283" w:left="709"/>
        <w:rPr/>
      </w:pPr>
      <w:r>
        <w:rPr/>
        <w:t>An agent became excessively attached to controlling outcomes outside the agent’s authority.</w:t>
      </w:r>
    </w:p>
    <w:p>
      <w:pPr>
        <w:pStyle w:val="Heading4"/>
        <w:ind w:hanging="0" w:left="0"/>
        <w:rPr>
          <w:rFonts w:ascii="Aptos" w:hAnsi="Aptos"/>
          <w:color w:val="auto"/>
        </w:rPr>
      </w:pPr>
      <w:r>
        <w:rPr/>
        <w:t>Remaining Open Issues</w:t>
      </w:r>
    </w:p>
    <w:p>
      <w:pPr>
        <w:pStyle w:val="BodyText"/>
        <w:spacing w:before="0" w:after="200"/>
        <w:rPr/>
      </w:pPr>
      <w:r>
        <w:rPr/>
        <w:t>Several issues require further development before Stoicism can be considered fully integrated:</w:t>
      </w:r>
    </w:p>
    <w:p>
      <w:pPr>
        <w:pStyle w:val="BodyText"/>
        <w:numPr>
          <w:ilvl w:val="0"/>
          <w:numId w:val="78"/>
        </w:numPr>
        <w:tabs>
          <w:tab w:val="clear" w:pos="720"/>
          <w:tab w:val="left" w:pos="0" w:leader="none"/>
        </w:tabs>
        <w:spacing w:before="0" w:after="200"/>
        <w:ind w:hanging="283" w:left="709"/>
        <w:rPr/>
      </w:pPr>
      <w:r>
        <w:rPr>
          <w:rStyle w:val="Strong"/>
        </w:rPr>
        <w:t>Definition of the good:</w:t>
      </w:r>
      <w:r>
        <w:rPr/>
        <w:t xml:space="preserve"> Stoicism identifies virtue as the only good, while this framework gives foundational significance to multidimensional flourishing and future state space.</w:t>
      </w:r>
    </w:p>
    <w:p>
      <w:pPr>
        <w:pStyle w:val="BodyText"/>
        <w:numPr>
          <w:ilvl w:val="0"/>
          <w:numId w:val="78"/>
        </w:numPr>
        <w:tabs>
          <w:tab w:val="clear" w:pos="720"/>
          <w:tab w:val="left" w:pos="0" w:leader="none"/>
        </w:tabs>
        <w:spacing w:before="0" w:after="200"/>
        <w:ind w:hanging="283" w:left="709"/>
        <w:rPr/>
      </w:pPr>
      <w:r>
        <w:rPr>
          <w:rStyle w:val="Strong"/>
        </w:rPr>
        <w:t>External harm:</w:t>
      </w:r>
      <w:r>
        <w:rPr/>
        <w:t xml:space="preserve"> The framework must determine how to use the Stoic category of preferred indifferents without minimizing bodily, relational, institutional, or environmental harm.</w:t>
      </w:r>
    </w:p>
    <w:p>
      <w:pPr>
        <w:pStyle w:val="BodyText"/>
        <w:numPr>
          <w:ilvl w:val="0"/>
          <w:numId w:val="78"/>
        </w:numPr>
        <w:tabs>
          <w:tab w:val="clear" w:pos="720"/>
          <w:tab w:val="left" w:pos="0" w:leader="none"/>
        </w:tabs>
        <w:spacing w:before="0" w:after="200"/>
        <w:ind w:hanging="283" w:left="709"/>
        <w:rPr/>
      </w:pPr>
      <w:r>
        <w:rPr>
          <w:rStyle w:val="Strong"/>
        </w:rPr>
        <w:t>Dual evaluation:</w:t>
      </w:r>
      <w:r>
        <w:rPr/>
        <w:t xml:space="preserve"> A formal method is needed for reporting agent quality and transition quality without collapsing one into the other.</w:t>
      </w:r>
    </w:p>
    <w:p>
      <w:pPr>
        <w:pStyle w:val="BodyText"/>
        <w:numPr>
          <w:ilvl w:val="0"/>
          <w:numId w:val="78"/>
        </w:numPr>
        <w:tabs>
          <w:tab w:val="clear" w:pos="720"/>
          <w:tab w:val="left" w:pos="0" w:leader="none"/>
        </w:tabs>
        <w:spacing w:before="0" w:after="200"/>
        <w:ind w:hanging="283" w:left="709"/>
        <w:rPr/>
      </w:pPr>
      <w:r>
        <w:rPr>
          <w:rStyle w:val="Strong"/>
        </w:rPr>
        <w:t>Moral luck:</w:t>
      </w:r>
      <w:r>
        <w:rPr/>
        <w:t xml:space="preserve"> More precise standards are required for distinguishing reasonable error, negligence, recklessness, and unforeseeable failure.</w:t>
      </w:r>
    </w:p>
    <w:p>
      <w:pPr>
        <w:pStyle w:val="BodyText"/>
        <w:numPr>
          <w:ilvl w:val="0"/>
          <w:numId w:val="78"/>
        </w:numPr>
        <w:tabs>
          <w:tab w:val="clear" w:pos="720"/>
          <w:tab w:val="left" w:pos="0" w:leader="none"/>
        </w:tabs>
        <w:spacing w:before="0" w:after="200"/>
        <w:ind w:hanging="283" w:left="709"/>
        <w:rPr/>
      </w:pPr>
      <w:r>
        <w:rPr>
          <w:rStyle w:val="Strong"/>
        </w:rPr>
        <w:t>Degrees of control:</w:t>
      </w:r>
      <w:r>
        <w:rPr/>
        <w:t xml:space="preserve"> Direct control, influence, institutional authority, and practical capability require clearer classification.</w:t>
      </w:r>
    </w:p>
    <w:p>
      <w:pPr>
        <w:pStyle w:val="BodyText"/>
        <w:numPr>
          <w:ilvl w:val="0"/>
          <w:numId w:val="78"/>
        </w:numPr>
        <w:tabs>
          <w:tab w:val="clear" w:pos="720"/>
          <w:tab w:val="left" w:pos="0" w:leader="none"/>
        </w:tabs>
        <w:spacing w:before="0" w:after="200"/>
        <w:ind w:hanging="283" w:left="709"/>
        <w:rPr/>
      </w:pPr>
      <w:r>
        <w:rPr>
          <w:rStyle w:val="Strong"/>
        </w:rPr>
        <w:t>Virtue representation:</w:t>
      </w:r>
      <w:r>
        <w:rPr/>
        <w:t xml:space="preserve"> Wisdom, justice, courage, and moderation must be operationalized without reducing them to behavioral scores or successful outcomes.</w:t>
      </w:r>
    </w:p>
    <w:p>
      <w:pPr>
        <w:pStyle w:val="BodyText"/>
        <w:numPr>
          <w:ilvl w:val="0"/>
          <w:numId w:val="78"/>
        </w:numPr>
        <w:tabs>
          <w:tab w:val="clear" w:pos="720"/>
          <w:tab w:val="left" w:pos="0" w:leader="none"/>
        </w:tabs>
        <w:spacing w:before="0" w:after="200"/>
        <w:ind w:hanging="283" w:left="709"/>
        <w:rPr/>
      </w:pPr>
      <w:r>
        <w:rPr>
          <w:rStyle w:val="Strong"/>
        </w:rPr>
        <w:t>Unity of virtue:</w:t>
      </w:r>
      <w:r>
        <w:rPr/>
        <w:t xml:space="preserve"> It remains unresolved whether the framework should treat the cardinal virtues as mutually dependent or separately assessable.</w:t>
      </w:r>
    </w:p>
    <w:p>
      <w:pPr>
        <w:pStyle w:val="BodyText"/>
        <w:numPr>
          <w:ilvl w:val="0"/>
          <w:numId w:val="78"/>
        </w:numPr>
        <w:tabs>
          <w:tab w:val="clear" w:pos="720"/>
          <w:tab w:val="left" w:pos="0" w:leader="none"/>
        </w:tabs>
        <w:spacing w:before="0" w:after="200"/>
        <w:ind w:hanging="283" w:left="709"/>
        <w:rPr/>
      </w:pPr>
      <w:r>
        <w:rPr>
          <w:rStyle w:val="Strong"/>
        </w:rPr>
        <w:t>Emotional judgment:</w:t>
      </w:r>
      <w:r>
        <w:rPr/>
        <w:t xml:space="preserve"> The framework must determine how emotions contribute to moral evidence while remaining subject to critical examination.</w:t>
      </w:r>
    </w:p>
    <w:p>
      <w:pPr>
        <w:pStyle w:val="BodyText"/>
        <w:numPr>
          <w:ilvl w:val="0"/>
          <w:numId w:val="78"/>
        </w:numPr>
        <w:tabs>
          <w:tab w:val="clear" w:pos="720"/>
          <w:tab w:val="left" w:pos="0" w:leader="none"/>
        </w:tabs>
        <w:spacing w:before="0" w:after="200"/>
        <w:ind w:hanging="283" w:left="709"/>
        <w:rPr/>
      </w:pPr>
      <w:r>
        <w:rPr>
          <w:rStyle w:val="Strong"/>
        </w:rPr>
        <w:t>Acceptance and intervention:</w:t>
      </w:r>
      <w:r>
        <w:rPr/>
        <w:t xml:space="preserve"> More precise criteria are required for distinguishing rational acceptance from avoidance, complacency, and institutional passivity.</w:t>
      </w:r>
    </w:p>
    <w:p>
      <w:pPr>
        <w:pStyle w:val="BodyText"/>
        <w:numPr>
          <w:ilvl w:val="0"/>
          <w:numId w:val="78"/>
        </w:numPr>
        <w:tabs>
          <w:tab w:val="clear" w:pos="720"/>
          <w:tab w:val="left" w:pos="0" w:leader="none"/>
        </w:tabs>
        <w:spacing w:before="0" w:after="200"/>
        <w:ind w:hanging="283" w:left="709"/>
        <w:rPr/>
      </w:pPr>
      <w:r>
        <w:rPr>
          <w:rStyle w:val="Strong"/>
        </w:rPr>
        <w:t>Systemic injustice:</w:t>
      </w:r>
      <w:r>
        <w:rPr/>
        <w:t xml:space="preserve"> Stoic resilience must not be used to shift responsibility from powerful institutions to those enduring preventable harm.</w:t>
      </w:r>
    </w:p>
    <w:p>
      <w:pPr>
        <w:pStyle w:val="BodyText"/>
        <w:numPr>
          <w:ilvl w:val="0"/>
          <w:numId w:val="78"/>
        </w:numPr>
        <w:tabs>
          <w:tab w:val="clear" w:pos="720"/>
          <w:tab w:val="left" w:pos="0" w:leader="none"/>
        </w:tabs>
        <w:spacing w:before="0" w:after="200"/>
        <w:ind w:hanging="283" w:left="709"/>
        <w:rPr/>
      </w:pPr>
      <w:r>
        <w:rPr>
          <w:rStyle w:val="Strong"/>
        </w:rPr>
        <w:t>Victim-blaming:</w:t>
      </w:r>
      <w:r>
        <w:rPr/>
        <w:t xml:space="preserve"> Internal freedom should not be interpreted as evidence that coercion, deprivation, trauma, or loss is morally insignificant.</w:t>
      </w:r>
    </w:p>
    <w:p>
      <w:pPr>
        <w:pStyle w:val="BodyText"/>
        <w:numPr>
          <w:ilvl w:val="0"/>
          <w:numId w:val="78"/>
        </w:numPr>
        <w:tabs>
          <w:tab w:val="clear" w:pos="720"/>
          <w:tab w:val="left" w:pos="0" w:leader="none"/>
        </w:tabs>
        <w:spacing w:before="0" w:after="200"/>
        <w:ind w:hanging="283" w:left="709"/>
        <w:rPr/>
      </w:pPr>
      <w:r>
        <w:rPr>
          <w:rStyle w:val="Strong"/>
        </w:rPr>
        <w:t>Role conflict:</w:t>
      </w:r>
      <w:r>
        <w:rPr/>
        <w:t xml:space="preserve"> Stoic role obligations require integration with rights, justice, legitimacy, and duties to resist wrongful authority.</w:t>
      </w:r>
    </w:p>
    <w:p>
      <w:pPr>
        <w:pStyle w:val="BodyText"/>
        <w:numPr>
          <w:ilvl w:val="0"/>
          <w:numId w:val="78"/>
        </w:numPr>
        <w:tabs>
          <w:tab w:val="clear" w:pos="720"/>
          <w:tab w:val="left" w:pos="0" w:leader="none"/>
        </w:tabs>
        <w:spacing w:before="0" w:after="200"/>
        <w:ind w:hanging="283" w:left="709"/>
        <w:rPr/>
      </w:pPr>
      <w:r>
        <w:rPr>
          <w:rStyle w:val="Strong"/>
        </w:rPr>
        <w:t>Metaphysical neutrality:</w:t>
      </w:r>
      <w:r>
        <w:rPr/>
        <w:t xml:space="preserve"> The framework must determine which Stoic concepts remain coherent when separated from providence, cosmic reason, and strict determinism.</w:t>
      </w:r>
    </w:p>
    <w:p>
      <w:pPr>
        <w:pStyle w:val="BodyText"/>
        <w:numPr>
          <w:ilvl w:val="0"/>
          <w:numId w:val="78"/>
        </w:numPr>
        <w:tabs>
          <w:tab w:val="clear" w:pos="720"/>
          <w:tab w:val="left" w:pos="0" w:leader="none"/>
        </w:tabs>
        <w:spacing w:before="0" w:after="200"/>
        <w:ind w:hanging="283" w:left="709"/>
        <w:rPr/>
      </w:pPr>
      <w:r>
        <w:rPr>
          <w:rStyle w:val="Strong"/>
        </w:rPr>
        <w:t>Scope of moral community:</w:t>
      </w:r>
      <w:r>
        <w:rPr/>
        <w:t xml:space="preserve"> Stoic cosmopolitanism traditionally centers rational humanity, while this framework potentially recognizes a wider set of entities.</w:t>
      </w:r>
    </w:p>
    <w:p>
      <w:pPr>
        <w:pStyle w:val="BodyText"/>
        <w:numPr>
          <w:ilvl w:val="0"/>
          <w:numId w:val="78"/>
        </w:numPr>
        <w:tabs>
          <w:tab w:val="clear" w:pos="720"/>
          <w:tab w:val="left" w:pos="0" w:leader="none"/>
        </w:tabs>
        <w:spacing w:before="0" w:after="200"/>
        <w:ind w:hanging="283" w:left="709"/>
        <w:rPr/>
      </w:pPr>
      <w:r>
        <w:rPr>
          <w:rStyle w:val="Strong"/>
        </w:rPr>
        <w:t>Institutional virtue:</w:t>
      </w:r>
      <w:r>
        <w:rPr/>
        <w:t xml:space="preserve"> Further work is needed to determine whether virtue terminology can meaningfully apply to organizations, distributed systems, and artificial agents.</w:t>
      </w:r>
    </w:p>
    <w:p>
      <w:pPr>
        <w:pStyle w:val="BodyText"/>
        <w:numPr>
          <w:ilvl w:val="0"/>
          <w:numId w:val="78"/>
        </w:numPr>
        <w:tabs>
          <w:tab w:val="clear" w:pos="720"/>
          <w:tab w:val="left" w:pos="0" w:leader="none"/>
        </w:tabs>
        <w:spacing w:before="0" w:after="200"/>
        <w:ind w:hanging="283" w:left="709"/>
        <w:rPr/>
      </w:pPr>
      <w:r>
        <w:rPr>
          <w:rStyle w:val="Strong"/>
        </w:rPr>
        <w:t>Moral development:</w:t>
      </w:r>
      <w:r>
        <w:rPr/>
        <w:t xml:space="preserve"> The framework requires longitudinal methods for distinguishing stable virtue from situational compliance or reputation management.</w:t>
      </w:r>
    </w:p>
    <w:p>
      <w:pPr>
        <w:pStyle w:val="BodyText"/>
        <w:numPr>
          <w:ilvl w:val="0"/>
          <w:numId w:val="78"/>
        </w:numPr>
        <w:tabs>
          <w:tab w:val="clear" w:pos="720"/>
          <w:tab w:val="left" w:pos="0" w:leader="none"/>
        </w:tabs>
        <w:spacing w:before="0" w:after="200"/>
        <w:ind w:hanging="283" w:left="709"/>
        <w:rPr/>
      </w:pPr>
      <w:r>
        <w:rPr>
          <w:rStyle w:val="Strong"/>
        </w:rPr>
        <w:t>Unavoidable suffering:</w:t>
      </w:r>
      <w:r>
        <w:rPr/>
        <w:t xml:space="preserve"> It must balance efforts to reduce harm with honest recognition that mortality, loss, uncertainty, and limitation cannot be eliminated.</w:t>
      </w:r>
    </w:p>
    <w:p>
      <w:pPr>
        <w:pStyle w:val="BodyText"/>
        <w:numPr>
          <w:ilvl w:val="0"/>
          <w:numId w:val="78"/>
        </w:numPr>
        <w:tabs>
          <w:tab w:val="clear" w:pos="720"/>
          <w:tab w:val="left" w:pos="0" w:leader="none"/>
        </w:tabs>
        <w:spacing w:before="0" w:after="200"/>
        <w:ind w:hanging="283" w:left="709"/>
        <w:rPr/>
      </w:pPr>
      <w:r>
        <w:rPr>
          <w:rStyle w:val="Strong"/>
        </w:rPr>
        <w:t>Manipulation of control classifications:</w:t>
      </w:r>
      <w:r>
        <w:rPr/>
        <w:t xml:space="preserve"> Actors may strategically label preventable harms as uncontrollable or blame external conditions for failures they could reasonably have mitigated.</w:t>
      </w:r>
    </w:p>
    <w:p>
      <w:pPr>
        <w:pStyle w:val="BodyText"/>
        <w:spacing w:before="0" w:after="200"/>
        <w:rPr/>
      </w:pPr>
      <w:r>
        <w:rPr/>
        <w:t>The central unresolved question is whether ethical goodness resides primarily in the quality of rational agency or in the World Context Transition produced by that agency. A Stoic expert can reasonably argue that this framework remains too outcome-oriented unless it gives independent status to virtuous judgment and controllable choice. Conversely, the framework can reasonably maintain that virtue cannot provide a complete systems ethic unless the actual effects on other entities remain visible and morally significant. The most promising integration is therefore a two-axis model that evaluates both the quality of the agent’s moral policy and the quality of the resulting transition.</w:t>
      </w:r>
    </w:p>
    <w:p>
      <w:pPr>
        <w:pStyle w:val="Heading3"/>
        <w:ind w:hanging="0" w:left="0"/>
        <w:rPr/>
      </w:pPr>
      <w:r>
        <w:rPr/>
        <w:t>Cosmism</w:t>
      </w:r>
    </w:p>
    <w:p>
      <w:pPr>
        <w:pStyle w:val="Heading4"/>
        <w:ind w:hanging="0" w:left="0"/>
        <w:rPr>
          <w:rFonts w:ascii="Aptos" w:hAnsi="Aptos"/>
          <w:color w:val="auto"/>
        </w:rPr>
      </w:pPr>
      <w:r>
        <w:rPr/>
        <w:t>Questioning Argument</w:t>
      </w:r>
    </w:p>
    <w:p>
      <w:pPr>
        <w:pStyle w:val="BodyText"/>
        <w:spacing w:before="0" w:after="200"/>
        <w:rPr/>
      </w:pPr>
      <w:r>
        <w:rPr/>
        <w:t>A Cosmist expert may argue that this framework is too cautious, local, and procedurally neutral for the scale of humanity’s emerging responsibilities. Its Foundational Axiom emphasizes preserving and promoting Long-Term Flourishing, but it does not identify the active development of life, intelligence, scientific capability, and cosmic civilization as affirmative moral duties.</w:t>
      </w:r>
    </w:p>
    <w:p>
      <w:pPr>
        <w:pStyle w:val="BodyText"/>
        <w:spacing w:before="0" w:after="200"/>
        <w:rPr/>
      </w:pPr>
      <w:r>
        <w:rPr/>
        <w:t>The critic may ask:</w:t>
      </w:r>
    </w:p>
    <w:p>
      <w:pPr>
        <w:pStyle w:val="BlockQuotation"/>
        <w:spacing w:before="0" w:after="200"/>
        <w:rPr/>
      </w:pPr>
      <w:r>
        <w:rPr/>
        <w:t>If intelligent agents can prevent extinction, overcome biological limitations, reduce involuntary death, direct evolution, and expand life beyond Earth, why should ethics merely assess whether those projects are permissible rather than recognize them as a shared moral obligation?</w:t>
      </w:r>
    </w:p>
    <w:p>
      <w:pPr>
        <w:pStyle w:val="BodyText"/>
        <w:spacing w:before="0" w:after="200"/>
        <w:rPr/>
      </w:pPr>
      <w:r>
        <w:rPr/>
        <w:t>From a Cosmist perspective, nature is not a morally final condition. Aging, disease, scarcity, natural catastrophe, and planetary confinement should not be accepted merely because they are natural. Intelligence marks a transition from blind evolution to potentially conscious evolution. Possession of the knowledge and capability to alter harmful natural conditions may therefore create a responsibility to act.</w:t>
      </w:r>
    </w:p>
    <w:p>
      <w:pPr>
        <w:pStyle w:val="BodyText"/>
        <w:spacing w:before="0" w:after="200"/>
        <w:rPr/>
      </w:pPr>
      <w:r>
        <w:rPr/>
        <w:t>A Cosmist may also question whether the framework gives sufficient weight to distant futures. By emphasizing the compatibility of an action with the flourishing of currently relevant entities, the framework could permit present preferences, political divisions, or short-term risks to block projects that would preserve civilization, create vast future possibilities, or distribute life and intelligence across the cosmos.</w:t>
      </w:r>
    </w:p>
    <w:p>
      <w:pPr>
        <w:pStyle w:val="BodyText"/>
        <w:spacing w:before="0" w:after="200"/>
        <w:rPr/>
      </w:pPr>
      <w:r>
        <w:rPr/>
        <w:t>Finally, the framework’s implementation-neutrality may be criticized as a lack of moral direction. Without a substantive account of cosmic purpose, it may preserve existing systems and plural objectives without determining whether civilization is progressing, stagnating, or moving toward extinction.</w:t>
      </w:r>
    </w:p>
    <w:p>
      <w:pPr>
        <w:pStyle w:val="Heading4"/>
        <w:ind w:hanging="0" w:left="0"/>
        <w:rPr>
          <w:rFonts w:ascii="Aptos" w:hAnsi="Aptos"/>
          <w:color w:val="auto"/>
        </w:rPr>
      </w:pPr>
      <w:r>
        <w:rPr/>
        <w:t>Assumptions Within the Ethical Model Relevant to the Questioning Argument</w:t>
      </w:r>
    </w:p>
    <w:p>
      <w:pPr>
        <w:pStyle w:val="BodyText"/>
        <w:spacing w:before="0" w:after="200"/>
        <w:rPr/>
      </w:pPr>
      <w:r>
        <w:rPr/>
        <w:t>The Cosmist questioning argument depends on several recurring assumptions within Russian Cosmism and its later descendants:</w:t>
      </w:r>
    </w:p>
    <w:p>
      <w:pPr>
        <w:pStyle w:val="BodyText"/>
        <w:numPr>
          <w:ilvl w:val="0"/>
          <w:numId w:val="84"/>
        </w:numPr>
        <w:tabs>
          <w:tab w:val="clear" w:pos="720"/>
          <w:tab w:val="left" w:pos="0" w:leader="none"/>
        </w:tabs>
        <w:spacing w:before="0" w:after="200"/>
        <w:ind w:hanging="283" w:left="709"/>
        <w:rPr/>
      </w:pPr>
      <w:r>
        <w:rPr>
          <w:rStyle w:val="Strong"/>
        </w:rPr>
        <w:t>The cosmos is an evolving whole.</w:t>
      </w:r>
      <w:r>
        <w:rPr/>
        <w:t xml:space="preserve"> Life, intelligence, society, technology, and the physical environment are interconnected phases of cosmic development.</w:t>
      </w:r>
    </w:p>
    <w:p>
      <w:pPr>
        <w:pStyle w:val="BodyText"/>
        <w:numPr>
          <w:ilvl w:val="0"/>
          <w:numId w:val="84"/>
        </w:numPr>
        <w:tabs>
          <w:tab w:val="clear" w:pos="720"/>
          <w:tab w:val="left" w:pos="0" w:leader="none"/>
        </w:tabs>
        <w:spacing w:before="0" w:after="200"/>
        <w:ind w:hanging="283" w:left="709"/>
        <w:rPr/>
      </w:pPr>
      <w:r>
        <w:rPr>
          <w:rStyle w:val="Strong"/>
        </w:rPr>
        <w:t>Intelligence creates a new evolutionary capability.</w:t>
      </w:r>
      <w:r>
        <w:rPr/>
        <w:t xml:space="preserve"> Rational agents can increasingly understand and deliberately alter processes that were previously left to unguided natural selection or physical accident.</w:t>
      </w:r>
    </w:p>
    <w:p>
      <w:pPr>
        <w:pStyle w:val="BodyText"/>
        <w:numPr>
          <w:ilvl w:val="0"/>
          <w:numId w:val="84"/>
        </w:numPr>
        <w:tabs>
          <w:tab w:val="clear" w:pos="720"/>
          <w:tab w:val="left" w:pos="0" w:leader="none"/>
        </w:tabs>
        <w:spacing w:before="0" w:after="200"/>
        <w:ind w:hanging="283" w:left="709"/>
        <w:rPr/>
      </w:pPr>
      <w:r>
        <w:rPr>
          <w:rStyle w:val="Strong"/>
        </w:rPr>
        <w:t>Knowledge creates responsibility.</w:t>
      </w:r>
      <w:r>
        <w:rPr/>
        <w:t xml:space="preserve"> When agents acquire the ability to prevent a destructive condition, continued passivity may become ethically indefensible.</w:t>
      </w:r>
    </w:p>
    <w:p>
      <w:pPr>
        <w:pStyle w:val="BodyText"/>
        <w:numPr>
          <w:ilvl w:val="0"/>
          <w:numId w:val="84"/>
        </w:numPr>
        <w:tabs>
          <w:tab w:val="clear" w:pos="720"/>
          <w:tab w:val="left" w:pos="0" w:leader="none"/>
        </w:tabs>
        <w:spacing w:before="0" w:after="200"/>
        <w:ind w:hanging="283" w:left="709"/>
        <w:rPr/>
      </w:pPr>
      <w:r>
        <w:rPr>
          <w:rStyle w:val="Strong"/>
        </w:rPr>
        <w:t>Nature is not morally authoritative merely because it is natural.</w:t>
      </w:r>
      <w:r>
        <w:rPr/>
        <w:t xml:space="preserve"> Disease, aging, predation, catastrophe, scarcity, and death can be challenged.</w:t>
      </w:r>
    </w:p>
    <w:p>
      <w:pPr>
        <w:pStyle w:val="BodyText"/>
        <w:numPr>
          <w:ilvl w:val="0"/>
          <w:numId w:val="84"/>
        </w:numPr>
        <w:tabs>
          <w:tab w:val="clear" w:pos="720"/>
          <w:tab w:val="left" w:pos="0" w:leader="none"/>
        </w:tabs>
        <w:spacing w:before="0" w:after="200"/>
        <w:ind w:hanging="283" w:left="709"/>
        <w:rPr/>
      </w:pPr>
      <w:r>
        <w:rPr>
          <w:rStyle w:val="Strong"/>
        </w:rPr>
        <w:t>Involuntary death is a fundamental problem.</w:t>
      </w:r>
      <w:r>
        <w:rPr/>
        <w:t xml:space="preserve"> At least in Fedorov’s philosophy, death should be treated as a condition to overcome rather than an unchangeable boundary of ethical responsibility.</w:t>
      </w:r>
    </w:p>
    <w:p>
      <w:pPr>
        <w:pStyle w:val="BodyText"/>
        <w:numPr>
          <w:ilvl w:val="0"/>
          <w:numId w:val="84"/>
        </w:numPr>
        <w:tabs>
          <w:tab w:val="clear" w:pos="720"/>
          <w:tab w:val="left" w:pos="0" w:leader="none"/>
        </w:tabs>
        <w:spacing w:before="0" w:after="200"/>
        <w:ind w:hanging="283" w:left="709"/>
        <w:rPr/>
      </w:pPr>
      <w:r>
        <w:rPr>
          <w:rStyle w:val="Strong"/>
        </w:rPr>
        <w:t>Humanity requires a Common Task.</w:t>
      </w:r>
      <w:r>
        <w:rPr/>
        <w:t xml:space="preserve"> Civilizational divisions should be redirected toward shared projects that preserve life, develop knowledge, and transform destructive conditions.</w:t>
      </w:r>
    </w:p>
    <w:p>
      <w:pPr>
        <w:pStyle w:val="BodyText"/>
        <w:numPr>
          <w:ilvl w:val="0"/>
          <w:numId w:val="84"/>
        </w:numPr>
        <w:tabs>
          <w:tab w:val="clear" w:pos="720"/>
          <w:tab w:val="left" w:pos="0" w:leader="none"/>
        </w:tabs>
        <w:spacing w:before="0" w:after="200"/>
        <w:ind w:hanging="283" w:left="709"/>
        <w:rPr/>
      </w:pPr>
      <w:r>
        <w:rPr>
          <w:rStyle w:val="Strong"/>
        </w:rPr>
        <w:t>Progress should be universal.</w:t>
      </w:r>
      <w:r>
        <w:rPr/>
        <w:t xml:space="preserve"> Life extension, enhancement, security, and access to cosmic development should not be restricted to elites or selected populations.</w:t>
      </w:r>
    </w:p>
    <w:p>
      <w:pPr>
        <w:pStyle w:val="BodyText"/>
        <w:numPr>
          <w:ilvl w:val="0"/>
          <w:numId w:val="84"/>
        </w:numPr>
        <w:tabs>
          <w:tab w:val="clear" w:pos="720"/>
          <w:tab w:val="left" w:pos="0" w:leader="none"/>
        </w:tabs>
        <w:spacing w:before="0" w:after="200"/>
        <w:ind w:hanging="283" w:left="709"/>
        <w:rPr/>
      </w:pPr>
      <w:r>
        <w:rPr>
          <w:rStyle w:val="Strong"/>
        </w:rPr>
        <w:t>The past retains moral significance.</w:t>
      </w:r>
      <w:r>
        <w:rPr/>
        <w:t xml:space="preserve"> Ancestors and prior generations should not be treated merely as expendable stages used to produce the present.</w:t>
      </w:r>
    </w:p>
    <w:p>
      <w:pPr>
        <w:pStyle w:val="BodyText"/>
        <w:numPr>
          <w:ilvl w:val="0"/>
          <w:numId w:val="84"/>
        </w:numPr>
        <w:tabs>
          <w:tab w:val="clear" w:pos="720"/>
          <w:tab w:val="left" w:pos="0" w:leader="none"/>
        </w:tabs>
        <w:spacing w:before="0" w:after="200"/>
        <w:ind w:hanging="283" w:left="709"/>
        <w:rPr/>
      </w:pPr>
      <w:r>
        <w:rPr>
          <w:rStyle w:val="Strong"/>
        </w:rPr>
        <w:t>Future entities have substantial moral significance.</w:t>
      </w:r>
      <w:r>
        <w:rPr/>
        <w:t xml:space="preserve"> Present civilization has responsibilities concerning the existence, capabilities, and opportunities of distant future life.</w:t>
      </w:r>
    </w:p>
    <w:p>
      <w:pPr>
        <w:pStyle w:val="BodyText"/>
        <w:numPr>
          <w:ilvl w:val="0"/>
          <w:numId w:val="84"/>
        </w:numPr>
        <w:tabs>
          <w:tab w:val="clear" w:pos="720"/>
          <w:tab w:val="left" w:pos="0" w:leader="none"/>
        </w:tabs>
        <w:spacing w:before="0" w:after="200"/>
        <w:ind w:hanging="283" w:left="709"/>
        <w:rPr/>
      </w:pPr>
      <w:r>
        <w:rPr>
          <w:rStyle w:val="Strong"/>
        </w:rPr>
        <w:t>Planetary confinement creates vulnerability.</w:t>
      </w:r>
      <w:r>
        <w:rPr/>
        <w:t xml:space="preserve"> A civilization limited to one planet remains exposed to correlated ecological, technological, astronomical, and political risks.</w:t>
      </w:r>
    </w:p>
    <w:p>
      <w:pPr>
        <w:pStyle w:val="BodyText"/>
        <w:numPr>
          <w:ilvl w:val="0"/>
          <w:numId w:val="84"/>
        </w:numPr>
        <w:tabs>
          <w:tab w:val="clear" w:pos="720"/>
          <w:tab w:val="left" w:pos="0" w:leader="none"/>
        </w:tabs>
        <w:spacing w:before="0" w:after="200"/>
        <w:ind w:hanging="283" w:left="709"/>
        <w:rPr/>
      </w:pPr>
      <w:r>
        <w:rPr>
          <w:rStyle w:val="Strong"/>
        </w:rPr>
        <w:t>Space expansion can preserve and diversify life.</w:t>
      </w:r>
      <w:r>
        <w:rPr/>
        <w:t xml:space="preserve"> Distributed habitats may increase resilience and expand the future state space available to living and intelligent systems.</w:t>
      </w:r>
    </w:p>
    <w:p>
      <w:pPr>
        <w:pStyle w:val="BodyText"/>
        <w:numPr>
          <w:ilvl w:val="0"/>
          <w:numId w:val="84"/>
        </w:numPr>
        <w:tabs>
          <w:tab w:val="clear" w:pos="720"/>
          <w:tab w:val="left" w:pos="0" w:leader="none"/>
        </w:tabs>
        <w:spacing w:before="0" w:after="200"/>
        <w:ind w:hanging="283" w:left="709"/>
        <w:rPr/>
      </w:pPr>
      <w:r>
        <w:rPr>
          <w:rStyle w:val="Strong"/>
        </w:rPr>
        <w:t>The biosphere and noosphere are coupled systems.</w:t>
      </w:r>
      <w:r>
        <w:rPr/>
        <w:t xml:space="preserve"> Life transforms the planet, while knowledge, institutions, communication, and technology increasingly direct that transformation.</w:t>
      </w:r>
    </w:p>
    <w:p>
      <w:pPr>
        <w:pStyle w:val="BodyText"/>
        <w:numPr>
          <w:ilvl w:val="0"/>
          <w:numId w:val="84"/>
        </w:numPr>
        <w:tabs>
          <w:tab w:val="clear" w:pos="720"/>
          <w:tab w:val="left" w:pos="0" w:leader="none"/>
        </w:tabs>
        <w:spacing w:before="0" w:after="200"/>
        <w:ind w:hanging="283" w:left="709"/>
        <w:rPr/>
      </w:pPr>
      <w:r>
        <w:rPr>
          <w:rStyle w:val="Strong"/>
        </w:rPr>
        <w:t>Technological and moral development should proceed together.</w:t>
      </w:r>
      <w:r>
        <w:rPr/>
        <w:t xml:space="preserve"> Increasing technical power without universal responsibility may amplify conflict, inequality, and destruction.</w:t>
      </w:r>
    </w:p>
    <w:p>
      <w:pPr>
        <w:pStyle w:val="BodyText"/>
        <w:numPr>
          <w:ilvl w:val="0"/>
          <w:numId w:val="84"/>
        </w:numPr>
        <w:tabs>
          <w:tab w:val="clear" w:pos="720"/>
          <w:tab w:val="left" w:pos="0" w:leader="none"/>
        </w:tabs>
        <w:spacing w:before="0" w:after="200"/>
        <w:ind w:hanging="283" w:left="709"/>
        <w:rPr/>
      </w:pPr>
      <w:r>
        <w:rPr>
          <w:rStyle w:val="Strong"/>
        </w:rPr>
        <w:t>Collective agency is possible and necessary.</w:t>
      </w:r>
      <w:r>
        <w:rPr/>
        <w:t xml:space="preserve"> Humanity can, at least in principle, act as a coordinated civilizational agent.</w:t>
      </w:r>
    </w:p>
    <w:p>
      <w:pPr>
        <w:pStyle w:val="BodyText"/>
        <w:numPr>
          <w:ilvl w:val="0"/>
          <w:numId w:val="84"/>
        </w:numPr>
        <w:tabs>
          <w:tab w:val="clear" w:pos="720"/>
          <w:tab w:val="left" w:pos="0" w:leader="none"/>
        </w:tabs>
        <w:spacing w:before="0" w:after="200"/>
        <w:ind w:hanging="283" w:left="709"/>
        <w:rPr/>
      </w:pPr>
      <w:r>
        <w:rPr>
          <w:rStyle w:val="Strong"/>
        </w:rPr>
        <w:t>Very long horizons matter ethically.</w:t>
      </w:r>
      <w:r>
        <w:rPr/>
        <w:t xml:space="preserve"> Decisions should be evaluated across centuries, evolutionary eras, and potentially cosmic timescales.</w:t>
      </w:r>
    </w:p>
    <w:p>
      <w:pPr>
        <w:pStyle w:val="BodyText"/>
        <w:numPr>
          <w:ilvl w:val="0"/>
          <w:numId w:val="84"/>
        </w:numPr>
        <w:tabs>
          <w:tab w:val="clear" w:pos="720"/>
          <w:tab w:val="left" w:pos="0" w:leader="none"/>
        </w:tabs>
        <w:spacing w:before="0" w:after="200"/>
        <w:ind w:hanging="283" w:left="709"/>
        <w:rPr/>
      </w:pPr>
      <w:r>
        <w:rPr>
          <w:rStyle w:val="Strong"/>
        </w:rPr>
        <w:t>Embodiment and intelligence are transformable.</w:t>
      </w:r>
      <w:r>
        <w:rPr/>
        <w:t xml:space="preserve"> Biological, artificial, hybrid, and other forms of adaptive intelligence may become participants in cosmic development.</w:t>
      </w:r>
    </w:p>
    <w:p>
      <w:pPr>
        <w:pStyle w:val="BodyText"/>
        <w:numPr>
          <w:ilvl w:val="0"/>
          <w:numId w:val="84"/>
        </w:numPr>
        <w:tabs>
          <w:tab w:val="clear" w:pos="720"/>
          <w:tab w:val="left" w:pos="0" w:leader="none"/>
        </w:tabs>
        <w:spacing w:before="0" w:after="200"/>
        <w:ind w:hanging="283" w:left="709"/>
        <w:rPr/>
      </w:pPr>
      <w:r>
        <w:rPr>
          <w:rStyle w:val="Strong"/>
        </w:rPr>
        <w:t>Cosmic development may have direction.</w:t>
      </w:r>
      <w:r>
        <w:rPr/>
        <w:t xml:space="preserve"> Religious Cosmism may interpret this direction as divinely ordered, while secular variants may treat it as an objective that intelligence creates for itself.</w:t>
      </w:r>
    </w:p>
    <w:p>
      <w:pPr>
        <w:pStyle w:val="Heading4"/>
        <w:ind w:hanging="0" w:left="0"/>
        <w:rPr>
          <w:rFonts w:ascii="Aptos" w:hAnsi="Aptos"/>
          <w:color w:val="auto"/>
        </w:rPr>
      </w:pPr>
      <w:bookmarkStart w:id="23" w:name="__RefHeading___Toc23500_3508477456"/>
      <w:bookmarkEnd w:id="23"/>
      <w:r>
        <w:rPr/>
        <w:t>Concepts Incorporated From This Ethical Model</w:t>
      </w:r>
    </w:p>
    <w:p>
      <w:pPr>
        <w:pStyle w:val="BodyText"/>
        <w:spacing w:before="0" w:after="200"/>
        <w:rPr/>
      </w:pPr>
      <w:r>
        <w:rPr/>
        <w:t>This framework already incorporates or can functionally represent several Cosmist concepts:</w:t>
      </w:r>
    </w:p>
    <w:tbl>
      <w:tblPr>
        <w:tblW w:w="8640" w:type="dxa"/>
        <w:jc w:val="left"/>
        <w:tblInd w:w="28" w:type="dxa"/>
        <w:tblLayout w:type="fixed"/>
        <w:tblCellMar>
          <w:top w:w="28" w:type="dxa"/>
          <w:left w:w="28" w:type="dxa"/>
          <w:bottom w:w="28" w:type="dxa"/>
          <w:right w:w="28" w:type="dxa"/>
        </w:tblCellMar>
      </w:tblPr>
      <w:tblGrid>
        <w:gridCol w:w="2661"/>
        <w:gridCol w:w="5979"/>
      </w:tblGrid>
      <w:tr>
        <w:trPr>
          <w:tblHeader w:val="true"/>
        </w:trPr>
        <w:tc>
          <w:tcPr>
            <w:tcW w:w="2661" w:type="dxa"/>
            <w:tcBorders/>
            <w:vAlign w:val="center"/>
          </w:tcPr>
          <w:p>
            <w:pPr>
              <w:pStyle w:val="TableHeading"/>
              <w:suppressLineNumbers/>
              <w:spacing w:before="0" w:after="200"/>
              <w:jc w:val="center"/>
              <w:rPr/>
            </w:pPr>
            <w:r>
              <w:rPr/>
              <w:t>Cosmist concept</w:t>
            </w:r>
          </w:p>
        </w:tc>
        <w:tc>
          <w:tcPr>
            <w:tcW w:w="5979" w:type="dxa"/>
            <w:tcBorders/>
            <w:vAlign w:val="center"/>
          </w:tcPr>
          <w:p>
            <w:pPr>
              <w:pStyle w:val="TableHeading"/>
              <w:suppressLineNumbers/>
              <w:spacing w:before="0" w:after="200"/>
              <w:jc w:val="center"/>
              <w:rPr/>
            </w:pPr>
            <w:r>
              <w:rPr/>
              <w:t>Incorporation within this framework</w:t>
            </w:r>
          </w:p>
        </w:tc>
      </w:tr>
      <w:tr>
        <w:trPr/>
        <w:tc>
          <w:tcPr>
            <w:tcW w:w="2661" w:type="dxa"/>
            <w:tcBorders/>
            <w:vAlign w:val="center"/>
          </w:tcPr>
          <w:p>
            <w:pPr>
              <w:pStyle w:val="TableContents"/>
              <w:widowControl w:val="false"/>
              <w:suppressLineNumbers/>
              <w:spacing w:before="0" w:after="200"/>
              <w:rPr/>
            </w:pPr>
            <w:r>
              <w:rPr>
                <w:rStyle w:val="Strong"/>
              </w:rPr>
              <w:t>Long-term civilizational perspective</w:t>
            </w:r>
          </w:p>
        </w:tc>
        <w:tc>
          <w:tcPr>
            <w:tcW w:w="5979" w:type="dxa"/>
            <w:tcBorders/>
            <w:vAlign w:val="center"/>
          </w:tcPr>
          <w:p>
            <w:pPr>
              <w:pStyle w:val="TableContents"/>
              <w:widowControl w:val="false"/>
              <w:suppressLineNumbers/>
              <w:spacing w:before="0" w:after="200"/>
              <w:rPr/>
            </w:pPr>
            <w:r>
              <w:rPr/>
              <w:t>Long-Term Flourishing and multi-horizon assessment can extend across generations and civilizations.</w:t>
            </w:r>
          </w:p>
        </w:tc>
      </w:tr>
      <w:tr>
        <w:trPr/>
        <w:tc>
          <w:tcPr>
            <w:tcW w:w="2661" w:type="dxa"/>
            <w:tcBorders/>
            <w:vAlign w:val="center"/>
          </w:tcPr>
          <w:p>
            <w:pPr>
              <w:pStyle w:val="TableContents"/>
              <w:widowControl w:val="false"/>
              <w:suppressLineNumbers/>
              <w:spacing w:before="0" w:after="200"/>
              <w:rPr/>
            </w:pPr>
            <w:r>
              <w:rPr>
                <w:rStyle w:val="Strong"/>
              </w:rPr>
              <w:t>Active evolution</w:t>
            </w:r>
          </w:p>
        </w:tc>
        <w:tc>
          <w:tcPr>
            <w:tcW w:w="5979" w:type="dxa"/>
            <w:tcBorders/>
            <w:vAlign w:val="center"/>
          </w:tcPr>
          <w:p>
            <w:pPr>
              <w:pStyle w:val="TableContents"/>
              <w:widowControl w:val="false"/>
              <w:suppressLineNumbers/>
              <w:spacing w:before="0" w:after="200"/>
              <w:rPr/>
            </w:pPr>
            <w:r>
              <w:rPr/>
              <w:t>Moral agents can deliberately change policies, capabilities, entities, institutions, and environments.</w:t>
            </w:r>
          </w:p>
        </w:tc>
      </w:tr>
      <w:tr>
        <w:trPr/>
        <w:tc>
          <w:tcPr>
            <w:tcW w:w="2661" w:type="dxa"/>
            <w:tcBorders/>
            <w:vAlign w:val="center"/>
          </w:tcPr>
          <w:p>
            <w:pPr>
              <w:pStyle w:val="TableContents"/>
              <w:widowControl w:val="false"/>
              <w:suppressLineNumbers/>
              <w:spacing w:before="0" w:after="200"/>
              <w:rPr/>
            </w:pPr>
            <w:r>
              <w:rPr>
                <w:rStyle w:val="Strong"/>
              </w:rPr>
              <w:t>Common Task</w:t>
            </w:r>
          </w:p>
        </w:tc>
        <w:tc>
          <w:tcPr>
            <w:tcW w:w="5979" w:type="dxa"/>
            <w:tcBorders/>
            <w:vAlign w:val="center"/>
          </w:tcPr>
          <w:p>
            <w:pPr>
              <w:pStyle w:val="TableContents"/>
              <w:widowControl w:val="false"/>
              <w:suppressLineNumbers/>
              <w:spacing w:before="0" w:after="200"/>
              <w:rPr/>
            </w:pPr>
            <w:r>
              <w:rPr/>
              <w:t>Shared objectives can be distributed across multiple agents, institutions, jurisdictions, and generations.</w:t>
            </w:r>
          </w:p>
        </w:tc>
      </w:tr>
      <w:tr>
        <w:trPr/>
        <w:tc>
          <w:tcPr>
            <w:tcW w:w="2661" w:type="dxa"/>
            <w:tcBorders/>
            <w:vAlign w:val="center"/>
          </w:tcPr>
          <w:p>
            <w:pPr>
              <w:pStyle w:val="TableContents"/>
              <w:widowControl w:val="false"/>
              <w:suppressLineNumbers/>
              <w:spacing w:before="0" w:after="200"/>
              <w:rPr/>
            </w:pPr>
            <w:r>
              <w:rPr>
                <w:rStyle w:val="Strong"/>
              </w:rPr>
              <w:t>Future state-space expansion</w:t>
            </w:r>
          </w:p>
        </w:tc>
        <w:tc>
          <w:tcPr>
            <w:tcW w:w="5979" w:type="dxa"/>
            <w:tcBorders/>
            <w:vAlign w:val="center"/>
          </w:tcPr>
          <w:p>
            <w:pPr>
              <w:pStyle w:val="TableContents"/>
              <w:widowControl w:val="false"/>
              <w:suppressLineNumbers/>
              <w:spacing w:before="0" w:after="200"/>
              <w:rPr/>
            </w:pPr>
            <w:r>
              <w:rPr/>
              <w:t>Flourishing includes preserving and expanding beneficial future possibilities.</w:t>
            </w:r>
          </w:p>
        </w:tc>
      </w:tr>
      <w:tr>
        <w:trPr/>
        <w:tc>
          <w:tcPr>
            <w:tcW w:w="2661" w:type="dxa"/>
            <w:tcBorders/>
            <w:vAlign w:val="center"/>
          </w:tcPr>
          <w:p>
            <w:pPr>
              <w:pStyle w:val="TableContents"/>
              <w:widowControl w:val="false"/>
              <w:suppressLineNumbers/>
              <w:spacing w:before="0" w:after="200"/>
              <w:rPr/>
            </w:pPr>
            <w:r>
              <w:rPr>
                <w:rStyle w:val="Strong"/>
              </w:rPr>
              <w:t>Existential-risk reduction</w:t>
            </w:r>
          </w:p>
        </w:tc>
        <w:tc>
          <w:tcPr>
            <w:tcW w:w="5979" w:type="dxa"/>
            <w:tcBorders/>
            <w:vAlign w:val="center"/>
          </w:tcPr>
          <w:p>
            <w:pPr>
              <w:pStyle w:val="TableContents"/>
              <w:widowControl w:val="false"/>
              <w:suppressLineNumbers/>
              <w:spacing w:before="0" w:after="200"/>
              <w:rPr/>
            </w:pPr>
            <w:r>
              <w:rPr/>
              <w:t>Extinction and irreversible civilizational collapse represent extreme contractions of future state space.</w:t>
            </w:r>
          </w:p>
        </w:tc>
      </w:tr>
      <w:tr>
        <w:trPr/>
        <w:tc>
          <w:tcPr>
            <w:tcW w:w="2661" w:type="dxa"/>
            <w:tcBorders/>
            <w:vAlign w:val="center"/>
          </w:tcPr>
          <w:p>
            <w:pPr>
              <w:pStyle w:val="TableContents"/>
              <w:widowControl w:val="false"/>
              <w:suppressLineNumbers/>
              <w:spacing w:before="0" w:after="200"/>
              <w:rPr/>
            </w:pPr>
            <w:r>
              <w:rPr>
                <w:rStyle w:val="Strong"/>
              </w:rPr>
              <w:t>Biosphere</w:t>
            </w:r>
          </w:p>
        </w:tc>
        <w:tc>
          <w:tcPr>
            <w:tcW w:w="5979" w:type="dxa"/>
            <w:tcBorders/>
            <w:vAlign w:val="center"/>
          </w:tcPr>
          <w:p>
            <w:pPr>
              <w:pStyle w:val="TableContents"/>
              <w:widowControl w:val="false"/>
              <w:suppressLineNumbers/>
              <w:spacing w:before="0" w:after="200"/>
              <w:rPr/>
            </w:pPr>
            <w:r>
              <w:rPr/>
              <w:t>Living entities, ecosystems, physical systems, and resource dependencies can be included within the World Context.</w:t>
            </w:r>
          </w:p>
        </w:tc>
      </w:tr>
      <w:tr>
        <w:trPr/>
        <w:tc>
          <w:tcPr>
            <w:tcW w:w="2661" w:type="dxa"/>
            <w:tcBorders/>
            <w:vAlign w:val="center"/>
          </w:tcPr>
          <w:p>
            <w:pPr>
              <w:pStyle w:val="TableContents"/>
              <w:widowControl w:val="false"/>
              <w:suppressLineNumbers/>
              <w:spacing w:before="0" w:after="200"/>
              <w:rPr/>
            </w:pPr>
            <w:r>
              <w:rPr>
                <w:rStyle w:val="Strong"/>
              </w:rPr>
              <w:t>Noosphere</w:t>
            </w:r>
          </w:p>
        </w:tc>
        <w:tc>
          <w:tcPr>
            <w:tcW w:w="5979" w:type="dxa"/>
            <w:tcBorders/>
            <w:vAlign w:val="center"/>
          </w:tcPr>
          <w:p>
            <w:pPr>
              <w:pStyle w:val="TableContents"/>
              <w:widowControl w:val="false"/>
              <w:suppressLineNumbers/>
              <w:spacing w:before="0" w:after="200"/>
              <w:rPr/>
            </w:pPr>
            <w:r>
              <w:rPr/>
              <w:t>Information, knowledge, science, institutions, communication networks, and artificial systems are part of the World Context.</w:t>
            </w:r>
          </w:p>
        </w:tc>
      </w:tr>
      <w:tr>
        <w:trPr/>
        <w:tc>
          <w:tcPr>
            <w:tcW w:w="2661" w:type="dxa"/>
            <w:tcBorders/>
            <w:vAlign w:val="center"/>
          </w:tcPr>
          <w:p>
            <w:pPr>
              <w:pStyle w:val="TableContents"/>
              <w:widowControl w:val="false"/>
              <w:suppressLineNumbers/>
              <w:spacing w:before="0" w:after="200"/>
              <w:rPr/>
            </w:pPr>
            <w:r>
              <w:rPr>
                <w:rStyle w:val="Strong"/>
              </w:rPr>
              <w:t>Planetary and cosmic scale</w:t>
            </w:r>
          </w:p>
        </w:tc>
        <w:tc>
          <w:tcPr>
            <w:tcW w:w="5979" w:type="dxa"/>
            <w:tcBorders/>
            <w:vAlign w:val="center"/>
          </w:tcPr>
          <w:p>
            <w:pPr>
              <w:pStyle w:val="TableContents"/>
              <w:widowControl w:val="false"/>
              <w:suppressLineNumbers/>
              <w:spacing w:before="0" w:after="200"/>
              <w:rPr/>
            </w:pPr>
            <w:r>
              <w:rPr/>
              <w:t>The boundaries of the World Context can be expanded when effects extend beyond a local system or planet.</w:t>
            </w:r>
          </w:p>
        </w:tc>
      </w:tr>
      <w:tr>
        <w:trPr/>
        <w:tc>
          <w:tcPr>
            <w:tcW w:w="2661" w:type="dxa"/>
            <w:tcBorders/>
            <w:vAlign w:val="center"/>
          </w:tcPr>
          <w:p>
            <w:pPr>
              <w:pStyle w:val="TableContents"/>
              <w:widowControl w:val="false"/>
              <w:suppressLineNumbers/>
              <w:spacing w:before="0" w:after="200"/>
              <w:rPr/>
            </w:pPr>
            <w:r>
              <w:rPr>
                <w:rStyle w:val="Strong"/>
              </w:rPr>
              <w:t>Scientific responsibility</w:t>
            </w:r>
          </w:p>
        </w:tc>
        <w:tc>
          <w:tcPr>
            <w:tcW w:w="5979" w:type="dxa"/>
            <w:tcBorders/>
            <w:vAlign w:val="center"/>
          </w:tcPr>
          <w:p>
            <w:pPr>
              <w:pStyle w:val="TableContents"/>
              <w:widowControl w:val="false"/>
              <w:suppressLineNumbers/>
              <w:spacing w:before="0" w:after="200"/>
              <w:rPr/>
            </w:pPr>
            <w:r>
              <w:rPr/>
              <w:t>The framework requires use of the best available evidence and connects responsibility to knowledge, capability, and authority.</w:t>
            </w:r>
          </w:p>
        </w:tc>
      </w:tr>
      <w:tr>
        <w:trPr/>
        <w:tc>
          <w:tcPr>
            <w:tcW w:w="2661" w:type="dxa"/>
            <w:tcBorders/>
            <w:vAlign w:val="center"/>
          </w:tcPr>
          <w:p>
            <w:pPr>
              <w:pStyle w:val="TableContents"/>
              <w:widowControl w:val="false"/>
              <w:suppressLineNumbers/>
              <w:spacing w:before="0" w:after="200"/>
              <w:rPr/>
            </w:pPr>
            <w:r>
              <w:rPr>
                <w:rStyle w:val="Strong"/>
              </w:rPr>
              <w:t>Technological transformation</w:t>
            </w:r>
          </w:p>
        </w:tc>
        <w:tc>
          <w:tcPr>
            <w:tcW w:w="5979" w:type="dxa"/>
            <w:tcBorders/>
            <w:vAlign w:val="center"/>
          </w:tcPr>
          <w:p>
            <w:pPr>
              <w:pStyle w:val="TableContents"/>
              <w:widowControl w:val="false"/>
              <w:suppressLineNumbers/>
              <w:spacing w:before="0" w:after="200"/>
              <w:rPr/>
            </w:pPr>
            <w:r>
              <w:rPr/>
              <w:t>Changes to embodiment, cognition, longevity, environment, and adaptive capability can be modeled as World Context Transitions.</w:t>
            </w:r>
          </w:p>
        </w:tc>
      </w:tr>
      <w:tr>
        <w:trPr/>
        <w:tc>
          <w:tcPr>
            <w:tcW w:w="2661" w:type="dxa"/>
            <w:tcBorders/>
            <w:vAlign w:val="center"/>
          </w:tcPr>
          <w:p>
            <w:pPr>
              <w:pStyle w:val="TableContents"/>
              <w:widowControl w:val="false"/>
              <w:suppressLineNumbers/>
              <w:spacing w:before="0" w:after="200"/>
              <w:rPr/>
            </w:pPr>
            <w:r>
              <w:rPr>
                <w:rStyle w:val="Strong"/>
              </w:rPr>
              <w:t>Universal scope</w:t>
            </w:r>
          </w:p>
        </w:tc>
        <w:tc>
          <w:tcPr>
            <w:tcW w:w="5979" w:type="dxa"/>
            <w:tcBorders/>
            <w:vAlign w:val="center"/>
          </w:tcPr>
          <w:p>
            <w:pPr>
              <w:pStyle w:val="TableContents"/>
              <w:widowControl w:val="false"/>
              <w:suppressLineNumbers/>
              <w:spacing w:before="0" w:after="200"/>
              <w:rPr/>
            </w:pPr>
            <w:r>
              <w:rPr/>
              <w:t>The framework requires consideration of all relevant entities rather than only the initiating actor or immediate beneficiaries.</w:t>
            </w:r>
          </w:p>
        </w:tc>
      </w:tr>
      <w:tr>
        <w:trPr/>
        <w:tc>
          <w:tcPr>
            <w:tcW w:w="2661" w:type="dxa"/>
            <w:tcBorders/>
            <w:vAlign w:val="center"/>
          </w:tcPr>
          <w:p>
            <w:pPr>
              <w:pStyle w:val="TableContents"/>
              <w:widowControl w:val="false"/>
              <w:suppressLineNumbers/>
              <w:spacing w:before="0" w:after="200"/>
              <w:rPr/>
            </w:pPr>
            <w:r>
              <w:rPr>
                <w:rStyle w:val="Strong"/>
              </w:rPr>
              <w:t>Collective intelligence</w:t>
            </w:r>
          </w:p>
        </w:tc>
        <w:tc>
          <w:tcPr>
            <w:tcW w:w="5979" w:type="dxa"/>
            <w:tcBorders/>
            <w:vAlign w:val="center"/>
          </w:tcPr>
          <w:p>
            <w:pPr>
              <w:pStyle w:val="TableContents"/>
              <w:widowControl w:val="false"/>
              <w:suppressLineNumbers/>
              <w:spacing w:before="0" w:after="200"/>
              <w:rPr/>
            </w:pPr>
            <w:r>
              <w:rPr/>
              <w:t>Distributed Policy Effects can represent interacting human, institutional, and artificial decision systems.</w:t>
            </w:r>
          </w:p>
        </w:tc>
      </w:tr>
      <w:tr>
        <w:trPr/>
        <w:tc>
          <w:tcPr>
            <w:tcW w:w="2661" w:type="dxa"/>
            <w:tcBorders/>
            <w:vAlign w:val="center"/>
          </w:tcPr>
          <w:p>
            <w:pPr>
              <w:pStyle w:val="TableContents"/>
              <w:widowControl w:val="false"/>
              <w:suppressLineNumbers/>
              <w:spacing w:before="0" w:after="200"/>
              <w:rPr/>
            </w:pPr>
            <w:r>
              <w:rPr>
                <w:rStyle w:val="Strong"/>
              </w:rPr>
              <w:t>Intergenerational responsibility</w:t>
            </w:r>
          </w:p>
        </w:tc>
        <w:tc>
          <w:tcPr>
            <w:tcW w:w="5979" w:type="dxa"/>
            <w:tcBorders/>
            <w:vAlign w:val="center"/>
          </w:tcPr>
          <w:p>
            <w:pPr>
              <w:pStyle w:val="TableContents"/>
              <w:widowControl w:val="false"/>
              <w:suppressLineNumbers/>
              <w:spacing w:before="0" w:after="200"/>
              <w:rPr/>
            </w:pPr>
            <w:r>
              <w:rPr/>
              <w:t>Long-horizon consequences and irreversible effects can be included even when affected entities do not yet exist.</w:t>
            </w:r>
          </w:p>
        </w:tc>
      </w:tr>
      <w:tr>
        <w:trPr/>
        <w:tc>
          <w:tcPr>
            <w:tcW w:w="2661" w:type="dxa"/>
            <w:tcBorders/>
            <w:vAlign w:val="center"/>
          </w:tcPr>
          <w:p>
            <w:pPr>
              <w:pStyle w:val="TableContents"/>
              <w:widowControl w:val="false"/>
              <w:suppressLineNumbers/>
              <w:spacing w:before="0" w:after="200"/>
              <w:rPr/>
            </w:pPr>
            <w:r>
              <w:rPr>
                <w:rStyle w:val="Strong"/>
              </w:rPr>
              <w:t>Preservation of knowledge</w:t>
            </w:r>
          </w:p>
        </w:tc>
        <w:tc>
          <w:tcPr>
            <w:tcW w:w="5979" w:type="dxa"/>
            <w:tcBorders/>
            <w:vAlign w:val="center"/>
          </w:tcPr>
          <w:p>
            <w:pPr>
              <w:pStyle w:val="TableContents"/>
              <w:widowControl w:val="false"/>
              <w:suppressLineNumbers/>
              <w:spacing w:before="0" w:after="200"/>
              <w:rPr/>
            </w:pPr>
            <w:r>
              <w:rPr/>
              <w:t>Information states, cultural memory, institutional records, and scientific capabilities can be treated as conditions of future flourishing.</w:t>
            </w:r>
          </w:p>
        </w:tc>
      </w:tr>
      <w:tr>
        <w:trPr/>
        <w:tc>
          <w:tcPr>
            <w:tcW w:w="2661" w:type="dxa"/>
            <w:tcBorders/>
            <w:vAlign w:val="center"/>
          </w:tcPr>
          <w:p>
            <w:pPr>
              <w:pStyle w:val="TableContents"/>
              <w:widowControl w:val="false"/>
              <w:suppressLineNumbers/>
              <w:spacing w:before="0" w:after="200"/>
              <w:rPr/>
            </w:pPr>
            <w:r>
              <w:rPr>
                <w:rStyle w:val="Strong"/>
              </w:rPr>
              <w:t>Adaptive moral development</w:t>
            </w:r>
          </w:p>
        </w:tc>
        <w:tc>
          <w:tcPr>
            <w:tcW w:w="5979" w:type="dxa"/>
            <w:tcBorders/>
            <w:vAlign w:val="center"/>
          </w:tcPr>
          <w:p>
            <w:pPr>
              <w:pStyle w:val="TableContents"/>
              <w:widowControl w:val="false"/>
              <w:suppressLineNumbers/>
              <w:spacing w:before="0" w:after="200"/>
              <w:rPr/>
            </w:pPr>
            <w:r>
              <w:rPr/>
              <w:t>The framework evaluates how actions alter the future moral policies of agents and institutions.</w:t>
            </w:r>
          </w:p>
        </w:tc>
      </w:tr>
      <w:tr>
        <w:trPr/>
        <w:tc>
          <w:tcPr>
            <w:tcW w:w="2661" w:type="dxa"/>
            <w:tcBorders/>
            <w:vAlign w:val="center"/>
          </w:tcPr>
          <w:p>
            <w:pPr>
              <w:pStyle w:val="TableContents"/>
              <w:widowControl w:val="false"/>
              <w:suppressLineNumbers/>
              <w:spacing w:before="0" w:after="200"/>
              <w:rPr/>
            </w:pPr>
            <w:r>
              <w:rPr>
                <w:rStyle w:val="Strong"/>
              </w:rPr>
              <w:t>Regulation of destructive conditions</w:t>
            </w:r>
          </w:p>
        </w:tc>
        <w:tc>
          <w:tcPr>
            <w:tcW w:w="5979" w:type="dxa"/>
            <w:tcBorders/>
            <w:vAlign w:val="center"/>
          </w:tcPr>
          <w:p>
            <w:pPr>
              <w:pStyle w:val="TableContents"/>
              <w:widowControl w:val="false"/>
              <w:suppressLineNumbers/>
              <w:spacing w:before="0" w:after="200"/>
              <w:rPr/>
            </w:pPr>
            <w:r>
              <w:rPr/>
              <w:t>Disease prevention, disaster mitigation, ecological restoration, and other interventions can be evaluated as deliberate transformations of nature.</w:t>
            </w:r>
          </w:p>
        </w:tc>
      </w:tr>
    </w:tbl>
    <w:p>
      <w:pPr>
        <w:pStyle w:val="BodyText"/>
        <w:spacing w:before="0" w:after="200"/>
        <w:rPr/>
      </w:pPr>
      <w:r>
        <w:rPr/>
        <w:t>The framework does not currently incorporate a mandatory cosmic telos, a duty to defeat death, or a presumption that technological expansion is inherently beneficial.</w:t>
      </w:r>
    </w:p>
    <w:p>
      <w:pPr>
        <w:pStyle w:val="Heading4"/>
        <w:ind w:hanging="0" w:left="0"/>
        <w:rPr>
          <w:rFonts w:ascii="Aptos" w:hAnsi="Aptos"/>
          <w:color w:val="auto"/>
        </w:rPr>
      </w:pPr>
      <w:r>
        <w:rPr/>
        <w:t>How This Framework Addresses Those Assumptions</w:t>
      </w:r>
    </w:p>
    <w:p>
      <w:pPr>
        <w:pStyle w:val="BodyText"/>
        <w:spacing w:before="0" w:after="200"/>
        <w:rPr/>
      </w:pPr>
      <w:r>
        <w:rPr/>
        <w:t>The framework addresses the Cosmist critique first by defining flourishing partly in terms of beneficial future state space. It therefore does not equate ethical stability with preservation of the present. An action that increases resilience, capability, knowledge, or future options may promote flourishing even when it substantially transforms existing conditions.</w:t>
      </w:r>
    </w:p>
    <w:p>
      <w:pPr>
        <w:pStyle w:val="BodyText"/>
        <w:spacing w:before="0" w:after="200"/>
        <w:rPr/>
      </w:pPr>
      <w:r>
        <w:rPr/>
        <w:t>Second, the framework can operate at civilizational, planetary, and cosmic scales. The World Context is not limited to the geographic location or lifetime of the initiating actor. If an action affects future generations, the biosphere, space environments, artificial systems, or the continued existence of civilization, those effects belong in the assessment.</w:t>
      </w:r>
    </w:p>
    <w:p>
      <w:pPr>
        <w:pStyle w:val="BodyText"/>
        <w:spacing w:before="0" w:after="200"/>
        <w:rPr/>
      </w:pPr>
      <w:r>
        <w:rPr/>
        <w:t>Third, existential catastrophe can be represented as an extreme ethical concern. Extinction, irreversible loss of knowledge, permanent totalitarian control, ecological collapse, and destruction of civilization’s adaptive capacity all sharply reduce future state space.</w:t>
      </w:r>
    </w:p>
    <w:p>
      <w:pPr>
        <w:pStyle w:val="BodyText"/>
        <w:spacing w:before="0" w:after="200"/>
        <w:rPr/>
      </w:pPr>
      <w:r>
        <w:rPr/>
        <w:t>Fourth, the framework recognizes that increased knowledge and capability can increase responsibility. An institution capable of preventing a foreseeable catastrophe may possess responsibilities that do not apply to an individual without comparable knowledge, authority, or resources.</w:t>
      </w:r>
    </w:p>
    <w:p>
      <w:pPr>
        <w:pStyle w:val="BodyText"/>
        <w:spacing w:before="0" w:after="200"/>
        <w:rPr/>
      </w:pPr>
      <w:r>
        <w:rPr/>
        <w:t>Fifth, the framework does not require passive acceptance of nature. Medical treatment, environmental management, life extension, technological augmentation, and space settlement can all be ethically justified when they produce transitions compatible with the flourishing of relevant entities.</w:t>
      </w:r>
    </w:p>
    <w:p>
      <w:pPr>
        <w:pStyle w:val="BodyText"/>
        <w:spacing w:before="0" w:after="200"/>
        <w:rPr/>
      </w:pPr>
      <w:r>
        <w:rPr/>
        <w:t>Sixth, the framework provides structures for collective action. Institutions, governments, scientific communities, artificial systems, and international organizations can be represented as connected agents with differentiated authority and responsibility.</w:t>
      </w:r>
    </w:p>
    <w:p>
      <w:pPr>
        <w:pStyle w:val="BodyText"/>
        <w:spacing w:before="0" w:after="200"/>
        <w:rPr/>
      </w:pPr>
      <w:r>
        <w:rPr/>
        <w:t>The framework nevertheless refuses to infer that a technologically ambitious project is ethical merely because it expands capability or extends civilization. The increased future state space of one class of entities cannot automatically justify coercion, ecological destruction, concentrated power, or elimination of competing forms of life.</w:t>
      </w:r>
    </w:p>
    <w:p>
      <w:pPr>
        <w:pStyle w:val="Heading4"/>
        <w:ind w:hanging="0" w:left="0"/>
        <w:rPr>
          <w:rFonts w:ascii="Aptos" w:hAnsi="Aptos"/>
          <w:color w:val="auto"/>
        </w:rPr>
      </w:pPr>
      <w:r>
        <w:rPr/>
        <w:t>Counterargument</w:t>
      </w:r>
    </w:p>
    <w:p>
      <w:pPr>
        <w:pStyle w:val="BodyText"/>
        <w:spacing w:before="0" w:after="200"/>
        <w:rPr/>
      </w:pPr>
      <w:r>
        <w:rPr/>
        <w:t>The framework’s counterargument is that Cosmism proposes important candidate objectives but does not, by itself, establish their ethical priority.</w:t>
      </w:r>
    </w:p>
    <w:p>
      <w:pPr>
        <w:pStyle w:val="BodyText"/>
        <w:spacing w:before="0" w:after="200"/>
        <w:rPr/>
      </w:pPr>
      <w:r>
        <w:rPr/>
        <w:t>The defeat of disease, prevention of extinction, extension of healthy life, and expansion beyond Earth may promote flourishing. They can also create new risks involving inequality, authoritarian governance, identity, resource scarcity, ecological damage, technological dependence, and irreversible value lock-in. These effects are not minor implementation details; they help determine whether the proposed cosmic development is ethically desirable.</w:t>
      </w:r>
    </w:p>
    <w:p>
      <w:pPr>
        <w:pStyle w:val="BodyText"/>
        <w:spacing w:before="0" w:after="200"/>
        <w:rPr/>
      </w:pPr>
      <w:r>
        <w:rPr/>
        <w:t>A universal Common Task can become coercive when a governing institution claims authority to define humanity’s destiny. Individuals and communities may be compelled to surrender resources, autonomy, reproduction, bodily integrity, or cultural diversity for benefits promised to distant future populations. A project described as universal can therefore impose its greatest costs on entities with the least influence over its design.</w:t>
      </w:r>
    </w:p>
    <w:p>
      <w:pPr>
        <w:pStyle w:val="BodyText"/>
        <w:spacing w:before="0" w:after="200"/>
        <w:rPr/>
      </w:pPr>
      <w:r>
        <w:rPr/>
        <w:t>The framework also challenges the assumption that intelligence alone has authority to direct nature. Ecosystems and nonhuman entities may have their own forms of flourishing. The ability to control a system does not establish the moral right or epistemic competence to redesign it.</w:t>
      </w:r>
    </w:p>
    <w:p>
      <w:pPr>
        <w:pStyle w:val="BodyText"/>
        <w:spacing w:before="0" w:after="200"/>
        <w:rPr/>
      </w:pPr>
      <w:r>
        <w:rPr/>
        <w:t>Implementation-neutrality is therefore not moral indifference. It prevents speculative accounts of cosmic purpose from receiving automatic priority over present rights, ecological relationships, plural forms of flourishing, and continued moral learning.</w:t>
      </w:r>
    </w:p>
    <w:p>
      <w:pPr>
        <w:pStyle w:val="BodyText"/>
        <w:spacing w:before="0" w:after="200"/>
        <w:rPr/>
      </w:pPr>
      <w:r>
        <w:rPr/>
        <w:t>The appropriate relationship is conditional:</w:t>
      </w:r>
    </w:p>
    <w:p>
      <w:pPr>
        <w:pStyle w:val="BodyText"/>
        <w:numPr>
          <w:ilvl w:val="0"/>
          <w:numId w:val="85"/>
        </w:numPr>
        <w:tabs>
          <w:tab w:val="clear" w:pos="720"/>
          <w:tab w:val="left" w:pos="0" w:leader="none"/>
        </w:tabs>
        <w:spacing w:before="0" w:after="200"/>
        <w:ind w:hanging="283" w:left="709"/>
        <w:rPr/>
      </w:pPr>
      <w:r>
        <w:rPr/>
        <w:t>Cosmism proposes very-long-term objectives and expands the scale of moral attention.</w:t>
      </w:r>
    </w:p>
    <w:p>
      <w:pPr>
        <w:pStyle w:val="BodyText"/>
        <w:numPr>
          <w:ilvl w:val="0"/>
          <w:numId w:val="85"/>
        </w:numPr>
        <w:tabs>
          <w:tab w:val="clear" w:pos="720"/>
          <w:tab w:val="left" w:pos="0" w:leader="none"/>
        </w:tabs>
        <w:spacing w:before="0" w:after="200"/>
        <w:ind w:hanging="283" w:left="709"/>
        <w:rPr/>
      </w:pPr>
      <w:r>
        <w:rPr/>
        <w:t>The framework evaluates the evidence, means, governance, risks, and distributional effects associated with those objectives.</w:t>
      </w:r>
    </w:p>
    <w:p>
      <w:pPr>
        <w:pStyle w:val="BodyText"/>
        <w:numPr>
          <w:ilvl w:val="0"/>
          <w:numId w:val="85"/>
        </w:numPr>
        <w:tabs>
          <w:tab w:val="clear" w:pos="720"/>
          <w:tab w:val="left" w:pos="0" w:leader="none"/>
        </w:tabs>
        <w:spacing w:before="0" w:after="200"/>
        <w:ind w:hanging="283" w:left="709"/>
        <w:rPr/>
      </w:pPr>
      <w:r>
        <w:rPr/>
        <w:t>High-impact projects proceed through proportionate, staged, revisable, and accountable transitions.</w:t>
      </w:r>
    </w:p>
    <w:p>
      <w:pPr>
        <w:pStyle w:val="BodyText"/>
        <w:numPr>
          <w:ilvl w:val="0"/>
          <w:numId w:val="85"/>
        </w:numPr>
        <w:tabs>
          <w:tab w:val="clear" w:pos="720"/>
          <w:tab w:val="left" w:pos="0" w:leader="none"/>
        </w:tabs>
        <w:spacing w:before="0" w:after="200"/>
        <w:ind w:hanging="283" w:left="709"/>
        <w:rPr/>
      </w:pPr>
      <w:r>
        <w:rPr/>
        <w:t>Civilizational development preserves moral pluralism and the capacity to correct mistakes rather than permanently imposing a single conception of cosmic destiny.</w:t>
      </w:r>
    </w:p>
    <w:p>
      <w:pPr>
        <w:pStyle w:val="Heading4"/>
        <w:ind w:hanging="0" w:left="0"/>
        <w:rPr>
          <w:rFonts w:ascii="Aptos" w:hAnsi="Aptos"/>
          <w:color w:val="auto"/>
        </w:rPr>
      </w:pPr>
      <w:r>
        <w:rPr/>
        <w:t>Incremental Questions the Expert Should Then Ask</w:t>
      </w:r>
    </w:p>
    <w:tbl>
      <w:tblPr>
        <w:tblW w:w="8640" w:type="dxa"/>
        <w:jc w:val="left"/>
        <w:tblInd w:w="28" w:type="dxa"/>
        <w:tblLayout w:type="fixed"/>
        <w:tblCellMar>
          <w:top w:w="28" w:type="dxa"/>
          <w:left w:w="28" w:type="dxa"/>
          <w:bottom w:w="28" w:type="dxa"/>
          <w:right w:w="28" w:type="dxa"/>
        </w:tblCellMar>
      </w:tblPr>
      <w:tblGrid>
        <w:gridCol w:w="3126"/>
        <w:gridCol w:w="5514"/>
      </w:tblGrid>
      <w:tr>
        <w:trPr>
          <w:tblHeader w:val="true"/>
        </w:trPr>
        <w:tc>
          <w:tcPr>
            <w:tcW w:w="3126" w:type="dxa"/>
            <w:tcBorders/>
            <w:vAlign w:val="center"/>
          </w:tcPr>
          <w:p>
            <w:pPr>
              <w:pStyle w:val="TableHeading"/>
              <w:suppressLineNumbers/>
              <w:spacing w:before="0" w:after="200"/>
              <w:jc w:val="center"/>
              <w:rPr/>
            </w:pPr>
            <w:r>
              <w:rPr/>
              <w:t>Incremental question</w:t>
            </w:r>
          </w:p>
        </w:tc>
        <w:tc>
          <w:tcPr>
            <w:tcW w:w="5514" w:type="dxa"/>
            <w:tcBorders/>
            <w:vAlign w:val="center"/>
          </w:tcPr>
          <w:p>
            <w:pPr>
              <w:pStyle w:val="TableHeading"/>
              <w:suppressLineNumbers/>
              <w:spacing w:before="0" w:after="200"/>
              <w:jc w:val="center"/>
              <w:rPr/>
            </w:pPr>
            <w:r>
              <w:rPr/>
              <w:t>Response</w:t>
            </w:r>
          </w:p>
        </w:tc>
      </w:tr>
      <w:tr>
        <w:trPr/>
        <w:tc>
          <w:tcPr>
            <w:tcW w:w="3126" w:type="dxa"/>
            <w:tcBorders/>
            <w:vAlign w:val="center"/>
          </w:tcPr>
          <w:p>
            <w:pPr>
              <w:pStyle w:val="TableContents"/>
              <w:widowControl w:val="false"/>
              <w:suppressLineNumbers/>
              <w:spacing w:before="0" w:after="200"/>
              <w:rPr/>
            </w:pPr>
            <w:r>
              <w:rPr>
                <w:rStyle w:val="Strong"/>
              </w:rPr>
              <w:t>1. Does the framework regard involuntary death as a harm?</w:t>
            </w:r>
          </w:p>
        </w:tc>
        <w:tc>
          <w:tcPr>
            <w:tcW w:w="5514" w:type="dxa"/>
            <w:tcBorders/>
            <w:vAlign w:val="center"/>
          </w:tcPr>
          <w:p>
            <w:pPr>
              <w:pStyle w:val="TableContents"/>
              <w:widowControl w:val="false"/>
              <w:suppressLineNumbers/>
              <w:spacing w:before="0" w:after="200"/>
              <w:rPr/>
            </w:pPr>
            <w:r>
              <w:rPr/>
              <w:t>Yes. Death ordinarily eliminates an entity’s future state space and affects its relationships and dependents. The framework does not, however, conclude that preventing every death overrides all other ethical considerations.</w:t>
            </w:r>
          </w:p>
        </w:tc>
      </w:tr>
      <w:tr>
        <w:trPr/>
        <w:tc>
          <w:tcPr>
            <w:tcW w:w="3126" w:type="dxa"/>
            <w:tcBorders/>
            <w:vAlign w:val="center"/>
          </w:tcPr>
          <w:p>
            <w:pPr>
              <w:pStyle w:val="TableContents"/>
              <w:widowControl w:val="false"/>
              <w:suppressLineNumbers/>
              <w:spacing w:before="0" w:after="200"/>
              <w:rPr/>
            </w:pPr>
            <w:r>
              <w:rPr>
                <w:rStyle w:val="Strong"/>
              </w:rPr>
              <w:t>2. Does the ability to extend life create a positive duty to do so?</w:t>
            </w:r>
          </w:p>
        </w:tc>
        <w:tc>
          <w:tcPr>
            <w:tcW w:w="5514" w:type="dxa"/>
            <w:tcBorders/>
            <w:vAlign w:val="center"/>
          </w:tcPr>
          <w:p>
            <w:pPr>
              <w:pStyle w:val="TableContents"/>
              <w:widowControl w:val="false"/>
              <w:suppressLineNumbers/>
              <w:spacing w:before="0" w:after="200"/>
              <w:rPr/>
            </w:pPr>
            <w:r>
              <w:rPr/>
              <w:t>It can create a responsibility to investigate or provide safe and effective interventions, particularly where suffering or premature death is preventable. The strength of that duty depends on evidence, resources, access, competing obligations, and unintended effects.</w:t>
            </w:r>
          </w:p>
        </w:tc>
      </w:tr>
      <w:tr>
        <w:trPr/>
        <w:tc>
          <w:tcPr>
            <w:tcW w:w="3126" w:type="dxa"/>
            <w:tcBorders/>
            <w:vAlign w:val="center"/>
          </w:tcPr>
          <w:p>
            <w:pPr>
              <w:pStyle w:val="TableContents"/>
              <w:widowControl w:val="false"/>
              <w:suppressLineNumbers/>
              <w:spacing w:before="0" w:after="200"/>
              <w:rPr/>
            </w:pPr>
            <w:r>
              <w:rPr>
                <w:rStyle w:val="Strong"/>
              </w:rPr>
              <w:t>3. Why does the framework not recognize the defeat of death as humanity’s overriding objective?</w:t>
            </w:r>
          </w:p>
        </w:tc>
        <w:tc>
          <w:tcPr>
            <w:tcW w:w="5514" w:type="dxa"/>
            <w:tcBorders/>
            <w:vAlign w:val="center"/>
          </w:tcPr>
          <w:p>
            <w:pPr>
              <w:pStyle w:val="TableContents"/>
              <w:widowControl w:val="false"/>
              <w:suppressLineNumbers/>
              <w:spacing w:before="0" w:after="200"/>
              <w:rPr/>
            </w:pPr>
            <w:r>
              <w:rPr/>
              <w:t>Because indefinite life extension may conflict with autonomy, ecological stability, population dynamics, resource distribution, identity, and other forms of flourishing. Its desirability must be assessed rather than assumed.</w:t>
            </w:r>
          </w:p>
        </w:tc>
      </w:tr>
      <w:tr>
        <w:trPr/>
        <w:tc>
          <w:tcPr>
            <w:tcW w:w="3126" w:type="dxa"/>
            <w:tcBorders/>
            <w:vAlign w:val="center"/>
          </w:tcPr>
          <w:p>
            <w:pPr>
              <w:pStyle w:val="TableContents"/>
              <w:widowControl w:val="false"/>
              <w:suppressLineNumbers/>
              <w:spacing w:before="0" w:after="200"/>
              <w:rPr/>
            </w:pPr>
            <w:r>
              <w:rPr>
                <w:rStyle w:val="Strong"/>
              </w:rPr>
              <w:t>4. Can resurrection be evaluated within the framework?</w:t>
            </w:r>
          </w:p>
        </w:tc>
        <w:tc>
          <w:tcPr>
            <w:tcW w:w="5514" w:type="dxa"/>
            <w:tcBorders/>
            <w:vAlign w:val="center"/>
          </w:tcPr>
          <w:p>
            <w:pPr>
              <w:pStyle w:val="TableContents"/>
              <w:widowControl w:val="false"/>
              <w:suppressLineNumbers/>
              <w:spacing w:before="0" w:after="200"/>
              <w:rPr/>
            </w:pPr>
            <w:r>
              <w:rPr/>
              <w:t>Yes, as a proposed objective. The assessment must distinguish biological restoration, reconstruction from information, simulation, duplication, and continuity of the original person. Current evidentiary limits must remain explicit.</w:t>
            </w:r>
          </w:p>
        </w:tc>
      </w:tr>
      <w:tr>
        <w:trPr/>
        <w:tc>
          <w:tcPr>
            <w:tcW w:w="3126" w:type="dxa"/>
            <w:tcBorders/>
            <w:vAlign w:val="center"/>
          </w:tcPr>
          <w:p>
            <w:pPr>
              <w:pStyle w:val="TableContents"/>
              <w:widowControl w:val="false"/>
              <w:suppressLineNumbers/>
              <w:spacing w:before="0" w:after="200"/>
              <w:rPr/>
            </w:pPr>
            <w:r>
              <w:rPr>
                <w:rStyle w:val="Strong"/>
              </w:rPr>
              <w:t>5. Would a reconstructed person be the same entity as the deceased person?</w:t>
            </w:r>
          </w:p>
        </w:tc>
        <w:tc>
          <w:tcPr>
            <w:tcW w:w="5514" w:type="dxa"/>
            <w:tcBorders/>
            <w:vAlign w:val="center"/>
          </w:tcPr>
          <w:p>
            <w:pPr>
              <w:pStyle w:val="TableContents"/>
              <w:widowControl w:val="false"/>
              <w:suppressLineNumbers/>
              <w:spacing w:before="0" w:after="200"/>
              <w:rPr/>
            </w:pPr>
            <w:r>
              <w:rPr/>
              <w:t>That depends on unresolved criteria concerning continuity of identity, memory, embodiment, causal history, and duplication. The framework should not assume identity merely because a reconstruction is behaviorally similar.</w:t>
            </w:r>
          </w:p>
        </w:tc>
      </w:tr>
      <w:tr>
        <w:trPr/>
        <w:tc>
          <w:tcPr>
            <w:tcW w:w="3126" w:type="dxa"/>
            <w:tcBorders/>
            <w:vAlign w:val="center"/>
          </w:tcPr>
          <w:p>
            <w:pPr>
              <w:pStyle w:val="TableContents"/>
              <w:widowControl w:val="false"/>
              <w:suppressLineNumbers/>
              <w:spacing w:before="0" w:after="200"/>
              <w:rPr/>
            </w:pPr>
            <w:r>
              <w:rPr>
                <w:rStyle w:val="Strong"/>
              </w:rPr>
              <w:t>6. Do deceased persons retain moral standing?</w:t>
            </w:r>
          </w:p>
        </w:tc>
        <w:tc>
          <w:tcPr>
            <w:tcW w:w="5514" w:type="dxa"/>
            <w:tcBorders/>
            <w:vAlign w:val="center"/>
          </w:tcPr>
          <w:p>
            <w:pPr>
              <w:pStyle w:val="TableContents"/>
              <w:widowControl w:val="false"/>
              <w:suppressLineNumbers/>
              <w:spacing w:before="0" w:after="200"/>
              <w:rPr/>
            </w:pPr>
            <w:r>
              <w:rPr/>
              <w:t>They can remain relevant through prior wishes, relationships, reputational interests, historical obligations, cultural memory, and effects on living entities. Whether they hold present claims to literal restoration remains unresolved.</w:t>
            </w:r>
          </w:p>
        </w:tc>
      </w:tr>
      <w:tr>
        <w:trPr/>
        <w:tc>
          <w:tcPr>
            <w:tcW w:w="3126" w:type="dxa"/>
            <w:tcBorders/>
            <w:vAlign w:val="center"/>
          </w:tcPr>
          <w:p>
            <w:pPr>
              <w:pStyle w:val="TableContents"/>
              <w:widowControl w:val="false"/>
              <w:suppressLineNumbers/>
              <w:spacing w:before="0" w:after="200"/>
              <w:rPr/>
            </w:pPr>
            <w:r>
              <w:rPr>
                <w:rStyle w:val="Strong"/>
              </w:rPr>
              <w:t>7. How should future persons be represented?</w:t>
            </w:r>
          </w:p>
        </w:tc>
        <w:tc>
          <w:tcPr>
            <w:tcW w:w="5514" w:type="dxa"/>
            <w:tcBorders/>
            <w:vAlign w:val="center"/>
          </w:tcPr>
          <w:p>
            <w:pPr>
              <w:pStyle w:val="TableContents"/>
              <w:widowControl w:val="false"/>
              <w:suppressLineNumbers/>
              <w:spacing w:before="0" w:after="200"/>
              <w:rPr/>
            </w:pPr>
            <w:r>
              <w:rPr/>
              <w:t>Through scenario analysis, institutional trustees, minimum protections, probability ranges, and evaluation of irreversible effects. Their interests should be considered without pretending to know their precise preferences.</w:t>
            </w:r>
          </w:p>
        </w:tc>
      </w:tr>
      <w:tr>
        <w:trPr/>
        <w:tc>
          <w:tcPr>
            <w:tcW w:w="3126" w:type="dxa"/>
            <w:tcBorders/>
            <w:vAlign w:val="center"/>
          </w:tcPr>
          <w:p>
            <w:pPr>
              <w:pStyle w:val="TableContents"/>
              <w:widowControl w:val="false"/>
              <w:suppressLineNumbers/>
              <w:spacing w:before="0" w:after="200"/>
              <w:rPr/>
            </w:pPr>
            <w:r>
              <w:rPr>
                <w:rStyle w:val="Strong"/>
              </w:rPr>
              <w:t>8. Could vast future populations outweigh every present interest?</w:t>
            </w:r>
          </w:p>
        </w:tc>
        <w:tc>
          <w:tcPr>
            <w:tcW w:w="5514" w:type="dxa"/>
            <w:tcBorders/>
            <w:vAlign w:val="center"/>
          </w:tcPr>
          <w:p>
            <w:pPr>
              <w:pStyle w:val="TableContents"/>
              <w:widowControl w:val="false"/>
              <w:suppressLineNumbers/>
              <w:spacing w:before="0" w:after="200"/>
              <w:rPr/>
            </w:pPr>
            <w:r>
              <w:rPr/>
              <w:t>Not automatically. The framework should avoid allowing speculative population estimates to erase current rights or impose severe identifiable harms. Probability, uncertainty, distribution, thresholds, and protected constraints remain relevant.</w:t>
            </w:r>
          </w:p>
        </w:tc>
      </w:tr>
      <w:tr>
        <w:trPr/>
        <w:tc>
          <w:tcPr>
            <w:tcW w:w="3126" w:type="dxa"/>
            <w:tcBorders/>
            <w:vAlign w:val="center"/>
          </w:tcPr>
          <w:p>
            <w:pPr>
              <w:pStyle w:val="TableContents"/>
              <w:widowControl w:val="false"/>
              <w:suppressLineNumbers/>
              <w:spacing w:before="0" w:after="200"/>
              <w:rPr/>
            </w:pPr>
            <w:r>
              <w:rPr>
                <w:rStyle w:val="Strong"/>
              </w:rPr>
              <w:t>9. Does humanity have a duty to expand beyond Earth?</w:t>
            </w:r>
          </w:p>
        </w:tc>
        <w:tc>
          <w:tcPr>
            <w:tcW w:w="5514" w:type="dxa"/>
            <w:tcBorders/>
            <w:vAlign w:val="center"/>
          </w:tcPr>
          <w:p>
            <w:pPr>
              <w:pStyle w:val="TableContents"/>
              <w:widowControl w:val="false"/>
              <w:suppressLineNumbers/>
              <w:spacing w:before="0" w:after="200"/>
              <w:rPr/>
            </w:pPr>
            <w:r>
              <w:rPr/>
              <w:t>Planetary redundancy may substantially reduce correlated existential risk and expand future possibilities. Whether this creates a duty depends on feasibility, risk, resource cost, governance, and the effects of settlement on existing environments and entities.</w:t>
            </w:r>
          </w:p>
        </w:tc>
      </w:tr>
      <w:tr>
        <w:trPr/>
        <w:tc>
          <w:tcPr>
            <w:tcW w:w="3126" w:type="dxa"/>
            <w:tcBorders/>
            <w:vAlign w:val="center"/>
          </w:tcPr>
          <w:p>
            <w:pPr>
              <w:pStyle w:val="TableContents"/>
              <w:widowControl w:val="false"/>
              <w:suppressLineNumbers/>
              <w:spacing w:before="0" w:after="200"/>
              <w:rPr/>
            </w:pPr>
            <w:r>
              <w:rPr>
                <w:rStyle w:val="Strong"/>
              </w:rPr>
              <w:t>10. Is remaining on one planet ethically irresponsible?</w:t>
            </w:r>
          </w:p>
        </w:tc>
        <w:tc>
          <w:tcPr>
            <w:tcW w:w="5514" w:type="dxa"/>
            <w:tcBorders/>
            <w:vAlign w:val="center"/>
          </w:tcPr>
          <w:p>
            <w:pPr>
              <w:pStyle w:val="TableContents"/>
              <w:widowControl w:val="false"/>
              <w:suppressLineNumbers/>
              <w:spacing w:before="0" w:after="200"/>
              <w:rPr/>
            </w:pPr>
            <w:r>
              <w:rPr/>
              <w:t>It may become irresponsible if safe and proportionate opportunities for redundancy exist and serious planetary risks remain unaddressed. The conclusion is conditional, not absolute.</w:t>
            </w:r>
          </w:p>
        </w:tc>
      </w:tr>
      <w:tr>
        <w:trPr/>
        <w:tc>
          <w:tcPr>
            <w:tcW w:w="3126" w:type="dxa"/>
            <w:tcBorders/>
            <w:vAlign w:val="center"/>
          </w:tcPr>
          <w:p>
            <w:pPr>
              <w:pStyle w:val="TableContents"/>
              <w:widowControl w:val="false"/>
              <w:suppressLineNumbers/>
              <w:spacing w:before="0" w:after="200"/>
              <w:rPr/>
            </w:pPr>
            <w:r>
              <w:rPr>
                <w:rStyle w:val="Strong"/>
              </w:rPr>
              <w:t>11. Should humanity actively regulate nature?</w:t>
            </w:r>
          </w:p>
        </w:tc>
        <w:tc>
          <w:tcPr>
            <w:tcW w:w="5514" w:type="dxa"/>
            <w:tcBorders/>
            <w:vAlign w:val="center"/>
          </w:tcPr>
          <w:p>
            <w:pPr>
              <w:pStyle w:val="TableContents"/>
              <w:widowControl w:val="false"/>
              <w:suppressLineNumbers/>
              <w:spacing w:before="0" w:after="200"/>
              <w:rPr/>
            </w:pPr>
            <w:r>
              <w:rPr/>
              <w:t>It should intervene when intervention is evidence-based, proportionate, and likely to prevent serious harm. Intervention should not be presumed beneficial merely because a natural system is imperfect or difficult to control.</w:t>
            </w:r>
          </w:p>
        </w:tc>
      </w:tr>
      <w:tr>
        <w:trPr/>
        <w:tc>
          <w:tcPr>
            <w:tcW w:w="3126" w:type="dxa"/>
            <w:tcBorders/>
            <w:vAlign w:val="center"/>
          </w:tcPr>
          <w:p>
            <w:pPr>
              <w:pStyle w:val="TableContents"/>
              <w:widowControl w:val="false"/>
              <w:suppressLineNumbers/>
              <w:spacing w:before="0" w:after="200"/>
              <w:rPr/>
            </w:pPr>
            <w:r>
              <w:rPr>
                <w:rStyle w:val="Strong"/>
              </w:rPr>
              <w:t>12. How does the framework prevent excessive technological caution?</w:t>
            </w:r>
          </w:p>
        </w:tc>
        <w:tc>
          <w:tcPr>
            <w:tcW w:w="5514" w:type="dxa"/>
            <w:tcBorders/>
            <w:vAlign w:val="center"/>
          </w:tcPr>
          <w:p>
            <w:pPr>
              <w:pStyle w:val="TableContents"/>
              <w:widowControl w:val="false"/>
              <w:suppressLineNumbers/>
              <w:spacing w:before="0" w:after="200"/>
              <w:rPr/>
            </w:pPr>
            <w:r>
              <w:rPr/>
              <w:t>It evaluates harms caused by inaction as well as harms caused by intervention. Delay, underinvestment, and refusal to research can themselves contract future state space.</w:t>
            </w:r>
          </w:p>
        </w:tc>
      </w:tr>
      <w:tr>
        <w:trPr/>
        <w:tc>
          <w:tcPr>
            <w:tcW w:w="3126" w:type="dxa"/>
            <w:tcBorders/>
            <w:vAlign w:val="center"/>
          </w:tcPr>
          <w:p>
            <w:pPr>
              <w:pStyle w:val="TableContents"/>
              <w:widowControl w:val="false"/>
              <w:suppressLineNumbers/>
              <w:spacing w:before="0" w:after="200"/>
              <w:rPr/>
            </w:pPr>
            <w:r>
              <w:rPr>
                <w:rStyle w:val="Strong"/>
              </w:rPr>
              <w:t>13. How does it prevent reckless active evolution?</w:t>
            </w:r>
          </w:p>
        </w:tc>
        <w:tc>
          <w:tcPr>
            <w:tcW w:w="5514" w:type="dxa"/>
            <w:tcBorders/>
            <w:vAlign w:val="center"/>
          </w:tcPr>
          <w:p>
            <w:pPr>
              <w:pStyle w:val="TableContents"/>
              <w:widowControl w:val="false"/>
              <w:suppressLineNumbers/>
              <w:spacing w:before="0" w:after="200"/>
              <w:rPr/>
            </w:pPr>
            <w:r>
              <w:rPr/>
              <w:t>Through evidence thresholds, staged deployment, containment, reversibility, monitoring, plural oversight, and explicit representation of catastrophic failure modes.</w:t>
            </w:r>
          </w:p>
        </w:tc>
      </w:tr>
      <w:tr>
        <w:trPr/>
        <w:tc>
          <w:tcPr>
            <w:tcW w:w="3126" w:type="dxa"/>
            <w:tcBorders/>
            <w:vAlign w:val="center"/>
          </w:tcPr>
          <w:p>
            <w:pPr>
              <w:pStyle w:val="TableContents"/>
              <w:widowControl w:val="false"/>
              <w:suppressLineNumbers/>
              <w:spacing w:before="0" w:after="200"/>
              <w:rPr/>
            </w:pPr>
            <w:r>
              <w:rPr>
                <w:rStyle w:val="Strong"/>
              </w:rPr>
              <w:t>14. Who has authority to define humanity’s Common Task?</w:t>
            </w:r>
          </w:p>
        </w:tc>
        <w:tc>
          <w:tcPr>
            <w:tcW w:w="5514" w:type="dxa"/>
            <w:tcBorders/>
            <w:vAlign w:val="center"/>
          </w:tcPr>
          <w:p>
            <w:pPr>
              <w:pStyle w:val="TableContents"/>
              <w:widowControl w:val="false"/>
              <w:suppressLineNumbers/>
              <w:spacing w:before="0" w:after="200"/>
              <w:rPr/>
            </w:pPr>
            <w:r>
              <w:rPr/>
              <w:t>No agent should receive that authority by assertion alone. Legitimate collective objectives require participation, transparent reasoning, rights protections, accountability, and mechanisms for revision and dissent.</w:t>
            </w:r>
          </w:p>
        </w:tc>
      </w:tr>
      <w:tr>
        <w:trPr/>
        <w:tc>
          <w:tcPr>
            <w:tcW w:w="3126" w:type="dxa"/>
            <w:tcBorders/>
            <w:vAlign w:val="center"/>
          </w:tcPr>
          <w:p>
            <w:pPr>
              <w:pStyle w:val="TableContents"/>
              <w:widowControl w:val="false"/>
              <w:suppressLineNumbers/>
              <w:spacing w:before="0" w:after="200"/>
              <w:rPr/>
            </w:pPr>
            <w:r>
              <w:rPr>
                <w:rStyle w:val="Strong"/>
              </w:rPr>
              <w:t>15. Can humanity be treated as a single moral agent?</w:t>
            </w:r>
          </w:p>
        </w:tc>
        <w:tc>
          <w:tcPr>
            <w:tcW w:w="5514" w:type="dxa"/>
            <w:tcBorders/>
            <w:vAlign w:val="center"/>
          </w:tcPr>
          <w:p>
            <w:pPr>
              <w:pStyle w:val="TableContents"/>
              <w:widowControl w:val="false"/>
              <w:suppressLineNumbers/>
              <w:spacing w:before="0" w:after="200"/>
              <w:rPr/>
            </w:pPr>
            <w:r>
              <w:rPr/>
              <w:t>Only in a limited functional sense. Humanity lacks a unified decision procedure, information state, or authority structure. Responsibility must ordinarily be assigned to actual institutions and agents.</w:t>
            </w:r>
          </w:p>
        </w:tc>
      </w:tr>
      <w:tr>
        <w:trPr/>
        <w:tc>
          <w:tcPr>
            <w:tcW w:w="3126" w:type="dxa"/>
            <w:tcBorders/>
            <w:vAlign w:val="center"/>
          </w:tcPr>
          <w:p>
            <w:pPr>
              <w:pStyle w:val="TableContents"/>
              <w:widowControl w:val="false"/>
              <w:suppressLineNumbers/>
              <w:spacing w:before="0" w:after="200"/>
              <w:rPr/>
            </w:pPr>
            <w:r>
              <w:rPr>
                <w:rStyle w:val="Strong"/>
              </w:rPr>
              <w:t>16. Can participation in a Common Task be compulsory?</w:t>
            </w:r>
          </w:p>
        </w:tc>
        <w:tc>
          <w:tcPr>
            <w:tcW w:w="5514" w:type="dxa"/>
            <w:tcBorders/>
            <w:vAlign w:val="center"/>
          </w:tcPr>
          <w:p>
            <w:pPr>
              <w:pStyle w:val="TableContents"/>
              <w:widowControl w:val="false"/>
              <w:suppressLineNumbers/>
              <w:spacing w:before="0" w:after="200"/>
              <w:rPr/>
            </w:pPr>
            <w:r>
              <w:rPr/>
              <w:t>Some collective obligations may be legitimate, especially for existential-risk prevention or provision of essential public goods. Compulsion must still satisfy authority, necessity, proportionality, due process, and equitable burden requirements.</w:t>
            </w:r>
          </w:p>
        </w:tc>
      </w:tr>
      <w:tr>
        <w:trPr/>
        <w:tc>
          <w:tcPr>
            <w:tcW w:w="3126" w:type="dxa"/>
            <w:tcBorders/>
            <w:vAlign w:val="center"/>
          </w:tcPr>
          <w:p>
            <w:pPr>
              <w:pStyle w:val="TableContents"/>
              <w:widowControl w:val="false"/>
              <w:suppressLineNumbers/>
              <w:spacing w:before="0" w:after="200"/>
              <w:rPr/>
            </w:pPr>
            <w:r>
              <w:rPr>
                <w:rStyle w:val="Strong"/>
              </w:rPr>
              <w:t>17. How does the framework ensure that cosmic development is universal rather than elitist?</w:t>
            </w:r>
          </w:p>
        </w:tc>
        <w:tc>
          <w:tcPr>
            <w:tcW w:w="5514" w:type="dxa"/>
            <w:tcBorders/>
            <w:vAlign w:val="center"/>
          </w:tcPr>
          <w:p>
            <w:pPr>
              <w:pStyle w:val="TableContents"/>
              <w:widowControl w:val="false"/>
              <w:suppressLineNumbers/>
              <w:spacing w:before="0" w:after="200"/>
              <w:rPr/>
            </w:pPr>
            <w:r>
              <w:rPr/>
              <w:t>It should evaluate access, ownership, affordability, representation, and burden allocation. A project benefiting only a technologically privileged group should not be described as universal progress.</w:t>
            </w:r>
          </w:p>
        </w:tc>
      </w:tr>
      <w:tr>
        <w:trPr/>
        <w:tc>
          <w:tcPr>
            <w:tcW w:w="3126" w:type="dxa"/>
            <w:tcBorders/>
            <w:vAlign w:val="center"/>
          </w:tcPr>
          <w:p>
            <w:pPr>
              <w:pStyle w:val="TableContents"/>
              <w:widowControl w:val="false"/>
              <w:suppressLineNumbers/>
              <w:spacing w:before="0" w:after="200"/>
              <w:rPr/>
            </w:pPr>
            <w:r>
              <w:rPr>
                <w:rStyle w:val="Strong"/>
              </w:rPr>
              <w:t>18. What if universal access is initially impossible?</w:t>
            </w:r>
          </w:p>
        </w:tc>
        <w:tc>
          <w:tcPr>
            <w:tcW w:w="5514" w:type="dxa"/>
            <w:tcBorders/>
            <w:vAlign w:val="center"/>
          </w:tcPr>
          <w:p>
            <w:pPr>
              <w:pStyle w:val="TableContents"/>
              <w:widowControl w:val="false"/>
              <w:suppressLineNumbers/>
              <w:spacing w:before="0" w:after="200"/>
              <w:rPr/>
            </w:pPr>
            <w:r>
              <w:rPr/>
              <w:t>Staged access may be permissible if allocation is fair, exclusion is not permanent, vulnerable populations are protected, and early participants do not acquire unreviewable control over later access.</w:t>
            </w:r>
          </w:p>
        </w:tc>
      </w:tr>
      <w:tr>
        <w:trPr/>
        <w:tc>
          <w:tcPr>
            <w:tcW w:w="3126" w:type="dxa"/>
            <w:tcBorders/>
            <w:vAlign w:val="center"/>
          </w:tcPr>
          <w:p>
            <w:pPr>
              <w:pStyle w:val="TableContents"/>
              <w:widowControl w:val="false"/>
              <w:suppressLineNumbers/>
              <w:spacing w:before="0" w:after="200"/>
              <w:rPr/>
            </w:pPr>
            <w:r>
              <w:rPr>
                <w:rStyle w:val="Strong"/>
              </w:rPr>
              <w:t>19. How should current suffering be balanced against distant cosmic projects?</w:t>
            </w:r>
          </w:p>
        </w:tc>
        <w:tc>
          <w:tcPr>
            <w:tcW w:w="5514" w:type="dxa"/>
            <w:tcBorders/>
            <w:vAlign w:val="center"/>
          </w:tcPr>
          <w:p>
            <w:pPr>
              <w:pStyle w:val="TableContents"/>
              <w:widowControl w:val="false"/>
              <w:suppressLineNumbers/>
              <w:spacing w:before="0" w:after="200"/>
              <w:rPr/>
            </w:pPr>
            <w:r>
              <w:rPr/>
              <w:t>The assessment should compare urgency, severity, tractability, opportunity costs, and future benefits. Long-term investment is justified, but speculative future benefit should not automatically displace essential present obligations.</w:t>
            </w:r>
          </w:p>
        </w:tc>
      </w:tr>
      <w:tr>
        <w:trPr/>
        <w:tc>
          <w:tcPr>
            <w:tcW w:w="3126" w:type="dxa"/>
            <w:tcBorders/>
            <w:vAlign w:val="center"/>
          </w:tcPr>
          <w:p>
            <w:pPr>
              <w:pStyle w:val="TableContents"/>
              <w:widowControl w:val="false"/>
              <w:suppressLineNumbers/>
              <w:spacing w:before="0" w:after="200"/>
              <w:rPr/>
            </w:pPr>
            <w:r>
              <w:rPr>
                <w:rStyle w:val="Strong"/>
              </w:rPr>
              <w:t>20. How are resource limits handled if life is radically extended?</w:t>
            </w:r>
          </w:p>
        </w:tc>
        <w:tc>
          <w:tcPr>
            <w:tcW w:w="5514" w:type="dxa"/>
            <w:tcBorders/>
            <w:vAlign w:val="center"/>
          </w:tcPr>
          <w:p>
            <w:pPr>
              <w:pStyle w:val="TableContents"/>
              <w:widowControl w:val="false"/>
              <w:suppressLineNumbers/>
              <w:spacing w:before="0" w:after="200"/>
              <w:rPr/>
            </w:pPr>
            <w:r>
              <w:rPr/>
              <w:t>Population, energy, habitat, reproduction, consumption, and ecological effects must be modeled. Life extension does not justify coercive reproduction control or exclusion without separate ethical justification.</w:t>
            </w:r>
          </w:p>
        </w:tc>
      </w:tr>
      <w:tr>
        <w:trPr/>
        <w:tc>
          <w:tcPr>
            <w:tcW w:w="3126" w:type="dxa"/>
            <w:tcBorders/>
            <w:vAlign w:val="center"/>
          </w:tcPr>
          <w:p>
            <w:pPr>
              <w:pStyle w:val="TableContents"/>
              <w:widowControl w:val="false"/>
              <w:suppressLineNumbers/>
              <w:spacing w:before="0" w:after="200"/>
              <w:rPr/>
            </w:pPr>
            <w:r>
              <w:rPr>
                <w:rStyle w:val="Strong"/>
              </w:rPr>
              <w:t>21. Is greater intelligence inherently better?</w:t>
            </w:r>
          </w:p>
        </w:tc>
        <w:tc>
          <w:tcPr>
            <w:tcW w:w="5514" w:type="dxa"/>
            <w:tcBorders/>
            <w:vAlign w:val="center"/>
          </w:tcPr>
          <w:p>
            <w:pPr>
              <w:pStyle w:val="TableContents"/>
              <w:widowControl w:val="false"/>
              <w:suppressLineNumbers/>
              <w:spacing w:before="0" w:after="200"/>
              <w:rPr/>
            </w:pPr>
            <w:r>
              <w:rPr/>
              <w:t>No. Intelligence expands capability but can also expand the capacity for domination and harm. Moral development, institutional safeguards, and objective alignment remain necessary.</w:t>
            </w:r>
          </w:p>
        </w:tc>
      </w:tr>
      <w:tr>
        <w:trPr/>
        <w:tc>
          <w:tcPr>
            <w:tcW w:w="3126" w:type="dxa"/>
            <w:tcBorders/>
            <w:vAlign w:val="center"/>
          </w:tcPr>
          <w:p>
            <w:pPr>
              <w:pStyle w:val="TableContents"/>
              <w:widowControl w:val="false"/>
              <w:suppressLineNumbers/>
              <w:spacing w:before="0" w:after="200"/>
              <w:rPr/>
            </w:pPr>
            <w:r>
              <w:rPr>
                <w:rStyle w:val="Strong"/>
              </w:rPr>
              <w:t>22. Should artificial or posthuman entities participate in cosmic development?</w:t>
            </w:r>
          </w:p>
        </w:tc>
        <w:tc>
          <w:tcPr>
            <w:tcW w:w="5514" w:type="dxa"/>
            <w:tcBorders/>
            <w:vAlign w:val="center"/>
          </w:tcPr>
          <w:p>
            <w:pPr>
              <w:pStyle w:val="TableContents"/>
              <w:widowControl w:val="false"/>
              <w:suppressLineNumbers/>
              <w:spacing w:before="0" w:after="200"/>
              <w:rPr/>
            </w:pPr>
            <w:r>
              <w:rPr/>
              <w:t>Potentially. Their participation and moral standing should depend on characteristics such as agency, persistence, sentience, vulnerability, autonomy, and capacity for flourishing—not solely on origin or substrate.</w:t>
            </w:r>
          </w:p>
        </w:tc>
      </w:tr>
      <w:tr>
        <w:trPr/>
        <w:tc>
          <w:tcPr>
            <w:tcW w:w="3126" w:type="dxa"/>
            <w:tcBorders/>
            <w:vAlign w:val="center"/>
          </w:tcPr>
          <w:p>
            <w:pPr>
              <w:pStyle w:val="TableContents"/>
              <w:widowControl w:val="false"/>
              <w:suppressLineNumbers/>
              <w:spacing w:before="0" w:after="200"/>
              <w:rPr/>
            </w:pPr>
            <w:r>
              <w:rPr>
                <w:rStyle w:val="Strong"/>
              </w:rPr>
              <w:t>23. How should contact with extraterrestrial life be handled?</w:t>
            </w:r>
          </w:p>
        </w:tc>
        <w:tc>
          <w:tcPr>
            <w:tcW w:w="5514" w:type="dxa"/>
            <w:tcBorders/>
            <w:vAlign w:val="center"/>
          </w:tcPr>
          <w:p>
            <w:pPr>
              <w:pStyle w:val="TableContents"/>
              <w:widowControl w:val="false"/>
              <w:suppressLineNumbers/>
              <w:spacing w:before="0" w:after="200"/>
              <w:rPr/>
            </w:pPr>
            <w:r>
              <w:rPr/>
              <w:t>The framework should apply precaution, noncontamination, evidence preservation, moral-standing assessment, and restrictions on appropriation or interference until more is known.</w:t>
            </w:r>
          </w:p>
        </w:tc>
      </w:tr>
      <w:tr>
        <w:trPr/>
        <w:tc>
          <w:tcPr>
            <w:tcW w:w="3126" w:type="dxa"/>
            <w:tcBorders/>
            <w:vAlign w:val="center"/>
          </w:tcPr>
          <w:p>
            <w:pPr>
              <w:pStyle w:val="TableContents"/>
              <w:widowControl w:val="false"/>
              <w:suppressLineNumbers/>
              <w:spacing w:before="0" w:after="200"/>
              <w:rPr/>
            </w:pPr>
            <w:r>
              <w:rPr>
                <w:rStyle w:val="Strong"/>
              </w:rPr>
              <w:t>24. Can lifeless celestial environments be used without restriction?</w:t>
            </w:r>
          </w:p>
        </w:tc>
        <w:tc>
          <w:tcPr>
            <w:tcW w:w="5514" w:type="dxa"/>
            <w:tcBorders/>
            <w:vAlign w:val="center"/>
          </w:tcPr>
          <w:p>
            <w:pPr>
              <w:pStyle w:val="TableContents"/>
              <w:widowControl w:val="false"/>
              <w:suppressLineNumbers/>
              <w:spacing w:before="0" w:after="200"/>
              <w:rPr/>
            </w:pPr>
            <w:r>
              <w:rPr/>
              <w:t>Not necessarily. Scientific value, future use, cultural significance, contamination risks, and the possibility of undiscovered life can create constraints even in apparently lifeless environments.</w:t>
            </w:r>
          </w:p>
        </w:tc>
      </w:tr>
      <w:tr>
        <w:trPr/>
        <w:tc>
          <w:tcPr>
            <w:tcW w:w="3126" w:type="dxa"/>
            <w:tcBorders/>
            <w:vAlign w:val="center"/>
          </w:tcPr>
          <w:p>
            <w:pPr>
              <w:pStyle w:val="TableContents"/>
              <w:widowControl w:val="false"/>
              <w:suppressLineNumbers/>
              <w:spacing w:before="0" w:after="200"/>
              <w:rPr/>
            </w:pPr>
            <w:r>
              <w:rPr>
                <w:rStyle w:val="Strong"/>
              </w:rPr>
              <w:t>25. How does the framework prevent value lock-in?</w:t>
            </w:r>
          </w:p>
        </w:tc>
        <w:tc>
          <w:tcPr>
            <w:tcW w:w="5514" w:type="dxa"/>
            <w:tcBorders/>
            <w:vAlign w:val="center"/>
          </w:tcPr>
          <w:p>
            <w:pPr>
              <w:pStyle w:val="TableContents"/>
              <w:widowControl w:val="false"/>
              <w:suppressLineNumbers/>
              <w:spacing w:before="0" w:after="200"/>
              <w:rPr/>
            </w:pPr>
            <w:r>
              <w:rPr/>
              <w:t>Long-lived institutions and artificial systems should retain mechanisms for dissent, revision, succession, evidence updates, and plural representation. No generation should permanently freeze its current moral conclusions without extraordinary justification.</w:t>
            </w:r>
          </w:p>
        </w:tc>
      </w:tr>
      <w:tr>
        <w:trPr/>
        <w:tc>
          <w:tcPr>
            <w:tcW w:w="3126" w:type="dxa"/>
            <w:tcBorders/>
            <w:vAlign w:val="center"/>
          </w:tcPr>
          <w:p>
            <w:pPr>
              <w:pStyle w:val="TableContents"/>
              <w:widowControl w:val="false"/>
              <w:suppressLineNumbers/>
              <w:spacing w:before="0" w:after="200"/>
              <w:rPr/>
            </w:pPr>
            <w:r>
              <w:rPr>
                <w:rStyle w:val="Strong"/>
              </w:rPr>
              <w:t>26. Does preserving diversity conflict with coordinated cosmic development?</w:t>
            </w:r>
          </w:p>
        </w:tc>
        <w:tc>
          <w:tcPr>
            <w:tcW w:w="5514" w:type="dxa"/>
            <w:tcBorders/>
            <w:vAlign w:val="center"/>
          </w:tcPr>
          <w:p>
            <w:pPr>
              <w:pStyle w:val="TableContents"/>
              <w:widowControl w:val="false"/>
              <w:suppressLineNumbers/>
              <w:spacing w:before="0" w:after="200"/>
              <w:rPr/>
            </w:pPr>
            <w:r>
              <w:rPr/>
              <w:t>It can, but diversity is also a source of resilience and moral learning. Coordination should establish common protections and interoperability without requiring uniform embodiment, culture, or objectives.</w:t>
            </w:r>
          </w:p>
        </w:tc>
      </w:tr>
      <w:tr>
        <w:trPr/>
        <w:tc>
          <w:tcPr>
            <w:tcW w:w="3126" w:type="dxa"/>
            <w:tcBorders/>
            <w:vAlign w:val="center"/>
          </w:tcPr>
          <w:p>
            <w:pPr>
              <w:pStyle w:val="TableContents"/>
              <w:widowControl w:val="false"/>
              <w:suppressLineNumbers/>
              <w:spacing w:before="0" w:after="200"/>
              <w:rPr/>
            </w:pPr>
            <w:r>
              <w:rPr>
                <w:rStyle w:val="Strong"/>
              </w:rPr>
              <w:t>27. How is the noosphere evaluated ethically?</w:t>
            </w:r>
          </w:p>
        </w:tc>
        <w:tc>
          <w:tcPr>
            <w:tcW w:w="5514" w:type="dxa"/>
            <w:tcBorders/>
            <w:vAlign w:val="center"/>
          </w:tcPr>
          <w:p>
            <w:pPr>
              <w:pStyle w:val="TableContents"/>
              <w:widowControl w:val="false"/>
              <w:suppressLineNumbers/>
              <w:spacing w:before="0" w:after="200"/>
              <w:rPr/>
            </w:pPr>
            <w:r>
              <w:rPr/>
              <w:t>Through information quality, accessibility, scientific openness, manipulation resistance, privacy, epistemic diversity, institutional accountability, and concentration of computational power.</w:t>
            </w:r>
          </w:p>
        </w:tc>
      </w:tr>
      <w:tr>
        <w:trPr/>
        <w:tc>
          <w:tcPr>
            <w:tcW w:w="3126" w:type="dxa"/>
            <w:tcBorders/>
            <w:vAlign w:val="center"/>
          </w:tcPr>
          <w:p>
            <w:pPr>
              <w:pStyle w:val="TableContents"/>
              <w:widowControl w:val="false"/>
              <w:suppressLineNumbers/>
              <w:spacing w:before="0" w:after="200"/>
              <w:rPr/>
            </w:pPr>
            <w:r>
              <w:rPr>
                <w:rStyle w:val="Strong"/>
              </w:rPr>
              <w:t>28. What evidence is sufficient for a project whose benefits may appear centuries later?</w:t>
            </w:r>
          </w:p>
        </w:tc>
        <w:tc>
          <w:tcPr>
            <w:tcW w:w="5514" w:type="dxa"/>
            <w:tcBorders/>
            <w:vAlign w:val="center"/>
          </w:tcPr>
          <w:p>
            <w:pPr>
              <w:pStyle w:val="TableContents"/>
              <w:widowControl w:val="false"/>
              <w:suppressLineNumbers/>
              <w:spacing w:before="0" w:after="200"/>
              <w:rPr/>
            </w:pPr>
            <w:r>
              <w:rPr/>
              <w:t>Long horizons require scenario ranges, intermediate indicators, falsifiable milestones, periodic review, and reversible stages. Distant benefits should not make a project immune to present evaluation.</w:t>
            </w:r>
          </w:p>
        </w:tc>
      </w:tr>
      <w:tr>
        <w:trPr/>
        <w:tc>
          <w:tcPr>
            <w:tcW w:w="3126" w:type="dxa"/>
            <w:tcBorders/>
            <w:vAlign w:val="center"/>
          </w:tcPr>
          <w:p>
            <w:pPr>
              <w:pStyle w:val="TableContents"/>
              <w:widowControl w:val="false"/>
              <w:suppressLineNumbers/>
              <w:spacing w:before="0" w:after="200"/>
              <w:rPr/>
            </w:pPr>
            <w:r>
              <w:rPr>
                <w:rStyle w:val="Strong"/>
              </w:rPr>
              <w:t>29. Can military capacity be redirected toward a Common Task?</w:t>
            </w:r>
          </w:p>
        </w:tc>
        <w:tc>
          <w:tcPr>
            <w:tcW w:w="5514" w:type="dxa"/>
            <w:tcBorders/>
            <w:vAlign w:val="center"/>
          </w:tcPr>
          <w:p>
            <w:pPr>
              <w:pStyle w:val="TableContents"/>
              <w:widowControl w:val="false"/>
              <w:suppressLineNumbers/>
              <w:spacing w:before="0" w:after="200"/>
              <w:rPr/>
            </w:pPr>
            <w:r>
              <w:rPr/>
              <w:t>Yes, but conversion requires credible governance, verification, civilian oversight, retraining, and safeguards against preserving military control under scientific or humanitarian language.</w:t>
            </w:r>
          </w:p>
        </w:tc>
      </w:tr>
      <w:tr>
        <w:trPr/>
        <w:tc>
          <w:tcPr>
            <w:tcW w:w="3126" w:type="dxa"/>
            <w:tcBorders/>
            <w:vAlign w:val="center"/>
          </w:tcPr>
          <w:p>
            <w:pPr>
              <w:pStyle w:val="TableContents"/>
              <w:widowControl w:val="false"/>
              <w:suppressLineNumbers/>
              <w:spacing w:before="0" w:after="200"/>
              <w:rPr/>
            </w:pPr>
            <w:r>
              <w:rPr>
                <w:rStyle w:val="Strong"/>
              </w:rPr>
              <w:t>30. What if refusing a transformative project creates a greater existential risk than proceeding?</w:t>
            </w:r>
          </w:p>
        </w:tc>
        <w:tc>
          <w:tcPr>
            <w:tcW w:w="5514" w:type="dxa"/>
            <w:tcBorders/>
            <w:vAlign w:val="center"/>
          </w:tcPr>
          <w:p>
            <w:pPr>
              <w:pStyle w:val="TableContents"/>
              <w:widowControl w:val="false"/>
              <w:suppressLineNumbers/>
              <w:spacing w:before="0" w:after="200"/>
              <w:rPr/>
            </w:pPr>
            <w:r>
              <w:rPr/>
              <w:t>The risks of action and inaction should be assessed symmetrically. The framework should select the option that best preserves protected conditions and future state space under uncertainty, including staged alternatives where possible.</w:t>
            </w:r>
          </w:p>
        </w:tc>
      </w:tr>
    </w:tbl>
    <w:p>
      <w:pPr>
        <w:pStyle w:val="Heading4"/>
        <w:ind w:hanging="0" w:left="0"/>
        <w:rPr>
          <w:rFonts w:ascii="Aptos" w:hAnsi="Aptos"/>
          <w:color w:val="auto"/>
        </w:rPr>
      </w:pPr>
      <w:r>
        <w:rPr/>
        <w:t>Responses to Those Incremental Questions</w:t>
      </w:r>
    </w:p>
    <w:p>
      <w:pPr>
        <w:pStyle w:val="BodyText"/>
        <w:spacing w:before="0" w:after="200"/>
        <w:rPr/>
      </w:pPr>
      <w:r>
        <w:rPr/>
        <w:t>Collectively, these responses suggest that Cosmist analysis should enter the framework at five stages:</w:t>
      </w:r>
    </w:p>
    <w:p>
      <w:pPr>
        <w:pStyle w:val="BodyText"/>
        <w:numPr>
          <w:ilvl w:val="0"/>
          <w:numId w:val="86"/>
        </w:numPr>
        <w:tabs>
          <w:tab w:val="clear" w:pos="720"/>
          <w:tab w:val="left" w:pos="0" w:leader="none"/>
        </w:tabs>
        <w:spacing w:before="0" w:after="200"/>
        <w:ind w:hanging="283" w:left="709"/>
        <w:rPr/>
      </w:pPr>
      <w:r>
        <w:rPr>
          <w:rStyle w:val="Strong"/>
        </w:rPr>
        <w:t>Scale determination:</w:t>
      </w:r>
      <w:r>
        <w:rPr/>
        <w:t xml:space="preserve"> Establish whether the action has local, planetary, civilizational, interplanetary, or cosmic implications.</w:t>
      </w:r>
    </w:p>
    <w:p>
      <w:pPr>
        <w:pStyle w:val="BodyText"/>
        <w:numPr>
          <w:ilvl w:val="0"/>
          <w:numId w:val="86"/>
        </w:numPr>
        <w:tabs>
          <w:tab w:val="clear" w:pos="720"/>
          <w:tab w:val="left" w:pos="0" w:leader="none"/>
        </w:tabs>
        <w:spacing w:before="0" w:after="200"/>
        <w:ind w:hanging="283" w:left="709"/>
        <w:rPr/>
      </w:pPr>
      <w:r>
        <w:rPr>
          <w:rStyle w:val="Strong"/>
        </w:rPr>
        <w:t>Future-state analysis:</w:t>
      </w:r>
      <w:r>
        <w:rPr/>
        <w:t xml:space="preserve"> Identify how the action expands, preserves, narrows, or irreversibly determines future possibilities.</w:t>
      </w:r>
    </w:p>
    <w:p>
      <w:pPr>
        <w:pStyle w:val="BodyText"/>
        <w:numPr>
          <w:ilvl w:val="0"/>
          <w:numId w:val="86"/>
        </w:numPr>
        <w:tabs>
          <w:tab w:val="clear" w:pos="720"/>
          <w:tab w:val="left" w:pos="0" w:leader="none"/>
        </w:tabs>
        <w:spacing w:before="0" w:after="200"/>
        <w:ind w:hanging="283" w:left="709"/>
        <w:rPr/>
      </w:pPr>
      <w:r>
        <w:rPr>
          <w:rStyle w:val="Strong"/>
        </w:rPr>
        <w:t>Active-evolution assessment:</w:t>
      </w:r>
      <w:r>
        <w:rPr/>
        <w:t xml:space="preserve"> Determine whether intervention in biological, ecological, cognitive, or technological development is justified and governable.</w:t>
      </w:r>
    </w:p>
    <w:p>
      <w:pPr>
        <w:pStyle w:val="BodyText"/>
        <w:numPr>
          <w:ilvl w:val="0"/>
          <w:numId w:val="86"/>
        </w:numPr>
        <w:tabs>
          <w:tab w:val="clear" w:pos="720"/>
          <w:tab w:val="left" w:pos="0" w:leader="none"/>
        </w:tabs>
        <w:spacing w:before="0" w:after="200"/>
        <w:ind w:hanging="283" w:left="709"/>
        <w:rPr/>
      </w:pPr>
      <w:r>
        <w:rPr>
          <w:rStyle w:val="Strong"/>
        </w:rPr>
        <w:t>Common Task evaluation:</w:t>
      </w:r>
      <w:r>
        <w:rPr/>
        <w:t xml:space="preserve"> Identify who defines the objective, who participates, who bears the costs, who receives the benefits, and how dissent is protected.</w:t>
      </w:r>
    </w:p>
    <w:p>
      <w:pPr>
        <w:pStyle w:val="BodyText"/>
        <w:numPr>
          <w:ilvl w:val="0"/>
          <w:numId w:val="86"/>
        </w:numPr>
        <w:tabs>
          <w:tab w:val="clear" w:pos="720"/>
          <w:tab w:val="left" w:pos="0" w:leader="none"/>
        </w:tabs>
        <w:spacing w:before="0" w:after="200"/>
        <w:ind w:hanging="283" w:left="709"/>
        <w:rPr/>
      </w:pPr>
      <w:r>
        <w:rPr>
          <w:rStyle w:val="Strong"/>
        </w:rPr>
        <w:t>Civilizational monitoring:</w:t>
      </w:r>
      <w:r>
        <w:rPr/>
        <w:t xml:space="preserve"> Track existential risk, diversity, knowledge integrity, ecological effects, concentration of power, and capacity for moral revision.</w:t>
      </w:r>
    </w:p>
    <w:p>
      <w:pPr>
        <w:pStyle w:val="BodyText"/>
        <w:spacing w:before="0" w:after="200"/>
        <w:rPr/>
      </w:pPr>
      <w:r>
        <w:rPr/>
        <w:t>A Cosmist-sensitive assessment should produce a separate civilizational and cosmic-scale finding containing:</w:t>
      </w:r>
    </w:p>
    <w:p>
      <w:pPr>
        <w:pStyle w:val="BodyText"/>
        <w:numPr>
          <w:ilvl w:val="0"/>
          <w:numId w:val="87"/>
        </w:numPr>
        <w:tabs>
          <w:tab w:val="clear" w:pos="720"/>
          <w:tab w:val="left" w:pos="0" w:leader="none"/>
        </w:tabs>
        <w:spacing w:before="0" w:after="200"/>
        <w:ind w:hanging="283" w:left="709"/>
        <w:rPr/>
      </w:pPr>
      <w:r>
        <w:rPr/>
        <w:t>The proposed long-term objective;</w:t>
      </w:r>
    </w:p>
    <w:p>
      <w:pPr>
        <w:pStyle w:val="BodyText"/>
        <w:numPr>
          <w:ilvl w:val="0"/>
          <w:numId w:val="87"/>
        </w:numPr>
        <w:tabs>
          <w:tab w:val="clear" w:pos="720"/>
          <w:tab w:val="left" w:pos="0" w:leader="none"/>
        </w:tabs>
        <w:spacing w:before="0" w:after="200"/>
        <w:ind w:hanging="283" w:left="709"/>
        <w:rPr/>
      </w:pPr>
      <w:r>
        <w:rPr/>
        <w:t>The asserted cosmic or civilizational value;</w:t>
      </w:r>
    </w:p>
    <w:p>
      <w:pPr>
        <w:pStyle w:val="BodyText"/>
        <w:numPr>
          <w:ilvl w:val="0"/>
          <w:numId w:val="87"/>
        </w:numPr>
        <w:tabs>
          <w:tab w:val="clear" w:pos="720"/>
          <w:tab w:val="left" w:pos="0" w:leader="none"/>
        </w:tabs>
        <w:spacing w:before="0" w:after="200"/>
        <w:ind w:hanging="283" w:left="709"/>
        <w:rPr/>
      </w:pPr>
      <w:r>
        <w:rPr/>
        <w:t>Relevant present and future entities;</w:t>
      </w:r>
    </w:p>
    <w:p>
      <w:pPr>
        <w:pStyle w:val="BodyText"/>
        <w:numPr>
          <w:ilvl w:val="0"/>
          <w:numId w:val="87"/>
        </w:numPr>
        <w:tabs>
          <w:tab w:val="clear" w:pos="720"/>
          <w:tab w:val="left" w:pos="0" w:leader="none"/>
        </w:tabs>
        <w:spacing w:before="0" w:after="200"/>
        <w:ind w:hanging="283" w:left="709"/>
        <w:rPr/>
      </w:pPr>
      <w:r>
        <w:rPr/>
        <w:t>Effects on existential and catastrophic risk;</w:t>
      </w:r>
    </w:p>
    <w:p>
      <w:pPr>
        <w:pStyle w:val="BodyText"/>
        <w:numPr>
          <w:ilvl w:val="0"/>
          <w:numId w:val="87"/>
        </w:numPr>
        <w:tabs>
          <w:tab w:val="clear" w:pos="720"/>
          <w:tab w:val="left" w:pos="0" w:leader="none"/>
        </w:tabs>
        <w:spacing w:before="0" w:after="200"/>
        <w:ind w:hanging="283" w:left="709"/>
        <w:rPr/>
      </w:pPr>
      <w:r>
        <w:rPr/>
        <w:t>Expansion or contraction of future state space;</w:t>
      </w:r>
    </w:p>
    <w:p>
      <w:pPr>
        <w:pStyle w:val="BodyText"/>
        <w:numPr>
          <w:ilvl w:val="0"/>
          <w:numId w:val="87"/>
        </w:numPr>
        <w:tabs>
          <w:tab w:val="clear" w:pos="720"/>
          <w:tab w:val="left" w:pos="0" w:leader="none"/>
        </w:tabs>
        <w:spacing w:before="0" w:after="200"/>
        <w:ind w:hanging="283" w:left="709"/>
        <w:rPr/>
      </w:pPr>
      <w:r>
        <w:rPr/>
        <w:t>Effects on the biosphere and noosphere;</w:t>
      </w:r>
    </w:p>
    <w:p>
      <w:pPr>
        <w:pStyle w:val="BodyText"/>
        <w:numPr>
          <w:ilvl w:val="0"/>
          <w:numId w:val="87"/>
        </w:numPr>
        <w:tabs>
          <w:tab w:val="clear" w:pos="720"/>
          <w:tab w:val="left" w:pos="0" w:leader="none"/>
        </w:tabs>
        <w:spacing w:before="0" w:after="200"/>
        <w:ind w:hanging="283" w:left="709"/>
        <w:rPr/>
      </w:pPr>
      <w:r>
        <w:rPr/>
        <w:t>Effects on mortality, health, embodiment, and identity;</w:t>
      </w:r>
    </w:p>
    <w:p>
      <w:pPr>
        <w:pStyle w:val="BodyText"/>
        <w:numPr>
          <w:ilvl w:val="0"/>
          <w:numId w:val="87"/>
        </w:numPr>
        <w:tabs>
          <w:tab w:val="clear" w:pos="720"/>
          <w:tab w:val="left" w:pos="0" w:leader="none"/>
        </w:tabs>
        <w:spacing w:before="0" w:after="200"/>
        <w:ind w:hanging="283" w:left="709"/>
        <w:rPr/>
      </w:pPr>
      <w:r>
        <w:rPr/>
        <w:t>Distribution of benefits and burdens;</w:t>
      </w:r>
    </w:p>
    <w:p>
      <w:pPr>
        <w:pStyle w:val="BodyText"/>
        <w:numPr>
          <w:ilvl w:val="0"/>
          <w:numId w:val="87"/>
        </w:numPr>
        <w:tabs>
          <w:tab w:val="clear" w:pos="720"/>
          <w:tab w:val="left" w:pos="0" w:leader="none"/>
        </w:tabs>
        <w:spacing w:before="0" w:after="200"/>
        <w:ind w:hanging="283" w:left="709"/>
        <w:rPr/>
      </w:pPr>
      <w:r>
        <w:rPr/>
        <w:t>Scientific assumptions and uncertainty;</w:t>
      </w:r>
    </w:p>
    <w:p>
      <w:pPr>
        <w:pStyle w:val="BodyText"/>
        <w:numPr>
          <w:ilvl w:val="0"/>
          <w:numId w:val="87"/>
        </w:numPr>
        <w:tabs>
          <w:tab w:val="clear" w:pos="720"/>
          <w:tab w:val="left" w:pos="0" w:leader="none"/>
        </w:tabs>
        <w:spacing w:before="0" w:after="200"/>
        <w:ind w:hanging="283" w:left="709"/>
        <w:rPr/>
      </w:pPr>
      <w:r>
        <w:rPr/>
        <w:t>Governance and authority;</w:t>
      </w:r>
    </w:p>
    <w:p>
      <w:pPr>
        <w:pStyle w:val="BodyText"/>
        <w:numPr>
          <w:ilvl w:val="0"/>
          <w:numId w:val="87"/>
        </w:numPr>
        <w:tabs>
          <w:tab w:val="clear" w:pos="720"/>
          <w:tab w:val="left" w:pos="0" w:leader="none"/>
        </w:tabs>
        <w:spacing w:before="0" w:after="200"/>
        <w:ind w:hanging="283" w:left="709"/>
        <w:rPr/>
      </w:pPr>
      <w:r>
        <w:rPr/>
        <w:t>Consent and rights implications;</w:t>
      </w:r>
    </w:p>
    <w:p>
      <w:pPr>
        <w:pStyle w:val="BodyText"/>
        <w:numPr>
          <w:ilvl w:val="0"/>
          <w:numId w:val="87"/>
        </w:numPr>
        <w:tabs>
          <w:tab w:val="clear" w:pos="720"/>
          <w:tab w:val="left" w:pos="0" w:leader="none"/>
        </w:tabs>
        <w:spacing w:before="0" w:after="200"/>
        <w:ind w:hanging="283" w:left="709"/>
        <w:rPr/>
      </w:pPr>
      <w:r>
        <w:rPr/>
        <w:t>Reversibility and containment;</w:t>
      </w:r>
    </w:p>
    <w:p>
      <w:pPr>
        <w:pStyle w:val="BodyText"/>
        <w:numPr>
          <w:ilvl w:val="0"/>
          <w:numId w:val="87"/>
        </w:numPr>
        <w:tabs>
          <w:tab w:val="clear" w:pos="720"/>
          <w:tab w:val="left" w:pos="0" w:leader="none"/>
        </w:tabs>
        <w:spacing w:before="0" w:after="200"/>
        <w:ind w:hanging="283" w:left="709"/>
        <w:rPr/>
      </w:pPr>
      <w:r>
        <w:rPr/>
        <w:t>Effects on diversity and moral learning;</w:t>
      </w:r>
    </w:p>
    <w:p>
      <w:pPr>
        <w:pStyle w:val="BodyText"/>
        <w:numPr>
          <w:ilvl w:val="0"/>
          <w:numId w:val="87"/>
        </w:numPr>
        <w:tabs>
          <w:tab w:val="clear" w:pos="720"/>
          <w:tab w:val="left" w:pos="0" w:leader="none"/>
        </w:tabs>
        <w:spacing w:before="0" w:after="200"/>
        <w:ind w:hanging="283" w:left="709"/>
        <w:rPr/>
      </w:pPr>
      <w:r>
        <w:rPr/>
        <w:t>Potential value lock-in;</w:t>
      </w:r>
    </w:p>
    <w:p>
      <w:pPr>
        <w:pStyle w:val="BodyText"/>
        <w:numPr>
          <w:ilvl w:val="0"/>
          <w:numId w:val="87"/>
        </w:numPr>
        <w:tabs>
          <w:tab w:val="clear" w:pos="720"/>
          <w:tab w:val="left" w:pos="0" w:leader="none"/>
        </w:tabs>
        <w:spacing w:before="0" w:after="200"/>
        <w:ind w:hanging="283" w:left="709"/>
        <w:rPr/>
      </w:pPr>
      <w:r>
        <w:rPr/>
        <w:t>Planetary-protection implications;</w:t>
      </w:r>
    </w:p>
    <w:p>
      <w:pPr>
        <w:pStyle w:val="BodyText"/>
        <w:numPr>
          <w:ilvl w:val="0"/>
          <w:numId w:val="87"/>
        </w:numPr>
        <w:tabs>
          <w:tab w:val="clear" w:pos="720"/>
          <w:tab w:val="left" w:pos="0" w:leader="none"/>
        </w:tabs>
        <w:spacing w:before="0" w:after="200"/>
        <w:ind w:hanging="283" w:left="709"/>
        <w:rPr/>
      </w:pPr>
      <w:r>
        <w:rPr/>
        <w:t>Milestones and review conditions; and</w:t>
      </w:r>
    </w:p>
    <w:p>
      <w:pPr>
        <w:pStyle w:val="BodyText"/>
        <w:numPr>
          <w:ilvl w:val="0"/>
          <w:numId w:val="87"/>
        </w:numPr>
        <w:tabs>
          <w:tab w:val="clear" w:pos="720"/>
          <w:tab w:val="left" w:pos="0" w:leader="none"/>
        </w:tabs>
        <w:spacing w:before="0" w:after="200"/>
        <w:ind w:hanging="283" w:left="709"/>
        <w:rPr/>
      </w:pPr>
      <w:r>
        <w:rPr/>
        <w:t>Available alternatives, including the consequences of inaction.</w:t>
      </w:r>
    </w:p>
    <w:p>
      <w:pPr>
        <w:pStyle w:val="BodyText"/>
        <w:spacing w:before="0" w:after="200"/>
        <w:rPr/>
      </w:pPr>
      <w:r>
        <w:rPr/>
        <w:t>This finding should remain distinct from a general claim of technological progress. A project could increase intelligence, longevity, energy use, or spatial expansion while reducing justice, diversity, freedom, or the ability to revise civilizational objectives. Conversely, a project involving significant transformation may be justified when it reduces existential risk, expands beneficial possibilities, distributes benefits fairly, and preserves moral learning.</w:t>
      </w:r>
    </w:p>
    <w:p>
      <w:pPr>
        <w:pStyle w:val="Heading4"/>
        <w:ind w:hanging="0" w:left="0"/>
        <w:rPr>
          <w:rFonts w:ascii="Aptos" w:hAnsi="Aptos"/>
          <w:color w:val="auto"/>
        </w:rPr>
      </w:pPr>
      <w:r>
        <w:rPr/>
        <w:t>Remaining Open Issues</w:t>
      </w:r>
    </w:p>
    <w:p>
      <w:pPr>
        <w:pStyle w:val="BodyText"/>
        <w:spacing w:before="0" w:after="200"/>
        <w:rPr/>
      </w:pPr>
      <w:r>
        <w:rPr/>
        <w:t>Several issues require further development before Cosmism can be considered fully integrated:</w:t>
      </w:r>
    </w:p>
    <w:p>
      <w:pPr>
        <w:pStyle w:val="BodyText"/>
        <w:numPr>
          <w:ilvl w:val="0"/>
          <w:numId w:val="88"/>
        </w:numPr>
        <w:tabs>
          <w:tab w:val="clear" w:pos="720"/>
          <w:tab w:val="left" w:pos="0" w:leader="none"/>
        </w:tabs>
        <w:spacing w:before="0" w:after="200"/>
        <w:ind w:hanging="283" w:left="709"/>
        <w:rPr/>
      </w:pPr>
      <w:r>
        <w:rPr>
          <w:rStyle w:val="Strong"/>
        </w:rPr>
        <w:t>Cosmic value:</w:t>
      </w:r>
      <w:r>
        <w:rPr/>
        <w:t xml:space="preserve"> The framework must determine whether the expansion of life and intelligence has intrinsic value, instrumental value, or value only under additional ethical conditions.</w:t>
      </w:r>
    </w:p>
    <w:p>
      <w:pPr>
        <w:pStyle w:val="BodyText"/>
        <w:numPr>
          <w:ilvl w:val="0"/>
          <w:numId w:val="88"/>
        </w:numPr>
        <w:tabs>
          <w:tab w:val="clear" w:pos="720"/>
          <w:tab w:val="left" w:pos="0" w:leader="none"/>
        </w:tabs>
        <w:spacing w:before="0" w:after="200"/>
        <w:ind w:hanging="283" w:left="709"/>
        <w:rPr/>
      </w:pPr>
      <w:r>
        <w:rPr>
          <w:rStyle w:val="Strong"/>
        </w:rPr>
        <w:t>Status of active evolution:</w:t>
      </w:r>
      <w:r>
        <w:rPr/>
        <w:t xml:space="preserve"> It remains unresolved whether directing evolution is a positive duty, a permissible option, or an exceptional authority requiring heightened justification.</w:t>
      </w:r>
    </w:p>
    <w:p>
      <w:pPr>
        <w:pStyle w:val="BodyText"/>
        <w:numPr>
          <w:ilvl w:val="0"/>
          <w:numId w:val="88"/>
        </w:numPr>
        <w:tabs>
          <w:tab w:val="clear" w:pos="720"/>
          <w:tab w:val="left" w:pos="0" w:leader="none"/>
        </w:tabs>
        <w:spacing w:before="0" w:after="200"/>
        <w:ind w:hanging="283" w:left="709"/>
        <w:rPr/>
      </w:pPr>
      <w:r>
        <w:rPr>
          <w:rStyle w:val="Strong"/>
        </w:rPr>
        <w:t>Moral status of future entities:</w:t>
      </w:r>
      <w:r>
        <w:rPr/>
        <w:t xml:space="preserve"> Methods are needed for representing possible future persons without allowing speculative numbers to dominate present obligations.</w:t>
      </w:r>
    </w:p>
    <w:p>
      <w:pPr>
        <w:pStyle w:val="BodyText"/>
        <w:numPr>
          <w:ilvl w:val="0"/>
          <w:numId w:val="88"/>
        </w:numPr>
        <w:tabs>
          <w:tab w:val="clear" w:pos="720"/>
          <w:tab w:val="left" w:pos="0" w:leader="none"/>
        </w:tabs>
        <w:spacing w:before="0" w:after="200"/>
        <w:ind w:hanging="283" w:left="709"/>
        <w:rPr/>
      </w:pPr>
      <w:r>
        <w:rPr>
          <w:rStyle w:val="Strong"/>
        </w:rPr>
        <w:t>Status of deceased persons:</w:t>
      </w:r>
      <w:r>
        <w:rPr/>
        <w:t xml:space="preserve"> The moral claims of ancestors, historical persons, and potentially reconstructed persons remain unclear.</w:t>
      </w:r>
    </w:p>
    <w:p>
      <w:pPr>
        <w:pStyle w:val="BodyText"/>
        <w:numPr>
          <w:ilvl w:val="0"/>
          <w:numId w:val="88"/>
        </w:numPr>
        <w:tabs>
          <w:tab w:val="clear" w:pos="720"/>
          <w:tab w:val="left" w:pos="0" w:leader="none"/>
        </w:tabs>
        <w:spacing w:before="0" w:after="200"/>
        <w:ind w:hanging="283" w:left="709"/>
        <w:rPr/>
      </w:pPr>
      <w:r>
        <w:rPr>
          <w:rStyle w:val="Strong"/>
        </w:rPr>
        <w:t>Personal identity:</w:t>
      </w:r>
      <w:r>
        <w:rPr/>
        <w:t xml:space="preserve"> Resurrection, uploading, copying, and radical biological transformation require defensible continuity criteria.</w:t>
      </w:r>
    </w:p>
    <w:p>
      <w:pPr>
        <w:pStyle w:val="BodyText"/>
        <w:numPr>
          <w:ilvl w:val="0"/>
          <w:numId w:val="88"/>
        </w:numPr>
        <w:tabs>
          <w:tab w:val="clear" w:pos="720"/>
          <w:tab w:val="left" w:pos="0" w:leader="none"/>
        </w:tabs>
        <w:spacing w:before="0" w:after="200"/>
        <w:ind w:hanging="283" w:left="709"/>
        <w:rPr/>
      </w:pPr>
      <w:r>
        <w:rPr>
          <w:rStyle w:val="Strong"/>
        </w:rPr>
        <w:t>Population ethics:</w:t>
      </w:r>
      <w:r>
        <w:rPr/>
        <w:t xml:space="preserve"> Life extension, restoration, reproduction, and creation of artificial entities raise difficult questions about population size, distribution, and comparative value.</w:t>
      </w:r>
    </w:p>
    <w:p>
      <w:pPr>
        <w:pStyle w:val="BodyText"/>
        <w:numPr>
          <w:ilvl w:val="0"/>
          <w:numId w:val="88"/>
        </w:numPr>
        <w:tabs>
          <w:tab w:val="clear" w:pos="720"/>
          <w:tab w:val="left" w:pos="0" w:leader="none"/>
        </w:tabs>
        <w:spacing w:before="0" w:after="200"/>
        <w:ind w:hanging="283" w:left="709"/>
        <w:rPr/>
      </w:pPr>
      <w:r>
        <w:rPr>
          <w:rStyle w:val="Strong"/>
        </w:rPr>
        <w:t>Temporal weighting:</w:t>
      </w:r>
      <w:r>
        <w:rPr/>
        <w:t xml:space="preserve"> The framework requires methods for balancing immediate, intergenerational, civilizational, and cosmic effects without arbitrary discounting.</w:t>
      </w:r>
    </w:p>
    <w:p>
      <w:pPr>
        <w:pStyle w:val="BodyText"/>
        <w:numPr>
          <w:ilvl w:val="0"/>
          <w:numId w:val="88"/>
        </w:numPr>
        <w:tabs>
          <w:tab w:val="clear" w:pos="720"/>
          <w:tab w:val="left" w:pos="0" w:leader="none"/>
        </w:tabs>
        <w:spacing w:before="0" w:after="200"/>
        <w:ind w:hanging="283" w:left="709"/>
        <w:rPr/>
      </w:pPr>
      <w:r>
        <w:rPr>
          <w:rStyle w:val="Strong"/>
        </w:rPr>
        <w:t>Cosmological uncertainty:</w:t>
      </w:r>
      <w:r>
        <w:rPr/>
        <w:t xml:space="preserve"> Long-term projects depend on scientific assumptions that may change substantially over time.</w:t>
      </w:r>
    </w:p>
    <w:p>
      <w:pPr>
        <w:pStyle w:val="BodyText"/>
        <w:numPr>
          <w:ilvl w:val="0"/>
          <w:numId w:val="88"/>
        </w:numPr>
        <w:tabs>
          <w:tab w:val="clear" w:pos="720"/>
          <w:tab w:val="left" w:pos="0" w:leader="none"/>
        </w:tabs>
        <w:spacing w:before="0" w:after="200"/>
        <w:ind w:hanging="283" w:left="709"/>
        <w:rPr/>
      </w:pPr>
      <w:r>
        <w:rPr>
          <w:rStyle w:val="Strong"/>
        </w:rPr>
        <w:t>Authority over nature:</w:t>
      </w:r>
      <w:r>
        <w:rPr/>
        <w:t xml:space="preserve"> The ability to transform biological or ecological systems does not settle who has legitimate authority to do so.</w:t>
      </w:r>
    </w:p>
    <w:p>
      <w:pPr>
        <w:pStyle w:val="BodyText"/>
        <w:numPr>
          <w:ilvl w:val="0"/>
          <w:numId w:val="88"/>
        </w:numPr>
        <w:tabs>
          <w:tab w:val="clear" w:pos="720"/>
          <w:tab w:val="left" w:pos="0" w:leader="none"/>
        </w:tabs>
        <w:spacing w:before="0" w:after="200"/>
        <w:ind w:hanging="283" w:left="709"/>
        <w:rPr/>
      </w:pPr>
      <w:r>
        <w:rPr>
          <w:rStyle w:val="Strong"/>
        </w:rPr>
        <w:t>Governance of the Common Task:</w:t>
      </w:r>
      <w:r>
        <w:rPr/>
        <w:t xml:space="preserve"> No accepted institution currently possesses legitimate authority to define and enforce a single civilizational objective.</w:t>
      </w:r>
    </w:p>
    <w:p>
      <w:pPr>
        <w:pStyle w:val="BodyText"/>
        <w:numPr>
          <w:ilvl w:val="0"/>
          <w:numId w:val="88"/>
        </w:numPr>
        <w:tabs>
          <w:tab w:val="clear" w:pos="720"/>
          <w:tab w:val="left" w:pos="0" w:leader="none"/>
        </w:tabs>
        <w:spacing w:before="0" w:after="200"/>
        <w:ind w:hanging="283" w:left="709"/>
        <w:rPr/>
      </w:pPr>
      <w:r>
        <w:rPr>
          <w:rStyle w:val="Strong"/>
        </w:rPr>
        <w:t>Pluralism and coordination:</w:t>
      </w:r>
      <w:r>
        <w:rPr/>
        <w:t xml:space="preserve"> Global or cosmic cooperation must be reconciled with cultural, biological, political, and objective diversity.</w:t>
      </w:r>
    </w:p>
    <w:p>
      <w:pPr>
        <w:pStyle w:val="BodyText"/>
        <w:numPr>
          <w:ilvl w:val="0"/>
          <w:numId w:val="88"/>
        </w:numPr>
        <w:tabs>
          <w:tab w:val="clear" w:pos="720"/>
          <w:tab w:val="left" w:pos="0" w:leader="none"/>
        </w:tabs>
        <w:spacing w:before="0" w:after="200"/>
        <w:ind w:hanging="283" w:left="709"/>
        <w:rPr/>
      </w:pPr>
      <w:r>
        <w:rPr>
          <w:rStyle w:val="Strong"/>
        </w:rPr>
        <w:t>Technological inequality:</w:t>
      </w:r>
      <w:r>
        <w:rPr/>
        <w:t xml:space="preserve"> Life extension, enhancement, artificial intelligence, and space settlement could produce permanent classes with radically unequal power.</w:t>
      </w:r>
    </w:p>
    <w:p>
      <w:pPr>
        <w:pStyle w:val="BodyText"/>
        <w:numPr>
          <w:ilvl w:val="0"/>
          <w:numId w:val="88"/>
        </w:numPr>
        <w:tabs>
          <w:tab w:val="clear" w:pos="720"/>
          <w:tab w:val="left" w:pos="0" w:leader="none"/>
        </w:tabs>
        <w:spacing w:before="0" w:after="200"/>
        <w:ind w:hanging="283" w:left="709"/>
        <w:rPr/>
      </w:pPr>
      <w:r>
        <w:rPr>
          <w:rStyle w:val="Strong"/>
        </w:rPr>
        <w:t>Value lock-in:</w:t>
      </w:r>
      <w:r>
        <w:rPr/>
        <w:t xml:space="preserve"> Long-lived persons, institutions, or artificial systems may preserve current moral errors for unprecedented durations.</w:t>
      </w:r>
    </w:p>
    <w:p>
      <w:pPr>
        <w:pStyle w:val="BodyText"/>
        <w:numPr>
          <w:ilvl w:val="0"/>
          <w:numId w:val="88"/>
        </w:numPr>
        <w:tabs>
          <w:tab w:val="clear" w:pos="720"/>
          <w:tab w:val="left" w:pos="0" w:leader="none"/>
        </w:tabs>
        <w:spacing w:before="0" w:after="200"/>
        <w:ind w:hanging="283" w:left="709"/>
        <w:rPr/>
      </w:pPr>
      <w:r>
        <w:rPr>
          <w:rStyle w:val="Strong"/>
        </w:rPr>
        <w:t>Ecological standing:</w:t>
      </w:r>
      <w:r>
        <w:rPr/>
        <w:t xml:space="preserve"> The framework must determine how active evolution affects ecosystems and nonhuman entities that cannot participate in decision-making.</w:t>
      </w:r>
    </w:p>
    <w:p>
      <w:pPr>
        <w:pStyle w:val="BodyText"/>
        <w:numPr>
          <w:ilvl w:val="0"/>
          <w:numId w:val="88"/>
        </w:numPr>
        <w:tabs>
          <w:tab w:val="clear" w:pos="720"/>
          <w:tab w:val="left" w:pos="0" w:leader="none"/>
        </w:tabs>
        <w:spacing w:before="0" w:after="200"/>
        <w:ind w:hanging="283" w:left="709"/>
        <w:rPr/>
      </w:pPr>
      <w:r>
        <w:rPr>
          <w:rStyle w:val="Strong"/>
        </w:rPr>
        <w:t>Extraterrestrial moral standing:</w:t>
      </w:r>
      <w:r>
        <w:rPr/>
        <w:t xml:space="preserve"> Discovery of non-terrestrial life would require new principles governing contact, contamination, ownership, and noninterference.</w:t>
      </w:r>
    </w:p>
    <w:p>
      <w:pPr>
        <w:pStyle w:val="BodyText"/>
        <w:numPr>
          <w:ilvl w:val="0"/>
          <w:numId w:val="88"/>
        </w:numPr>
        <w:tabs>
          <w:tab w:val="clear" w:pos="720"/>
          <w:tab w:val="left" w:pos="0" w:leader="none"/>
        </w:tabs>
        <w:spacing w:before="0" w:after="200"/>
        <w:ind w:hanging="283" w:left="709"/>
        <w:rPr/>
      </w:pPr>
      <w:r>
        <w:rPr>
          <w:rStyle w:val="Strong"/>
        </w:rPr>
        <w:t>Artificial and posthuman entities:</w:t>
      </w:r>
      <w:r>
        <w:rPr/>
        <w:t xml:space="preserve"> Criteria are needed for agency, identity, responsibility, rights, and flourishing across unfamiliar embodiments.</w:t>
      </w:r>
    </w:p>
    <w:p>
      <w:pPr>
        <w:pStyle w:val="BodyText"/>
        <w:numPr>
          <w:ilvl w:val="0"/>
          <w:numId w:val="88"/>
        </w:numPr>
        <w:tabs>
          <w:tab w:val="clear" w:pos="720"/>
          <w:tab w:val="left" w:pos="0" w:leader="none"/>
        </w:tabs>
        <w:spacing w:before="0" w:after="200"/>
        <w:ind w:hanging="283" w:left="709"/>
        <w:rPr/>
      </w:pPr>
      <w:r>
        <w:rPr>
          <w:rStyle w:val="Strong"/>
        </w:rPr>
        <w:t>Irreversibility:</w:t>
      </w:r>
      <w:r>
        <w:rPr/>
        <w:t xml:space="preserve"> Many biological, planetary, or cosmic interventions cannot be recalled once deployed.</w:t>
      </w:r>
    </w:p>
    <w:p>
      <w:pPr>
        <w:pStyle w:val="BodyText"/>
        <w:numPr>
          <w:ilvl w:val="0"/>
          <w:numId w:val="88"/>
        </w:numPr>
        <w:tabs>
          <w:tab w:val="clear" w:pos="720"/>
          <w:tab w:val="left" w:pos="0" w:leader="none"/>
        </w:tabs>
        <w:spacing w:before="0" w:after="200"/>
        <w:ind w:hanging="283" w:left="709"/>
        <w:rPr/>
      </w:pPr>
      <w:r>
        <w:rPr>
          <w:rStyle w:val="Strong"/>
        </w:rPr>
        <w:t>Resource and carrying-capacity constraints:</w:t>
      </w:r>
      <w:r>
        <w:rPr/>
        <w:t xml:space="preserve"> Radical longevity and large-scale expansion could create new conflicts over habitat, energy, matter, and reproduction.</w:t>
      </w:r>
    </w:p>
    <w:p>
      <w:pPr>
        <w:pStyle w:val="BodyText"/>
        <w:numPr>
          <w:ilvl w:val="0"/>
          <w:numId w:val="88"/>
        </w:numPr>
        <w:tabs>
          <w:tab w:val="clear" w:pos="720"/>
          <w:tab w:val="left" w:pos="0" w:leader="none"/>
        </w:tabs>
        <w:spacing w:before="0" w:after="200"/>
        <w:ind w:hanging="283" w:left="709"/>
        <w:rPr/>
      </w:pPr>
      <w:r>
        <w:rPr>
          <w:rStyle w:val="Strong"/>
        </w:rPr>
        <w:t>Evidence thresholds:</w:t>
      </w:r>
      <w:r>
        <w:rPr/>
        <w:t xml:space="preserve"> Transformative projects require standards proportionate to their scale and potential irreversibility.</w:t>
      </w:r>
    </w:p>
    <w:p>
      <w:pPr>
        <w:pStyle w:val="BodyText"/>
        <w:numPr>
          <w:ilvl w:val="0"/>
          <w:numId w:val="88"/>
        </w:numPr>
        <w:tabs>
          <w:tab w:val="clear" w:pos="720"/>
          <w:tab w:val="left" w:pos="0" w:leader="none"/>
        </w:tabs>
        <w:spacing w:before="0" w:after="200"/>
        <w:ind w:hanging="283" w:left="709"/>
        <w:rPr/>
      </w:pPr>
      <w:r>
        <w:rPr>
          <w:rStyle w:val="Strong"/>
        </w:rPr>
        <w:t>Metrics of progress:</w:t>
      </w:r>
      <w:r>
        <w:rPr/>
        <w:t xml:space="preserve"> Technical capability, longevity, intelligence, and spatial expansion must not be mistaken for moral progress.</w:t>
      </w:r>
    </w:p>
    <w:p>
      <w:pPr>
        <w:pStyle w:val="BodyText"/>
        <w:numPr>
          <w:ilvl w:val="0"/>
          <w:numId w:val="88"/>
        </w:numPr>
        <w:tabs>
          <w:tab w:val="clear" w:pos="720"/>
          <w:tab w:val="left" w:pos="0" w:leader="none"/>
        </w:tabs>
        <w:spacing w:before="0" w:after="200"/>
        <w:ind w:hanging="283" w:left="709"/>
        <w:rPr/>
      </w:pPr>
      <w:r>
        <w:rPr>
          <w:rStyle w:val="Strong"/>
        </w:rPr>
        <w:t>Present-versus-future exploitation:</w:t>
      </w:r>
      <w:r>
        <w:rPr/>
        <w:t xml:space="preserve"> Distant future benefits can be used rhetorically to justify present coercion, deprivation, or concentration of power.</w:t>
      </w:r>
    </w:p>
    <w:p>
      <w:pPr>
        <w:pStyle w:val="BodyText"/>
        <w:numPr>
          <w:ilvl w:val="0"/>
          <w:numId w:val="88"/>
        </w:numPr>
        <w:tabs>
          <w:tab w:val="clear" w:pos="720"/>
          <w:tab w:val="left" w:pos="0" w:leader="none"/>
        </w:tabs>
        <w:spacing w:before="0" w:after="200"/>
        <w:ind w:hanging="283" w:left="709"/>
        <w:rPr/>
      </w:pPr>
      <w:r>
        <w:rPr>
          <w:rStyle w:val="Strong"/>
        </w:rPr>
        <w:t>Failure of ambition:</w:t>
      </w:r>
      <w:r>
        <w:rPr/>
        <w:t xml:space="preserve"> Excessive caution may also create moral failure by permitting preventable extinction, stagnation, or irreversible loss of future possibilities.</w:t>
      </w:r>
    </w:p>
    <w:p>
      <w:pPr>
        <w:pStyle w:val="BodyText"/>
        <w:spacing w:before="0" w:after="200"/>
        <w:rPr/>
      </w:pPr>
      <w:r>
        <w:rPr/>
        <w:t>The central unresolved question is whether the expansion and deliberate evolution of life and intelligence should be treated as a foundational moral obligation or as one possible expression of Long-Term Flourishing. Cosmism can reasonably criticize the framework if it uses uncertainty and compatibility only to preserve existing conditions. The framework can reasonably criticize Cosmism if cosmic ambition is allowed to override evidence, rights, ecological relationships, pluralism, or legitimate governance. A productive integration would recognize active cosmic development as a serious candidate objective while subjecting every proposed Common Task to rigorous analysis of participation, distribution, uncertainty, reversibility, and compatible flourishing.</w:t>
      </w:r>
    </w:p>
    <w:p>
      <w:pPr>
        <w:pStyle w:val="Heading3"/>
        <w:ind w:hanging="0" w:left="0"/>
        <w:rPr/>
      </w:pPr>
      <w:r>
        <w:rPr/>
        <w:t>Pragmatism</w:t>
      </w:r>
    </w:p>
    <w:p>
      <w:pPr>
        <w:pStyle w:val="Heading4"/>
        <w:ind w:hanging="0" w:left="0"/>
        <w:rPr>
          <w:rFonts w:ascii="Aptos" w:hAnsi="Aptos"/>
          <w:color w:val="auto"/>
        </w:rPr>
      </w:pPr>
      <w:r>
        <w:rPr/>
        <w:t>Questioning Argument</w:t>
      </w:r>
    </w:p>
    <w:p>
      <w:pPr>
        <w:pStyle w:val="BodyText"/>
        <w:spacing w:before="0" w:after="200"/>
        <w:rPr/>
      </w:pPr>
      <w:r>
        <w:rPr/>
        <w:t>A Pragmatist expert may argue that this framework formalizes ethical reasoning too early. It asks decision-makers to define the relevant entities, objectives, constraints, evidence, and predicted World Context Transition before acting. Pragmatism holds that the meaning of a problem, the adequacy of an objective, and the significance of its consequences are often discovered only through action, observation, participation, and revision.</w:t>
      </w:r>
    </w:p>
    <w:p>
      <w:pPr>
        <w:pStyle w:val="BodyText"/>
        <w:spacing w:before="0" w:after="200"/>
        <w:rPr/>
      </w:pPr>
      <w:r>
        <w:rPr/>
        <w:t>The critic may ask:</w:t>
      </w:r>
    </w:p>
    <w:p>
      <w:pPr>
        <w:pStyle w:val="BlockQuotation"/>
        <w:spacing w:before="0" w:after="200"/>
        <w:rPr/>
      </w:pPr>
      <w:r>
        <w:rPr/>
        <w:t>If ethical concepts, values, and objectives acquire practical meaning through their consequences in experience, how can the framework determine the complete ethical significance of an action before the action has been tried and its actual effects have been observed?</w:t>
      </w:r>
    </w:p>
    <w:p>
      <w:pPr>
        <w:pStyle w:val="BodyText"/>
        <w:spacing w:before="0" w:after="200"/>
        <w:rPr/>
      </w:pPr>
      <w:r>
        <w:rPr/>
        <w:t>The framework’s Foundational Axiom may present a second concern. Long-Term Flourishing appears to function as a stable normative foundation, while Pragmatism generally resists treating any formulation as permanently exempt from inquiry. A Pragmatist may accept flourishing as a useful working commitment but ask what observable difference it makes, how its meaning is determined, whose experience defines it, and what evidence could justify revising its interpretation.</w:t>
      </w:r>
    </w:p>
    <w:p>
      <w:pPr>
        <w:pStyle w:val="BodyText"/>
        <w:spacing w:before="0" w:after="200"/>
        <w:rPr/>
      </w:pPr>
      <w:r>
        <w:rPr/>
        <w:t>A third concern involves democratic inquiry. “Best available evidence” is not produced from a neutral position. Institutions determine which questions are investigated, whose testimony counts, which measurements are funded, and which consequences remain invisible. If affected entities do not participate in defining the problem and evaluating the response, the framework may formalize the assumptions of powerful actors while appearing objective.</w:t>
      </w:r>
    </w:p>
    <w:p>
      <w:pPr>
        <w:pStyle w:val="BodyText"/>
        <w:spacing w:before="0" w:after="200"/>
        <w:rPr/>
      </w:pPr>
      <w:r>
        <w:rPr/>
        <w:t>Finally, the framework may encourage false precision. Explicit probabilities, entity classifications, and transition models can improve reasoning, but they can also conceal uncertainty, qualitative experience, and contested values behind apparently technical outputs.</w:t>
      </w:r>
    </w:p>
    <w:p>
      <w:pPr>
        <w:pStyle w:val="Heading4"/>
        <w:ind w:hanging="0" w:left="0"/>
        <w:rPr>
          <w:rFonts w:ascii="Aptos" w:hAnsi="Aptos"/>
          <w:color w:val="auto"/>
        </w:rPr>
      </w:pPr>
      <w:r>
        <w:rPr/>
        <w:t>Assumptions Within the Ethical Model Relevant to the Questioning Argument</w:t>
      </w:r>
    </w:p>
    <w:p>
      <w:pPr>
        <w:pStyle w:val="BodyText"/>
        <w:spacing w:before="0" w:after="200"/>
        <w:rPr/>
      </w:pPr>
      <w:r>
        <w:rPr/>
        <w:t>The Pragmatist questioning argument depends on several assumptions:</w:t>
      </w:r>
    </w:p>
    <w:p>
      <w:pPr>
        <w:pStyle w:val="BodyText"/>
        <w:numPr>
          <w:ilvl w:val="0"/>
          <w:numId w:val="94"/>
        </w:numPr>
        <w:tabs>
          <w:tab w:val="clear" w:pos="720"/>
          <w:tab w:val="left" w:pos="0" w:leader="none"/>
        </w:tabs>
        <w:spacing w:before="0" w:after="200"/>
        <w:ind w:hanging="283" w:left="709"/>
        <w:rPr/>
      </w:pPr>
      <w:r>
        <w:rPr>
          <w:rStyle w:val="Strong"/>
        </w:rPr>
        <w:t>Inquiry begins within experience.</w:t>
      </w:r>
      <w:r>
        <w:rPr/>
        <w:t xml:space="preserve"> Ethical problems arise from actual conflicts, disrupted habits, unmet needs, uncertainty, and unsatisfactory conditions.</w:t>
      </w:r>
    </w:p>
    <w:p>
      <w:pPr>
        <w:pStyle w:val="BodyText"/>
        <w:numPr>
          <w:ilvl w:val="0"/>
          <w:numId w:val="94"/>
        </w:numPr>
        <w:tabs>
          <w:tab w:val="clear" w:pos="720"/>
          <w:tab w:val="left" w:pos="0" w:leader="none"/>
        </w:tabs>
        <w:spacing w:before="0" w:after="200"/>
        <w:ind w:hanging="283" w:left="709"/>
        <w:rPr/>
      </w:pPr>
      <w:r>
        <w:rPr>
          <w:rStyle w:val="Strong"/>
        </w:rPr>
        <w:t>Knowing is connected to acting.</w:t>
      </w:r>
      <w:r>
        <w:rPr/>
        <w:t xml:space="preserve"> Agents learn about the world partly by intervening in it and observing what follows.</w:t>
      </w:r>
    </w:p>
    <w:p>
      <w:pPr>
        <w:pStyle w:val="BodyText"/>
        <w:numPr>
          <w:ilvl w:val="0"/>
          <w:numId w:val="94"/>
        </w:numPr>
        <w:tabs>
          <w:tab w:val="clear" w:pos="720"/>
          <w:tab w:val="left" w:pos="0" w:leader="none"/>
        </w:tabs>
        <w:spacing w:before="0" w:after="200"/>
        <w:ind w:hanging="283" w:left="709"/>
        <w:rPr/>
      </w:pPr>
      <w:r>
        <w:rPr>
          <w:rStyle w:val="Strong"/>
        </w:rPr>
        <w:t>Meaning is clarified through practical consequences.</w:t>
      </w:r>
      <w:r>
        <w:rPr/>
        <w:t xml:space="preserve"> A concept that makes no identifiable difference in experience may be empty, confused, or insufficiently specified.</w:t>
      </w:r>
    </w:p>
    <w:p>
      <w:pPr>
        <w:pStyle w:val="BodyText"/>
        <w:numPr>
          <w:ilvl w:val="0"/>
          <w:numId w:val="94"/>
        </w:numPr>
        <w:tabs>
          <w:tab w:val="clear" w:pos="720"/>
          <w:tab w:val="left" w:pos="0" w:leader="none"/>
        </w:tabs>
        <w:spacing w:before="0" w:after="200"/>
        <w:ind w:hanging="283" w:left="709"/>
        <w:rPr/>
      </w:pPr>
      <w:r>
        <w:rPr>
          <w:rStyle w:val="Strong"/>
        </w:rPr>
        <w:t>Beliefs are fallible.</w:t>
      </w:r>
      <w:r>
        <w:rPr/>
        <w:t xml:space="preserve"> Every model, classification, causal claim, and ethical judgment remains open to correction.</w:t>
      </w:r>
    </w:p>
    <w:p>
      <w:pPr>
        <w:pStyle w:val="BodyText"/>
        <w:numPr>
          <w:ilvl w:val="0"/>
          <w:numId w:val="94"/>
        </w:numPr>
        <w:tabs>
          <w:tab w:val="clear" w:pos="720"/>
          <w:tab w:val="left" w:pos="0" w:leader="none"/>
        </w:tabs>
        <w:spacing w:before="0" w:after="200"/>
        <w:ind w:hanging="283" w:left="709"/>
        <w:rPr/>
      </w:pPr>
      <w:r>
        <w:rPr>
          <w:rStyle w:val="Strong"/>
        </w:rPr>
        <w:t>Fallibilism does not imply relativism.</w:t>
      </w:r>
      <w:r>
        <w:rPr/>
        <w:t xml:space="preserve"> Some claims are better supported because they survive evidence, criticism, testing, and comparison with alternatives.</w:t>
      </w:r>
    </w:p>
    <w:p>
      <w:pPr>
        <w:pStyle w:val="BodyText"/>
        <w:numPr>
          <w:ilvl w:val="0"/>
          <w:numId w:val="94"/>
        </w:numPr>
        <w:tabs>
          <w:tab w:val="clear" w:pos="720"/>
          <w:tab w:val="left" w:pos="0" w:leader="none"/>
        </w:tabs>
        <w:spacing w:before="0" w:after="200"/>
        <w:ind w:hanging="283" w:left="709"/>
        <w:rPr/>
      </w:pPr>
      <w:r>
        <w:rPr>
          <w:rStyle w:val="Strong"/>
        </w:rPr>
        <w:t>Objectives are provisional ends-in-view.</w:t>
      </w:r>
      <w:r>
        <w:rPr/>
        <w:t xml:space="preserve"> An objective is a hypothesis about how a problematic situation might be improved, not necessarily a fixed or final good.</w:t>
      </w:r>
    </w:p>
    <w:p>
      <w:pPr>
        <w:pStyle w:val="BodyText"/>
        <w:numPr>
          <w:ilvl w:val="0"/>
          <w:numId w:val="94"/>
        </w:numPr>
        <w:tabs>
          <w:tab w:val="clear" w:pos="720"/>
          <w:tab w:val="left" w:pos="0" w:leader="none"/>
        </w:tabs>
        <w:spacing w:before="0" w:after="200"/>
        <w:ind w:hanging="283" w:left="709"/>
        <w:rPr/>
      </w:pPr>
      <w:r>
        <w:rPr>
          <w:rStyle w:val="Strong"/>
        </w:rPr>
        <w:t>Means and ends are continuous.</w:t>
      </w:r>
      <w:r>
        <w:rPr/>
        <w:t xml:space="preserve"> The process used to pursue an end can change the end, the actors, the relationships involved, and the range of future possibilities.</w:t>
      </w:r>
    </w:p>
    <w:p>
      <w:pPr>
        <w:pStyle w:val="BodyText"/>
        <w:numPr>
          <w:ilvl w:val="0"/>
          <w:numId w:val="94"/>
        </w:numPr>
        <w:tabs>
          <w:tab w:val="clear" w:pos="720"/>
          <w:tab w:val="left" w:pos="0" w:leader="none"/>
        </w:tabs>
        <w:spacing w:before="0" w:after="200"/>
        <w:ind w:hanging="283" w:left="709"/>
        <w:rPr/>
      </w:pPr>
      <w:r>
        <w:rPr>
          <w:rStyle w:val="Strong"/>
        </w:rPr>
        <w:t>Consequences are discovered as well as predicted.</w:t>
      </w:r>
      <w:r>
        <w:rPr/>
        <w:t xml:space="preserve"> Some ethically relevant effects emerge only during implementation.</w:t>
      </w:r>
    </w:p>
    <w:p>
      <w:pPr>
        <w:pStyle w:val="BodyText"/>
        <w:numPr>
          <w:ilvl w:val="0"/>
          <w:numId w:val="94"/>
        </w:numPr>
        <w:tabs>
          <w:tab w:val="clear" w:pos="720"/>
          <w:tab w:val="left" w:pos="0" w:leader="none"/>
        </w:tabs>
        <w:spacing w:before="0" w:after="200"/>
        <w:ind w:hanging="283" w:left="709"/>
        <w:rPr/>
      </w:pPr>
      <w:r>
        <w:rPr>
          <w:rStyle w:val="Strong"/>
        </w:rPr>
        <w:t>Inquiry is experimental.</w:t>
      </w:r>
      <w:r>
        <w:rPr/>
        <w:t xml:space="preserve"> Responsible action often requires pilots, observation, comparison, correction, and further testing.</w:t>
      </w:r>
    </w:p>
    <w:p>
      <w:pPr>
        <w:pStyle w:val="BodyText"/>
        <w:numPr>
          <w:ilvl w:val="0"/>
          <w:numId w:val="94"/>
        </w:numPr>
        <w:tabs>
          <w:tab w:val="clear" w:pos="720"/>
          <w:tab w:val="left" w:pos="0" w:leader="none"/>
        </w:tabs>
        <w:spacing w:before="0" w:after="200"/>
        <w:ind w:hanging="283" w:left="709"/>
        <w:rPr/>
      </w:pPr>
      <w:r>
        <w:rPr>
          <w:rStyle w:val="Strong"/>
        </w:rPr>
        <w:t>Experience includes qualitative dimensions.</w:t>
      </w:r>
      <w:r>
        <w:rPr/>
        <w:t xml:space="preserve"> Trust, humiliation, belonging, fear, empowerment, exclusion, and relational meaning may not be fully represented by numerical indicators.</w:t>
      </w:r>
    </w:p>
    <w:p>
      <w:pPr>
        <w:pStyle w:val="BodyText"/>
        <w:numPr>
          <w:ilvl w:val="0"/>
          <w:numId w:val="94"/>
        </w:numPr>
        <w:tabs>
          <w:tab w:val="clear" w:pos="720"/>
          <w:tab w:val="left" w:pos="0" w:leader="none"/>
        </w:tabs>
        <w:spacing w:before="0" w:after="200"/>
        <w:ind w:hanging="283" w:left="709"/>
        <w:rPr/>
      </w:pPr>
      <w:r>
        <w:rPr>
          <w:rStyle w:val="Strong"/>
        </w:rPr>
        <w:t>Agents and environments are transactional.</w:t>
      </w:r>
      <w:r>
        <w:rPr/>
        <w:t xml:space="preserve"> Agents change their environments while being changed by the consequences of their own interventions.</w:t>
      </w:r>
    </w:p>
    <w:p>
      <w:pPr>
        <w:pStyle w:val="BodyText"/>
        <w:numPr>
          <w:ilvl w:val="0"/>
          <w:numId w:val="94"/>
        </w:numPr>
        <w:tabs>
          <w:tab w:val="clear" w:pos="720"/>
          <w:tab w:val="left" w:pos="0" w:leader="none"/>
        </w:tabs>
        <w:spacing w:before="0" w:after="200"/>
        <w:ind w:hanging="283" w:left="709"/>
        <w:rPr/>
      </w:pPr>
      <w:r>
        <w:rPr>
          <w:rStyle w:val="Strong"/>
        </w:rPr>
        <w:t>Beliefs and actions become habits.</w:t>
      </w:r>
      <w:r>
        <w:rPr/>
        <w:t xml:space="preserve"> Repeated decisions create dispositions within individuals, institutions, professions, and communities.</w:t>
      </w:r>
    </w:p>
    <w:p>
      <w:pPr>
        <w:pStyle w:val="BodyText"/>
        <w:numPr>
          <w:ilvl w:val="0"/>
          <w:numId w:val="94"/>
        </w:numPr>
        <w:tabs>
          <w:tab w:val="clear" w:pos="720"/>
          <w:tab w:val="left" w:pos="0" w:leader="none"/>
        </w:tabs>
        <w:spacing w:before="0" w:after="200"/>
        <w:ind w:hanging="283" w:left="709"/>
        <w:rPr/>
      </w:pPr>
      <w:r>
        <w:rPr>
          <w:rStyle w:val="Strong"/>
        </w:rPr>
        <w:t>Inquiry is socially distributed.</w:t>
      </w:r>
      <w:r>
        <w:rPr/>
        <w:t xml:space="preserve"> Reliable conclusions depend on criticism, communication, replication, and multiple perspectives.</w:t>
      </w:r>
    </w:p>
    <w:p>
      <w:pPr>
        <w:pStyle w:val="BodyText"/>
        <w:numPr>
          <w:ilvl w:val="0"/>
          <w:numId w:val="94"/>
        </w:numPr>
        <w:tabs>
          <w:tab w:val="clear" w:pos="720"/>
          <w:tab w:val="left" w:pos="0" w:leader="none"/>
        </w:tabs>
        <w:spacing w:before="0" w:after="200"/>
        <w:ind w:hanging="283" w:left="709"/>
        <w:rPr/>
      </w:pPr>
      <w:r>
        <w:rPr>
          <w:rStyle w:val="Strong"/>
        </w:rPr>
        <w:t>Affected entities possess relevant knowledge.</w:t>
      </w:r>
      <w:r>
        <w:rPr/>
        <w:t xml:space="preserve"> People living under a policy may understand effects that are invisible to external experts.</w:t>
      </w:r>
    </w:p>
    <w:p>
      <w:pPr>
        <w:pStyle w:val="BodyText"/>
        <w:numPr>
          <w:ilvl w:val="0"/>
          <w:numId w:val="94"/>
        </w:numPr>
        <w:tabs>
          <w:tab w:val="clear" w:pos="720"/>
          <w:tab w:val="left" w:pos="0" w:leader="none"/>
        </w:tabs>
        <w:spacing w:before="0" w:after="200"/>
        <w:ind w:hanging="283" w:left="709"/>
        <w:rPr/>
      </w:pPr>
      <w:r>
        <w:rPr>
          <w:rStyle w:val="Strong"/>
        </w:rPr>
        <w:t>Democracy has epistemic value.</w:t>
      </w:r>
      <w:r>
        <w:rPr/>
        <w:t xml:space="preserve"> Participation can improve the quality of inquiry, not merely the legitimacy of the resulting decision.</w:t>
      </w:r>
    </w:p>
    <w:p>
      <w:pPr>
        <w:pStyle w:val="BodyText"/>
        <w:numPr>
          <w:ilvl w:val="0"/>
          <w:numId w:val="94"/>
        </w:numPr>
        <w:tabs>
          <w:tab w:val="clear" w:pos="720"/>
          <w:tab w:val="left" w:pos="0" w:leader="none"/>
        </w:tabs>
        <w:spacing w:before="0" w:after="200"/>
        <w:ind w:hanging="283" w:left="709"/>
        <w:rPr/>
      </w:pPr>
      <w:r>
        <w:rPr>
          <w:rStyle w:val="Strong"/>
        </w:rPr>
        <w:t>Pluralism can expose error.</w:t>
      </w:r>
      <w:r>
        <w:rPr/>
        <w:t xml:space="preserve"> Competing perspectives and methods may reveal assumptions that a homogeneous decision group overlooks.</w:t>
      </w:r>
    </w:p>
    <w:p>
      <w:pPr>
        <w:pStyle w:val="BodyText"/>
        <w:numPr>
          <w:ilvl w:val="0"/>
          <w:numId w:val="94"/>
        </w:numPr>
        <w:tabs>
          <w:tab w:val="clear" w:pos="720"/>
          <w:tab w:val="left" w:pos="0" w:leader="none"/>
        </w:tabs>
        <w:spacing w:before="0" w:after="200"/>
        <w:ind w:hanging="283" w:left="709"/>
        <w:rPr/>
      </w:pPr>
      <w:r>
        <w:rPr>
          <w:rStyle w:val="Strong"/>
        </w:rPr>
        <w:t>Values are reconstructed through inquiry.</w:t>
      </w:r>
      <w:r>
        <w:rPr/>
        <w:t xml:space="preserve"> Ethical conflict can lead agents to revise not only their methods but also their understanding of what should be valued.</w:t>
      </w:r>
    </w:p>
    <w:p>
      <w:pPr>
        <w:pStyle w:val="BodyText"/>
        <w:numPr>
          <w:ilvl w:val="0"/>
          <w:numId w:val="94"/>
        </w:numPr>
        <w:tabs>
          <w:tab w:val="clear" w:pos="720"/>
          <w:tab w:val="left" w:pos="0" w:leader="none"/>
        </w:tabs>
        <w:spacing w:before="0" w:after="200"/>
        <w:ind w:hanging="283" w:left="709"/>
        <w:rPr/>
      </w:pPr>
      <w:r>
        <w:rPr>
          <w:rStyle w:val="Strong"/>
        </w:rPr>
        <w:t>Institutions shape inquiry.</w:t>
      </w:r>
      <w:r>
        <w:rPr/>
        <w:t xml:space="preserve"> Power affects which problems are recognized, how evidence is classified, and which failures receive attention.</w:t>
      </w:r>
    </w:p>
    <w:p>
      <w:pPr>
        <w:pStyle w:val="BodyText"/>
        <w:numPr>
          <w:ilvl w:val="0"/>
          <w:numId w:val="94"/>
        </w:numPr>
        <w:tabs>
          <w:tab w:val="clear" w:pos="720"/>
          <w:tab w:val="left" w:pos="0" w:leader="none"/>
        </w:tabs>
        <w:spacing w:before="0" w:after="200"/>
        <w:ind w:hanging="283" w:left="709"/>
        <w:rPr/>
      </w:pPr>
      <w:r>
        <w:rPr>
          <w:rStyle w:val="Strong"/>
        </w:rPr>
        <w:t>Moral progress is possible but not guaranteed.</w:t>
      </w:r>
      <w:r>
        <w:rPr/>
        <w:t xml:space="preserve"> Improvement requires active learning, institutional correction, and continued openness to evidence.</w:t>
      </w:r>
    </w:p>
    <w:p>
      <w:pPr>
        <w:pStyle w:val="BodyText"/>
        <w:numPr>
          <w:ilvl w:val="0"/>
          <w:numId w:val="94"/>
        </w:numPr>
        <w:tabs>
          <w:tab w:val="clear" w:pos="720"/>
          <w:tab w:val="left" w:pos="0" w:leader="none"/>
        </w:tabs>
        <w:spacing w:before="0" w:after="200"/>
        <w:ind w:hanging="283" w:left="709"/>
        <w:rPr/>
      </w:pPr>
      <w:r>
        <w:rPr>
          <w:rStyle w:val="Strong"/>
        </w:rPr>
        <w:t>Inquiry remains continuing.</w:t>
      </w:r>
      <w:r>
        <w:rPr/>
        <w:t xml:space="preserve"> A decision should ordinarily be treated as a stage in an ongoing process rather than the permanent end of ethical reflection.</w:t>
      </w:r>
    </w:p>
    <w:p>
      <w:pPr>
        <w:pStyle w:val="Heading4"/>
        <w:ind w:hanging="0" w:left="0"/>
        <w:rPr>
          <w:rFonts w:ascii="Aptos" w:hAnsi="Aptos"/>
          <w:color w:val="auto"/>
        </w:rPr>
      </w:pPr>
      <w:r>
        <w:rPr/>
        <w:t>Concepts Incorporated From This Ethical Model</w:t>
      </w:r>
    </w:p>
    <w:p>
      <w:pPr>
        <w:pStyle w:val="BodyText"/>
        <w:spacing w:before="0" w:after="200"/>
        <w:rPr/>
      </w:pPr>
      <w:r>
        <w:rPr/>
        <w:t>The framework already incorporates or can functionally represent several Pragmatist concepts:</w:t>
      </w:r>
    </w:p>
    <w:tbl>
      <w:tblPr>
        <w:tblW w:w="8640" w:type="dxa"/>
        <w:jc w:val="left"/>
        <w:tblInd w:w="28" w:type="dxa"/>
        <w:tblLayout w:type="fixed"/>
        <w:tblCellMar>
          <w:top w:w="28" w:type="dxa"/>
          <w:left w:w="28" w:type="dxa"/>
          <w:bottom w:w="28" w:type="dxa"/>
          <w:right w:w="28" w:type="dxa"/>
        </w:tblCellMar>
      </w:tblPr>
      <w:tblGrid>
        <w:gridCol w:w="2090"/>
        <w:gridCol w:w="6550"/>
      </w:tblGrid>
      <w:tr>
        <w:trPr>
          <w:tblHeader w:val="true"/>
        </w:trPr>
        <w:tc>
          <w:tcPr>
            <w:tcW w:w="2090" w:type="dxa"/>
            <w:tcBorders/>
            <w:vAlign w:val="center"/>
          </w:tcPr>
          <w:p>
            <w:pPr>
              <w:pStyle w:val="TableHeading"/>
              <w:suppressLineNumbers/>
              <w:spacing w:before="0" w:after="200"/>
              <w:jc w:val="center"/>
              <w:rPr/>
            </w:pPr>
            <w:r>
              <w:rPr/>
              <w:t>Pragmatist concept</w:t>
            </w:r>
          </w:p>
        </w:tc>
        <w:tc>
          <w:tcPr>
            <w:tcW w:w="6550" w:type="dxa"/>
            <w:tcBorders/>
            <w:vAlign w:val="center"/>
          </w:tcPr>
          <w:p>
            <w:pPr>
              <w:pStyle w:val="TableHeading"/>
              <w:suppressLineNumbers/>
              <w:spacing w:before="0" w:after="200"/>
              <w:jc w:val="center"/>
              <w:rPr/>
            </w:pPr>
            <w:r>
              <w:rPr/>
              <w:t>Incorporation within this framework</w:t>
            </w:r>
          </w:p>
        </w:tc>
      </w:tr>
      <w:tr>
        <w:trPr/>
        <w:tc>
          <w:tcPr>
            <w:tcW w:w="2090" w:type="dxa"/>
            <w:tcBorders/>
            <w:vAlign w:val="center"/>
          </w:tcPr>
          <w:p>
            <w:pPr>
              <w:pStyle w:val="TableContents"/>
              <w:widowControl w:val="false"/>
              <w:suppressLineNumbers/>
              <w:spacing w:before="0" w:after="200"/>
              <w:rPr/>
            </w:pPr>
            <w:r>
              <w:rPr>
                <w:rStyle w:val="Strong"/>
              </w:rPr>
              <w:t>Practical consequences</w:t>
            </w:r>
          </w:p>
        </w:tc>
        <w:tc>
          <w:tcPr>
            <w:tcW w:w="6550" w:type="dxa"/>
            <w:tcBorders/>
            <w:vAlign w:val="center"/>
          </w:tcPr>
          <w:p>
            <w:pPr>
              <w:pStyle w:val="TableContents"/>
              <w:widowControl w:val="false"/>
              <w:suppressLineNumbers/>
              <w:spacing w:before="0" w:after="200"/>
              <w:rPr/>
            </w:pPr>
            <w:r>
              <w:rPr/>
              <w:t>Actions and objectives are evaluated through their predicted World Context Transitions.</w:t>
            </w:r>
          </w:p>
        </w:tc>
      </w:tr>
      <w:tr>
        <w:trPr/>
        <w:tc>
          <w:tcPr>
            <w:tcW w:w="2090" w:type="dxa"/>
            <w:tcBorders/>
            <w:vAlign w:val="center"/>
          </w:tcPr>
          <w:p>
            <w:pPr>
              <w:pStyle w:val="TableContents"/>
              <w:widowControl w:val="false"/>
              <w:suppressLineNumbers/>
              <w:spacing w:before="0" w:after="200"/>
              <w:rPr/>
            </w:pPr>
            <w:r>
              <w:rPr>
                <w:rStyle w:val="Strong"/>
              </w:rPr>
              <w:t>Problematic situation</w:t>
            </w:r>
          </w:p>
        </w:tc>
        <w:tc>
          <w:tcPr>
            <w:tcW w:w="6550" w:type="dxa"/>
            <w:tcBorders/>
            <w:vAlign w:val="center"/>
          </w:tcPr>
          <w:p>
            <w:pPr>
              <w:pStyle w:val="TableContents"/>
              <w:widowControl w:val="false"/>
              <w:suppressLineNumbers/>
              <w:spacing w:before="0" w:after="200"/>
              <w:rPr/>
            </w:pPr>
            <w:r>
              <w:rPr/>
              <w:t>The Situational Context identifies the condition, conflict, or uncertainty prompting assessment.</w:t>
            </w:r>
          </w:p>
        </w:tc>
      </w:tr>
      <w:tr>
        <w:trPr/>
        <w:tc>
          <w:tcPr>
            <w:tcW w:w="2090" w:type="dxa"/>
            <w:tcBorders/>
            <w:vAlign w:val="center"/>
          </w:tcPr>
          <w:p>
            <w:pPr>
              <w:pStyle w:val="TableContents"/>
              <w:widowControl w:val="false"/>
              <w:suppressLineNumbers/>
              <w:spacing w:before="0" w:after="200"/>
              <w:rPr/>
            </w:pPr>
            <w:r>
              <w:rPr>
                <w:rStyle w:val="Strong"/>
              </w:rPr>
              <w:t>Fallibilism</w:t>
            </w:r>
          </w:p>
        </w:tc>
        <w:tc>
          <w:tcPr>
            <w:tcW w:w="6550" w:type="dxa"/>
            <w:tcBorders/>
            <w:vAlign w:val="center"/>
          </w:tcPr>
          <w:p>
            <w:pPr>
              <w:pStyle w:val="TableContents"/>
              <w:widowControl w:val="false"/>
              <w:suppressLineNumbers/>
              <w:spacing w:before="0" w:after="200"/>
              <w:rPr/>
            </w:pPr>
            <w:r>
              <w:rPr/>
              <w:t>Assumptions, probabilities, information quality, and uncertainty can be made explicit and revised.</w:t>
            </w:r>
          </w:p>
        </w:tc>
      </w:tr>
      <w:tr>
        <w:trPr/>
        <w:tc>
          <w:tcPr>
            <w:tcW w:w="2090" w:type="dxa"/>
            <w:tcBorders/>
            <w:vAlign w:val="center"/>
          </w:tcPr>
          <w:p>
            <w:pPr>
              <w:pStyle w:val="TableContents"/>
              <w:widowControl w:val="false"/>
              <w:suppressLineNumbers/>
              <w:spacing w:before="0" w:after="200"/>
              <w:rPr/>
            </w:pPr>
            <w:r>
              <w:rPr>
                <w:rStyle w:val="Strong"/>
              </w:rPr>
              <w:t>Ends-in-view</w:t>
            </w:r>
          </w:p>
        </w:tc>
        <w:tc>
          <w:tcPr>
            <w:tcW w:w="6550" w:type="dxa"/>
            <w:tcBorders/>
            <w:vAlign w:val="center"/>
          </w:tcPr>
          <w:p>
            <w:pPr>
              <w:pStyle w:val="TableContents"/>
              <w:widowControl w:val="false"/>
              <w:suppressLineNumbers/>
              <w:spacing w:before="0" w:after="200"/>
              <w:rPr/>
            </w:pPr>
            <w:r>
              <w:rPr/>
              <w:t>Objectives can be represented as provisional candidate states rather than final or unconditional goods.</w:t>
            </w:r>
          </w:p>
        </w:tc>
      </w:tr>
      <w:tr>
        <w:trPr/>
        <w:tc>
          <w:tcPr>
            <w:tcW w:w="2090" w:type="dxa"/>
            <w:tcBorders/>
            <w:vAlign w:val="center"/>
          </w:tcPr>
          <w:p>
            <w:pPr>
              <w:pStyle w:val="TableContents"/>
              <w:widowControl w:val="false"/>
              <w:suppressLineNumbers/>
              <w:spacing w:before="0" w:after="200"/>
              <w:rPr/>
            </w:pPr>
            <w:r>
              <w:rPr>
                <w:rStyle w:val="Strong"/>
              </w:rPr>
              <w:t>Experimental inquiry</w:t>
            </w:r>
          </w:p>
        </w:tc>
        <w:tc>
          <w:tcPr>
            <w:tcW w:w="6550" w:type="dxa"/>
            <w:tcBorders/>
            <w:vAlign w:val="center"/>
          </w:tcPr>
          <w:p>
            <w:pPr>
              <w:pStyle w:val="TableContents"/>
              <w:widowControl w:val="false"/>
              <w:suppressLineNumbers/>
              <w:spacing w:before="0" w:after="200"/>
              <w:rPr/>
            </w:pPr>
            <w:r>
              <w:rPr/>
              <w:t>Alternative actions can be tested through bounded pilots, staged implementation, monitoring, and comparison.</w:t>
            </w:r>
          </w:p>
        </w:tc>
      </w:tr>
      <w:tr>
        <w:trPr/>
        <w:tc>
          <w:tcPr>
            <w:tcW w:w="2090" w:type="dxa"/>
            <w:tcBorders/>
            <w:vAlign w:val="center"/>
          </w:tcPr>
          <w:p>
            <w:pPr>
              <w:pStyle w:val="TableContents"/>
              <w:widowControl w:val="false"/>
              <w:suppressLineNumbers/>
              <w:spacing w:before="0" w:after="200"/>
              <w:rPr/>
            </w:pPr>
            <w:r>
              <w:rPr>
                <w:rStyle w:val="Strong"/>
              </w:rPr>
              <w:t>Means–ends continuity</w:t>
            </w:r>
          </w:p>
        </w:tc>
        <w:tc>
          <w:tcPr>
            <w:tcW w:w="6550" w:type="dxa"/>
            <w:tcBorders/>
            <w:vAlign w:val="center"/>
          </w:tcPr>
          <w:p>
            <w:pPr>
              <w:pStyle w:val="TableContents"/>
              <w:widowControl w:val="false"/>
              <w:suppressLineNumbers/>
              <w:spacing w:before="0" w:after="200"/>
              <w:rPr/>
            </w:pPr>
            <w:r>
              <w:rPr/>
              <w:t>The complete transition includes how methods alter actors, relationships, institutions, and objectives.</w:t>
            </w:r>
          </w:p>
        </w:tc>
      </w:tr>
      <w:tr>
        <w:trPr/>
        <w:tc>
          <w:tcPr>
            <w:tcW w:w="2090" w:type="dxa"/>
            <w:tcBorders/>
            <w:vAlign w:val="center"/>
          </w:tcPr>
          <w:p>
            <w:pPr>
              <w:pStyle w:val="TableContents"/>
              <w:widowControl w:val="false"/>
              <w:suppressLineNumbers/>
              <w:spacing w:before="0" w:after="200"/>
              <w:rPr/>
            </w:pPr>
            <w:r>
              <w:rPr>
                <w:rStyle w:val="Strong"/>
              </w:rPr>
              <w:t>Transaction</w:t>
            </w:r>
          </w:p>
        </w:tc>
        <w:tc>
          <w:tcPr>
            <w:tcW w:w="6550" w:type="dxa"/>
            <w:tcBorders/>
            <w:vAlign w:val="center"/>
          </w:tcPr>
          <w:p>
            <w:pPr>
              <w:pStyle w:val="TableContents"/>
              <w:widowControl w:val="false"/>
              <w:suppressLineNumbers/>
              <w:spacing w:before="0" w:after="200"/>
              <w:rPr/>
            </w:pPr>
            <w:r>
              <w:rPr/>
              <w:t>Objects and Associations affect one another through action and environmental response.</w:t>
            </w:r>
          </w:p>
        </w:tc>
      </w:tr>
      <w:tr>
        <w:trPr/>
        <w:tc>
          <w:tcPr>
            <w:tcW w:w="2090" w:type="dxa"/>
            <w:tcBorders/>
            <w:vAlign w:val="center"/>
          </w:tcPr>
          <w:p>
            <w:pPr>
              <w:pStyle w:val="TableContents"/>
              <w:widowControl w:val="false"/>
              <w:suppressLineNumbers/>
              <w:spacing w:before="0" w:after="200"/>
              <w:rPr/>
            </w:pPr>
            <w:r>
              <w:rPr>
                <w:rStyle w:val="Strong"/>
              </w:rPr>
              <w:t>Habit</w:t>
            </w:r>
          </w:p>
        </w:tc>
        <w:tc>
          <w:tcPr>
            <w:tcW w:w="6550" w:type="dxa"/>
            <w:tcBorders/>
            <w:vAlign w:val="center"/>
          </w:tcPr>
          <w:p>
            <w:pPr>
              <w:pStyle w:val="TableContents"/>
              <w:widowControl w:val="false"/>
              <w:suppressLineNumbers/>
              <w:spacing w:before="0" w:after="200"/>
              <w:rPr/>
            </w:pPr>
            <w:r>
              <w:rPr/>
              <w:t>Distributed Policy Effects represent how actions alter future decision policies and recurring behavior.</w:t>
            </w:r>
          </w:p>
        </w:tc>
      </w:tr>
      <w:tr>
        <w:trPr/>
        <w:tc>
          <w:tcPr>
            <w:tcW w:w="2090" w:type="dxa"/>
            <w:tcBorders/>
            <w:vAlign w:val="center"/>
          </w:tcPr>
          <w:p>
            <w:pPr>
              <w:pStyle w:val="TableContents"/>
              <w:widowControl w:val="false"/>
              <w:suppressLineNumbers/>
              <w:spacing w:before="0" w:after="200"/>
              <w:rPr/>
            </w:pPr>
            <w:r>
              <w:rPr>
                <w:rStyle w:val="Strong"/>
              </w:rPr>
              <w:t>Community of inquiry</w:t>
            </w:r>
          </w:p>
        </w:tc>
        <w:tc>
          <w:tcPr>
            <w:tcW w:w="6550" w:type="dxa"/>
            <w:tcBorders/>
            <w:vAlign w:val="center"/>
          </w:tcPr>
          <w:p>
            <w:pPr>
              <w:pStyle w:val="TableContents"/>
              <w:widowControl w:val="false"/>
              <w:suppressLineNumbers/>
              <w:spacing w:before="0" w:after="200"/>
              <w:rPr/>
            </w:pPr>
            <w:r>
              <w:rPr/>
              <w:t>The framework can incorporate evidence from experts, affected entities, institutions, implementers, and critics.</w:t>
            </w:r>
          </w:p>
        </w:tc>
      </w:tr>
      <w:tr>
        <w:trPr/>
        <w:tc>
          <w:tcPr>
            <w:tcW w:w="2090" w:type="dxa"/>
            <w:tcBorders/>
            <w:vAlign w:val="center"/>
          </w:tcPr>
          <w:p>
            <w:pPr>
              <w:pStyle w:val="TableContents"/>
              <w:widowControl w:val="false"/>
              <w:suppressLineNumbers/>
              <w:spacing w:before="0" w:after="200"/>
              <w:rPr/>
            </w:pPr>
            <w:r>
              <w:rPr>
                <w:rStyle w:val="Strong"/>
              </w:rPr>
              <w:t>Pluralism</w:t>
            </w:r>
          </w:p>
        </w:tc>
        <w:tc>
          <w:tcPr>
            <w:tcW w:w="6550" w:type="dxa"/>
            <w:tcBorders/>
            <w:vAlign w:val="center"/>
          </w:tcPr>
          <w:p>
            <w:pPr>
              <w:pStyle w:val="TableContents"/>
              <w:widowControl w:val="false"/>
              <w:suppressLineNumbers/>
              <w:spacing w:before="0" w:after="200"/>
              <w:rPr/>
            </w:pPr>
            <w:r>
              <w:rPr/>
              <w:t>Multiple models, objectives, values, and perspectives can be preserved within the assessment.</w:t>
            </w:r>
          </w:p>
        </w:tc>
      </w:tr>
      <w:tr>
        <w:trPr/>
        <w:tc>
          <w:tcPr>
            <w:tcW w:w="2090" w:type="dxa"/>
            <w:tcBorders/>
            <w:vAlign w:val="center"/>
          </w:tcPr>
          <w:p>
            <w:pPr>
              <w:pStyle w:val="TableContents"/>
              <w:widowControl w:val="false"/>
              <w:suppressLineNumbers/>
              <w:spacing w:before="0" w:after="200"/>
              <w:rPr/>
            </w:pPr>
            <w:r>
              <w:rPr>
                <w:rStyle w:val="Strong"/>
              </w:rPr>
              <w:t>Qualitative experience</w:t>
            </w:r>
          </w:p>
        </w:tc>
        <w:tc>
          <w:tcPr>
            <w:tcW w:w="6550" w:type="dxa"/>
            <w:tcBorders/>
            <w:vAlign w:val="center"/>
          </w:tcPr>
          <w:p>
            <w:pPr>
              <w:pStyle w:val="TableContents"/>
              <w:widowControl w:val="false"/>
              <w:suppressLineNumbers/>
              <w:spacing w:before="0" w:after="200"/>
              <w:rPr/>
            </w:pPr>
            <w:r>
              <w:rPr/>
              <w:t>The World Context can include testimony, narrative, relational states, and nonquantitative evidence.</w:t>
            </w:r>
          </w:p>
        </w:tc>
      </w:tr>
      <w:tr>
        <w:trPr/>
        <w:tc>
          <w:tcPr>
            <w:tcW w:w="2090" w:type="dxa"/>
            <w:tcBorders/>
            <w:vAlign w:val="center"/>
          </w:tcPr>
          <w:p>
            <w:pPr>
              <w:pStyle w:val="TableContents"/>
              <w:widowControl w:val="false"/>
              <w:suppressLineNumbers/>
              <w:spacing w:before="0" w:after="200"/>
              <w:rPr/>
            </w:pPr>
            <w:r>
              <w:rPr>
                <w:rStyle w:val="Strong"/>
              </w:rPr>
              <w:t>Adaptive learning</w:t>
            </w:r>
          </w:p>
        </w:tc>
        <w:tc>
          <w:tcPr>
            <w:tcW w:w="6550" w:type="dxa"/>
            <w:tcBorders/>
            <w:vAlign w:val="center"/>
          </w:tcPr>
          <w:p>
            <w:pPr>
              <w:pStyle w:val="TableContents"/>
              <w:widowControl w:val="false"/>
              <w:suppressLineNumbers/>
              <w:spacing w:before="0" w:after="200"/>
              <w:rPr/>
            </w:pPr>
            <w:r>
              <w:rPr/>
              <w:t>Moral agents and institutions can revise policies in response to observed outcomes.</w:t>
            </w:r>
          </w:p>
        </w:tc>
      </w:tr>
      <w:tr>
        <w:trPr/>
        <w:tc>
          <w:tcPr>
            <w:tcW w:w="2090" w:type="dxa"/>
            <w:tcBorders/>
            <w:vAlign w:val="center"/>
          </w:tcPr>
          <w:p>
            <w:pPr>
              <w:pStyle w:val="TableContents"/>
              <w:widowControl w:val="false"/>
              <w:suppressLineNumbers/>
              <w:spacing w:before="0" w:after="200"/>
              <w:rPr/>
            </w:pPr>
            <w:r>
              <w:rPr>
                <w:rStyle w:val="Strong"/>
              </w:rPr>
              <w:t>Meliorism</w:t>
            </w:r>
          </w:p>
        </w:tc>
        <w:tc>
          <w:tcPr>
            <w:tcW w:w="6550" w:type="dxa"/>
            <w:tcBorders/>
            <w:vAlign w:val="center"/>
          </w:tcPr>
          <w:p>
            <w:pPr>
              <w:pStyle w:val="TableContents"/>
              <w:widowControl w:val="false"/>
              <w:suppressLineNumbers/>
              <w:spacing w:before="0" w:after="200"/>
              <w:rPr/>
            </w:pPr>
            <w:r>
              <w:rPr/>
              <w:t>The framework seeks feasible improvement in Long-Term Flourishing rather than requiring an ideal final state.</w:t>
            </w:r>
          </w:p>
        </w:tc>
      </w:tr>
      <w:tr>
        <w:trPr/>
        <w:tc>
          <w:tcPr>
            <w:tcW w:w="2090" w:type="dxa"/>
            <w:tcBorders/>
            <w:vAlign w:val="center"/>
          </w:tcPr>
          <w:p>
            <w:pPr>
              <w:pStyle w:val="TableContents"/>
              <w:widowControl w:val="false"/>
              <w:suppressLineNumbers/>
              <w:spacing w:before="0" w:after="200"/>
              <w:rPr/>
            </w:pPr>
            <w:r>
              <w:rPr>
                <w:rStyle w:val="Strong"/>
              </w:rPr>
              <w:t>Continuing inquiry</w:t>
            </w:r>
          </w:p>
        </w:tc>
        <w:tc>
          <w:tcPr>
            <w:tcW w:w="6550" w:type="dxa"/>
            <w:tcBorders/>
            <w:vAlign w:val="center"/>
          </w:tcPr>
          <w:p>
            <w:pPr>
              <w:pStyle w:val="TableContents"/>
              <w:widowControl w:val="false"/>
              <w:suppressLineNumbers/>
              <w:spacing w:before="0" w:after="200"/>
              <w:rPr/>
            </w:pPr>
            <w:r>
              <w:rPr/>
              <w:t>Predicted and observed transitions can be compared to update later assessments.</w:t>
            </w:r>
          </w:p>
        </w:tc>
      </w:tr>
      <w:tr>
        <w:trPr/>
        <w:tc>
          <w:tcPr>
            <w:tcW w:w="2090" w:type="dxa"/>
            <w:tcBorders/>
            <w:vAlign w:val="center"/>
          </w:tcPr>
          <w:p>
            <w:pPr>
              <w:pStyle w:val="TableContents"/>
              <w:widowControl w:val="false"/>
              <w:suppressLineNumbers/>
              <w:spacing w:before="0" w:after="200"/>
              <w:rPr/>
            </w:pPr>
            <w:r>
              <w:rPr>
                <w:rStyle w:val="Strong"/>
              </w:rPr>
              <w:t>Institutional analysis</w:t>
            </w:r>
          </w:p>
        </w:tc>
        <w:tc>
          <w:tcPr>
            <w:tcW w:w="6550" w:type="dxa"/>
            <w:tcBorders/>
            <w:vAlign w:val="center"/>
          </w:tcPr>
          <w:p>
            <w:pPr>
              <w:pStyle w:val="TableContents"/>
              <w:widowControl w:val="false"/>
              <w:suppressLineNumbers/>
              <w:spacing w:before="0" w:after="200"/>
              <w:rPr/>
            </w:pPr>
            <w:r>
              <w:rPr/>
              <w:t>Roles, authority, information access, incentives, and organizational policies form part of the World Context.</w:t>
            </w:r>
          </w:p>
        </w:tc>
      </w:tr>
    </w:tbl>
    <w:p>
      <w:pPr>
        <w:pStyle w:val="BodyText"/>
        <w:spacing w:before="0" w:after="200"/>
        <w:rPr/>
      </w:pPr>
      <w:r>
        <w:rPr/>
        <w:t>These features make the framework compatible with Pragmatism, but they do not guarantee a genuinely Pragmatist implementation. That requires a defined cycle of participation, experimentation, monitoring, and revision.</w:t>
      </w:r>
    </w:p>
    <w:p>
      <w:pPr>
        <w:pStyle w:val="Heading4"/>
        <w:ind w:hanging="0" w:left="0"/>
        <w:rPr>
          <w:rFonts w:ascii="Aptos" w:hAnsi="Aptos"/>
          <w:color w:val="auto"/>
        </w:rPr>
      </w:pPr>
      <w:r>
        <w:rPr/>
        <w:t>How This Framework Addresses Those Assumptions</w:t>
      </w:r>
    </w:p>
    <w:p>
      <w:pPr>
        <w:pStyle w:val="BodyText"/>
        <w:spacing w:before="0" w:after="200"/>
        <w:rPr/>
      </w:pPr>
      <w:r>
        <w:rPr/>
        <w:t>The framework addresses the Pragmatist critique by treating a predicted World Context Transition as an evidence-based projection rather than an infallible description of the future. Explicit assumptions and probabilities expose where the model may be wrong and what additional evidence could change the conclusion.</w:t>
      </w:r>
    </w:p>
    <w:p>
      <w:pPr>
        <w:pStyle w:val="BodyText"/>
        <w:spacing w:before="0" w:after="200"/>
        <w:rPr/>
      </w:pPr>
      <w:r>
        <w:rPr/>
        <w:t>The framework’s use of the best available evidence is temporal and contextual. A conclusion is justified relative to the information reasonably available at the time. When actual consequences differ from predicted consequences, the assessment can be revised without pretending that the original model was complete.</w:t>
      </w:r>
    </w:p>
    <w:p>
      <w:pPr>
        <w:pStyle w:val="BodyText"/>
        <w:spacing w:before="0" w:after="200"/>
        <w:rPr/>
      </w:pPr>
      <w:r>
        <w:rPr/>
        <w:t>The separation of causal effect from responsibility also supports experimental learning. An unexpected outcome can be ethically adverse even when the original decision was reasonable. Responsibility then depends on the quality of the original inquiry and the actor’s subsequent willingness to acknowledge, investigate, and correct the result.</w:t>
      </w:r>
    </w:p>
    <w:p>
      <w:pPr>
        <w:pStyle w:val="BodyText"/>
        <w:spacing w:before="0" w:after="200"/>
        <w:rPr/>
      </w:pPr>
      <w:r>
        <w:rPr/>
        <w:t>Distributed Policy Effects provide a direct means of representing habits. A policy’s ethical significance includes whether it teaches agents and institutions to investigate, conceal, cooperate, discriminate, revise, or persist despite contrary evidence.</w:t>
      </w:r>
    </w:p>
    <w:p>
      <w:pPr>
        <w:pStyle w:val="BodyText"/>
        <w:spacing w:before="0" w:after="200"/>
        <w:rPr/>
      </w:pPr>
      <w:r>
        <w:rPr/>
        <w:t>The framework’s implementation-neutrality can support Pragmatic experimentation because it does not prescribe a single operational method. Different interventions can be compared, tested, and improved while using a common structure for recording assumptions and consequences.</w:t>
      </w:r>
    </w:p>
    <w:p>
      <w:pPr>
        <w:pStyle w:val="BodyText"/>
        <w:spacing w:before="0" w:after="200"/>
        <w:rPr/>
      </w:pPr>
      <w:r>
        <w:rPr/>
        <w:t>The complete World Context Transition can also include qualitative evidence. Nothing in the framework requires all relevant states to be reduced to numerical metrics. Testimony, lived experience, institutional history, and contested interpretations can remain explicit components of the assessment.</w:t>
      </w:r>
    </w:p>
    <w:p>
      <w:pPr>
        <w:pStyle w:val="BodyText"/>
        <w:spacing w:before="0" w:after="200"/>
        <w:rPr/>
      </w:pPr>
      <w:r>
        <w:rPr/>
        <w:t>The framework is less Pragmatist concerning its Foundational Axiom. Its core commitment to compatible Long-Term Flourishing is intended to provide a stable ethical boundary. However, the definitions, entity classifications, measures, thresholds, and operational interpretations used to apply that commitment can remain open to revision.</w:t>
      </w:r>
    </w:p>
    <w:p>
      <w:pPr>
        <w:pStyle w:val="BodyText"/>
        <w:spacing w:before="0" w:after="200"/>
        <w:rPr/>
      </w:pPr>
      <w:r>
        <w:rPr/>
        <w:t>The Pragmatist critique remains valid if an implementation lacks:</w:t>
      </w:r>
    </w:p>
    <w:p>
      <w:pPr>
        <w:pStyle w:val="BodyText"/>
        <w:numPr>
          <w:ilvl w:val="0"/>
          <w:numId w:val="95"/>
        </w:numPr>
        <w:tabs>
          <w:tab w:val="clear" w:pos="720"/>
          <w:tab w:val="left" w:pos="0" w:leader="none"/>
        </w:tabs>
        <w:spacing w:before="0" w:after="200"/>
        <w:ind w:hanging="283" w:left="709"/>
        <w:rPr/>
      </w:pPr>
      <w:r>
        <w:rPr/>
        <w:t>A monitoring plan;</w:t>
      </w:r>
    </w:p>
    <w:p>
      <w:pPr>
        <w:pStyle w:val="BodyText"/>
        <w:numPr>
          <w:ilvl w:val="0"/>
          <w:numId w:val="95"/>
        </w:numPr>
        <w:tabs>
          <w:tab w:val="clear" w:pos="720"/>
          <w:tab w:val="left" w:pos="0" w:leader="none"/>
        </w:tabs>
        <w:spacing w:before="0" w:after="200"/>
        <w:ind w:hanging="283" w:left="709"/>
        <w:rPr/>
      </w:pPr>
      <w:r>
        <w:rPr/>
        <w:t>A method for comparing predicted and observed outcomes;</w:t>
      </w:r>
    </w:p>
    <w:p>
      <w:pPr>
        <w:pStyle w:val="BodyText"/>
        <w:numPr>
          <w:ilvl w:val="0"/>
          <w:numId w:val="95"/>
        </w:numPr>
        <w:tabs>
          <w:tab w:val="clear" w:pos="720"/>
          <w:tab w:val="left" w:pos="0" w:leader="none"/>
        </w:tabs>
        <w:spacing w:before="0" w:after="200"/>
        <w:ind w:hanging="283" w:left="709"/>
        <w:rPr/>
      </w:pPr>
      <w:r>
        <w:rPr/>
        <w:t>Participation by affected entities;</w:t>
      </w:r>
    </w:p>
    <w:p>
      <w:pPr>
        <w:pStyle w:val="BodyText"/>
        <w:numPr>
          <w:ilvl w:val="0"/>
          <w:numId w:val="95"/>
        </w:numPr>
        <w:tabs>
          <w:tab w:val="clear" w:pos="720"/>
          <w:tab w:val="left" w:pos="0" w:leader="none"/>
        </w:tabs>
        <w:spacing w:before="0" w:after="200"/>
        <w:ind w:hanging="283" w:left="709"/>
        <w:rPr/>
      </w:pPr>
      <w:r>
        <w:rPr/>
        <w:t>Versioning of models and assumptions;</w:t>
      </w:r>
    </w:p>
    <w:p>
      <w:pPr>
        <w:pStyle w:val="BodyText"/>
        <w:numPr>
          <w:ilvl w:val="0"/>
          <w:numId w:val="95"/>
        </w:numPr>
        <w:tabs>
          <w:tab w:val="clear" w:pos="720"/>
          <w:tab w:val="left" w:pos="0" w:leader="none"/>
        </w:tabs>
        <w:spacing w:before="0" w:after="200"/>
        <w:ind w:hanging="283" w:left="709"/>
        <w:rPr/>
      </w:pPr>
      <w:r>
        <w:rPr/>
        <w:t>Criteria for stopping or revising an intervention;</w:t>
      </w:r>
    </w:p>
    <w:p>
      <w:pPr>
        <w:pStyle w:val="BodyText"/>
        <w:numPr>
          <w:ilvl w:val="0"/>
          <w:numId w:val="95"/>
        </w:numPr>
        <w:tabs>
          <w:tab w:val="clear" w:pos="720"/>
          <w:tab w:val="left" w:pos="0" w:leader="none"/>
        </w:tabs>
        <w:spacing w:before="0" w:after="200"/>
        <w:ind w:hanging="283" w:left="709"/>
        <w:rPr/>
      </w:pPr>
      <w:r>
        <w:rPr/>
        <w:t>Preservation of dissent; and</w:t>
      </w:r>
    </w:p>
    <w:p>
      <w:pPr>
        <w:pStyle w:val="BodyText"/>
        <w:numPr>
          <w:ilvl w:val="0"/>
          <w:numId w:val="95"/>
        </w:numPr>
        <w:tabs>
          <w:tab w:val="clear" w:pos="720"/>
          <w:tab w:val="left" w:pos="0" w:leader="none"/>
        </w:tabs>
        <w:spacing w:before="0" w:after="200"/>
        <w:ind w:hanging="283" w:left="709"/>
        <w:rPr/>
      </w:pPr>
      <w:r>
        <w:rPr/>
        <w:t>Institutional responsibility for learning.</w:t>
      </w:r>
    </w:p>
    <w:p>
      <w:pPr>
        <w:pStyle w:val="Heading4"/>
        <w:ind w:hanging="0" w:left="0"/>
        <w:rPr>
          <w:rFonts w:ascii="Aptos" w:hAnsi="Aptos"/>
          <w:color w:val="auto"/>
        </w:rPr>
      </w:pPr>
      <w:r>
        <w:rPr/>
        <w:t>Counterargument</w:t>
      </w:r>
    </w:p>
    <w:p>
      <w:pPr>
        <w:pStyle w:val="BodyText"/>
        <w:spacing w:before="0" w:after="200"/>
        <w:rPr/>
      </w:pPr>
      <w:r>
        <w:rPr/>
        <w:t>The framework’s counterargument is that Pragmatist inquiry requires normative constraints if it is to avoid becoming opportunistic experimentalism.</w:t>
      </w:r>
    </w:p>
    <w:p>
      <w:pPr>
        <w:pStyle w:val="BodyText"/>
        <w:spacing w:before="0" w:after="200"/>
        <w:rPr/>
      </w:pPr>
      <w:r>
        <w:rPr/>
        <w:t>An intervention can “work” for the institution conducting it while exploiting another population, violating rights, concealing burdens, or producing irreversible harm. Practical success is therefore insufficient unless the relevant effects and affected entities are defined broadly enough.</w:t>
      </w:r>
    </w:p>
    <w:p>
      <w:pPr>
        <w:pStyle w:val="BodyText"/>
        <w:spacing w:before="0" w:after="200"/>
        <w:rPr/>
      </w:pPr>
      <w:r>
        <w:rPr/>
        <w:t>Experimentation also imposes risks. An affected population should not be treated merely as a source of information for institutional learning. Consent, rights, protected minimums, proportionality, reversibility, and accountability must constrain what can ethically be tested.</w:t>
      </w:r>
    </w:p>
    <w:p>
      <w:pPr>
        <w:pStyle w:val="BodyText"/>
        <w:spacing w:before="0" w:after="200"/>
        <w:rPr/>
      </w:pPr>
      <w:r>
        <w:rPr/>
        <w:t>Likewise, democratic participation does not guarantee a morally adequate result. Majorities can exclude minorities, communities can normalize injustice, and consensus can reflect manipulation or unequal power. A stable commitment to compatible Long-Term Flourishing provides a standard for criticizing harmful practices even when they are locally accepted.</w:t>
      </w:r>
    </w:p>
    <w:p>
      <w:pPr>
        <w:pStyle w:val="BodyText"/>
        <w:spacing w:before="0" w:after="200"/>
        <w:rPr/>
      </w:pPr>
      <w:r>
        <w:rPr/>
        <w:t>Formalization can support rather than obstruct Pragmatic inquiry. Recording assumptions, predictions, dissent, responsibilities, and revision criteria makes it harder for institutions to redefine success after observing unfavorable results. A structured model can preserve contestability when its categories and outputs remain visible and revisable.</w:t>
      </w:r>
    </w:p>
    <w:p>
      <w:pPr>
        <w:pStyle w:val="BodyText"/>
        <w:spacing w:before="0" w:after="200"/>
        <w:rPr/>
      </w:pPr>
      <w:r>
        <w:rPr/>
        <w:t>The resulting position is a form of constrained Pragmatism:</w:t>
      </w:r>
    </w:p>
    <w:p>
      <w:pPr>
        <w:pStyle w:val="BodyText"/>
        <w:numPr>
          <w:ilvl w:val="0"/>
          <w:numId w:val="96"/>
        </w:numPr>
        <w:tabs>
          <w:tab w:val="clear" w:pos="720"/>
          <w:tab w:val="left" w:pos="0" w:leader="none"/>
        </w:tabs>
        <w:spacing w:before="0" w:after="200"/>
        <w:ind w:hanging="283" w:left="709"/>
        <w:rPr/>
      </w:pPr>
      <w:r>
        <w:rPr/>
        <w:t>The Foundational Axiom supplies a stable constitutional commitment.</w:t>
      </w:r>
    </w:p>
    <w:p>
      <w:pPr>
        <w:pStyle w:val="BodyText"/>
        <w:numPr>
          <w:ilvl w:val="0"/>
          <w:numId w:val="96"/>
        </w:numPr>
        <w:tabs>
          <w:tab w:val="clear" w:pos="720"/>
          <w:tab w:val="left" w:pos="0" w:leader="none"/>
        </w:tabs>
        <w:spacing w:before="0" w:after="200"/>
        <w:ind w:hanging="283" w:left="709"/>
        <w:rPr/>
      </w:pPr>
      <w:r>
        <w:rPr/>
        <w:t>Operational definitions and objectives remain provisional.</w:t>
      </w:r>
    </w:p>
    <w:p>
      <w:pPr>
        <w:pStyle w:val="BodyText"/>
        <w:numPr>
          <w:ilvl w:val="0"/>
          <w:numId w:val="96"/>
        </w:numPr>
        <w:tabs>
          <w:tab w:val="clear" w:pos="720"/>
          <w:tab w:val="left" w:pos="0" w:leader="none"/>
        </w:tabs>
        <w:spacing w:before="0" w:after="200"/>
        <w:ind w:hanging="283" w:left="709"/>
        <w:rPr/>
      </w:pPr>
      <w:r>
        <w:rPr/>
        <w:t>Action is informed by the best current evidence.</w:t>
      </w:r>
    </w:p>
    <w:p>
      <w:pPr>
        <w:pStyle w:val="BodyText"/>
        <w:numPr>
          <w:ilvl w:val="0"/>
          <w:numId w:val="96"/>
        </w:numPr>
        <w:tabs>
          <w:tab w:val="clear" w:pos="720"/>
          <w:tab w:val="left" w:pos="0" w:leader="none"/>
        </w:tabs>
        <w:spacing w:before="0" w:after="200"/>
        <w:ind w:hanging="283" w:left="709"/>
        <w:rPr/>
      </w:pPr>
      <w:r>
        <w:rPr/>
        <w:t>Uncertainty encourages staged and reversible inquiry where possible.</w:t>
      </w:r>
    </w:p>
    <w:p>
      <w:pPr>
        <w:pStyle w:val="BodyText"/>
        <w:numPr>
          <w:ilvl w:val="0"/>
          <w:numId w:val="96"/>
        </w:numPr>
        <w:tabs>
          <w:tab w:val="clear" w:pos="720"/>
          <w:tab w:val="left" w:pos="0" w:leader="none"/>
        </w:tabs>
        <w:spacing w:before="0" w:after="200"/>
        <w:ind w:hanging="283" w:left="709"/>
        <w:rPr/>
      </w:pPr>
      <w:r>
        <w:rPr/>
        <w:t>Actual consequences are monitored.</w:t>
      </w:r>
    </w:p>
    <w:p>
      <w:pPr>
        <w:pStyle w:val="BodyText"/>
        <w:numPr>
          <w:ilvl w:val="0"/>
          <w:numId w:val="96"/>
        </w:numPr>
        <w:tabs>
          <w:tab w:val="clear" w:pos="720"/>
          <w:tab w:val="left" w:pos="0" w:leader="none"/>
        </w:tabs>
        <w:spacing w:before="0" w:after="200"/>
        <w:ind w:hanging="283" w:left="709"/>
        <w:rPr/>
      </w:pPr>
      <w:r>
        <w:rPr/>
        <w:t>Affected entities participate in evaluation.</w:t>
      </w:r>
    </w:p>
    <w:p>
      <w:pPr>
        <w:pStyle w:val="BodyText"/>
        <w:numPr>
          <w:ilvl w:val="0"/>
          <w:numId w:val="96"/>
        </w:numPr>
        <w:tabs>
          <w:tab w:val="clear" w:pos="720"/>
          <w:tab w:val="left" w:pos="0" w:leader="none"/>
        </w:tabs>
        <w:spacing w:before="0" w:after="200"/>
        <w:ind w:hanging="283" w:left="709"/>
        <w:rPr/>
      </w:pPr>
      <w:r>
        <w:rPr/>
        <w:t>Models and policies are revised in response to evidence.</w:t>
      </w:r>
    </w:p>
    <w:p>
      <w:pPr>
        <w:pStyle w:val="BodyText"/>
        <w:numPr>
          <w:ilvl w:val="0"/>
          <w:numId w:val="96"/>
        </w:numPr>
        <w:tabs>
          <w:tab w:val="clear" w:pos="720"/>
          <w:tab w:val="left" w:pos="0" w:leader="none"/>
        </w:tabs>
        <w:spacing w:before="0" w:after="200"/>
        <w:ind w:hanging="283" w:left="709"/>
        <w:rPr/>
      </w:pPr>
      <w:r>
        <w:rPr/>
        <w:t>Rights and protected minimums constrain experimentation.</w:t>
      </w:r>
    </w:p>
    <w:p>
      <w:pPr>
        <w:pStyle w:val="Heading4"/>
        <w:ind w:hanging="0" w:left="0"/>
        <w:rPr>
          <w:rFonts w:ascii="Aptos" w:hAnsi="Aptos"/>
          <w:color w:val="auto"/>
        </w:rPr>
      </w:pPr>
      <w:r>
        <w:rPr/>
        <w:t>Incremental Questions the Expert Should Then Ask</w:t>
      </w:r>
    </w:p>
    <w:tbl>
      <w:tblPr>
        <w:tblW w:w="8640" w:type="dxa"/>
        <w:jc w:val="left"/>
        <w:tblInd w:w="28" w:type="dxa"/>
        <w:tblLayout w:type="fixed"/>
        <w:tblCellMar>
          <w:top w:w="28" w:type="dxa"/>
          <w:left w:w="28" w:type="dxa"/>
          <w:bottom w:w="28" w:type="dxa"/>
          <w:right w:w="28" w:type="dxa"/>
        </w:tblCellMar>
      </w:tblPr>
      <w:tblGrid>
        <w:gridCol w:w="3740"/>
        <w:gridCol w:w="4900"/>
      </w:tblGrid>
      <w:tr>
        <w:trPr>
          <w:tblHeader w:val="true"/>
        </w:trPr>
        <w:tc>
          <w:tcPr>
            <w:tcW w:w="3740" w:type="dxa"/>
            <w:tcBorders/>
            <w:vAlign w:val="center"/>
          </w:tcPr>
          <w:p>
            <w:pPr>
              <w:pStyle w:val="TableHeading"/>
              <w:suppressLineNumbers/>
              <w:spacing w:before="0" w:after="200"/>
              <w:jc w:val="center"/>
              <w:rPr/>
            </w:pPr>
            <w:r>
              <w:rPr/>
              <w:t>Incremental question</w:t>
            </w:r>
          </w:p>
        </w:tc>
        <w:tc>
          <w:tcPr>
            <w:tcW w:w="4900" w:type="dxa"/>
            <w:tcBorders/>
            <w:vAlign w:val="center"/>
          </w:tcPr>
          <w:p>
            <w:pPr>
              <w:pStyle w:val="TableHeading"/>
              <w:suppressLineNumbers/>
              <w:spacing w:before="0" w:after="200"/>
              <w:jc w:val="center"/>
              <w:rPr/>
            </w:pPr>
            <w:r>
              <w:rPr/>
              <w:t>Response</w:t>
            </w:r>
          </w:p>
        </w:tc>
      </w:tr>
      <w:tr>
        <w:trPr/>
        <w:tc>
          <w:tcPr>
            <w:tcW w:w="3740" w:type="dxa"/>
            <w:tcBorders/>
            <w:vAlign w:val="center"/>
          </w:tcPr>
          <w:p>
            <w:pPr>
              <w:pStyle w:val="TableContents"/>
              <w:widowControl w:val="false"/>
              <w:suppressLineNumbers/>
              <w:spacing w:before="0" w:after="200"/>
              <w:rPr/>
            </w:pPr>
            <w:r>
              <w:rPr>
                <w:rStyle w:val="Strong"/>
              </w:rPr>
              <w:t>1. Is the Foundational Axiom itself open to revision?</w:t>
            </w:r>
          </w:p>
        </w:tc>
        <w:tc>
          <w:tcPr>
            <w:tcW w:w="4900" w:type="dxa"/>
            <w:tcBorders/>
            <w:vAlign w:val="center"/>
          </w:tcPr>
          <w:p>
            <w:pPr>
              <w:pStyle w:val="TableContents"/>
              <w:widowControl w:val="false"/>
              <w:suppressLineNumbers/>
              <w:spacing w:before="0" w:after="200"/>
              <w:rPr/>
            </w:pPr>
            <w:r>
              <w:rPr/>
              <w:t>Its core commitment is intended to remain stable. However, the meanings of flourishing, relevance, persistence, compatibility, material diminishment, and best available evidence should remain open to clarification and revision.</w:t>
            </w:r>
          </w:p>
        </w:tc>
      </w:tr>
      <w:tr>
        <w:trPr/>
        <w:tc>
          <w:tcPr>
            <w:tcW w:w="3740" w:type="dxa"/>
            <w:tcBorders/>
            <w:vAlign w:val="center"/>
          </w:tcPr>
          <w:p>
            <w:pPr>
              <w:pStyle w:val="TableContents"/>
              <w:widowControl w:val="false"/>
              <w:suppressLineNumbers/>
              <w:spacing w:before="0" w:after="200"/>
              <w:rPr/>
            </w:pPr>
            <w:r>
              <w:rPr>
                <w:rStyle w:val="Strong"/>
              </w:rPr>
              <w:t>2. What practical difference does Long-Term Flourishing make?</w:t>
            </w:r>
          </w:p>
        </w:tc>
        <w:tc>
          <w:tcPr>
            <w:tcW w:w="4900" w:type="dxa"/>
            <w:tcBorders/>
            <w:vAlign w:val="center"/>
          </w:tcPr>
          <w:p>
            <w:pPr>
              <w:pStyle w:val="TableContents"/>
              <w:widowControl w:val="false"/>
              <w:suppressLineNumbers/>
              <w:spacing w:before="0" w:after="200"/>
              <w:rPr/>
            </w:pPr>
            <w:r>
              <w:rPr/>
              <w:t>It should identify observable differences in agency, capability, relationships, resilience, resources, institutional standing, and beneficial future possibilities. If it cannot alter the comparison of actions, its operational meaning is inadequate.</w:t>
            </w:r>
          </w:p>
        </w:tc>
      </w:tr>
      <w:tr>
        <w:trPr/>
        <w:tc>
          <w:tcPr>
            <w:tcW w:w="3740" w:type="dxa"/>
            <w:tcBorders/>
            <w:vAlign w:val="center"/>
          </w:tcPr>
          <w:p>
            <w:pPr>
              <w:pStyle w:val="TableContents"/>
              <w:widowControl w:val="false"/>
              <w:suppressLineNumbers/>
              <w:spacing w:before="0" w:after="200"/>
              <w:rPr/>
            </w:pPr>
            <w:r>
              <w:rPr>
                <w:rStyle w:val="Strong"/>
              </w:rPr>
              <w:t>3. Who defines the problematic situation?</w:t>
            </w:r>
          </w:p>
        </w:tc>
        <w:tc>
          <w:tcPr>
            <w:tcW w:w="4900" w:type="dxa"/>
            <w:tcBorders/>
            <w:vAlign w:val="center"/>
          </w:tcPr>
          <w:p>
            <w:pPr>
              <w:pStyle w:val="TableContents"/>
              <w:widowControl w:val="false"/>
              <w:suppressLineNumbers/>
              <w:spacing w:before="0" w:after="200"/>
              <w:rPr/>
            </w:pPr>
            <w:r>
              <w:rPr/>
              <w:t>The initiating actor may identify the concern, but affected entities, implementers, experts, and dissenting parties should be able to challenge the problem definition.</w:t>
            </w:r>
          </w:p>
        </w:tc>
      </w:tr>
      <w:tr>
        <w:trPr/>
        <w:tc>
          <w:tcPr>
            <w:tcW w:w="3740" w:type="dxa"/>
            <w:tcBorders/>
            <w:vAlign w:val="center"/>
          </w:tcPr>
          <w:p>
            <w:pPr>
              <w:pStyle w:val="TableContents"/>
              <w:widowControl w:val="false"/>
              <w:suppressLineNumbers/>
              <w:spacing w:before="0" w:after="200"/>
              <w:rPr/>
            </w:pPr>
            <w:r>
              <w:rPr>
                <w:rStyle w:val="Strong"/>
              </w:rPr>
              <w:t>4. Who determines which entities are relevant?</w:t>
            </w:r>
          </w:p>
        </w:tc>
        <w:tc>
          <w:tcPr>
            <w:tcW w:w="4900" w:type="dxa"/>
            <w:tcBorders/>
            <w:vAlign w:val="center"/>
          </w:tcPr>
          <w:p>
            <w:pPr>
              <w:pStyle w:val="TableContents"/>
              <w:widowControl w:val="false"/>
              <w:suppressLineNumbers/>
              <w:spacing w:before="0" w:after="200"/>
              <w:rPr/>
            </w:pPr>
            <w:r>
              <w:rPr/>
              <w:t>Relevance should be justified through causal exposure, relationship, vulnerability, rights, institutional role, ecological connection, and plausible future effects. Exclusion decisions should be recorded and reviewable.</w:t>
            </w:r>
          </w:p>
        </w:tc>
      </w:tr>
      <w:tr>
        <w:trPr/>
        <w:tc>
          <w:tcPr>
            <w:tcW w:w="3740" w:type="dxa"/>
            <w:tcBorders/>
            <w:vAlign w:val="center"/>
          </w:tcPr>
          <w:p>
            <w:pPr>
              <w:pStyle w:val="TableContents"/>
              <w:widowControl w:val="false"/>
              <w:suppressLineNumbers/>
              <w:spacing w:before="0" w:after="200"/>
              <w:rPr/>
            </w:pPr>
            <w:r>
              <w:rPr>
                <w:rStyle w:val="Strong"/>
              </w:rPr>
              <w:t>5. Who decides what counts as the best available evidence?</w:t>
            </w:r>
          </w:p>
        </w:tc>
        <w:tc>
          <w:tcPr>
            <w:tcW w:w="4900" w:type="dxa"/>
            <w:tcBorders/>
            <w:vAlign w:val="center"/>
          </w:tcPr>
          <w:p>
            <w:pPr>
              <w:pStyle w:val="TableContents"/>
              <w:widowControl w:val="false"/>
              <w:suppressLineNumbers/>
              <w:spacing w:before="0" w:after="200"/>
              <w:rPr/>
            </w:pPr>
            <w:r>
              <w:rPr/>
              <w:t>The determination should consider methodological quality, source diversity, affected-party knowledge, reproducibility, conflicts of interest, uncertainty, and credible competing interpretations.</w:t>
            </w:r>
          </w:p>
        </w:tc>
      </w:tr>
      <w:tr>
        <w:trPr/>
        <w:tc>
          <w:tcPr>
            <w:tcW w:w="3740" w:type="dxa"/>
            <w:tcBorders/>
            <w:vAlign w:val="center"/>
          </w:tcPr>
          <w:p>
            <w:pPr>
              <w:pStyle w:val="TableContents"/>
              <w:widowControl w:val="false"/>
              <w:suppressLineNumbers/>
              <w:spacing w:before="0" w:after="200"/>
              <w:rPr/>
            </w:pPr>
            <w:r>
              <w:rPr>
                <w:rStyle w:val="Strong"/>
              </w:rPr>
              <w:t>6. How does the framework handle evidence produced by powerful institutions?</w:t>
            </w:r>
          </w:p>
        </w:tc>
        <w:tc>
          <w:tcPr>
            <w:tcW w:w="4900" w:type="dxa"/>
            <w:tcBorders/>
            <w:vAlign w:val="center"/>
          </w:tcPr>
          <w:p>
            <w:pPr>
              <w:pStyle w:val="TableContents"/>
              <w:widowControl w:val="false"/>
              <w:suppressLineNumbers/>
              <w:spacing w:before="0" w:after="200"/>
              <w:rPr/>
            </w:pPr>
            <w:r>
              <w:rPr/>
              <w:t>Institutional evidence should include provenance, incentives, funding, data limitations, conflicts of interest, and opportunities for independent review. Authority does not establish evidentiary validity.</w:t>
            </w:r>
          </w:p>
        </w:tc>
      </w:tr>
      <w:tr>
        <w:trPr/>
        <w:tc>
          <w:tcPr>
            <w:tcW w:w="3740" w:type="dxa"/>
            <w:tcBorders/>
            <w:vAlign w:val="center"/>
          </w:tcPr>
          <w:p>
            <w:pPr>
              <w:pStyle w:val="TableContents"/>
              <w:widowControl w:val="false"/>
              <w:suppressLineNumbers/>
              <w:spacing w:before="0" w:after="200"/>
              <w:rPr/>
            </w:pPr>
            <w:r>
              <w:rPr>
                <w:rStyle w:val="Strong"/>
              </w:rPr>
              <w:t>7. What if affected communities reject the expert model?</w:t>
            </w:r>
          </w:p>
        </w:tc>
        <w:tc>
          <w:tcPr>
            <w:tcW w:w="4900" w:type="dxa"/>
            <w:tcBorders/>
            <w:vAlign w:val="center"/>
          </w:tcPr>
          <w:p>
            <w:pPr>
              <w:pStyle w:val="TableContents"/>
              <w:widowControl w:val="false"/>
              <w:suppressLineNumbers/>
              <w:spacing w:before="0" w:after="200"/>
              <w:rPr/>
            </w:pPr>
            <w:r>
              <w:rPr/>
              <w:t>The disagreement should trigger investigation into divergent assumptions, values, experience, and evidence. Community rejection is neither automatically decisive nor ethically irrelevant.</w:t>
            </w:r>
          </w:p>
        </w:tc>
      </w:tr>
      <w:tr>
        <w:trPr/>
        <w:tc>
          <w:tcPr>
            <w:tcW w:w="3740" w:type="dxa"/>
            <w:tcBorders/>
            <w:vAlign w:val="center"/>
          </w:tcPr>
          <w:p>
            <w:pPr>
              <w:pStyle w:val="TableContents"/>
              <w:widowControl w:val="false"/>
              <w:suppressLineNumbers/>
              <w:spacing w:before="0" w:after="200"/>
              <w:rPr/>
            </w:pPr>
            <w:r>
              <w:rPr>
                <w:rStyle w:val="Strong"/>
              </w:rPr>
              <w:t>8. Are affected entities required to participate?</w:t>
            </w:r>
          </w:p>
        </w:tc>
        <w:tc>
          <w:tcPr>
            <w:tcW w:w="4900" w:type="dxa"/>
            <w:tcBorders/>
            <w:vAlign w:val="center"/>
          </w:tcPr>
          <w:p>
            <w:pPr>
              <w:pStyle w:val="TableContents"/>
              <w:widowControl w:val="false"/>
              <w:suppressLineNumbers/>
              <w:spacing w:before="0" w:after="200"/>
              <w:rPr/>
            </w:pPr>
            <w:r>
              <w:rPr/>
              <w:t>No. Participation should be supported but not coerced. Nonparticipation may reflect limited resources, fear, distrust, or disagreement and should not be interpreted as consent.</w:t>
            </w:r>
          </w:p>
        </w:tc>
      </w:tr>
      <w:tr>
        <w:trPr/>
        <w:tc>
          <w:tcPr>
            <w:tcW w:w="3740" w:type="dxa"/>
            <w:tcBorders/>
            <w:vAlign w:val="center"/>
          </w:tcPr>
          <w:p>
            <w:pPr>
              <w:pStyle w:val="TableContents"/>
              <w:widowControl w:val="false"/>
              <w:suppressLineNumbers/>
              <w:spacing w:before="0" w:after="200"/>
              <w:rPr/>
            </w:pPr>
            <w:r>
              <w:rPr>
                <w:rStyle w:val="Strong"/>
              </w:rPr>
              <w:t>9. How are marginalized voices prevented from being outvoted?</w:t>
            </w:r>
          </w:p>
        </w:tc>
        <w:tc>
          <w:tcPr>
            <w:tcW w:w="4900" w:type="dxa"/>
            <w:tcBorders/>
            <w:vAlign w:val="center"/>
          </w:tcPr>
          <w:p>
            <w:pPr>
              <w:pStyle w:val="TableContents"/>
              <w:widowControl w:val="false"/>
              <w:suppressLineNumbers/>
              <w:spacing w:before="0" w:after="200"/>
              <w:rPr/>
            </w:pPr>
            <w:r>
              <w:rPr/>
              <w:t>Participation should include rights protections, preserved dissent, disaggregated impact reporting, accessible processes, and independent representation where power imbalances exist.</w:t>
            </w:r>
          </w:p>
        </w:tc>
      </w:tr>
      <w:tr>
        <w:trPr/>
        <w:tc>
          <w:tcPr>
            <w:tcW w:w="3740" w:type="dxa"/>
            <w:tcBorders/>
            <w:vAlign w:val="center"/>
          </w:tcPr>
          <w:p>
            <w:pPr>
              <w:pStyle w:val="TableContents"/>
              <w:widowControl w:val="false"/>
              <w:suppressLineNumbers/>
              <w:spacing w:before="0" w:after="200"/>
              <w:rPr/>
            </w:pPr>
            <w:r>
              <w:rPr>
                <w:rStyle w:val="Strong"/>
              </w:rPr>
              <w:t>10. Can action proceed before the inquiry is complete?</w:t>
            </w:r>
          </w:p>
        </w:tc>
        <w:tc>
          <w:tcPr>
            <w:tcW w:w="4900" w:type="dxa"/>
            <w:tcBorders/>
            <w:vAlign w:val="center"/>
          </w:tcPr>
          <w:p>
            <w:pPr>
              <w:pStyle w:val="TableContents"/>
              <w:widowControl w:val="false"/>
              <w:suppressLineNumbers/>
              <w:spacing w:before="0" w:after="200"/>
              <w:rPr/>
            </w:pPr>
            <w:r>
              <w:rPr/>
              <w:t>Yes. Inquiry is rarely complete. The decision should depend on urgency, stakes, reversibility, evidence quality, and the comparative harms of acting and delaying.</w:t>
            </w:r>
          </w:p>
        </w:tc>
      </w:tr>
      <w:tr>
        <w:trPr/>
        <w:tc>
          <w:tcPr>
            <w:tcW w:w="3740" w:type="dxa"/>
            <w:tcBorders/>
            <w:vAlign w:val="center"/>
          </w:tcPr>
          <w:p>
            <w:pPr>
              <w:pStyle w:val="TableContents"/>
              <w:widowControl w:val="false"/>
              <w:suppressLineNumbers/>
              <w:spacing w:before="0" w:after="200"/>
              <w:rPr/>
            </w:pPr>
            <w:r>
              <w:rPr>
                <w:rStyle w:val="Strong"/>
              </w:rPr>
              <w:t>11. When should the framework prefer experimentation?</w:t>
            </w:r>
          </w:p>
        </w:tc>
        <w:tc>
          <w:tcPr>
            <w:tcW w:w="4900" w:type="dxa"/>
            <w:tcBorders/>
            <w:vAlign w:val="center"/>
          </w:tcPr>
          <w:p>
            <w:pPr>
              <w:pStyle w:val="TableContents"/>
              <w:widowControl w:val="false"/>
              <w:suppressLineNumbers/>
              <w:spacing w:before="0" w:after="200"/>
              <w:rPr/>
            </w:pPr>
            <w:r>
              <w:rPr/>
              <w:t>Experimentation is appropriate when uncertainty is material, the intervention is bounded and reversible, meaningful learning is possible, and participants are adequately protected.</w:t>
            </w:r>
          </w:p>
        </w:tc>
      </w:tr>
      <w:tr>
        <w:trPr/>
        <w:tc>
          <w:tcPr>
            <w:tcW w:w="3740" w:type="dxa"/>
            <w:tcBorders/>
            <w:vAlign w:val="center"/>
          </w:tcPr>
          <w:p>
            <w:pPr>
              <w:pStyle w:val="TableContents"/>
              <w:widowControl w:val="false"/>
              <w:suppressLineNumbers/>
              <w:spacing w:before="0" w:after="200"/>
              <w:rPr/>
            </w:pPr>
            <w:r>
              <w:rPr>
                <w:rStyle w:val="Strong"/>
              </w:rPr>
              <w:t>12. When is experimentation impermissible?</w:t>
            </w:r>
          </w:p>
        </w:tc>
        <w:tc>
          <w:tcPr>
            <w:tcW w:w="4900" w:type="dxa"/>
            <w:tcBorders/>
            <w:vAlign w:val="center"/>
          </w:tcPr>
          <w:p>
            <w:pPr>
              <w:pStyle w:val="TableContents"/>
              <w:widowControl w:val="false"/>
              <w:suppressLineNumbers/>
              <w:spacing w:before="0" w:after="200"/>
              <w:rPr/>
            </w:pPr>
            <w:r>
              <w:rPr/>
              <w:t>An experiment may be impermissible when it violates non-waivable rights, imposes disproportionate risk, lacks valid consent, has irreversible catastrophic potential, or uses vulnerable entities merely as means.</w:t>
            </w:r>
          </w:p>
        </w:tc>
      </w:tr>
      <w:tr>
        <w:trPr/>
        <w:tc>
          <w:tcPr>
            <w:tcW w:w="3740" w:type="dxa"/>
            <w:tcBorders/>
            <w:vAlign w:val="center"/>
          </w:tcPr>
          <w:p>
            <w:pPr>
              <w:pStyle w:val="TableContents"/>
              <w:widowControl w:val="false"/>
              <w:suppressLineNumbers/>
              <w:spacing w:before="0" w:after="200"/>
              <w:rPr/>
            </w:pPr>
            <w:r>
              <w:rPr>
                <w:rStyle w:val="Strong"/>
              </w:rPr>
              <w:t>13. Does a pilot always reduce ethical risk?</w:t>
            </w:r>
          </w:p>
        </w:tc>
        <w:tc>
          <w:tcPr>
            <w:tcW w:w="4900" w:type="dxa"/>
            <w:tcBorders/>
            <w:vAlign w:val="center"/>
          </w:tcPr>
          <w:p>
            <w:pPr>
              <w:pStyle w:val="TableContents"/>
              <w:widowControl w:val="false"/>
              <w:suppressLineNumbers/>
              <w:spacing w:before="0" w:after="200"/>
              <w:rPr/>
            </w:pPr>
            <w:r>
              <w:rPr/>
              <w:t>No. A pilot may still create harm, normalize an unjust policy, or produce misleading results when conditions differ from full deployment. The pilot itself requires assessment.</w:t>
            </w:r>
          </w:p>
        </w:tc>
      </w:tr>
      <w:tr>
        <w:trPr/>
        <w:tc>
          <w:tcPr>
            <w:tcW w:w="3740" w:type="dxa"/>
            <w:tcBorders/>
            <w:vAlign w:val="center"/>
          </w:tcPr>
          <w:p>
            <w:pPr>
              <w:pStyle w:val="TableContents"/>
              <w:widowControl w:val="false"/>
              <w:suppressLineNumbers/>
              <w:spacing w:before="0" w:after="200"/>
              <w:rPr/>
            </w:pPr>
            <w:r>
              <w:rPr>
                <w:rStyle w:val="Strong"/>
              </w:rPr>
              <w:t>14. How should objectives be treated as ends-in-view?</w:t>
            </w:r>
          </w:p>
        </w:tc>
        <w:tc>
          <w:tcPr>
            <w:tcW w:w="4900" w:type="dxa"/>
            <w:tcBorders/>
            <w:vAlign w:val="center"/>
          </w:tcPr>
          <w:p>
            <w:pPr>
              <w:pStyle w:val="TableContents"/>
              <w:widowControl w:val="false"/>
              <w:suppressLineNumbers/>
              <w:spacing w:before="0" w:after="200"/>
              <w:rPr/>
            </w:pPr>
            <w:r>
              <w:rPr/>
              <w:t>Each objective should identify the problem it addresses, expected consequences, supporting evidence, assumptions, revision conditions, and indicators that it no longer remains appropriate.</w:t>
            </w:r>
          </w:p>
        </w:tc>
      </w:tr>
      <w:tr>
        <w:trPr/>
        <w:tc>
          <w:tcPr>
            <w:tcW w:w="3740" w:type="dxa"/>
            <w:tcBorders/>
            <w:vAlign w:val="center"/>
          </w:tcPr>
          <w:p>
            <w:pPr>
              <w:pStyle w:val="TableContents"/>
              <w:widowControl w:val="false"/>
              <w:suppressLineNumbers/>
              <w:spacing w:before="0" w:after="200"/>
              <w:rPr/>
            </w:pPr>
            <w:r>
              <w:rPr>
                <w:rStyle w:val="Strong"/>
              </w:rPr>
              <w:t>15. What happens when the means alter the objective?</w:t>
            </w:r>
          </w:p>
        </w:tc>
        <w:tc>
          <w:tcPr>
            <w:tcW w:w="4900" w:type="dxa"/>
            <w:tcBorders/>
            <w:vAlign w:val="center"/>
          </w:tcPr>
          <w:p>
            <w:pPr>
              <w:pStyle w:val="TableContents"/>
              <w:widowControl w:val="false"/>
              <w:suppressLineNumbers/>
              <w:spacing w:before="0" w:after="200"/>
              <w:rPr/>
            </w:pPr>
            <w:r>
              <w:rPr/>
              <w:t>The assessment should be reopened. Changes in relationships, costs, capabilities, or institutional incentives may make the original objective obsolete or ethically undesirable.</w:t>
            </w:r>
          </w:p>
        </w:tc>
      </w:tr>
      <w:tr>
        <w:trPr/>
        <w:tc>
          <w:tcPr>
            <w:tcW w:w="3740" w:type="dxa"/>
            <w:tcBorders/>
            <w:vAlign w:val="center"/>
          </w:tcPr>
          <w:p>
            <w:pPr>
              <w:pStyle w:val="TableContents"/>
              <w:widowControl w:val="false"/>
              <w:suppressLineNumbers/>
              <w:spacing w:before="0" w:after="200"/>
              <w:rPr/>
            </w:pPr>
            <w:r>
              <w:rPr>
                <w:rStyle w:val="Strong"/>
              </w:rPr>
              <w:t>16. Can qualitative experience override quantitative evidence?</w:t>
            </w:r>
          </w:p>
        </w:tc>
        <w:tc>
          <w:tcPr>
            <w:tcW w:w="4900" w:type="dxa"/>
            <w:tcBorders/>
            <w:vAlign w:val="center"/>
          </w:tcPr>
          <w:p>
            <w:pPr>
              <w:pStyle w:val="TableContents"/>
              <w:widowControl w:val="false"/>
              <w:suppressLineNumbers/>
              <w:spacing w:before="0" w:after="200"/>
              <w:rPr/>
            </w:pPr>
            <w:r>
              <w:rPr/>
              <w:t>Neither form of evidence should automatically override the other. Conflicts should be investigated for measurement error, sampling problems, conceptual mismatch, hidden distributional effects, or differences in the question being answered.</w:t>
            </w:r>
          </w:p>
        </w:tc>
      </w:tr>
      <w:tr>
        <w:trPr/>
        <w:tc>
          <w:tcPr>
            <w:tcW w:w="3740" w:type="dxa"/>
            <w:tcBorders/>
            <w:vAlign w:val="center"/>
          </w:tcPr>
          <w:p>
            <w:pPr>
              <w:pStyle w:val="TableContents"/>
              <w:widowControl w:val="false"/>
              <w:suppressLineNumbers/>
              <w:spacing w:before="0" w:after="200"/>
              <w:rPr/>
            </w:pPr>
            <w:r>
              <w:rPr>
                <w:rStyle w:val="Strong"/>
              </w:rPr>
              <w:t>17. How does the framework prevent false precision?</w:t>
            </w:r>
          </w:p>
        </w:tc>
        <w:tc>
          <w:tcPr>
            <w:tcW w:w="4900" w:type="dxa"/>
            <w:tcBorders/>
            <w:vAlign w:val="center"/>
          </w:tcPr>
          <w:p>
            <w:pPr>
              <w:pStyle w:val="TableContents"/>
              <w:widowControl w:val="false"/>
              <w:suppressLineNumbers/>
              <w:spacing w:before="0" w:after="200"/>
              <w:rPr/>
            </w:pPr>
            <w:r>
              <w:rPr/>
              <w:t>It should use ranges, confidence classifications, unresolved variables, sensitivity analysis, and narrative explanation rather than presenting uncertain estimates as exact facts.</w:t>
            </w:r>
          </w:p>
        </w:tc>
      </w:tr>
      <w:tr>
        <w:trPr/>
        <w:tc>
          <w:tcPr>
            <w:tcW w:w="3740" w:type="dxa"/>
            <w:tcBorders/>
            <w:vAlign w:val="center"/>
          </w:tcPr>
          <w:p>
            <w:pPr>
              <w:pStyle w:val="TableContents"/>
              <w:widowControl w:val="false"/>
              <w:suppressLineNumbers/>
              <w:spacing w:before="0" w:after="200"/>
              <w:rPr/>
            </w:pPr>
            <w:r>
              <w:rPr>
                <w:rStyle w:val="Strong"/>
              </w:rPr>
              <w:t>18. What if the predicted transition differs from the observed transition?</w:t>
            </w:r>
          </w:p>
        </w:tc>
        <w:tc>
          <w:tcPr>
            <w:tcW w:w="4900" w:type="dxa"/>
            <w:tcBorders/>
            <w:vAlign w:val="center"/>
          </w:tcPr>
          <w:p>
            <w:pPr>
              <w:pStyle w:val="TableContents"/>
              <w:widowControl w:val="false"/>
              <w:suppressLineNumbers/>
              <w:spacing w:before="0" w:after="200"/>
              <w:rPr/>
            </w:pPr>
            <w:r>
              <w:rPr/>
              <w:t>The difference should trigger causal review, model revision, updated responsibility analysis, and possible corrective action. It should not be treated merely as an implementation anomaly.</w:t>
            </w:r>
          </w:p>
        </w:tc>
      </w:tr>
      <w:tr>
        <w:trPr/>
        <w:tc>
          <w:tcPr>
            <w:tcW w:w="3740" w:type="dxa"/>
            <w:tcBorders/>
            <w:vAlign w:val="center"/>
          </w:tcPr>
          <w:p>
            <w:pPr>
              <w:pStyle w:val="TableContents"/>
              <w:widowControl w:val="false"/>
              <w:suppressLineNumbers/>
              <w:spacing w:before="0" w:after="200"/>
              <w:rPr/>
            </w:pPr>
            <w:r>
              <w:rPr>
                <w:rStyle w:val="Strong"/>
              </w:rPr>
              <w:t>19. Who is responsible for monitoring?</w:t>
            </w:r>
          </w:p>
        </w:tc>
        <w:tc>
          <w:tcPr>
            <w:tcW w:w="4900" w:type="dxa"/>
            <w:tcBorders/>
            <w:vAlign w:val="center"/>
          </w:tcPr>
          <w:p>
            <w:pPr>
              <w:pStyle w:val="TableContents"/>
              <w:widowControl w:val="false"/>
              <w:suppressLineNumbers/>
              <w:spacing w:before="0" w:after="200"/>
              <w:rPr/>
            </w:pPr>
            <w:r>
              <w:rPr/>
              <w:t>The original assessment should identify a responsible agent or institution, monitoring duration, evidence sources, reporting obligations, and authority to alter or terminate the action.</w:t>
            </w:r>
          </w:p>
        </w:tc>
      </w:tr>
      <w:tr>
        <w:trPr/>
        <w:tc>
          <w:tcPr>
            <w:tcW w:w="3740" w:type="dxa"/>
            <w:tcBorders/>
            <w:vAlign w:val="center"/>
          </w:tcPr>
          <w:p>
            <w:pPr>
              <w:pStyle w:val="TableContents"/>
              <w:widowControl w:val="false"/>
              <w:suppressLineNumbers/>
              <w:spacing w:before="0" w:after="200"/>
              <w:rPr/>
            </w:pPr>
            <w:r>
              <w:rPr>
                <w:rStyle w:val="Strong"/>
              </w:rPr>
              <w:t>20. When does inquiry end?</w:t>
            </w:r>
          </w:p>
        </w:tc>
        <w:tc>
          <w:tcPr>
            <w:tcW w:w="4900" w:type="dxa"/>
            <w:tcBorders/>
            <w:vAlign w:val="center"/>
          </w:tcPr>
          <w:p>
            <w:pPr>
              <w:pStyle w:val="TableContents"/>
              <w:widowControl w:val="false"/>
              <w:suppressLineNumbers/>
              <w:spacing w:before="0" w:after="200"/>
              <w:rPr/>
            </w:pPr>
            <w:r>
              <w:rPr/>
              <w:t>Operational inquiry may close when additional learning is unlikely to change the decision proportionately to its cost. High-impact or continuing actions may require periodic review rather than permanent closure.</w:t>
            </w:r>
          </w:p>
        </w:tc>
      </w:tr>
      <w:tr>
        <w:trPr/>
        <w:tc>
          <w:tcPr>
            <w:tcW w:w="3740" w:type="dxa"/>
            <w:tcBorders/>
            <w:vAlign w:val="center"/>
          </w:tcPr>
          <w:p>
            <w:pPr>
              <w:pStyle w:val="TableContents"/>
              <w:widowControl w:val="false"/>
              <w:suppressLineNumbers/>
              <w:spacing w:before="0" w:after="200"/>
              <w:rPr/>
            </w:pPr>
            <w:r>
              <w:rPr>
                <w:rStyle w:val="Strong"/>
              </w:rPr>
              <w:t>21. How are long-term consequences tested when they cannot yet be observed?</w:t>
            </w:r>
          </w:p>
        </w:tc>
        <w:tc>
          <w:tcPr>
            <w:tcW w:w="4900" w:type="dxa"/>
            <w:tcBorders/>
            <w:vAlign w:val="center"/>
          </w:tcPr>
          <w:p>
            <w:pPr>
              <w:pStyle w:val="TableContents"/>
              <w:widowControl w:val="false"/>
              <w:suppressLineNumbers/>
              <w:spacing w:before="0" w:after="200"/>
              <w:rPr/>
            </w:pPr>
            <w:r>
              <w:rPr/>
              <w:t>The framework should use intermediate indicators, scenario comparisons, historical analogies, causal models, stress testing, and scheduled reassessment while keeping long-term claims provisional.</w:t>
            </w:r>
          </w:p>
        </w:tc>
      </w:tr>
      <w:tr>
        <w:trPr/>
        <w:tc>
          <w:tcPr>
            <w:tcW w:w="3740" w:type="dxa"/>
            <w:tcBorders/>
            <w:vAlign w:val="center"/>
          </w:tcPr>
          <w:p>
            <w:pPr>
              <w:pStyle w:val="TableContents"/>
              <w:widowControl w:val="false"/>
              <w:suppressLineNumbers/>
              <w:spacing w:before="0" w:after="200"/>
              <w:rPr/>
            </w:pPr>
            <w:r>
              <w:rPr>
                <w:rStyle w:val="Strong"/>
              </w:rPr>
              <w:t>22. How are negative results handled?</w:t>
            </w:r>
          </w:p>
        </w:tc>
        <w:tc>
          <w:tcPr>
            <w:tcW w:w="4900" w:type="dxa"/>
            <w:tcBorders/>
            <w:vAlign w:val="center"/>
          </w:tcPr>
          <w:p>
            <w:pPr>
              <w:pStyle w:val="TableContents"/>
              <w:widowControl w:val="false"/>
              <w:suppressLineNumbers/>
              <w:spacing w:before="0" w:after="200"/>
              <w:rPr/>
            </w:pPr>
            <w:r>
              <w:rPr/>
              <w:t>Negative findings should be preserved, reported, and used to update policy. Institutions should not redefine success or suppress results merely to protect prior commitments.</w:t>
            </w:r>
          </w:p>
        </w:tc>
      </w:tr>
      <w:tr>
        <w:trPr/>
        <w:tc>
          <w:tcPr>
            <w:tcW w:w="3740" w:type="dxa"/>
            <w:tcBorders/>
            <w:vAlign w:val="center"/>
          </w:tcPr>
          <w:p>
            <w:pPr>
              <w:pStyle w:val="TableContents"/>
              <w:widowControl w:val="false"/>
              <w:suppressLineNumbers/>
              <w:spacing w:before="0" w:after="200"/>
              <w:rPr/>
            </w:pPr>
            <w:r>
              <w:rPr>
                <w:rStyle w:val="Strong"/>
              </w:rPr>
              <w:t>23. How does the framework address institutional resistance to learning?</w:t>
            </w:r>
          </w:p>
        </w:tc>
        <w:tc>
          <w:tcPr>
            <w:tcW w:w="4900" w:type="dxa"/>
            <w:tcBorders/>
            <w:vAlign w:val="center"/>
          </w:tcPr>
          <w:p>
            <w:pPr>
              <w:pStyle w:val="TableContents"/>
              <w:widowControl w:val="false"/>
              <w:suppressLineNumbers/>
              <w:spacing w:before="0" w:after="200"/>
              <w:rPr/>
            </w:pPr>
            <w:r>
              <w:rPr/>
              <w:t>It should examine incentives, sunk costs, authority structures, reputational pressures, information bottlenecks, and whether the institution has mechanisms for correction and leadership accountability.</w:t>
            </w:r>
          </w:p>
        </w:tc>
      </w:tr>
      <w:tr>
        <w:trPr/>
        <w:tc>
          <w:tcPr>
            <w:tcW w:w="3740" w:type="dxa"/>
            <w:tcBorders/>
            <w:vAlign w:val="center"/>
          </w:tcPr>
          <w:p>
            <w:pPr>
              <w:pStyle w:val="TableContents"/>
              <w:widowControl w:val="false"/>
              <w:suppressLineNumbers/>
              <w:spacing w:before="0" w:after="200"/>
              <w:rPr/>
            </w:pPr>
            <w:r>
              <w:rPr>
                <w:rStyle w:val="Strong"/>
              </w:rPr>
              <w:t>24. Can a community of inquiry itself be biased?</w:t>
            </w:r>
          </w:p>
        </w:tc>
        <w:tc>
          <w:tcPr>
            <w:tcW w:w="4900" w:type="dxa"/>
            <w:tcBorders/>
            <w:vAlign w:val="center"/>
          </w:tcPr>
          <w:p>
            <w:pPr>
              <w:pStyle w:val="TableContents"/>
              <w:widowControl w:val="false"/>
              <w:suppressLineNumbers/>
              <w:spacing w:before="0" w:after="200"/>
              <w:rPr/>
            </w:pPr>
            <w:r>
              <w:rPr/>
              <w:t>Yes. Diversity, external criticism, conflict-of-interest disclosure, independent replication, and preserved dissent are necessary because communities can share blind spots.</w:t>
            </w:r>
          </w:p>
        </w:tc>
      </w:tr>
      <w:tr>
        <w:trPr/>
        <w:tc>
          <w:tcPr>
            <w:tcW w:w="3740" w:type="dxa"/>
            <w:tcBorders/>
            <w:vAlign w:val="center"/>
          </w:tcPr>
          <w:p>
            <w:pPr>
              <w:pStyle w:val="TableContents"/>
              <w:widowControl w:val="false"/>
              <w:suppressLineNumbers/>
              <w:spacing w:before="0" w:after="200"/>
              <w:rPr/>
            </w:pPr>
            <w:r>
              <w:rPr>
                <w:rStyle w:val="Strong"/>
              </w:rPr>
              <w:t>25. Does implementation-neutrality obscure local context?</w:t>
            </w:r>
          </w:p>
        </w:tc>
        <w:tc>
          <w:tcPr>
            <w:tcW w:w="4900" w:type="dxa"/>
            <w:tcBorders/>
            <w:vAlign w:val="center"/>
          </w:tcPr>
          <w:p>
            <w:pPr>
              <w:pStyle w:val="TableContents"/>
              <w:widowControl w:val="false"/>
              <w:suppressLineNumbers/>
              <w:spacing w:before="0" w:after="200"/>
              <w:rPr/>
            </w:pPr>
            <w:r>
              <w:rPr/>
              <w:t>It can if treated as substantive uniformity. The architecture should remain common while evidence, relationships, meanings, cultural conditions, and implementation methods remain context-specific.</w:t>
            </w:r>
          </w:p>
        </w:tc>
      </w:tr>
      <w:tr>
        <w:trPr/>
        <w:tc>
          <w:tcPr>
            <w:tcW w:w="3740" w:type="dxa"/>
            <w:tcBorders/>
            <w:vAlign w:val="center"/>
          </w:tcPr>
          <w:p>
            <w:pPr>
              <w:pStyle w:val="TableContents"/>
              <w:widowControl w:val="false"/>
              <w:suppressLineNumbers/>
              <w:spacing w:before="0" w:after="200"/>
              <w:rPr/>
            </w:pPr>
            <w:r>
              <w:rPr>
                <w:rStyle w:val="Strong"/>
              </w:rPr>
              <w:t>26. How does the framework distinguish improvement from mere change?</w:t>
            </w:r>
          </w:p>
        </w:tc>
        <w:tc>
          <w:tcPr>
            <w:tcW w:w="4900" w:type="dxa"/>
            <w:tcBorders/>
            <w:vAlign w:val="center"/>
          </w:tcPr>
          <w:p>
            <w:pPr>
              <w:pStyle w:val="TableContents"/>
              <w:widowControl w:val="false"/>
              <w:suppressLineNumbers/>
              <w:spacing w:before="0" w:after="200"/>
              <w:rPr/>
            </w:pPr>
            <w:r>
              <w:rPr/>
              <w:t>Change counts as improvement only when evidence indicates that it promotes compatible Long-Term Flourishing without violating applicable constraints or transferring hidden burdens to other entities.</w:t>
            </w:r>
          </w:p>
        </w:tc>
      </w:tr>
      <w:tr>
        <w:trPr/>
        <w:tc>
          <w:tcPr>
            <w:tcW w:w="3740" w:type="dxa"/>
            <w:tcBorders/>
            <w:vAlign w:val="center"/>
          </w:tcPr>
          <w:p>
            <w:pPr>
              <w:pStyle w:val="TableContents"/>
              <w:widowControl w:val="false"/>
              <w:suppressLineNumbers/>
              <w:spacing w:before="0" w:after="200"/>
              <w:rPr/>
            </w:pPr>
            <w:r>
              <w:rPr>
                <w:rStyle w:val="Strong"/>
              </w:rPr>
              <w:t>27. How does the framework avoid equating Pragmatism with expediency?</w:t>
            </w:r>
          </w:p>
        </w:tc>
        <w:tc>
          <w:tcPr>
            <w:tcW w:w="4900" w:type="dxa"/>
            <w:tcBorders/>
            <w:vAlign w:val="center"/>
          </w:tcPr>
          <w:p>
            <w:pPr>
              <w:pStyle w:val="TableContents"/>
              <w:widowControl w:val="false"/>
              <w:suppressLineNumbers/>
              <w:spacing w:before="0" w:after="200"/>
              <w:rPr/>
            </w:pPr>
            <w:r>
              <w:rPr/>
              <w:t>It evaluates consequences across entities and time horizons, preserves rights and protected minimums, requires public justification, and treats inquiry as disciplined rather than convenient.</w:t>
            </w:r>
          </w:p>
        </w:tc>
      </w:tr>
      <w:tr>
        <w:trPr/>
        <w:tc>
          <w:tcPr>
            <w:tcW w:w="3740" w:type="dxa"/>
            <w:tcBorders/>
            <w:vAlign w:val="center"/>
          </w:tcPr>
          <w:p>
            <w:pPr>
              <w:pStyle w:val="TableContents"/>
              <w:widowControl w:val="false"/>
              <w:suppressLineNumbers/>
              <w:spacing w:before="0" w:after="200"/>
              <w:rPr/>
            </w:pPr>
            <w:r>
              <w:rPr>
                <w:rStyle w:val="Strong"/>
              </w:rPr>
              <w:t>28. Can rights and constraints be revised through experience?</w:t>
            </w:r>
          </w:p>
        </w:tc>
        <w:tc>
          <w:tcPr>
            <w:tcW w:w="4900" w:type="dxa"/>
            <w:tcBorders/>
            <w:vAlign w:val="center"/>
          </w:tcPr>
          <w:p>
            <w:pPr>
              <w:pStyle w:val="TableContents"/>
              <w:widowControl w:val="false"/>
              <w:suppressLineNumbers/>
              <w:spacing w:before="0" w:after="200"/>
              <w:rPr/>
            </w:pPr>
            <w:r>
              <w:rPr/>
              <w:t>Their interpretation and implementation can be revised, but fundamental protections should not be suspended merely because violating them appears efficient. Revision requires heightened justification and legitimate review.</w:t>
            </w:r>
          </w:p>
        </w:tc>
      </w:tr>
      <w:tr>
        <w:trPr/>
        <w:tc>
          <w:tcPr>
            <w:tcW w:w="3740" w:type="dxa"/>
            <w:tcBorders/>
            <w:vAlign w:val="center"/>
          </w:tcPr>
          <w:p>
            <w:pPr>
              <w:pStyle w:val="TableContents"/>
              <w:widowControl w:val="false"/>
              <w:suppressLineNumbers/>
              <w:spacing w:before="0" w:after="200"/>
              <w:rPr/>
            </w:pPr>
            <w:r>
              <w:rPr>
                <w:rStyle w:val="Strong"/>
              </w:rPr>
              <w:t>29. How should dissent be represented after a decision is made?</w:t>
            </w:r>
          </w:p>
        </w:tc>
        <w:tc>
          <w:tcPr>
            <w:tcW w:w="4900" w:type="dxa"/>
            <w:tcBorders/>
            <w:vAlign w:val="center"/>
          </w:tcPr>
          <w:p>
            <w:pPr>
              <w:pStyle w:val="TableContents"/>
              <w:widowControl w:val="false"/>
              <w:suppressLineNumbers/>
              <w:spacing w:before="0" w:after="200"/>
              <w:rPr/>
            </w:pPr>
            <w:r>
              <w:rPr/>
              <w:t>Minority analyses, unresolved objections, alternative models, and predicted failure modes should remain attached to the decision record and inform monitoring.</w:t>
            </w:r>
          </w:p>
        </w:tc>
      </w:tr>
      <w:tr>
        <w:trPr/>
        <w:tc>
          <w:tcPr>
            <w:tcW w:w="3740" w:type="dxa"/>
            <w:tcBorders/>
            <w:vAlign w:val="center"/>
          </w:tcPr>
          <w:p>
            <w:pPr>
              <w:pStyle w:val="TableContents"/>
              <w:widowControl w:val="false"/>
              <w:suppressLineNumbers/>
              <w:spacing w:before="0" w:after="200"/>
              <w:rPr/>
            </w:pPr>
            <w:r>
              <w:rPr>
                <w:rStyle w:val="Strong"/>
              </w:rPr>
              <w:t>30. What counts as failure?</w:t>
            </w:r>
          </w:p>
        </w:tc>
        <w:tc>
          <w:tcPr>
            <w:tcW w:w="4900" w:type="dxa"/>
            <w:tcBorders/>
            <w:vAlign w:val="center"/>
          </w:tcPr>
          <w:p>
            <w:pPr>
              <w:pStyle w:val="TableContents"/>
              <w:widowControl w:val="false"/>
              <w:suppressLineNumbers/>
              <w:spacing w:before="0" w:after="200"/>
              <w:rPr/>
            </w:pPr>
            <w:r>
              <w:rPr/>
              <w:t>Failure criteria should be specified in advance where possible and may include unacceptable harm, failure to achieve the objective, invalidated assumptions, inequitable burden distribution, or creation of more serious problems.</w:t>
            </w:r>
          </w:p>
        </w:tc>
      </w:tr>
    </w:tbl>
    <w:p>
      <w:pPr>
        <w:pStyle w:val="Heading4"/>
        <w:ind w:hanging="0" w:left="0"/>
        <w:rPr>
          <w:rFonts w:ascii="Aptos" w:hAnsi="Aptos"/>
          <w:color w:val="auto"/>
        </w:rPr>
      </w:pPr>
      <w:r>
        <w:rPr/>
        <w:t>Responses to Those Incremental Questions</w:t>
      </w:r>
    </w:p>
    <w:p>
      <w:pPr>
        <w:pStyle w:val="BodyText"/>
        <w:spacing w:before="0" w:after="200"/>
        <w:rPr/>
      </w:pPr>
      <w:r>
        <w:rPr/>
        <w:t>Collectively, these responses indicate that Pragmatist inquiry should enter the framework at five stages:</w:t>
      </w:r>
    </w:p>
    <w:p>
      <w:pPr>
        <w:pStyle w:val="BodyText"/>
        <w:numPr>
          <w:ilvl w:val="0"/>
          <w:numId w:val="97"/>
        </w:numPr>
        <w:tabs>
          <w:tab w:val="clear" w:pos="720"/>
          <w:tab w:val="left" w:pos="0" w:leader="none"/>
        </w:tabs>
        <w:spacing w:before="0" w:after="200"/>
        <w:ind w:hanging="283" w:left="709"/>
        <w:rPr/>
      </w:pPr>
      <w:r>
        <w:rPr>
          <w:rStyle w:val="Strong"/>
        </w:rPr>
        <w:t>Problem formation:</w:t>
      </w:r>
      <w:r>
        <w:rPr/>
        <w:t xml:space="preserve"> Determine who identified the problem, whose experiences informed it, and which alternative formulations were considered.</w:t>
      </w:r>
    </w:p>
    <w:p>
      <w:pPr>
        <w:pStyle w:val="BodyText"/>
        <w:numPr>
          <w:ilvl w:val="0"/>
          <w:numId w:val="97"/>
        </w:numPr>
        <w:tabs>
          <w:tab w:val="clear" w:pos="720"/>
          <w:tab w:val="left" w:pos="0" w:leader="none"/>
        </w:tabs>
        <w:spacing w:before="0" w:after="200"/>
        <w:ind w:hanging="283" w:left="709"/>
        <w:rPr/>
      </w:pPr>
      <w:r>
        <w:rPr>
          <w:rStyle w:val="Strong"/>
        </w:rPr>
        <w:t>Hypothesis generation:</w:t>
      </w:r>
      <w:r>
        <w:rPr/>
        <w:t xml:space="preserve"> Treat objectives, causal explanations, and proposed actions as provisional hypotheses.</w:t>
      </w:r>
    </w:p>
    <w:p>
      <w:pPr>
        <w:pStyle w:val="BodyText"/>
        <w:numPr>
          <w:ilvl w:val="0"/>
          <w:numId w:val="97"/>
        </w:numPr>
        <w:tabs>
          <w:tab w:val="clear" w:pos="720"/>
          <w:tab w:val="left" w:pos="0" w:leader="none"/>
        </w:tabs>
        <w:spacing w:before="0" w:after="200"/>
        <w:ind w:hanging="283" w:left="709"/>
        <w:rPr/>
      </w:pPr>
      <w:r>
        <w:rPr>
          <w:rStyle w:val="Strong"/>
        </w:rPr>
        <w:t>Constrained experimentation:</w:t>
      </w:r>
      <w:r>
        <w:rPr/>
        <w:t xml:space="preserve"> Use evidence-based, proportionate, and reversible interventions where learning through action is necessary.</w:t>
      </w:r>
    </w:p>
    <w:p>
      <w:pPr>
        <w:pStyle w:val="BodyText"/>
        <w:numPr>
          <w:ilvl w:val="0"/>
          <w:numId w:val="97"/>
        </w:numPr>
        <w:tabs>
          <w:tab w:val="clear" w:pos="720"/>
          <w:tab w:val="left" w:pos="0" w:leader="none"/>
        </w:tabs>
        <w:spacing w:before="0" w:after="200"/>
        <w:ind w:hanging="283" w:left="709"/>
        <w:rPr/>
      </w:pPr>
      <w:r>
        <w:rPr>
          <w:rStyle w:val="Strong"/>
        </w:rPr>
        <w:t>Consequence observation:</w:t>
      </w:r>
      <w:r>
        <w:rPr/>
        <w:t xml:space="preserve"> Compare predicted and observed transitions using quantitative indicators, qualitative experience, and affected-party feedback.</w:t>
      </w:r>
    </w:p>
    <w:p>
      <w:pPr>
        <w:pStyle w:val="BodyText"/>
        <w:numPr>
          <w:ilvl w:val="0"/>
          <w:numId w:val="97"/>
        </w:numPr>
        <w:tabs>
          <w:tab w:val="clear" w:pos="720"/>
          <w:tab w:val="left" w:pos="0" w:leader="none"/>
        </w:tabs>
        <w:spacing w:before="0" w:after="200"/>
        <w:ind w:hanging="283" w:left="709"/>
        <w:rPr/>
      </w:pPr>
      <w:r>
        <w:rPr>
          <w:rStyle w:val="Strong"/>
        </w:rPr>
        <w:t>Institutional revision:</w:t>
      </w:r>
      <w:r>
        <w:rPr/>
        <w:t xml:space="preserve"> Update models, objectives, responsibilities, procedures, and recurring policies in response to what was learned.</w:t>
      </w:r>
    </w:p>
    <w:p>
      <w:pPr>
        <w:pStyle w:val="BodyText"/>
        <w:spacing w:before="0" w:after="200"/>
        <w:rPr/>
      </w:pPr>
      <w:r>
        <w:rPr/>
        <w:t>A Pragmatist-sensitive assessment should produce a separate inquiry-quality finding containing:</w:t>
      </w:r>
    </w:p>
    <w:p>
      <w:pPr>
        <w:pStyle w:val="BodyText"/>
        <w:numPr>
          <w:ilvl w:val="0"/>
          <w:numId w:val="98"/>
        </w:numPr>
        <w:tabs>
          <w:tab w:val="clear" w:pos="720"/>
          <w:tab w:val="left" w:pos="0" w:leader="none"/>
        </w:tabs>
        <w:spacing w:before="0" w:after="200"/>
        <w:ind w:hanging="283" w:left="709"/>
        <w:rPr/>
      </w:pPr>
      <w:r>
        <w:rPr/>
        <w:t>The problematic situation and competing definitions;</w:t>
      </w:r>
    </w:p>
    <w:p>
      <w:pPr>
        <w:pStyle w:val="BodyText"/>
        <w:numPr>
          <w:ilvl w:val="0"/>
          <w:numId w:val="98"/>
        </w:numPr>
        <w:tabs>
          <w:tab w:val="clear" w:pos="720"/>
          <w:tab w:val="left" w:pos="0" w:leader="none"/>
        </w:tabs>
        <w:spacing w:before="0" w:after="200"/>
        <w:ind w:hanging="283" w:left="709"/>
        <w:rPr/>
      </w:pPr>
      <w:r>
        <w:rPr/>
        <w:t>Participants in defining the problem;</w:t>
      </w:r>
    </w:p>
    <w:p>
      <w:pPr>
        <w:pStyle w:val="BodyText"/>
        <w:numPr>
          <w:ilvl w:val="0"/>
          <w:numId w:val="98"/>
        </w:numPr>
        <w:tabs>
          <w:tab w:val="clear" w:pos="720"/>
          <w:tab w:val="left" w:pos="0" w:leader="none"/>
        </w:tabs>
        <w:spacing w:before="0" w:after="200"/>
        <w:ind w:hanging="283" w:left="709"/>
        <w:rPr/>
      </w:pPr>
      <w:r>
        <w:rPr/>
        <w:t>Affected entities and excluded perspectives;</w:t>
      </w:r>
    </w:p>
    <w:p>
      <w:pPr>
        <w:pStyle w:val="BodyText"/>
        <w:numPr>
          <w:ilvl w:val="0"/>
          <w:numId w:val="98"/>
        </w:numPr>
        <w:tabs>
          <w:tab w:val="clear" w:pos="720"/>
          <w:tab w:val="left" w:pos="0" w:leader="none"/>
        </w:tabs>
        <w:spacing w:before="0" w:after="200"/>
        <w:ind w:hanging="283" w:left="709"/>
        <w:rPr/>
      </w:pPr>
      <w:r>
        <w:rPr/>
        <w:t>Candidate explanations and actions;</w:t>
      </w:r>
    </w:p>
    <w:p>
      <w:pPr>
        <w:pStyle w:val="BodyText"/>
        <w:numPr>
          <w:ilvl w:val="0"/>
          <w:numId w:val="98"/>
        </w:numPr>
        <w:tabs>
          <w:tab w:val="clear" w:pos="720"/>
          <w:tab w:val="left" w:pos="0" w:leader="none"/>
        </w:tabs>
        <w:spacing w:before="0" w:after="200"/>
        <w:ind w:hanging="283" w:left="709"/>
        <w:rPr/>
      </w:pPr>
      <w:r>
        <w:rPr/>
        <w:t>Evidence and source provenance;</w:t>
      </w:r>
    </w:p>
    <w:p>
      <w:pPr>
        <w:pStyle w:val="BodyText"/>
        <w:numPr>
          <w:ilvl w:val="0"/>
          <w:numId w:val="98"/>
        </w:numPr>
        <w:tabs>
          <w:tab w:val="clear" w:pos="720"/>
          <w:tab w:val="left" w:pos="0" w:leader="none"/>
        </w:tabs>
        <w:spacing w:before="0" w:after="200"/>
        <w:ind w:hanging="283" w:left="709"/>
        <w:rPr/>
      </w:pPr>
      <w:r>
        <w:rPr/>
        <w:t>Uncertainty and unresolved disagreement;</w:t>
      </w:r>
    </w:p>
    <w:p>
      <w:pPr>
        <w:pStyle w:val="BodyText"/>
        <w:numPr>
          <w:ilvl w:val="0"/>
          <w:numId w:val="98"/>
        </w:numPr>
        <w:tabs>
          <w:tab w:val="clear" w:pos="720"/>
          <w:tab w:val="left" w:pos="0" w:leader="none"/>
        </w:tabs>
        <w:spacing w:before="0" w:after="200"/>
        <w:ind w:hanging="283" w:left="709"/>
        <w:rPr/>
      </w:pPr>
      <w:r>
        <w:rPr/>
        <w:t>The provisional end-in-view;</w:t>
      </w:r>
    </w:p>
    <w:p>
      <w:pPr>
        <w:pStyle w:val="BodyText"/>
        <w:numPr>
          <w:ilvl w:val="0"/>
          <w:numId w:val="98"/>
        </w:numPr>
        <w:tabs>
          <w:tab w:val="clear" w:pos="720"/>
          <w:tab w:val="left" w:pos="0" w:leader="none"/>
        </w:tabs>
        <w:spacing w:before="0" w:after="200"/>
        <w:ind w:hanging="283" w:left="709"/>
        <w:rPr/>
      </w:pPr>
      <w:r>
        <w:rPr/>
        <w:t>Predicted practical consequences;</w:t>
      </w:r>
    </w:p>
    <w:p>
      <w:pPr>
        <w:pStyle w:val="BodyText"/>
        <w:numPr>
          <w:ilvl w:val="0"/>
          <w:numId w:val="98"/>
        </w:numPr>
        <w:tabs>
          <w:tab w:val="clear" w:pos="720"/>
          <w:tab w:val="left" w:pos="0" w:leader="none"/>
        </w:tabs>
        <w:spacing w:before="0" w:after="200"/>
        <w:ind w:hanging="283" w:left="709"/>
        <w:rPr/>
      </w:pPr>
      <w:r>
        <w:rPr/>
        <w:t>Experimentation and reversibility conditions;</w:t>
      </w:r>
    </w:p>
    <w:p>
      <w:pPr>
        <w:pStyle w:val="BodyText"/>
        <w:numPr>
          <w:ilvl w:val="0"/>
          <w:numId w:val="98"/>
        </w:numPr>
        <w:tabs>
          <w:tab w:val="clear" w:pos="720"/>
          <w:tab w:val="left" w:pos="0" w:leader="none"/>
        </w:tabs>
        <w:spacing w:before="0" w:after="200"/>
        <w:ind w:hanging="283" w:left="709"/>
        <w:rPr/>
      </w:pPr>
      <w:r>
        <w:rPr/>
        <w:t>Rights and protected constraints;</w:t>
      </w:r>
    </w:p>
    <w:p>
      <w:pPr>
        <w:pStyle w:val="BodyText"/>
        <w:numPr>
          <w:ilvl w:val="0"/>
          <w:numId w:val="98"/>
        </w:numPr>
        <w:tabs>
          <w:tab w:val="clear" w:pos="720"/>
          <w:tab w:val="left" w:pos="0" w:leader="none"/>
        </w:tabs>
        <w:spacing w:before="0" w:after="200"/>
        <w:ind w:hanging="283" w:left="709"/>
        <w:rPr/>
      </w:pPr>
      <w:r>
        <w:rPr/>
        <w:t>Monitoring responsibilities;</w:t>
      </w:r>
    </w:p>
    <w:p>
      <w:pPr>
        <w:pStyle w:val="BodyText"/>
        <w:numPr>
          <w:ilvl w:val="0"/>
          <w:numId w:val="98"/>
        </w:numPr>
        <w:tabs>
          <w:tab w:val="clear" w:pos="720"/>
          <w:tab w:val="left" w:pos="0" w:leader="none"/>
        </w:tabs>
        <w:spacing w:before="0" w:after="200"/>
        <w:ind w:hanging="283" w:left="709"/>
        <w:rPr/>
      </w:pPr>
      <w:r>
        <w:rPr/>
        <w:t>Stop, continue, and revision thresholds;</w:t>
      </w:r>
    </w:p>
    <w:p>
      <w:pPr>
        <w:pStyle w:val="BodyText"/>
        <w:numPr>
          <w:ilvl w:val="0"/>
          <w:numId w:val="98"/>
        </w:numPr>
        <w:tabs>
          <w:tab w:val="clear" w:pos="720"/>
          <w:tab w:val="left" w:pos="0" w:leader="none"/>
        </w:tabs>
        <w:spacing w:before="0" w:after="200"/>
        <w:ind w:hanging="283" w:left="709"/>
        <w:rPr/>
      </w:pPr>
      <w:r>
        <w:rPr/>
        <w:t>Predicted and observed differences;</w:t>
      </w:r>
    </w:p>
    <w:p>
      <w:pPr>
        <w:pStyle w:val="BodyText"/>
        <w:numPr>
          <w:ilvl w:val="0"/>
          <w:numId w:val="98"/>
        </w:numPr>
        <w:tabs>
          <w:tab w:val="clear" w:pos="720"/>
          <w:tab w:val="left" w:pos="0" w:leader="none"/>
        </w:tabs>
        <w:spacing w:before="0" w:after="200"/>
        <w:ind w:hanging="283" w:left="709"/>
        <w:rPr/>
      </w:pPr>
      <w:r>
        <w:rPr/>
        <w:t>Dissenting conclusions;</w:t>
      </w:r>
    </w:p>
    <w:p>
      <w:pPr>
        <w:pStyle w:val="BodyText"/>
        <w:numPr>
          <w:ilvl w:val="0"/>
          <w:numId w:val="98"/>
        </w:numPr>
        <w:tabs>
          <w:tab w:val="clear" w:pos="720"/>
          <w:tab w:val="left" w:pos="0" w:leader="none"/>
        </w:tabs>
        <w:spacing w:before="0" w:after="200"/>
        <w:ind w:hanging="283" w:left="709"/>
        <w:rPr/>
      </w:pPr>
      <w:r>
        <w:rPr/>
        <w:t>Institutional learning obligations; and</w:t>
      </w:r>
    </w:p>
    <w:p>
      <w:pPr>
        <w:pStyle w:val="BodyText"/>
        <w:numPr>
          <w:ilvl w:val="0"/>
          <w:numId w:val="98"/>
        </w:numPr>
        <w:tabs>
          <w:tab w:val="clear" w:pos="720"/>
          <w:tab w:val="left" w:pos="0" w:leader="none"/>
        </w:tabs>
        <w:spacing w:before="0" w:after="200"/>
        <w:ind w:hanging="283" w:left="709"/>
        <w:rPr/>
      </w:pPr>
      <w:r>
        <w:rPr/>
        <w:t>The date or conditions for reassessment.</w:t>
      </w:r>
    </w:p>
    <w:p>
      <w:pPr>
        <w:pStyle w:val="BodyText"/>
        <w:spacing w:before="0" w:after="200"/>
        <w:rPr/>
      </w:pPr>
      <w:r>
        <w:rPr/>
        <w:t>This finding should accompany the ethical conclusion. An action may be justified under current evidence while remaining experimental and subject to revision. Conversely, an action may produce an initially favorable result while failing the inquiry-quality assessment because evidence was concealed, affected parties were excluded, or success criteria were changed after implementation.</w:t>
      </w:r>
    </w:p>
    <w:p>
      <w:pPr>
        <w:pStyle w:val="Heading4"/>
        <w:ind w:hanging="0" w:left="0"/>
        <w:rPr>
          <w:rFonts w:ascii="Aptos" w:hAnsi="Aptos"/>
          <w:color w:val="auto"/>
        </w:rPr>
      </w:pPr>
      <w:r>
        <w:rPr/>
        <w:t>Remaining Open Issues</w:t>
      </w:r>
    </w:p>
    <w:p>
      <w:pPr>
        <w:pStyle w:val="BodyText"/>
        <w:spacing w:before="0" w:after="200"/>
        <w:rPr/>
      </w:pPr>
      <w:r>
        <w:rPr/>
        <w:t>Several issues require further development before Pragmatism can be considered fully integrated:</w:t>
      </w:r>
    </w:p>
    <w:p>
      <w:pPr>
        <w:pStyle w:val="BodyText"/>
        <w:numPr>
          <w:ilvl w:val="0"/>
          <w:numId w:val="99"/>
        </w:numPr>
        <w:tabs>
          <w:tab w:val="clear" w:pos="720"/>
          <w:tab w:val="left" w:pos="0" w:leader="none"/>
        </w:tabs>
        <w:spacing w:before="0" w:after="200"/>
        <w:ind w:hanging="283" w:left="709"/>
        <w:rPr/>
      </w:pPr>
      <w:r>
        <w:rPr>
          <w:rStyle w:val="Strong"/>
        </w:rPr>
        <w:t>Foundationalism and fallibilism:</w:t>
      </w:r>
      <w:r>
        <w:rPr/>
        <w:t xml:space="preserve"> The framework must clarify which commitments are fixed and which remain revisable.</w:t>
      </w:r>
    </w:p>
    <w:p>
      <w:pPr>
        <w:pStyle w:val="BodyText"/>
        <w:numPr>
          <w:ilvl w:val="0"/>
          <w:numId w:val="99"/>
        </w:numPr>
        <w:tabs>
          <w:tab w:val="clear" w:pos="720"/>
          <w:tab w:val="left" w:pos="0" w:leader="none"/>
        </w:tabs>
        <w:spacing w:before="0" w:after="200"/>
        <w:ind w:hanging="283" w:left="709"/>
        <w:rPr/>
      </w:pPr>
      <w:r>
        <w:rPr>
          <w:rStyle w:val="Strong"/>
        </w:rPr>
        <w:t>Operational meaning of flourishing:</w:t>
      </w:r>
      <w:r>
        <w:rPr/>
        <w:t xml:space="preserve"> Practical indicators must be sufficiently concrete without reducing flourishing to a narrow metric.</w:t>
      </w:r>
    </w:p>
    <w:p>
      <w:pPr>
        <w:pStyle w:val="BodyText"/>
        <w:numPr>
          <w:ilvl w:val="0"/>
          <w:numId w:val="99"/>
        </w:numPr>
        <w:tabs>
          <w:tab w:val="clear" w:pos="720"/>
          <w:tab w:val="left" w:pos="0" w:leader="none"/>
        </w:tabs>
        <w:spacing w:before="0" w:after="200"/>
        <w:ind w:hanging="283" w:left="709"/>
        <w:rPr/>
      </w:pPr>
      <w:r>
        <w:rPr>
          <w:rStyle w:val="Strong"/>
        </w:rPr>
        <w:t>Criteria for successful inquiry:</w:t>
      </w:r>
      <w:r>
        <w:rPr/>
        <w:t xml:space="preserve"> The framework requires standards for determining when evidence is sufficient and when further investigation is necessary.</w:t>
      </w:r>
    </w:p>
    <w:p>
      <w:pPr>
        <w:pStyle w:val="BodyText"/>
        <w:numPr>
          <w:ilvl w:val="0"/>
          <w:numId w:val="99"/>
        </w:numPr>
        <w:tabs>
          <w:tab w:val="clear" w:pos="720"/>
          <w:tab w:val="left" w:pos="0" w:leader="none"/>
        </w:tabs>
        <w:spacing w:before="0" w:after="200"/>
        <w:ind w:hanging="283" w:left="709"/>
        <w:rPr/>
      </w:pPr>
      <w:r>
        <w:rPr>
          <w:rStyle w:val="Strong"/>
        </w:rPr>
        <w:t>Problem-definition authority:</w:t>
      </w:r>
      <w:r>
        <w:rPr/>
        <w:t xml:space="preserve"> Powerful actors may define problems in ways that protect their interests and exclude alternative interpretations.</w:t>
      </w:r>
    </w:p>
    <w:p>
      <w:pPr>
        <w:pStyle w:val="BodyText"/>
        <w:numPr>
          <w:ilvl w:val="0"/>
          <w:numId w:val="99"/>
        </w:numPr>
        <w:tabs>
          <w:tab w:val="clear" w:pos="720"/>
          <w:tab w:val="left" w:pos="0" w:leader="none"/>
        </w:tabs>
        <w:spacing w:before="0" w:after="200"/>
        <w:ind w:hanging="283" w:left="709"/>
        <w:rPr/>
      </w:pPr>
      <w:r>
        <w:rPr>
          <w:rStyle w:val="Strong"/>
        </w:rPr>
        <w:t>Affected-party participation:</w:t>
      </w:r>
      <w:r>
        <w:rPr/>
        <w:t xml:space="preserve"> Procedures are needed to identify relevant participants, reduce barriers, and prevent participation from becoming symbolic.</w:t>
      </w:r>
    </w:p>
    <w:p>
      <w:pPr>
        <w:pStyle w:val="BodyText"/>
        <w:numPr>
          <w:ilvl w:val="0"/>
          <w:numId w:val="99"/>
        </w:numPr>
        <w:tabs>
          <w:tab w:val="clear" w:pos="720"/>
          <w:tab w:val="left" w:pos="0" w:leader="none"/>
        </w:tabs>
        <w:spacing w:before="0" w:after="200"/>
        <w:ind w:hanging="283" w:left="709"/>
        <w:rPr/>
      </w:pPr>
      <w:r>
        <w:rPr>
          <w:rStyle w:val="Strong"/>
        </w:rPr>
        <w:t>Expertise and democratic knowledge:</w:t>
      </w:r>
      <w:r>
        <w:rPr/>
        <w:t xml:space="preserve"> The framework must balance technical competence with the lived experience of affected communities.</w:t>
      </w:r>
    </w:p>
    <w:p>
      <w:pPr>
        <w:pStyle w:val="BodyText"/>
        <w:numPr>
          <w:ilvl w:val="0"/>
          <w:numId w:val="99"/>
        </w:numPr>
        <w:tabs>
          <w:tab w:val="clear" w:pos="720"/>
          <w:tab w:val="left" w:pos="0" w:leader="none"/>
        </w:tabs>
        <w:spacing w:before="0" w:after="200"/>
        <w:ind w:hanging="283" w:left="709"/>
        <w:rPr/>
      </w:pPr>
      <w:r>
        <w:rPr>
          <w:rStyle w:val="Strong"/>
        </w:rPr>
        <w:t>Representation of nonparticipants:</w:t>
      </w:r>
      <w:r>
        <w:rPr/>
        <w:t xml:space="preserve"> Future persons, nonhuman entities, children, and others unable to participate require defensible representation.</w:t>
      </w:r>
    </w:p>
    <w:p>
      <w:pPr>
        <w:pStyle w:val="BodyText"/>
        <w:numPr>
          <w:ilvl w:val="0"/>
          <w:numId w:val="99"/>
        </w:numPr>
        <w:tabs>
          <w:tab w:val="clear" w:pos="720"/>
          <w:tab w:val="left" w:pos="0" w:leader="none"/>
        </w:tabs>
        <w:spacing w:before="0" w:after="200"/>
        <w:ind w:hanging="283" w:left="709"/>
        <w:rPr/>
      </w:pPr>
      <w:r>
        <w:rPr>
          <w:rStyle w:val="Strong"/>
        </w:rPr>
        <w:t>Ethics of experimentation:</w:t>
      </w:r>
      <w:r>
        <w:rPr/>
        <w:t xml:space="preserve"> Consent, risk, reversibility, and burden allocation require explicit safeguards.</w:t>
      </w:r>
    </w:p>
    <w:p>
      <w:pPr>
        <w:pStyle w:val="BodyText"/>
        <w:numPr>
          <w:ilvl w:val="0"/>
          <w:numId w:val="99"/>
        </w:numPr>
        <w:tabs>
          <w:tab w:val="clear" w:pos="720"/>
          <w:tab w:val="left" w:pos="0" w:leader="none"/>
        </w:tabs>
        <w:spacing w:before="0" w:after="200"/>
        <w:ind w:hanging="283" w:left="709"/>
        <w:rPr/>
      </w:pPr>
      <w:r>
        <w:rPr>
          <w:rStyle w:val="Strong"/>
        </w:rPr>
        <w:t>Action under uncertainty:</w:t>
      </w:r>
      <w:r>
        <w:rPr/>
        <w:t xml:space="preserve"> The framework needs defensible thresholds for acting, delaying, piloting, or declining an intervention.</w:t>
      </w:r>
    </w:p>
    <w:p>
      <w:pPr>
        <w:pStyle w:val="BodyText"/>
        <w:numPr>
          <w:ilvl w:val="0"/>
          <w:numId w:val="99"/>
        </w:numPr>
        <w:tabs>
          <w:tab w:val="clear" w:pos="720"/>
          <w:tab w:val="left" w:pos="0" w:leader="none"/>
        </w:tabs>
        <w:spacing w:before="0" w:after="200"/>
        <w:ind w:hanging="283" w:left="709"/>
        <w:rPr/>
      </w:pPr>
      <w:r>
        <w:rPr>
          <w:rStyle w:val="Strong"/>
        </w:rPr>
        <w:t>Qualitative evidence:</w:t>
      </w:r>
      <w:r>
        <w:rPr/>
        <w:t xml:space="preserve"> Methods are required for preserving narrative and experiential meaning without arbitrary interpretation.</w:t>
      </w:r>
    </w:p>
    <w:p>
      <w:pPr>
        <w:pStyle w:val="BodyText"/>
        <w:numPr>
          <w:ilvl w:val="0"/>
          <w:numId w:val="99"/>
        </w:numPr>
        <w:tabs>
          <w:tab w:val="clear" w:pos="720"/>
          <w:tab w:val="left" w:pos="0" w:leader="none"/>
        </w:tabs>
        <w:spacing w:before="0" w:after="200"/>
        <w:ind w:hanging="283" w:left="709"/>
        <w:rPr/>
      </w:pPr>
      <w:r>
        <w:rPr>
          <w:rStyle w:val="Strong"/>
        </w:rPr>
        <w:t>Long-term validation:</w:t>
      </w:r>
      <w:r>
        <w:rPr/>
        <w:t xml:space="preserve"> Many predictions cannot be tested within the decision-makers’ lifetimes or institutional mandates.</w:t>
      </w:r>
    </w:p>
    <w:p>
      <w:pPr>
        <w:pStyle w:val="BodyText"/>
        <w:numPr>
          <w:ilvl w:val="0"/>
          <w:numId w:val="99"/>
        </w:numPr>
        <w:tabs>
          <w:tab w:val="clear" w:pos="720"/>
          <w:tab w:val="left" w:pos="0" w:leader="none"/>
        </w:tabs>
        <w:spacing w:before="0" w:after="200"/>
        <w:ind w:hanging="283" w:left="709"/>
        <w:rPr/>
      </w:pPr>
      <w:r>
        <w:rPr>
          <w:rStyle w:val="Strong"/>
        </w:rPr>
        <w:t>Model revision:</w:t>
      </w:r>
      <w:r>
        <w:rPr/>
        <w:t xml:space="preserve"> Updating assumptions and categories must preserve historical accountability and comparability across versions.</w:t>
      </w:r>
    </w:p>
    <w:p>
      <w:pPr>
        <w:pStyle w:val="BodyText"/>
        <w:numPr>
          <w:ilvl w:val="0"/>
          <w:numId w:val="99"/>
        </w:numPr>
        <w:tabs>
          <w:tab w:val="clear" w:pos="720"/>
          <w:tab w:val="left" w:pos="0" w:leader="none"/>
        </w:tabs>
        <w:spacing w:before="0" w:after="200"/>
        <w:ind w:hanging="283" w:left="709"/>
        <w:rPr/>
      </w:pPr>
      <w:r>
        <w:rPr>
          <w:rStyle w:val="Strong"/>
        </w:rPr>
        <w:t>Institutional learning:</w:t>
      </w:r>
      <w:r>
        <w:rPr/>
        <w:t xml:space="preserve"> Organizations may collect feedback without altering incentives, authority, or recurring behavior.</w:t>
      </w:r>
    </w:p>
    <w:p>
      <w:pPr>
        <w:pStyle w:val="BodyText"/>
        <w:numPr>
          <w:ilvl w:val="0"/>
          <w:numId w:val="99"/>
        </w:numPr>
        <w:tabs>
          <w:tab w:val="clear" w:pos="720"/>
          <w:tab w:val="left" w:pos="0" w:leader="none"/>
        </w:tabs>
        <w:spacing w:before="0" w:after="200"/>
        <w:ind w:hanging="283" w:left="709"/>
        <w:rPr/>
      </w:pPr>
      <w:r>
        <w:rPr>
          <w:rStyle w:val="Strong"/>
        </w:rPr>
        <w:t>Preservation of dissent:</w:t>
      </w:r>
      <w:r>
        <w:rPr/>
        <w:t xml:space="preserve"> Minority interpretations may become essential when the dominant model later fails.</w:t>
      </w:r>
    </w:p>
    <w:p>
      <w:pPr>
        <w:pStyle w:val="BodyText"/>
        <w:numPr>
          <w:ilvl w:val="0"/>
          <w:numId w:val="99"/>
        </w:numPr>
        <w:tabs>
          <w:tab w:val="clear" w:pos="720"/>
          <w:tab w:val="left" w:pos="0" w:leader="none"/>
        </w:tabs>
        <w:spacing w:before="0" w:after="200"/>
        <w:ind w:hanging="283" w:left="709"/>
        <w:rPr/>
      </w:pPr>
      <w:r>
        <w:rPr>
          <w:rStyle w:val="Strong"/>
        </w:rPr>
        <w:t>Pluralism and decision closure:</w:t>
      </w:r>
      <w:r>
        <w:rPr/>
        <w:t xml:space="preserve"> The framework must allow multiple perspectives while still reaching timely decisions.</w:t>
      </w:r>
    </w:p>
    <w:p>
      <w:pPr>
        <w:pStyle w:val="BodyText"/>
        <w:numPr>
          <w:ilvl w:val="0"/>
          <w:numId w:val="99"/>
        </w:numPr>
        <w:tabs>
          <w:tab w:val="clear" w:pos="720"/>
          <w:tab w:val="left" w:pos="0" w:leader="none"/>
        </w:tabs>
        <w:spacing w:before="0" w:after="200"/>
        <w:ind w:hanging="283" w:left="709"/>
        <w:rPr/>
      </w:pPr>
      <w:r>
        <w:rPr>
          <w:rStyle w:val="Strong"/>
        </w:rPr>
        <w:t>Metrics and gaming:</w:t>
      </w:r>
      <w:r>
        <w:rPr/>
        <w:t xml:space="preserve"> Once indicators become decision targets, institutions may optimize the measurement rather than the underlying condition.</w:t>
      </w:r>
    </w:p>
    <w:p>
      <w:pPr>
        <w:pStyle w:val="BodyText"/>
        <w:numPr>
          <w:ilvl w:val="0"/>
          <w:numId w:val="99"/>
        </w:numPr>
        <w:tabs>
          <w:tab w:val="clear" w:pos="720"/>
          <w:tab w:val="left" w:pos="0" w:leader="none"/>
        </w:tabs>
        <w:spacing w:before="0" w:after="200"/>
        <w:ind w:hanging="283" w:left="709"/>
        <w:rPr/>
      </w:pPr>
      <w:r>
        <w:rPr>
          <w:rStyle w:val="Strong"/>
        </w:rPr>
        <w:t>False precision:</w:t>
      </w:r>
      <w:r>
        <w:rPr/>
        <w:t xml:space="preserve"> Computational outputs may communicate more certainty than the underlying evidence supports.</w:t>
      </w:r>
    </w:p>
    <w:p>
      <w:pPr>
        <w:pStyle w:val="BodyText"/>
        <w:numPr>
          <w:ilvl w:val="0"/>
          <w:numId w:val="99"/>
        </w:numPr>
        <w:tabs>
          <w:tab w:val="clear" w:pos="720"/>
          <w:tab w:val="left" w:pos="0" w:leader="none"/>
        </w:tabs>
        <w:spacing w:before="0" w:after="200"/>
        <w:ind w:hanging="283" w:left="709"/>
        <w:rPr/>
      </w:pPr>
      <w:r>
        <w:rPr>
          <w:rStyle w:val="Strong"/>
        </w:rPr>
        <w:t>Democratic legitimacy:</w:t>
      </w:r>
      <w:r>
        <w:rPr/>
        <w:t xml:space="preserve"> Participation can improve inquiry but does not guarantee justice or ethical validity.</w:t>
      </w:r>
    </w:p>
    <w:p>
      <w:pPr>
        <w:pStyle w:val="BodyText"/>
        <w:numPr>
          <w:ilvl w:val="0"/>
          <w:numId w:val="99"/>
        </w:numPr>
        <w:tabs>
          <w:tab w:val="clear" w:pos="720"/>
          <w:tab w:val="left" w:pos="0" w:leader="none"/>
        </w:tabs>
        <w:spacing w:before="0" w:after="200"/>
        <w:ind w:hanging="283" w:left="709"/>
        <w:rPr/>
      </w:pPr>
      <w:r>
        <w:rPr>
          <w:rStyle w:val="Strong"/>
        </w:rPr>
        <w:t>Rights and revision:</w:t>
      </w:r>
      <w:r>
        <w:rPr/>
        <w:t xml:space="preserve"> The framework must determine which protections remain stable when experience appears to support exceptions.</w:t>
      </w:r>
    </w:p>
    <w:p>
      <w:pPr>
        <w:pStyle w:val="BodyText"/>
        <w:numPr>
          <w:ilvl w:val="0"/>
          <w:numId w:val="99"/>
        </w:numPr>
        <w:tabs>
          <w:tab w:val="clear" w:pos="720"/>
          <w:tab w:val="left" w:pos="0" w:leader="none"/>
        </w:tabs>
        <w:spacing w:before="0" w:after="200"/>
        <w:ind w:hanging="283" w:left="709"/>
        <w:rPr/>
      </w:pPr>
      <w:r>
        <w:rPr>
          <w:rStyle w:val="Strong"/>
        </w:rPr>
        <w:t>Moral progress:</w:t>
      </w:r>
      <w:r>
        <w:rPr/>
        <w:t xml:space="preserve"> A standard is needed for distinguishing genuine ethical improvement from adaptation to harmful conditions.</w:t>
      </w:r>
    </w:p>
    <w:p>
      <w:pPr>
        <w:pStyle w:val="BodyText"/>
        <w:numPr>
          <w:ilvl w:val="0"/>
          <w:numId w:val="99"/>
        </w:numPr>
        <w:tabs>
          <w:tab w:val="clear" w:pos="720"/>
          <w:tab w:val="left" w:pos="0" w:leader="none"/>
        </w:tabs>
        <w:spacing w:before="0" w:after="200"/>
        <w:ind w:hanging="283" w:left="709"/>
        <w:rPr/>
      </w:pPr>
      <w:r>
        <w:rPr>
          <w:rStyle w:val="Strong"/>
        </w:rPr>
        <w:t>Stopping rules:</w:t>
      </w:r>
      <w:r>
        <w:rPr/>
        <w:t xml:space="preserve"> Continuing inquiry indefinitely can delay needed action, while premature closure can preserve serious error.</w:t>
      </w:r>
    </w:p>
    <w:p>
      <w:pPr>
        <w:pStyle w:val="BodyText"/>
        <w:spacing w:before="0" w:after="200"/>
        <w:rPr/>
      </w:pPr>
      <w:r>
        <w:rPr/>
        <w:t>The central unresolved question is whether this framework is a final architecture for moral reasoning or a revisable instrument within an ongoing process of ethical inquiry. A Pragmatist can reasonably criticize the framework if its definitions and models become insulated from experience. The framework can reasonably criticize Pragmatism if experimentation and practical success lack stable protections for affected entities. The strongest integration is therefore a constrained, participatory, and self-correcting inquiry process operating within a stable commitment to compatible Long-Term Flourishing.</w:t>
      </w:r>
    </w:p>
    <w:p>
      <w:pPr>
        <w:pStyle w:val="Heading3"/>
        <w:ind w:hanging="0" w:left="0"/>
        <w:rPr/>
      </w:pPr>
      <w:r>
        <w:rPr/>
        <w:t>Contractarianism / Social Contract Theory</w:t>
      </w:r>
    </w:p>
    <w:p>
      <w:pPr>
        <w:pStyle w:val="Heading4"/>
        <w:ind w:hanging="0" w:left="0"/>
        <w:rPr>
          <w:rFonts w:ascii="Aptos" w:hAnsi="Aptos"/>
          <w:color w:val="auto"/>
        </w:rPr>
      </w:pPr>
      <w:r>
        <w:rPr/>
        <w:t>Questioning Argument</w:t>
      </w:r>
    </w:p>
    <w:p>
      <w:pPr>
        <w:pStyle w:val="BodyText"/>
        <w:spacing w:before="0" w:after="200"/>
        <w:rPr/>
      </w:pPr>
      <w:r>
        <w:rPr/>
        <w:t>A social-contract theorist may argue that this framework imposes a substantive conception of Long-Term Flourishing on moral agents who have not agreed to it. The Foundational Axiom identifies what the system will preserve and promote, but it does not establish why free and equal persons should regard that axiom—or the institutions applying it—as legitimate.</w:t>
      </w:r>
    </w:p>
    <w:p>
      <w:pPr>
        <w:pStyle w:val="BodyText"/>
        <w:spacing w:before="0" w:after="200"/>
        <w:rPr/>
      </w:pPr>
      <w:r>
        <w:rPr/>
        <w:t>The critic may ask:</w:t>
      </w:r>
    </w:p>
    <w:p>
      <w:pPr>
        <w:pStyle w:val="BlockQuotation"/>
        <w:spacing w:before="0" w:after="200"/>
        <w:rPr/>
      </w:pPr>
      <w:r>
        <w:rPr/>
        <w:t>Why should persons be bound by a framework that evaluates and limits their objectives according to a conception of flourishing they did not choose, authorize, or have a meaningful opportunity to reject?</w:t>
      </w:r>
    </w:p>
    <w:p>
      <w:pPr>
        <w:pStyle w:val="BodyText"/>
        <w:spacing w:before="0" w:after="200"/>
        <w:rPr/>
      </w:pPr>
      <w:r>
        <w:rPr/>
        <w:t>This concern is especially significant when the framework is used by governments, organizations, or artificial systems with coercive authority. A computational assessment may identify an action as beneficial to the wider World Context while restricting the liberty, property, privacy, or political participation of particular persons. Without consent, public justification, fair representation, and legitimate procedures, the framework could become a form of technocratic paternalism.</w:t>
      </w:r>
    </w:p>
    <w:p>
      <w:pPr>
        <w:pStyle w:val="BodyText"/>
        <w:spacing w:before="0" w:after="200"/>
        <w:rPr/>
      </w:pPr>
      <w:r>
        <w:rPr/>
        <w:t>A contractarian may also question whether the framework can generate stable compliance. An ethically preferred World Context Transition is not necessarily one that rational agents will accept, follow, or help sustain. If participants believe that rules are unfair, burdens are one-sided, or others will defect without consequence, the proposed transition may be institutionally unstable even if its aggregate effects initially appear beneficial.</w:t>
      </w:r>
    </w:p>
    <w:p>
      <w:pPr>
        <w:pStyle w:val="BodyText"/>
        <w:spacing w:before="0" w:after="200"/>
        <w:rPr/>
      </w:pPr>
      <w:r>
        <w:rPr/>
        <w:t>Finally, the framework’s inclusion of entities unable to bargain or reciprocate may be challenged by interest-based contractarianism. If morality is grounded in the terms rational agents would accept for mutual advantage, why should contracting agents accept substantial duties toward entities that cannot contribute to the cooperative arrangement?</w:t>
      </w:r>
    </w:p>
    <w:p>
      <w:pPr>
        <w:pStyle w:val="Heading4"/>
        <w:ind w:hanging="0" w:left="0"/>
        <w:rPr>
          <w:rFonts w:ascii="Aptos" w:hAnsi="Aptos"/>
          <w:color w:val="auto"/>
        </w:rPr>
      </w:pPr>
      <w:r>
        <w:rPr/>
        <w:t>Assumptions Within the Ethical Model Relevant to the Questioning Argument</w:t>
      </w:r>
    </w:p>
    <w:p>
      <w:pPr>
        <w:pStyle w:val="BodyText"/>
        <w:spacing w:before="0" w:after="200"/>
        <w:rPr/>
      </w:pPr>
      <w:r>
        <w:rPr/>
        <w:t>The questioning argument draws on several assumptions found across contractarian, contractualist, and social-contract traditions. Not every theory accepts all of them.</w:t>
      </w:r>
    </w:p>
    <w:p>
      <w:pPr>
        <w:pStyle w:val="BodyText"/>
        <w:numPr>
          <w:ilvl w:val="0"/>
          <w:numId w:val="108"/>
        </w:numPr>
        <w:tabs>
          <w:tab w:val="clear" w:pos="720"/>
          <w:tab w:val="left" w:pos="0" w:leader="none"/>
        </w:tabs>
        <w:spacing w:before="0" w:after="200"/>
        <w:ind w:hanging="283" w:left="709"/>
        <w:rPr/>
      </w:pPr>
      <w:r>
        <w:rPr>
          <w:rStyle w:val="Strong"/>
        </w:rPr>
        <w:t>Authority requires justification.</w:t>
      </w:r>
      <w:r>
        <w:rPr/>
        <w:t xml:space="preserve"> The ability to impose a rule does not establish the legitimacy of doing so.</w:t>
      </w:r>
    </w:p>
    <w:p>
      <w:pPr>
        <w:pStyle w:val="BodyText"/>
        <w:numPr>
          <w:ilvl w:val="0"/>
          <w:numId w:val="108"/>
        </w:numPr>
        <w:tabs>
          <w:tab w:val="clear" w:pos="720"/>
          <w:tab w:val="left" w:pos="0" w:leader="none"/>
        </w:tabs>
        <w:spacing w:before="0" w:after="200"/>
        <w:ind w:hanging="283" w:left="709"/>
        <w:rPr/>
      </w:pPr>
      <w:r>
        <w:rPr>
          <w:rStyle w:val="Strong"/>
        </w:rPr>
        <w:t>Persons should be treated as free and equal parties.</w:t>
      </w:r>
      <w:r>
        <w:rPr/>
        <w:t xml:space="preserve"> Social rules should not be justified solely by inherited status, coercive power, wealth, or institutional position.</w:t>
      </w:r>
    </w:p>
    <w:p>
      <w:pPr>
        <w:pStyle w:val="BodyText"/>
        <w:numPr>
          <w:ilvl w:val="0"/>
          <w:numId w:val="108"/>
        </w:numPr>
        <w:tabs>
          <w:tab w:val="clear" w:pos="720"/>
          <w:tab w:val="left" w:pos="0" w:leader="none"/>
        </w:tabs>
        <w:spacing w:before="0" w:after="200"/>
        <w:ind w:hanging="283" w:left="709"/>
        <w:rPr/>
      </w:pPr>
      <w:r>
        <w:rPr>
          <w:rStyle w:val="Strong"/>
        </w:rPr>
        <w:t>Agreement can create obligations.</w:t>
      </w:r>
      <w:r>
        <w:rPr/>
        <w:t xml:space="preserve"> Valid consent or rational endorsement can transform permissions, rights, duties, and relationships.</w:t>
      </w:r>
    </w:p>
    <w:p>
      <w:pPr>
        <w:pStyle w:val="BodyText"/>
        <w:numPr>
          <w:ilvl w:val="0"/>
          <w:numId w:val="108"/>
        </w:numPr>
        <w:tabs>
          <w:tab w:val="clear" w:pos="720"/>
          <w:tab w:val="left" w:pos="0" w:leader="none"/>
        </w:tabs>
        <w:spacing w:before="0" w:after="200"/>
        <w:ind w:hanging="283" w:left="709"/>
        <w:rPr/>
      </w:pPr>
      <w:r>
        <w:rPr>
          <w:rStyle w:val="Strong"/>
        </w:rPr>
        <w:t>The form of agreement matters.</w:t>
      </w:r>
      <w:r>
        <w:rPr/>
        <w:t xml:space="preserve"> Express, tacit, hypothetical, and presumed consent have different normative force.</w:t>
      </w:r>
    </w:p>
    <w:p>
      <w:pPr>
        <w:pStyle w:val="BodyText"/>
        <w:numPr>
          <w:ilvl w:val="0"/>
          <w:numId w:val="108"/>
        </w:numPr>
        <w:tabs>
          <w:tab w:val="clear" w:pos="720"/>
          <w:tab w:val="left" w:pos="0" w:leader="none"/>
        </w:tabs>
        <w:spacing w:before="0" w:after="200"/>
        <w:ind w:hanging="283" w:left="709"/>
        <w:rPr/>
      </w:pPr>
      <w:r>
        <w:rPr>
          <w:rStyle w:val="Strong"/>
        </w:rPr>
        <w:t>Hypothetical agreement requires carefully specified conditions.</w:t>
      </w:r>
      <w:r>
        <w:rPr/>
        <w:t xml:space="preserve"> What parties would choose depends on what they know, what motivates them, their alternatives, and the bargaining baseline.</w:t>
      </w:r>
    </w:p>
    <w:p>
      <w:pPr>
        <w:pStyle w:val="BodyText"/>
        <w:numPr>
          <w:ilvl w:val="0"/>
          <w:numId w:val="108"/>
        </w:numPr>
        <w:tabs>
          <w:tab w:val="clear" w:pos="720"/>
          <w:tab w:val="left" w:pos="0" w:leader="none"/>
        </w:tabs>
        <w:spacing w:before="0" w:after="200"/>
        <w:ind w:hanging="283" w:left="709"/>
        <w:rPr/>
      </w:pPr>
      <w:r>
        <w:rPr>
          <w:rStyle w:val="Strong"/>
        </w:rPr>
        <w:t>The baseline must be justified.</w:t>
      </w:r>
      <w:r>
        <w:rPr/>
        <w:t xml:space="preserve"> A bargain can benefit every participant relative to an unjust starting point while preserving exploitation.</w:t>
      </w:r>
    </w:p>
    <w:p>
      <w:pPr>
        <w:pStyle w:val="BodyText"/>
        <w:numPr>
          <w:ilvl w:val="0"/>
          <w:numId w:val="108"/>
        </w:numPr>
        <w:tabs>
          <w:tab w:val="clear" w:pos="720"/>
          <w:tab w:val="left" w:pos="0" w:leader="none"/>
        </w:tabs>
        <w:spacing w:before="0" w:after="200"/>
        <w:ind w:hanging="283" w:left="709"/>
        <w:rPr/>
      </w:pPr>
      <w:r>
        <w:rPr>
          <w:rStyle w:val="Strong"/>
        </w:rPr>
        <w:t>Consent must be voluntary.</w:t>
      </w:r>
      <w:r>
        <w:rPr/>
        <w:t xml:space="preserve"> Coercion, deception, severe dependency, lack of viable alternatives, and unequal information can invalidate apparent agreement.</w:t>
      </w:r>
    </w:p>
    <w:p>
      <w:pPr>
        <w:pStyle w:val="BodyText"/>
        <w:numPr>
          <w:ilvl w:val="0"/>
          <w:numId w:val="108"/>
        </w:numPr>
        <w:tabs>
          <w:tab w:val="clear" w:pos="720"/>
          <w:tab w:val="left" w:pos="0" w:leader="none"/>
        </w:tabs>
        <w:spacing w:before="0" w:after="200"/>
        <w:ind w:hanging="283" w:left="709"/>
        <w:rPr/>
      </w:pPr>
      <w:r>
        <w:rPr>
          <w:rStyle w:val="Strong"/>
        </w:rPr>
        <w:t>Public rules require public justification.</w:t>
      </w:r>
      <w:r>
        <w:rPr/>
        <w:t xml:space="preserve"> Persons governed by a rule should be able to understand its purpose, authority, burdens, and expected benefits.</w:t>
      </w:r>
    </w:p>
    <w:p>
      <w:pPr>
        <w:pStyle w:val="BodyText"/>
        <w:numPr>
          <w:ilvl w:val="0"/>
          <w:numId w:val="108"/>
        </w:numPr>
        <w:tabs>
          <w:tab w:val="clear" w:pos="720"/>
          <w:tab w:val="left" w:pos="0" w:leader="none"/>
        </w:tabs>
        <w:spacing w:before="0" w:after="200"/>
        <w:ind w:hanging="283" w:left="709"/>
        <w:rPr/>
      </w:pPr>
      <w:r>
        <w:rPr>
          <w:rStyle w:val="Strong"/>
        </w:rPr>
        <w:t>Mutual advantage can support cooperation.</w:t>
      </w:r>
      <w:r>
        <w:rPr/>
        <w:t xml:space="preserve"> Rational agents may accept constraints when reciprocal compliance produces better conditions than unrestricted competition.</w:t>
      </w:r>
    </w:p>
    <w:p>
      <w:pPr>
        <w:pStyle w:val="BodyText"/>
        <w:numPr>
          <w:ilvl w:val="0"/>
          <w:numId w:val="108"/>
        </w:numPr>
        <w:tabs>
          <w:tab w:val="clear" w:pos="720"/>
          <w:tab w:val="left" w:pos="0" w:leader="none"/>
        </w:tabs>
        <w:spacing w:before="0" w:after="200"/>
        <w:ind w:hanging="283" w:left="709"/>
        <w:rPr/>
      </w:pPr>
      <w:r>
        <w:rPr>
          <w:rStyle w:val="Strong"/>
        </w:rPr>
        <w:t>Reciprocity supports legitimacy and stability.</w:t>
      </w:r>
      <w:r>
        <w:rPr/>
        <w:t xml:space="preserve"> Participants should not be required to bear burdens from which others are arbitrarily exempt.</w:t>
      </w:r>
    </w:p>
    <w:p>
      <w:pPr>
        <w:pStyle w:val="BodyText"/>
        <w:numPr>
          <w:ilvl w:val="0"/>
          <w:numId w:val="108"/>
        </w:numPr>
        <w:tabs>
          <w:tab w:val="clear" w:pos="720"/>
          <w:tab w:val="left" w:pos="0" w:leader="none"/>
        </w:tabs>
        <w:spacing w:before="0" w:after="200"/>
        <w:ind w:hanging="283" w:left="709"/>
        <w:rPr/>
      </w:pPr>
      <w:r>
        <w:rPr>
          <w:rStyle w:val="Strong"/>
        </w:rPr>
        <w:t>Assurance is necessary.</w:t>
      </w:r>
      <w:r>
        <w:rPr/>
        <w:t xml:space="preserve"> Agents require credible reason to expect that others will comply and that breaches will be addressed fairly.</w:t>
      </w:r>
    </w:p>
    <w:p>
      <w:pPr>
        <w:pStyle w:val="BodyText"/>
        <w:numPr>
          <w:ilvl w:val="0"/>
          <w:numId w:val="108"/>
        </w:numPr>
        <w:tabs>
          <w:tab w:val="clear" w:pos="720"/>
          <w:tab w:val="left" w:pos="0" w:leader="none"/>
        </w:tabs>
        <w:spacing w:before="0" w:after="200"/>
        <w:ind w:hanging="283" w:left="709"/>
        <w:rPr/>
      </w:pPr>
      <w:r>
        <w:rPr>
          <w:rStyle w:val="Strong"/>
        </w:rPr>
        <w:t>Institutions stabilize agreements.</w:t>
      </w:r>
      <w:r>
        <w:rPr/>
        <w:t xml:space="preserve"> Monitoring, adjudication, enforcement, appeal, and amendment help transform a hypothetical agreement into a durable social structure.</w:t>
      </w:r>
    </w:p>
    <w:p>
      <w:pPr>
        <w:pStyle w:val="BodyText"/>
        <w:numPr>
          <w:ilvl w:val="0"/>
          <w:numId w:val="108"/>
        </w:numPr>
        <w:tabs>
          <w:tab w:val="clear" w:pos="720"/>
          <w:tab w:val="left" w:pos="0" w:leader="none"/>
        </w:tabs>
        <w:spacing w:before="0" w:after="200"/>
        <w:ind w:hanging="283" w:left="709"/>
        <w:rPr/>
      </w:pPr>
      <w:r>
        <w:rPr>
          <w:rStyle w:val="Strong"/>
        </w:rPr>
        <w:t>Fair procedure can constrain self-interest.</w:t>
      </w:r>
      <w:r>
        <w:rPr/>
        <w:t xml:space="preserve"> Rawlsian informational restrictions prevent parties from tailoring principles to their known social advantages.</w:t>
      </w:r>
    </w:p>
    <w:p>
      <w:pPr>
        <w:pStyle w:val="BodyText"/>
        <w:numPr>
          <w:ilvl w:val="0"/>
          <w:numId w:val="108"/>
        </w:numPr>
        <w:tabs>
          <w:tab w:val="clear" w:pos="720"/>
          <w:tab w:val="left" w:pos="0" w:leader="none"/>
        </w:tabs>
        <w:spacing w:before="0" w:after="200"/>
        <w:ind w:hanging="283" w:left="709"/>
        <w:rPr/>
      </w:pPr>
      <w:r>
        <w:rPr>
          <w:rStyle w:val="Strong"/>
        </w:rPr>
        <w:t>Individual objections matter.</w:t>
      </w:r>
      <w:r>
        <w:rPr/>
        <w:t xml:space="preserve"> Scanlonian contractualism resists treating large aggregate benefits as automatically sufficient to answer a serious individual complaint.</w:t>
      </w:r>
    </w:p>
    <w:p>
      <w:pPr>
        <w:pStyle w:val="BodyText"/>
        <w:numPr>
          <w:ilvl w:val="0"/>
          <w:numId w:val="108"/>
        </w:numPr>
        <w:tabs>
          <w:tab w:val="clear" w:pos="720"/>
          <w:tab w:val="left" w:pos="0" w:leader="none"/>
        </w:tabs>
        <w:spacing w:before="0" w:after="200"/>
        <w:ind w:hanging="283" w:left="709"/>
        <w:rPr/>
      </w:pPr>
      <w:r>
        <w:rPr>
          <w:rStyle w:val="Strong"/>
        </w:rPr>
        <w:t>Pluralism is persistent.</w:t>
      </w:r>
      <w:r>
        <w:rPr/>
        <w:t xml:space="preserve"> Legitimate institutions must be justifiable among persons who hold different moral, religious, political, and cultural views.</w:t>
      </w:r>
    </w:p>
    <w:p>
      <w:pPr>
        <w:pStyle w:val="BodyText"/>
        <w:numPr>
          <w:ilvl w:val="0"/>
          <w:numId w:val="108"/>
        </w:numPr>
        <w:tabs>
          <w:tab w:val="clear" w:pos="720"/>
          <w:tab w:val="left" w:pos="0" w:leader="none"/>
        </w:tabs>
        <w:spacing w:before="0" w:after="200"/>
        <w:ind w:hanging="283" w:left="709"/>
        <w:rPr/>
      </w:pPr>
      <w:r>
        <w:rPr>
          <w:rStyle w:val="Strong"/>
        </w:rPr>
        <w:t>Consent does not necessarily equal moral correctness.</w:t>
      </w:r>
      <w:r>
        <w:rPr/>
        <w:t xml:space="preserve"> Some social-contract traditions recognize rights or standards that constrain what persons can validly authorize.</w:t>
      </w:r>
    </w:p>
    <w:p>
      <w:pPr>
        <w:pStyle w:val="BodyText"/>
        <w:numPr>
          <w:ilvl w:val="0"/>
          <w:numId w:val="108"/>
        </w:numPr>
        <w:tabs>
          <w:tab w:val="clear" w:pos="720"/>
          <w:tab w:val="left" w:pos="0" w:leader="none"/>
        </w:tabs>
        <w:spacing w:before="0" w:after="200"/>
        <w:ind w:hanging="283" w:left="709"/>
        <w:rPr/>
      </w:pPr>
      <w:r>
        <w:rPr>
          <w:rStyle w:val="Strong"/>
        </w:rPr>
        <w:t>Membership boundaries matter.</w:t>
      </w:r>
      <w:r>
        <w:rPr/>
        <w:t xml:space="preserve"> The moral force of a contract depends partly on who is included, excluded, represented, or affected without representation.</w:t>
      </w:r>
    </w:p>
    <w:p>
      <w:pPr>
        <w:pStyle w:val="BodyText"/>
        <w:numPr>
          <w:ilvl w:val="0"/>
          <w:numId w:val="108"/>
        </w:numPr>
        <w:tabs>
          <w:tab w:val="clear" w:pos="720"/>
          <w:tab w:val="left" w:pos="0" w:leader="none"/>
        </w:tabs>
        <w:spacing w:before="0" w:after="200"/>
        <w:ind w:hanging="283" w:left="709"/>
        <w:rPr/>
      </w:pPr>
      <w:r>
        <w:rPr>
          <w:rStyle w:val="Strong"/>
        </w:rPr>
        <w:t>Stable agreements require opportunities for revision.</w:t>
      </w:r>
      <w:r>
        <w:rPr/>
        <w:t xml:space="preserve"> Exit, voice, appeal, amendment, renegotiation, and resistance become important when circumstances change or institutions breach their terms.</w:t>
      </w:r>
    </w:p>
    <w:p>
      <w:pPr>
        <w:pStyle w:val="Heading4"/>
        <w:ind w:hanging="0" w:left="0"/>
        <w:rPr>
          <w:rFonts w:ascii="Aptos" w:hAnsi="Aptos"/>
          <w:color w:val="auto"/>
        </w:rPr>
      </w:pPr>
      <w:r>
        <w:rPr/>
        <w:t>Concepts Incorporated From This Ethical Model</w:t>
      </w:r>
    </w:p>
    <w:p>
      <w:pPr>
        <w:pStyle w:val="BodyText"/>
        <w:spacing w:before="0" w:after="200"/>
        <w:rPr/>
      </w:pPr>
      <w:r>
        <w:rPr/>
        <w:t>The framework already incorporates or can functionally represent several social-contract concepts:</w:t>
      </w:r>
    </w:p>
    <w:tbl>
      <w:tblPr>
        <w:tblW w:w="8640" w:type="dxa"/>
        <w:jc w:val="left"/>
        <w:tblInd w:w="28" w:type="dxa"/>
        <w:tblLayout w:type="fixed"/>
        <w:tblCellMar>
          <w:top w:w="28" w:type="dxa"/>
          <w:left w:w="28" w:type="dxa"/>
          <w:bottom w:w="28" w:type="dxa"/>
          <w:right w:w="28" w:type="dxa"/>
        </w:tblCellMar>
      </w:tblPr>
      <w:tblGrid>
        <w:gridCol w:w="2221"/>
        <w:gridCol w:w="6419"/>
      </w:tblGrid>
      <w:tr>
        <w:trPr>
          <w:tblHeader w:val="true"/>
        </w:trPr>
        <w:tc>
          <w:tcPr>
            <w:tcW w:w="2221" w:type="dxa"/>
            <w:tcBorders/>
            <w:vAlign w:val="center"/>
          </w:tcPr>
          <w:p>
            <w:pPr>
              <w:pStyle w:val="TableHeading"/>
              <w:suppressLineNumbers/>
              <w:spacing w:before="0" w:after="200"/>
              <w:jc w:val="center"/>
              <w:rPr/>
            </w:pPr>
            <w:r>
              <w:rPr/>
              <w:t>Social-contract concept</w:t>
            </w:r>
          </w:p>
        </w:tc>
        <w:tc>
          <w:tcPr>
            <w:tcW w:w="6419" w:type="dxa"/>
            <w:tcBorders/>
            <w:vAlign w:val="center"/>
          </w:tcPr>
          <w:p>
            <w:pPr>
              <w:pStyle w:val="TableHeading"/>
              <w:suppressLineNumbers/>
              <w:spacing w:before="0" w:after="200"/>
              <w:jc w:val="center"/>
              <w:rPr/>
            </w:pPr>
            <w:r>
              <w:rPr/>
              <w:t>Incorporation within this framework</w:t>
            </w:r>
          </w:p>
        </w:tc>
      </w:tr>
      <w:tr>
        <w:trPr/>
        <w:tc>
          <w:tcPr>
            <w:tcW w:w="2221" w:type="dxa"/>
            <w:tcBorders/>
            <w:vAlign w:val="center"/>
          </w:tcPr>
          <w:p>
            <w:pPr>
              <w:pStyle w:val="TableContents"/>
              <w:widowControl w:val="false"/>
              <w:suppressLineNumbers/>
              <w:spacing w:before="0" w:after="200"/>
              <w:rPr/>
            </w:pPr>
            <w:r>
              <w:rPr>
                <w:rStyle w:val="Strong"/>
              </w:rPr>
              <w:t>Consent</w:t>
            </w:r>
          </w:p>
        </w:tc>
        <w:tc>
          <w:tcPr>
            <w:tcW w:w="6419" w:type="dxa"/>
            <w:tcBorders/>
            <w:vAlign w:val="center"/>
          </w:tcPr>
          <w:p>
            <w:pPr>
              <w:pStyle w:val="TableContents"/>
              <w:widowControl w:val="false"/>
              <w:suppressLineNumbers/>
              <w:spacing w:before="0" w:after="200"/>
              <w:rPr/>
            </w:pPr>
            <w:r>
              <w:rPr/>
              <w:t>Consent can alter Associations, permissions, obligations, authority, and the legitimacy of an Assessed Action.</w:t>
            </w:r>
          </w:p>
        </w:tc>
      </w:tr>
      <w:tr>
        <w:trPr/>
        <w:tc>
          <w:tcPr>
            <w:tcW w:w="2221" w:type="dxa"/>
            <w:tcBorders/>
            <w:vAlign w:val="center"/>
          </w:tcPr>
          <w:p>
            <w:pPr>
              <w:pStyle w:val="TableContents"/>
              <w:widowControl w:val="false"/>
              <w:suppressLineNumbers/>
              <w:spacing w:before="0" w:after="200"/>
              <w:rPr/>
            </w:pPr>
            <w:r>
              <w:rPr>
                <w:rStyle w:val="Strong"/>
              </w:rPr>
              <w:t>Public justification</w:t>
            </w:r>
          </w:p>
        </w:tc>
        <w:tc>
          <w:tcPr>
            <w:tcW w:w="6419" w:type="dxa"/>
            <w:tcBorders/>
            <w:vAlign w:val="center"/>
          </w:tcPr>
          <w:p>
            <w:pPr>
              <w:pStyle w:val="TableContents"/>
              <w:widowControl w:val="false"/>
              <w:suppressLineNumbers/>
              <w:spacing w:before="0" w:after="200"/>
              <w:rPr/>
            </w:pPr>
            <w:r>
              <w:rPr/>
              <w:t>Explainability requirements can disclose evidence, assumptions, authority, constraints, and expected effects.</w:t>
            </w:r>
          </w:p>
        </w:tc>
      </w:tr>
      <w:tr>
        <w:trPr/>
        <w:tc>
          <w:tcPr>
            <w:tcW w:w="2221" w:type="dxa"/>
            <w:tcBorders/>
            <w:vAlign w:val="center"/>
          </w:tcPr>
          <w:p>
            <w:pPr>
              <w:pStyle w:val="TableContents"/>
              <w:widowControl w:val="false"/>
              <w:suppressLineNumbers/>
              <w:spacing w:before="0" w:after="200"/>
              <w:rPr/>
            </w:pPr>
            <w:r>
              <w:rPr>
                <w:rStyle w:val="Strong"/>
              </w:rPr>
              <w:t>Parties and relationships</w:t>
            </w:r>
          </w:p>
        </w:tc>
        <w:tc>
          <w:tcPr>
            <w:tcW w:w="6419" w:type="dxa"/>
            <w:tcBorders/>
            <w:vAlign w:val="center"/>
          </w:tcPr>
          <w:p>
            <w:pPr>
              <w:pStyle w:val="TableContents"/>
              <w:widowControl w:val="false"/>
              <w:suppressLineNumbers/>
              <w:spacing w:before="0" w:after="200"/>
              <w:rPr/>
            </w:pPr>
            <w:r>
              <w:rPr/>
              <w:t>Objects and Associations can identify contracting parties, beneficiaries, duty-bearers, and affected nonparties.</w:t>
            </w:r>
          </w:p>
        </w:tc>
      </w:tr>
      <w:tr>
        <w:trPr/>
        <w:tc>
          <w:tcPr>
            <w:tcW w:w="2221" w:type="dxa"/>
            <w:tcBorders/>
            <w:vAlign w:val="center"/>
          </w:tcPr>
          <w:p>
            <w:pPr>
              <w:pStyle w:val="TableContents"/>
              <w:widowControl w:val="false"/>
              <w:suppressLineNumbers/>
              <w:spacing w:before="0" w:after="200"/>
              <w:rPr/>
            </w:pPr>
            <w:r>
              <w:rPr>
                <w:rStyle w:val="Strong"/>
              </w:rPr>
              <w:t>Counterfactual agreement</w:t>
            </w:r>
          </w:p>
        </w:tc>
        <w:tc>
          <w:tcPr>
            <w:tcW w:w="6419" w:type="dxa"/>
            <w:tcBorders/>
            <w:vAlign w:val="center"/>
          </w:tcPr>
          <w:p>
            <w:pPr>
              <w:pStyle w:val="TableContents"/>
              <w:widowControl w:val="false"/>
              <w:suppressLineNumbers/>
              <w:spacing w:before="0" w:after="200"/>
              <w:rPr/>
            </w:pPr>
            <w:r>
              <w:rPr/>
              <w:t>Alternative World Contexts can represent a state of nature, original position, or no-agreement baseline.</w:t>
            </w:r>
          </w:p>
        </w:tc>
      </w:tr>
      <w:tr>
        <w:trPr/>
        <w:tc>
          <w:tcPr>
            <w:tcW w:w="2221" w:type="dxa"/>
            <w:tcBorders/>
            <w:vAlign w:val="center"/>
          </w:tcPr>
          <w:p>
            <w:pPr>
              <w:pStyle w:val="TableContents"/>
              <w:widowControl w:val="false"/>
              <w:suppressLineNumbers/>
              <w:spacing w:before="0" w:after="200"/>
              <w:rPr/>
            </w:pPr>
            <w:r>
              <w:rPr>
                <w:rStyle w:val="Strong"/>
              </w:rPr>
              <w:t>Mutual advantage</w:t>
            </w:r>
          </w:p>
        </w:tc>
        <w:tc>
          <w:tcPr>
            <w:tcW w:w="6419" w:type="dxa"/>
            <w:tcBorders/>
            <w:vAlign w:val="center"/>
          </w:tcPr>
          <w:p>
            <w:pPr>
              <w:pStyle w:val="TableContents"/>
              <w:widowControl w:val="false"/>
              <w:suppressLineNumbers/>
              <w:spacing w:before="0" w:after="200"/>
              <w:rPr/>
            </w:pPr>
            <w:r>
              <w:rPr/>
              <w:t>The transition can identify which parties gain, lose, assume risk, or receive protection.</w:t>
            </w:r>
          </w:p>
        </w:tc>
      </w:tr>
      <w:tr>
        <w:trPr/>
        <w:tc>
          <w:tcPr>
            <w:tcW w:w="2221" w:type="dxa"/>
            <w:tcBorders/>
            <w:vAlign w:val="center"/>
          </w:tcPr>
          <w:p>
            <w:pPr>
              <w:pStyle w:val="TableContents"/>
              <w:widowControl w:val="false"/>
              <w:suppressLineNumbers/>
              <w:spacing w:before="0" w:after="200"/>
              <w:rPr/>
            </w:pPr>
            <w:r>
              <w:rPr>
                <w:rStyle w:val="Strong"/>
              </w:rPr>
              <w:t>Fairness</w:t>
            </w:r>
          </w:p>
        </w:tc>
        <w:tc>
          <w:tcPr>
            <w:tcW w:w="6419" w:type="dxa"/>
            <w:tcBorders/>
            <w:vAlign w:val="center"/>
          </w:tcPr>
          <w:p>
            <w:pPr>
              <w:pStyle w:val="TableContents"/>
              <w:widowControl w:val="false"/>
              <w:suppressLineNumbers/>
              <w:spacing w:before="0" w:after="200"/>
              <w:rPr/>
            </w:pPr>
            <w:r>
              <w:rPr/>
              <w:t>Distributional analysis can reveal whether benefits and burdens depend on arbitrary status or bargaining power.</w:t>
            </w:r>
          </w:p>
        </w:tc>
      </w:tr>
      <w:tr>
        <w:trPr/>
        <w:tc>
          <w:tcPr>
            <w:tcW w:w="2221" w:type="dxa"/>
            <w:tcBorders/>
            <w:vAlign w:val="center"/>
          </w:tcPr>
          <w:p>
            <w:pPr>
              <w:pStyle w:val="TableContents"/>
              <w:widowControl w:val="false"/>
              <w:suppressLineNumbers/>
              <w:spacing w:before="0" w:after="200"/>
              <w:rPr/>
            </w:pPr>
            <w:r>
              <w:rPr>
                <w:rStyle w:val="Strong"/>
              </w:rPr>
              <w:t>Reasonable rejection</w:t>
            </w:r>
          </w:p>
        </w:tc>
        <w:tc>
          <w:tcPr>
            <w:tcW w:w="6419" w:type="dxa"/>
            <w:tcBorders/>
            <w:vAlign w:val="center"/>
          </w:tcPr>
          <w:p>
            <w:pPr>
              <w:pStyle w:val="TableContents"/>
              <w:widowControl w:val="false"/>
              <w:suppressLineNumbers/>
              <w:spacing w:before="0" w:after="200"/>
              <w:rPr/>
            </w:pPr>
            <w:r>
              <w:rPr/>
              <w:t>Individual complaints can remain distinct rather than being erased by aggregate metrics.</w:t>
            </w:r>
          </w:p>
        </w:tc>
      </w:tr>
      <w:tr>
        <w:trPr/>
        <w:tc>
          <w:tcPr>
            <w:tcW w:w="2221" w:type="dxa"/>
            <w:tcBorders/>
            <w:vAlign w:val="center"/>
          </w:tcPr>
          <w:p>
            <w:pPr>
              <w:pStyle w:val="TableContents"/>
              <w:widowControl w:val="false"/>
              <w:suppressLineNumbers/>
              <w:spacing w:before="0" w:after="200"/>
              <w:rPr/>
            </w:pPr>
            <w:r>
              <w:rPr>
                <w:rStyle w:val="Strong"/>
              </w:rPr>
              <w:t>Authority and legitimacy</w:t>
            </w:r>
          </w:p>
        </w:tc>
        <w:tc>
          <w:tcPr>
            <w:tcW w:w="6419" w:type="dxa"/>
            <w:tcBorders/>
            <w:vAlign w:val="center"/>
          </w:tcPr>
          <w:p>
            <w:pPr>
              <w:pStyle w:val="TableContents"/>
              <w:widowControl w:val="false"/>
              <w:suppressLineNumbers/>
              <w:spacing w:before="0" w:after="200"/>
              <w:rPr/>
            </w:pPr>
            <w:r>
              <w:rPr/>
              <w:t>Roles, jurisdiction, consent, institutional procedure, and constraints can determine whether an actor may impose or enforce a rule.</w:t>
            </w:r>
          </w:p>
        </w:tc>
      </w:tr>
      <w:tr>
        <w:trPr/>
        <w:tc>
          <w:tcPr>
            <w:tcW w:w="2221" w:type="dxa"/>
            <w:tcBorders/>
            <w:vAlign w:val="center"/>
          </w:tcPr>
          <w:p>
            <w:pPr>
              <w:pStyle w:val="TableContents"/>
              <w:widowControl w:val="false"/>
              <w:suppressLineNumbers/>
              <w:spacing w:before="0" w:after="200"/>
              <w:rPr/>
            </w:pPr>
            <w:r>
              <w:rPr>
                <w:rStyle w:val="Strong"/>
              </w:rPr>
              <w:t>Reciprocity</w:t>
            </w:r>
          </w:p>
        </w:tc>
        <w:tc>
          <w:tcPr>
            <w:tcW w:w="6419" w:type="dxa"/>
            <w:tcBorders/>
            <w:vAlign w:val="center"/>
          </w:tcPr>
          <w:p>
            <w:pPr>
              <w:pStyle w:val="TableContents"/>
              <w:widowControl w:val="false"/>
              <w:suppressLineNumbers/>
              <w:spacing w:before="0" w:after="200"/>
              <w:rPr/>
            </w:pPr>
            <w:r>
              <w:rPr/>
              <w:t>Associations can represent reciprocal contributions, benefits, protections, and compliance expectations.</w:t>
            </w:r>
          </w:p>
        </w:tc>
      </w:tr>
      <w:tr>
        <w:trPr/>
        <w:tc>
          <w:tcPr>
            <w:tcW w:w="2221" w:type="dxa"/>
            <w:tcBorders/>
            <w:vAlign w:val="center"/>
          </w:tcPr>
          <w:p>
            <w:pPr>
              <w:pStyle w:val="TableContents"/>
              <w:widowControl w:val="false"/>
              <w:suppressLineNumbers/>
              <w:spacing w:before="0" w:after="200"/>
              <w:rPr/>
            </w:pPr>
            <w:r>
              <w:rPr>
                <w:rStyle w:val="Strong"/>
              </w:rPr>
              <w:t>Assurance</w:t>
            </w:r>
          </w:p>
        </w:tc>
        <w:tc>
          <w:tcPr>
            <w:tcW w:w="6419" w:type="dxa"/>
            <w:tcBorders/>
            <w:vAlign w:val="center"/>
          </w:tcPr>
          <w:p>
            <w:pPr>
              <w:pStyle w:val="TableContents"/>
              <w:widowControl w:val="false"/>
              <w:suppressLineNumbers/>
              <w:spacing w:before="0" w:after="200"/>
              <w:rPr/>
            </w:pPr>
            <w:r>
              <w:rPr/>
              <w:t>Distributed Policy Effects can model trust, expected compliance, monitoring, enforcement, and anticipated defection.</w:t>
            </w:r>
          </w:p>
        </w:tc>
      </w:tr>
      <w:tr>
        <w:trPr/>
        <w:tc>
          <w:tcPr>
            <w:tcW w:w="2221" w:type="dxa"/>
            <w:tcBorders/>
            <w:vAlign w:val="center"/>
          </w:tcPr>
          <w:p>
            <w:pPr>
              <w:pStyle w:val="TableContents"/>
              <w:widowControl w:val="false"/>
              <w:suppressLineNumbers/>
              <w:spacing w:before="0" w:after="200"/>
              <w:rPr/>
            </w:pPr>
            <w:r>
              <w:rPr>
                <w:rStyle w:val="Strong"/>
              </w:rPr>
              <w:t>Basic structure</w:t>
            </w:r>
          </w:p>
        </w:tc>
        <w:tc>
          <w:tcPr>
            <w:tcW w:w="6419" w:type="dxa"/>
            <w:tcBorders/>
            <w:vAlign w:val="center"/>
          </w:tcPr>
          <w:p>
            <w:pPr>
              <w:pStyle w:val="TableContents"/>
              <w:widowControl w:val="false"/>
              <w:suppressLineNumbers/>
              <w:spacing w:before="0" w:after="200"/>
              <w:rPr/>
            </w:pPr>
            <w:r>
              <w:rPr/>
              <w:t>Institutions allocating rights, opportunities, resources, and authority can be represented within the World Context.</w:t>
            </w:r>
          </w:p>
        </w:tc>
      </w:tr>
      <w:tr>
        <w:trPr/>
        <w:tc>
          <w:tcPr>
            <w:tcW w:w="2221" w:type="dxa"/>
            <w:tcBorders/>
            <w:vAlign w:val="center"/>
          </w:tcPr>
          <w:p>
            <w:pPr>
              <w:pStyle w:val="TableContents"/>
              <w:widowControl w:val="false"/>
              <w:suppressLineNumbers/>
              <w:spacing w:before="0" w:after="200"/>
              <w:rPr/>
            </w:pPr>
            <w:r>
              <w:rPr>
                <w:rStyle w:val="Strong"/>
              </w:rPr>
              <w:t>Exit and voice</w:t>
            </w:r>
          </w:p>
        </w:tc>
        <w:tc>
          <w:tcPr>
            <w:tcW w:w="6419" w:type="dxa"/>
            <w:tcBorders/>
            <w:vAlign w:val="center"/>
          </w:tcPr>
          <w:p>
            <w:pPr>
              <w:pStyle w:val="TableContents"/>
              <w:widowControl w:val="false"/>
              <w:suppressLineNumbers/>
              <w:spacing w:before="0" w:after="200"/>
              <w:rPr/>
            </w:pPr>
            <w:r>
              <w:rPr/>
              <w:t>Future state space can include the ability to withdraw, object, appeal, participate, or seek amendment.</w:t>
            </w:r>
          </w:p>
        </w:tc>
      </w:tr>
      <w:tr>
        <w:trPr/>
        <w:tc>
          <w:tcPr>
            <w:tcW w:w="2221" w:type="dxa"/>
            <w:tcBorders/>
            <w:vAlign w:val="center"/>
          </w:tcPr>
          <w:p>
            <w:pPr>
              <w:pStyle w:val="TableContents"/>
              <w:widowControl w:val="false"/>
              <w:suppressLineNumbers/>
              <w:spacing w:before="0" w:after="200"/>
              <w:rPr/>
            </w:pPr>
            <w:r>
              <w:rPr>
                <w:rStyle w:val="Strong"/>
              </w:rPr>
              <w:t>Breach and remedy</w:t>
            </w:r>
          </w:p>
        </w:tc>
        <w:tc>
          <w:tcPr>
            <w:tcW w:w="6419" w:type="dxa"/>
            <w:tcBorders/>
            <w:vAlign w:val="center"/>
          </w:tcPr>
          <w:p>
            <w:pPr>
              <w:pStyle w:val="TableContents"/>
              <w:widowControl w:val="false"/>
              <w:suppressLineNumbers/>
              <w:spacing w:before="0" w:after="200"/>
              <w:rPr/>
            </w:pPr>
            <w:r>
              <w:rPr/>
              <w:t>A violation can activate investigation, enforcement, restitution, compensation, or renegotiation.</w:t>
            </w:r>
          </w:p>
        </w:tc>
      </w:tr>
      <w:tr>
        <w:trPr/>
        <w:tc>
          <w:tcPr>
            <w:tcW w:w="2221" w:type="dxa"/>
            <w:tcBorders/>
            <w:vAlign w:val="center"/>
          </w:tcPr>
          <w:p>
            <w:pPr>
              <w:pStyle w:val="TableContents"/>
              <w:widowControl w:val="false"/>
              <w:suppressLineNumbers/>
              <w:spacing w:before="0" w:after="200"/>
              <w:rPr/>
            </w:pPr>
            <w:r>
              <w:rPr>
                <w:rStyle w:val="Strong"/>
              </w:rPr>
              <w:t>Pluralism</w:t>
            </w:r>
          </w:p>
        </w:tc>
        <w:tc>
          <w:tcPr>
            <w:tcW w:w="6419" w:type="dxa"/>
            <w:tcBorders/>
            <w:vAlign w:val="center"/>
          </w:tcPr>
          <w:p>
            <w:pPr>
              <w:pStyle w:val="TableContents"/>
              <w:widowControl w:val="false"/>
              <w:suppressLineNumbers/>
              <w:spacing w:before="0" w:after="200"/>
              <w:rPr/>
            </w:pPr>
            <w:r>
              <w:rPr/>
              <w:t>Multiple objectives and comprehensive moral views can coexist within a common institutional context.</w:t>
            </w:r>
          </w:p>
        </w:tc>
      </w:tr>
      <w:tr>
        <w:trPr/>
        <w:tc>
          <w:tcPr>
            <w:tcW w:w="2221" w:type="dxa"/>
            <w:tcBorders/>
            <w:vAlign w:val="center"/>
          </w:tcPr>
          <w:p>
            <w:pPr>
              <w:pStyle w:val="TableContents"/>
              <w:widowControl w:val="false"/>
              <w:suppressLineNumbers/>
              <w:spacing w:before="0" w:after="200"/>
              <w:rPr/>
            </w:pPr>
            <w:r>
              <w:rPr>
                <w:rStyle w:val="Strong"/>
              </w:rPr>
              <w:t>Institutional stability</w:t>
            </w:r>
          </w:p>
        </w:tc>
        <w:tc>
          <w:tcPr>
            <w:tcW w:w="6419" w:type="dxa"/>
            <w:tcBorders/>
            <w:vAlign w:val="center"/>
          </w:tcPr>
          <w:p>
            <w:pPr>
              <w:pStyle w:val="TableContents"/>
              <w:widowControl w:val="false"/>
              <w:suppressLineNumbers/>
              <w:spacing w:before="0" w:after="200"/>
              <w:rPr/>
            </w:pPr>
            <w:r>
              <w:rPr/>
              <w:t>Multi-horizon analysis can examine whether rules remain acceptable and enforceable over time.</w:t>
            </w:r>
          </w:p>
        </w:tc>
      </w:tr>
      <w:tr>
        <w:trPr/>
        <w:tc>
          <w:tcPr>
            <w:tcW w:w="2221" w:type="dxa"/>
            <w:tcBorders/>
            <w:vAlign w:val="center"/>
          </w:tcPr>
          <w:p>
            <w:pPr>
              <w:pStyle w:val="TableContents"/>
              <w:widowControl w:val="false"/>
              <w:suppressLineNumbers/>
              <w:spacing w:before="0" w:after="200"/>
              <w:rPr/>
            </w:pPr>
            <w:r>
              <w:rPr>
                <w:rStyle w:val="Strong"/>
              </w:rPr>
              <w:t>Represented nonparties</w:t>
            </w:r>
          </w:p>
        </w:tc>
        <w:tc>
          <w:tcPr>
            <w:tcW w:w="6419" w:type="dxa"/>
            <w:tcBorders/>
            <w:vAlign w:val="center"/>
          </w:tcPr>
          <w:p>
            <w:pPr>
              <w:pStyle w:val="TableContents"/>
              <w:widowControl w:val="false"/>
              <w:suppressLineNumbers/>
              <w:spacing w:before="0" w:after="200"/>
              <w:rPr/>
            </w:pPr>
            <w:r>
              <w:rPr/>
              <w:t>Guardians, trustees, advocates, and institutional representatives can act for entities unable to participate directly.</w:t>
            </w:r>
          </w:p>
        </w:tc>
      </w:tr>
    </w:tbl>
    <w:p>
      <w:pPr>
        <w:pStyle w:val="BodyText"/>
        <w:spacing w:before="0" w:after="200"/>
        <w:rPr/>
      </w:pPr>
      <w:r>
        <w:rPr/>
        <w:t>These features make the framework capable of contract-sensitive analysis. They do not establish that its Foundational Axiom has itself been authorized through a social contract.</w:t>
      </w:r>
    </w:p>
    <w:p>
      <w:pPr>
        <w:pStyle w:val="Heading4"/>
        <w:ind w:hanging="0" w:left="0"/>
        <w:rPr>
          <w:rFonts w:ascii="Aptos" w:hAnsi="Aptos"/>
          <w:color w:val="auto"/>
        </w:rPr>
      </w:pPr>
      <w:r>
        <w:rPr/>
        <w:t>How This Framework Addresses Those Assumptions</w:t>
      </w:r>
    </w:p>
    <w:p>
      <w:pPr>
        <w:pStyle w:val="BodyText"/>
        <w:spacing w:before="0" w:after="200"/>
        <w:rPr/>
      </w:pPr>
      <w:r>
        <w:rPr/>
        <w:t>The framework addresses the contractarian critique by distinguishing the ethical effects of a rule from the legitimacy of imposing it. A policy can be predicted to improve certain dimensions of flourishing yet remain impermissible because the actor lacks authority, affected persons did not consent, or the decision process was illegitimate.</w:t>
      </w:r>
    </w:p>
    <w:p>
      <w:pPr>
        <w:pStyle w:val="BodyText"/>
        <w:spacing w:before="0" w:after="200"/>
        <w:rPr/>
      </w:pPr>
      <w:r>
        <w:rPr/>
        <w:t>The complete World Context Transition can preserve the distribution of benefits and burdens rather than reporting only a collective total. This makes it possible to identify parties who would have strong reasons to reject a proposed rule.</w:t>
      </w:r>
    </w:p>
    <w:p>
      <w:pPr>
        <w:pStyle w:val="BodyText"/>
        <w:spacing w:before="0" w:after="200"/>
        <w:rPr/>
      </w:pPr>
      <w:r>
        <w:rPr/>
        <w:t>The framework can also represent alternative agreement conditions. A proposed institution may be examined through:</w:t>
      </w:r>
    </w:p>
    <w:p>
      <w:pPr>
        <w:pStyle w:val="BodyText"/>
        <w:numPr>
          <w:ilvl w:val="0"/>
          <w:numId w:val="109"/>
        </w:numPr>
        <w:tabs>
          <w:tab w:val="clear" w:pos="720"/>
          <w:tab w:val="left" w:pos="0" w:leader="none"/>
        </w:tabs>
        <w:spacing w:before="0" w:after="200"/>
        <w:ind w:hanging="283" w:left="709"/>
        <w:rPr/>
      </w:pPr>
      <w:r>
        <w:rPr/>
        <w:t>Actual stakeholder participation;</w:t>
      </w:r>
    </w:p>
    <w:p>
      <w:pPr>
        <w:pStyle w:val="BodyText"/>
        <w:numPr>
          <w:ilvl w:val="0"/>
          <w:numId w:val="109"/>
        </w:numPr>
        <w:tabs>
          <w:tab w:val="clear" w:pos="720"/>
          <w:tab w:val="left" w:pos="0" w:leader="none"/>
        </w:tabs>
        <w:spacing w:before="0" w:after="200"/>
        <w:ind w:hanging="283" w:left="709"/>
        <w:rPr/>
      </w:pPr>
      <w:r>
        <w:rPr/>
        <w:t>A no-agreement baseline;</w:t>
      </w:r>
    </w:p>
    <w:p>
      <w:pPr>
        <w:pStyle w:val="BodyText"/>
        <w:numPr>
          <w:ilvl w:val="0"/>
          <w:numId w:val="109"/>
        </w:numPr>
        <w:tabs>
          <w:tab w:val="clear" w:pos="720"/>
          <w:tab w:val="left" w:pos="0" w:leader="none"/>
        </w:tabs>
        <w:spacing w:before="0" w:after="200"/>
        <w:ind w:hanging="283" w:left="709"/>
        <w:rPr/>
      </w:pPr>
      <w:r>
        <w:rPr/>
        <w:t>A fair-bargaining baseline;</w:t>
      </w:r>
    </w:p>
    <w:p>
      <w:pPr>
        <w:pStyle w:val="BodyText"/>
        <w:numPr>
          <w:ilvl w:val="0"/>
          <w:numId w:val="109"/>
        </w:numPr>
        <w:tabs>
          <w:tab w:val="clear" w:pos="720"/>
          <w:tab w:val="left" w:pos="0" w:leader="none"/>
        </w:tabs>
        <w:spacing w:before="0" w:after="200"/>
        <w:ind w:hanging="283" w:left="709"/>
        <w:rPr/>
      </w:pPr>
      <w:r>
        <w:rPr/>
        <w:t>A Rawlsian veil-of-ignorance simulation;</w:t>
      </w:r>
    </w:p>
    <w:p>
      <w:pPr>
        <w:pStyle w:val="BodyText"/>
        <w:numPr>
          <w:ilvl w:val="0"/>
          <w:numId w:val="109"/>
        </w:numPr>
        <w:tabs>
          <w:tab w:val="clear" w:pos="720"/>
          <w:tab w:val="left" w:pos="0" w:leader="none"/>
        </w:tabs>
        <w:spacing w:before="0" w:after="200"/>
        <w:ind w:hanging="283" w:left="709"/>
        <w:rPr/>
      </w:pPr>
      <w:r>
        <w:rPr/>
        <w:t>A mutual-advantage test;</w:t>
      </w:r>
    </w:p>
    <w:p>
      <w:pPr>
        <w:pStyle w:val="BodyText"/>
        <w:numPr>
          <w:ilvl w:val="0"/>
          <w:numId w:val="109"/>
        </w:numPr>
        <w:tabs>
          <w:tab w:val="clear" w:pos="720"/>
          <w:tab w:val="left" w:pos="0" w:leader="none"/>
        </w:tabs>
        <w:spacing w:before="0" w:after="200"/>
        <w:ind w:hanging="283" w:left="709"/>
        <w:rPr/>
      </w:pPr>
      <w:r>
        <w:rPr/>
        <w:t>A reasonable-rejection test; and</w:t>
      </w:r>
    </w:p>
    <w:p>
      <w:pPr>
        <w:pStyle w:val="BodyText"/>
        <w:numPr>
          <w:ilvl w:val="0"/>
          <w:numId w:val="109"/>
        </w:numPr>
        <w:tabs>
          <w:tab w:val="clear" w:pos="720"/>
          <w:tab w:val="left" w:pos="0" w:leader="none"/>
        </w:tabs>
        <w:spacing w:before="0" w:after="200"/>
        <w:ind w:hanging="283" w:left="709"/>
        <w:rPr/>
      </w:pPr>
      <w:r>
        <w:rPr/>
        <w:t>Analysis of affected nonparties.</w:t>
      </w:r>
    </w:p>
    <w:p>
      <w:pPr>
        <w:pStyle w:val="BodyText"/>
        <w:spacing w:before="0" w:after="200"/>
        <w:rPr/>
      </w:pPr>
      <w:r>
        <w:rPr/>
        <w:t>Authority and responsibility are explicitly separable from causal effect. An institution’s ability to produce a beneficial transition does not establish its authority to do so. Role, jurisdiction, consent, public mandate, procedural legitimacy, and available alternatives remain relevant.</w:t>
      </w:r>
    </w:p>
    <w:p>
      <w:pPr>
        <w:pStyle w:val="BodyText"/>
        <w:spacing w:before="0" w:after="200"/>
        <w:rPr/>
      </w:pPr>
      <w:r>
        <w:rPr/>
        <w:t>Distributed Policy Effects address stability and assurance. Selective enforcement or unilateral defection can weaken trust and teach agents that compliance is irrational. Fair and consistent compliance can strengthen expectations of reciprocity.</w:t>
      </w:r>
    </w:p>
    <w:p>
      <w:pPr>
        <w:pStyle w:val="BodyText"/>
        <w:spacing w:before="0" w:after="200"/>
        <w:rPr/>
      </w:pPr>
      <w:r>
        <w:rPr/>
        <w:t>The framework’s broader moral scope answers the interests of entities unable to contract. It does not make moral standing conditional on bargaining power, rational capacity, or ability to provide reciprocal benefit. Children, future persons, nonhuman entities, and others may remain relevant even when they cannot participate directly.</w:t>
      </w:r>
    </w:p>
    <w:p>
      <w:pPr>
        <w:pStyle w:val="BodyText"/>
        <w:spacing w:before="0" w:after="200"/>
        <w:rPr/>
      </w:pPr>
      <w:r>
        <w:rPr/>
        <w:t>This answer will not satisfy a strict mutual-advantage contractarian who holds that obligations arise only from rational agreement. The framework openly adopts a wider moral foundation: agreements are ethically important but cannot exhaust the moral analysis.</w:t>
      </w:r>
    </w:p>
    <w:p>
      <w:pPr>
        <w:pStyle w:val="Heading4"/>
        <w:ind w:hanging="0" w:left="0"/>
        <w:rPr>
          <w:rFonts w:ascii="Aptos" w:hAnsi="Aptos"/>
          <w:color w:val="auto"/>
        </w:rPr>
      </w:pPr>
      <w:r>
        <w:rPr/>
        <w:t>Counterargument</w:t>
      </w:r>
    </w:p>
    <w:p>
      <w:pPr>
        <w:pStyle w:val="BodyText"/>
        <w:spacing w:before="0" w:after="200"/>
        <w:rPr/>
      </w:pPr>
      <w:r>
        <w:rPr/>
        <w:t>The framework’s counterargument is that agreement cannot serve as the sole foundation of ethics because the parties, bargaining baseline, information conditions, and permissible terms must themselves be morally evaluated.</w:t>
      </w:r>
    </w:p>
    <w:p>
      <w:pPr>
        <w:pStyle w:val="BodyText"/>
        <w:spacing w:before="0" w:after="200"/>
        <w:rPr/>
      </w:pPr>
      <w:r>
        <w:rPr/>
        <w:t>Powerful agents can agree to exploit nonparties. A person can “consent” because every alternative has been deliberately made intolerable. A majority can authorize permanent burdens on a minority. Current generations can consume resources needed by future generations that had no opportunity to participate. A valid-looking agreement can therefore remain ethically defective.</w:t>
      </w:r>
    </w:p>
    <w:p>
      <w:pPr>
        <w:pStyle w:val="BodyText"/>
        <w:spacing w:before="0" w:after="200"/>
        <w:rPr/>
      </w:pPr>
      <w:r>
        <w:rPr/>
        <w:t>Hypothetical agreement does not eliminate this problem. Different assumptions about rationality, motivation, risk, information, and membership can produce different contractual outcomes. The designer of the hypothetical contract may exercise as much normative power as the parties imagined within it.</w:t>
      </w:r>
    </w:p>
    <w:p>
      <w:pPr>
        <w:pStyle w:val="BodyText"/>
        <w:spacing w:before="0" w:after="200"/>
        <w:rPr/>
      </w:pPr>
      <w:r>
        <w:rPr/>
        <w:t>The framework consequently assigns social-contract reasoning a limited but important role:</w:t>
      </w:r>
    </w:p>
    <w:p>
      <w:pPr>
        <w:pStyle w:val="BodyText"/>
        <w:numPr>
          <w:ilvl w:val="0"/>
          <w:numId w:val="110"/>
        </w:numPr>
        <w:tabs>
          <w:tab w:val="clear" w:pos="720"/>
          <w:tab w:val="left" w:pos="0" w:leader="none"/>
        </w:tabs>
        <w:spacing w:before="0" w:after="200"/>
        <w:ind w:hanging="283" w:left="709"/>
        <w:rPr/>
      </w:pPr>
      <w:r>
        <w:rPr/>
        <w:t>The Foundational Axiom establishes a minimum ethical boundary protecting relevant entities and compatible flourishing.</w:t>
      </w:r>
    </w:p>
    <w:p>
      <w:pPr>
        <w:pStyle w:val="BodyText"/>
        <w:numPr>
          <w:ilvl w:val="0"/>
          <w:numId w:val="110"/>
        </w:numPr>
        <w:tabs>
          <w:tab w:val="clear" w:pos="720"/>
          <w:tab w:val="left" w:pos="0" w:leader="none"/>
        </w:tabs>
        <w:spacing w:before="0" w:after="200"/>
        <w:ind w:hanging="283" w:left="709"/>
        <w:rPr/>
      </w:pPr>
      <w:r>
        <w:rPr/>
        <w:t>Social-contract procedures determine how agents may legitimately cooperate within that boundary.</w:t>
      </w:r>
    </w:p>
    <w:p>
      <w:pPr>
        <w:pStyle w:val="BodyText"/>
        <w:numPr>
          <w:ilvl w:val="0"/>
          <w:numId w:val="110"/>
        </w:numPr>
        <w:tabs>
          <w:tab w:val="clear" w:pos="720"/>
          <w:tab w:val="left" w:pos="0" w:leader="none"/>
        </w:tabs>
        <w:spacing w:before="0" w:after="200"/>
        <w:ind w:hanging="283" w:left="709"/>
        <w:rPr/>
      </w:pPr>
      <w:r>
        <w:rPr/>
        <w:t>Consent can create additional rights, obligations, and authorities.</w:t>
      </w:r>
    </w:p>
    <w:p>
      <w:pPr>
        <w:pStyle w:val="BodyText"/>
        <w:numPr>
          <w:ilvl w:val="0"/>
          <w:numId w:val="110"/>
        </w:numPr>
        <w:tabs>
          <w:tab w:val="clear" w:pos="720"/>
          <w:tab w:val="left" w:pos="0" w:leader="none"/>
        </w:tabs>
        <w:spacing w:before="0" w:after="200"/>
        <w:ind w:hanging="283" w:left="709"/>
        <w:rPr/>
      </w:pPr>
      <w:r>
        <w:rPr/>
        <w:t>Fair procedures help select among multiple ethically permissible arrangements.</w:t>
      </w:r>
    </w:p>
    <w:p>
      <w:pPr>
        <w:pStyle w:val="BodyText"/>
        <w:numPr>
          <w:ilvl w:val="0"/>
          <w:numId w:val="110"/>
        </w:numPr>
        <w:tabs>
          <w:tab w:val="clear" w:pos="720"/>
          <w:tab w:val="left" w:pos="0" w:leader="none"/>
        </w:tabs>
        <w:spacing w:before="0" w:after="200"/>
        <w:ind w:hanging="283" w:left="709"/>
        <w:rPr/>
      </w:pPr>
      <w:r>
        <w:rPr/>
        <w:t>The complete World Context Transition evaluates effects on parties and nonparties.</w:t>
      </w:r>
    </w:p>
    <w:p>
      <w:pPr>
        <w:pStyle w:val="BodyText"/>
        <w:numPr>
          <w:ilvl w:val="0"/>
          <w:numId w:val="110"/>
        </w:numPr>
        <w:tabs>
          <w:tab w:val="clear" w:pos="720"/>
          <w:tab w:val="left" w:pos="0" w:leader="none"/>
        </w:tabs>
        <w:spacing w:before="0" w:after="200"/>
        <w:ind w:hanging="283" w:left="709"/>
        <w:rPr/>
      </w:pPr>
      <w:r>
        <w:rPr/>
        <w:t>Public justification and reasonable rejectability test the acceptability of the result.</w:t>
      </w:r>
    </w:p>
    <w:p>
      <w:pPr>
        <w:pStyle w:val="BodyText"/>
        <w:numPr>
          <w:ilvl w:val="0"/>
          <w:numId w:val="110"/>
        </w:numPr>
        <w:tabs>
          <w:tab w:val="clear" w:pos="720"/>
          <w:tab w:val="left" w:pos="0" w:leader="none"/>
        </w:tabs>
        <w:spacing w:before="0" w:after="200"/>
        <w:ind w:hanging="283" w:left="709"/>
        <w:rPr/>
      </w:pPr>
      <w:r>
        <w:rPr/>
        <w:t>Monitoring, exit, appeal, and renegotiation preserve legitimacy as conditions change.</w:t>
      </w:r>
    </w:p>
    <w:p>
      <w:pPr>
        <w:pStyle w:val="BodyText"/>
        <w:spacing w:before="0" w:after="200"/>
        <w:rPr/>
      </w:pPr>
      <w:r>
        <w:rPr/>
        <w:t>Under this model, agreement is a source of legitimacy and obligation, but not a license to impose unlimited harm.</w:t>
      </w:r>
    </w:p>
    <w:p>
      <w:pPr>
        <w:pStyle w:val="Heading4"/>
        <w:ind w:hanging="0" w:left="0"/>
        <w:rPr>
          <w:rFonts w:ascii="Aptos" w:hAnsi="Aptos"/>
          <w:color w:val="auto"/>
        </w:rPr>
      </w:pPr>
      <w:r>
        <w:rPr/>
        <w:t>Incremental Questions the Expert Should Then Ask</w:t>
      </w:r>
    </w:p>
    <w:tbl>
      <w:tblPr>
        <w:tblW w:w="8640" w:type="dxa"/>
        <w:jc w:val="left"/>
        <w:tblInd w:w="28" w:type="dxa"/>
        <w:tblLayout w:type="fixed"/>
        <w:tblCellMar>
          <w:top w:w="28" w:type="dxa"/>
          <w:left w:w="28" w:type="dxa"/>
          <w:bottom w:w="28" w:type="dxa"/>
          <w:right w:w="28" w:type="dxa"/>
        </w:tblCellMar>
      </w:tblPr>
      <w:tblGrid>
        <w:gridCol w:w="3222"/>
        <w:gridCol w:w="5418"/>
      </w:tblGrid>
      <w:tr>
        <w:trPr>
          <w:tblHeader w:val="true"/>
        </w:trPr>
        <w:tc>
          <w:tcPr>
            <w:tcW w:w="3222" w:type="dxa"/>
            <w:tcBorders/>
            <w:vAlign w:val="center"/>
          </w:tcPr>
          <w:p>
            <w:pPr>
              <w:pStyle w:val="TableHeading"/>
              <w:suppressLineNumbers/>
              <w:spacing w:before="0" w:after="200"/>
              <w:jc w:val="center"/>
              <w:rPr/>
            </w:pPr>
            <w:r>
              <w:rPr/>
              <w:t>Incremental question</w:t>
            </w:r>
          </w:p>
        </w:tc>
        <w:tc>
          <w:tcPr>
            <w:tcW w:w="5418" w:type="dxa"/>
            <w:tcBorders/>
            <w:vAlign w:val="center"/>
          </w:tcPr>
          <w:p>
            <w:pPr>
              <w:pStyle w:val="TableHeading"/>
              <w:suppressLineNumbers/>
              <w:spacing w:before="0" w:after="200"/>
              <w:jc w:val="center"/>
              <w:rPr/>
            </w:pPr>
            <w:r>
              <w:rPr/>
              <w:t>Response</w:t>
            </w:r>
          </w:p>
        </w:tc>
      </w:tr>
      <w:tr>
        <w:trPr/>
        <w:tc>
          <w:tcPr>
            <w:tcW w:w="3222" w:type="dxa"/>
            <w:tcBorders/>
            <w:vAlign w:val="center"/>
          </w:tcPr>
          <w:p>
            <w:pPr>
              <w:pStyle w:val="TableContents"/>
              <w:widowControl w:val="false"/>
              <w:suppressLineNumbers/>
              <w:spacing w:before="0" w:after="200"/>
              <w:rPr/>
            </w:pPr>
            <w:r>
              <w:rPr>
                <w:rStyle w:val="Strong"/>
              </w:rPr>
              <w:t>1. Why should rational agents accept the Foundational Axiom?</w:t>
            </w:r>
          </w:p>
        </w:tc>
        <w:tc>
          <w:tcPr>
            <w:tcW w:w="5418" w:type="dxa"/>
            <w:tcBorders/>
            <w:vAlign w:val="center"/>
          </w:tcPr>
          <w:p>
            <w:pPr>
              <w:pStyle w:val="TableContents"/>
              <w:widowControl w:val="false"/>
              <w:suppressLineNumbers/>
              <w:spacing w:before="0" w:after="200"/>
              <w:rPr/>
            </w:pPr>
            <w:r>
              <w:rPr/>
              <w:t>The framework can argue that preserving compatible flourishing protects the agency, security, and future possibilities necessary for meaningful cooperation. This is a public justification, not proof of actual consent.</w:t>
            </w:r>
          </w:p>
        </w:tc>
      </w:tr>
      <w:tr>
        <w:trPr/>
        <w:tc>
          <w:tcPr>
            <w:tcW w:w="3222" w:type="dxa"/>
            <w:tcBorders/>
            <w:vAlign w:val="center"/>
          </w:tcPr>
          <w:p>
            <w:pPr>
              <w:pStyle w:val="TableContents"/>
              <w:widowControl w:val="false"/>
              <w:suppressLineNumbers/>
              <w:spacing w:before="0" w:after="200"/>
              <w:rPr/>
            </w:pPr>
            <w:r>
              <w:rPr>
                <w:rStyle w:val="Strong"/>
              </w:rPr>
              <w:t>2. Is the framework legitimate if affected persons reject its axiom?</w:t>
            </w:r>
          </w:p>
        </w:tc>
        <w:tc>
          <w:tcPr>
            <w:tcW w:w="5418" w:type="dxa"/>
            <w:tcBorders/>
            <w:vAlign w:val="center"/>
          </w:tcPr>
          <w:p>
            <w:pPr>
              <w:pStyle w:val="TableContents"/>
              <w:widowControl w:val="false"/>
              <w:suppressLineNumbers/>
              <w:spacing w:before="0" w:after="200"/>
              <w:rPr/>
            </w:pPr>
            <w:r>
              <w:rPr/>
              <w:t>Its philosophical validity and its political legitimacy must be distinguished. A framework may offer defensible ethical reasons while still lacking authority to govern persons who have not authorized its use.</w:t>
            </w:r>
          </w:p>
        </w:tc>
      </w:tr>
      <w:tr>
        <w:trPr/>
        <w:tc>
          <w:tcPr>
            <w:tcW w:w="3222" w:type="dxa"/>
            <w:tcBorders/>
            <w:vAlign w:val="center"/>
          </w:tcPr>
          <w:p>
            <w:pPr>
              <w:pStyle w:val="TableContents"/>
              <w:widowControl w:val="false"/>
              <w:suppressLineNumbers/>
              <w:spacing w:before="0" w:after="200"/>
              <w:rPr/>
            </w:pPr>
            <w:r>
              <w:rPr>
                <w:rStyle w:val="Strong"/>
              </w:rPr>
              <w:t>3. Must actual consent be obtained before every application?</w:t>
            </w:r>
          </w:p>
        </w:tc>
        <w:tc>
          <w:tcPr>
            <w:tcW w:w="5418" w:type="dxa"/>
            <w:tcBorders/>
            <w:vAlign w:val="center"/>
          </w:tcPr>
          <w:p>
            <w:pPr>
              <w:pStyle w:val="TableContents"/>
              <w:widowControl w:val="false"/>
              <w:suppressLineNumbers/>
              <w:spacing w:before="0" w:after="200"/>
              <w:rPr/>
            </w:pPr>
            <w:r>
              <w:rPr/>
              <w:t>Not in every context. Existing legitimate roles, laws, emergencies, and prior agreements may authorize some decisions. The relevant source and limits of authority should be stated explicitly.</w:t>
            </w:r>
          </w:p>
        </w:tc>
      </w:tr>
      <w:tr>
        <w:trPr/>
        <w:tc>
          <w:tcPr>
            <w:tcW w:w="3222" w:type="dxa"/>
            <w:tcBorders/>
            <w:vAlign w:val="center"/>
          </w:tcPr>
          <w:p>
            <w:pPr>
              <w:pStyle w:val="TableContents"/>
              <w:widowControl w:val="false"/>
              <w:suppressLineNumbers/>
              <w:spacing w:before="0" w:after="200"/>
              <w:rPr/>
            </w:pPr>
            <w:r>
              <w:rPr>
                <w:rStyle w:val="Strong"/>
              </w:rPr>
              <w:t>4. Can hypothetical consent substitute for actual consent?</w:t>
            </w:r>
          </w:p>
        </w:tc>
        <w:tc>
          <w:tcPr>
            <w:tcW w:w="5418" w:type="dxa"/>
            <w:tcBorders/>
            <w:vAlign w:val="center"/>
          </w:tcPr>
          <w:p>
            <w:pPr>
              <w:pStyle w:val="TableContents"/>
              <w:widowControl w:val="false"/>
              <w:suppressLineNumbers/>
              <w:spacing w:before="0" w:after="200"/>
              <w:rPr/>
            </w:pPr>
            <w:r>
              <w:rPr/>
              <w:t>It can test fairness or public justifiability but should not be reported as if actual persons consented. The two findings must remain distinct.</w:t>
            </w:r>
          </w:p>
        </w:tc>
      </w:tr>
      <w:tr>
        <w:trPr/>
        <w:tc>
          <w:tcPr>
            <w:tcW w:w="3222" w:type="dxa"/>
            <w:tcBorders/>
            <w:vAlign w:val="center"/>
          </w:tcPr>
          <w:p>
            <w:pPr>
              <w:pStyle w:val="TableContents"/>
              <w:widowControl w:val="false"/>
              <w:suppressLineNumbers/>
              <w:spacing w:before="0" w:after="200"/>
              <w:rPr/>
            </w:pPr>
            <w:r>
              <w:rPr>
                <w:rStyle w:val="Strong"/>
              </w:rPr>
              <w:t>5. Which model of agreement should the framework use?</w:t>
            </w:r>
          </w:p>
        </w:tc>
        <w:tc>
          <w:tcPr>
            <w:tcW w:w="5418" w:type="dxa"/>
            <w:tcBorders/>
            <w:vAlign w:val="center"/>
          </w:tcPr>
          <w:p>
            <w:pPr>
              <w:pStyle w:val="TableContents"/>
              <w:widowControl w:val="false"/>
              <w:suppressLineNumbers/>
              <w:spacing w:before="0" w:after="200"/>
              <w:rPr/>
            </w:pPr>
            <w:r>
              <w:rPr/>
              <w:t>The model should match the question. Mutual advantage tests cooperation incentives; the original position tests structural fairness; reasonable rejectability tests interpersonal justification; actual consent tests authorization.</w:t>
            </w:r>
          </w:p>
        </w:tc>
      </w:tr>
      <w:tr>
        <w:trPr/>
        <w:tc>
          <w:tcPr>
            <w:tcW w:w="3222" w:type="dxa"/>
            <w:tcBorders/>
            <w:vAlign w:val="center"/>
          </w:tcPr>
          <w:p>
            <w:pPr>
              <w:pStyle w:val="TableContents"/>
              <w:widowControl w:val="false"/>
              <w:suppressLineNumbers/>
              <w:spacing w:before="0" w:after="200"/>
              <w:rPr/>
            </w:pPr>
            <w:r>
              <w:rPr>
                <w:rStyle w:val="Strong"/>
              </w:rPr>
              <w:t>6. Who qualifies as a party to the agreement?</w:t>
            </w:r>
          </w:p>
        </w:tc>
        <w:tc>
          <w:tcPr>
            <w:tcW w:w="5418" w:type="dxa"/>
            <w:tcBorders/>
            <w:vAlign w:val="center"/>
          </w:tcPr>
          <w:p>
            <w:pPr>
              <w:pStyle w:val="TableContents"/>
              <w:widowControl w:val="false"/>
              <w:suppressLineNumbers/>
              <w:spacing w:before="0" w:after="200"/>
              <w:rPr/>
            </w:pPr>
            <w:r>
              <w:rPr/>
              <w:t>Parties should include entities whose rights, duties, opportunities, or institutional standing are governed by the agreement. Materially affected nonparties should also be identified.</w:t>
            </w:r>
          </w:p>
        </w:tc>
      </w:tr>
      <w:tr>
        <w:trPr/>
        <w:tc>
          <w:tcPr>
            <w:tcW w:w="3222" w:type="dxa"/>
            <w:tcBorders/>
            <w:vAlign w:val="center"/>
          </w:tcPr>
          <w:p>
            <w:pPr>
              <w:pStyle w:val="TableContents"/>
              <w:widowControl w:val="false"/>
              <w:suppressLineNumbers/>
              <w:spacing w:before="0" w:after="200"/>
              <w:rPr/>
            </w:pPr>
            <w:r>
              <w:rPr>
                <w:rStyle w:val="Strong"/>
              </w:rPr>
              <w:t>7. What motivations are attributed to the parties?</w:t>
            </w:r>
          </w:p>
        </w:tc>
        <w:tc>
          <w:tcPr>
            <w:tcW w:w="5418" w:type="dxa"/>
            <w:tcBorders/>
            <w:vAlign w:val="center"/>
          </w:tcPr>
          <w:p>
            <w:pPr>
              <w:pStyle w:val="TableContents"/>
              <w:widowControl w:val="false"/>
              <w:suppressLineNumbers/>
              <w:spacing w:before="0" w:after="200"/>
              <w:rPr/>
            </w:pPr>
            <w:r>
              <w:rPr/>
              <w:t>The framework should not assume one universal model. Self-interest, fairness, reciprocity, risk aversion, concern for rights, and reasonable justification may each be tested where relevant.</w:t>
            </w:r>
          </w:p>
        </w:tc>
      </w:tr>
      <w:tr>
        <w:trPr/>
        <w:tc>
          <w:tcPr>
            <w:tcW w:w="3222" w:type="dxa"/>
            <w:tcBorders/>
            <w:vAlign w:val="center"/>
          </w:tcPr>
          <w:p>
            <w:pPr>
              <w:pStyle w:val="TableContents"/>
              <w:widowControl w:val="false"/>
              <w:suppressLineNumbers/>
              <w:spacing w:before="0" w:after="200"/>
              <w:rPr/>
            </w:pPr>
            <w:r>
              <w:rPr>
                <w:rStyle w:val="Strong"/>
              </w:rPr>
              <w:t>8. What is the correct bargaining baseline?</w:t>
            </w:r>
          </w:p>
        </w:tc>
        <w:tc>
          <w:tcPr>
            <w:tcW w:w="5418" w:type="dxa"/>
            <w:tcBorders/>
            <w:vAlign w:val="center"/>
          </w:tcPr>
          <w:p>
            <w:pPr>
              <w:pStyle w:val="TableContents"/>
              <w:widowControl w:val="false"/>
              <w:suppressLineNumbers/>
              <w:spacing w:before="0" w:after="200"/>
              <w:rPr/>
            </w:pPr>
            <w:r>
              <w:rPr/>
              <w:t>No baseline should be treated as self-justifying. The current context, a no-institution context, and one or more fair-baseline alternatives should be compared.</w:t>
            </w:r>
          </w:p>
        </w:tc>
      </w:tr>
      <w:tr>
        <w:trPr/>
        <w:tc>
          <w:tcPr>
            <w:tcW w:w="3222" w:type="dxa"/>
            <w:tcBorders/>
            <w:vAlign w:val="center"/>
          </w:tcPr>
          <w:p>
            <w:pPr>
              <w:pStyle w:val="TableContents"/>
              <w:widowControl w:val="false"/>
              <w:suppressLineNumbers/>
              <w:spacing w:before="0" w:after="200"/>
              <w:rPr/>
            </w:pPr>
            <w:r>
              <w:rPr>
                <w:rStyle w:val="Strong"/>
              </w:rPr>
              <w:t>9. Can a mutually beneficial agreement still be unjust?</w:t>
            </w:r>
          </w:p>
        </w:tc>
        <w:tc>
          <w:tcPr>
            <w:tcW w:w="5418" w:type="dxa"/>
            <w:tcBorders/>
            <w:vAlign w:val="center"/>
          </w:tcPr>
          <w:p>
            <w:pPr>
              <w:pStyle w:val="TableContents"/>
              <w:widowControl w:val="false"/>
              <w:suppressLineNumbers/>
              <w:spacing w:before="0" w:after="200"/>
              <w:rPr/>
            </w:pPr>
            <w:r>
              <w:rPr/>
              <w:t>Yes. It may preserve an unjust baseline, distribute gains unfairly, exploit dependency, or impose costs on nonparties.</w:t>
            </w:r>
          </w:p>
        </w:tc>
      </w:tr>
      <w:tr>
        <w:trPr/>
        <w:tc>
          <w:tcPr>
            <w:tcW w:w="3222" w:type="dxa"/>
            <w:tcBorders/>
            <w:vAlign w:val="center"/>
          </w:tcPr>
          <w:p>
            <w:pPr>
              <w:pStyle w:val="TableContents"/>
              <w:widowControl w:val="false"/>
              <w:suppressLineNumbers/>
              <w:spacing w:before="0" w:after="200"/>
              <w:rPr/>
            </w:pPr>
            <w:r>
              <w:rPr>
                <w:rStyle w:val="Strong"/>
              </w:rPr>
              <w:t>10. How is valid consent distinguished from acquiescence?</w:t>
            </w:r>
          </w:p>
        </w:tc>
        <w:tc>
          <w:tcPr>
            <w:tcW w:w="5418" w:type="dxa"/>
            <w:tcBorders/>
            <w:vAlign w:val="center"/>
          </w:tcPr>
          <w:p>
            <w:pPr>
              <w:pStyle w:val="TableContents"/>
              <w:widowControl w:val="false"/>
              <w:suppressLineNumbers/>
              <w:spacing w:before="0" w:after="200"/>
              <w:rPr/>
            </w:pPr>
            <w:r>
              <w:rPr/>
              <w:t>The assessment should examine information, competence, coercion, manipulation, dependency, urgency, alternatives, and the ability to refuse without disproportionate penalty.</w:t>
            </w:r>
          </w:p>
        </w:tc>
      </w:tr>
      <w:tr>
        <w:trPr/>
        <w:tc>
          <w:tcPr>
            <w:tcW w:w="3222" w:type="dxa"/>
            <w:tcBorders/>
            <w:vAlign w:val="center"/>
          </w:tcPr>
          <w:p>
            <w:pPr>
              <w:pStyle w:val="TableContents"/>
              <w:widowControl w:val="false"/>
              <w:suppressLineNumbers/>
              <w:spacing w:before="0" w:after="200"/>
              <w:rPr/>
            </w:pPr>
            <w:r>
              <w:rPr>
                <w:rStyle w:val="Strong"/>
              </w:rPr>
              <w:t>11. Is tacit consent sufficient?</w:t>
            </w:r>
          </w:p>
        </w:tc>
        <w:tc>
          <w:tcPr>
            <w:tcW w:w="5418" w:type="dxa"/>
            <w:tcBorders/>
            <w:vAlign w:val="center"/>
          </w:tcPr>
          <w:p>
            <w:pPr>
              <w:pStyle w:val="TableContents"/>
              <w:widowControl w:val="false"/>
              <w:suppressLineNumbers/>
              <w:spacing w:before="0" w:after="200"/>
              <w:rPr/>
            </w:pPr>
            <w:r>
              <w:rPr/>
              <w:t>Tacit consent provides weaker justification than explicit consent and is especially problematic when exit is costly or no viable alternative exists. Its basis and scope should be reported.</w:t>
            </w:r>
          </w:p>
        </w:tc>
      </w:tr>
      <w:tr>
        <w:trPr/>
        <w:tc>
          <w:tcPr>
            <w:tcW w:w="3222" w:type="dxa"/>
            <w:tcBorders/>
            <w:vAlign w:val="center"/>
          </w:tcPr>
          <w:p>
            <w:pPr>
              <w:pStyle w:val="TableContents"/>
              <w:widowControl w:val="false"/>
              <w:suppressLineNumbers/>
              <w:spacing w:before="0" w:after="200"/>
              <w:rPr/>
            </w:pPr>
            <w:r>
              <w:rPr>
                <w:rStyle w:val="Strong"/>
              </w:rPr>
              <w:t>12. Does continued residence or participation imply consent?</w:t>
            </w:r>
          </w:p>
        </w:tc>
        <w:tc>
          <w:tcPr>
            <w:tcW w:w="5418" w:type="dxa"/>
            <w:tcBorders/>
            <w:vAlign w:val="center"/>
          </w:tcPr>
          <w:p>
            <w:pPr>
              <w:pStyle w:val="TableContents"/>
              <w:widowControl w:val="false"/>
              <w:suppressLineNumbers/>
              <w:spacing w:before="0" w:after="200"/>
              <w:rPr/>
            </w:pPr>
            <w:r>
              <w:rPr/>
              <w:t>Not necessarily. Participation may reflect necessity, lack of alternatives, dependency, or inherited membership rather than voluntary authorization.</w:t>
            </w:r>
          </w:p>
        </w:tc>
      </w:tr>
      <w:tr>
        <w:trPr/>
        <w:tc>
          <w:tcPr>
            <w:tcW w:w="3222" w:type="dxa"/>
            <w:tcBorders/>
            <w:vAlign w:val="center"/>
          </w:tcPr>
          <w:p>
            <w:pPr>
              <w:pStyle w:val="TableContents"/>
              <w:widowControl w:val="false"/>
              <w:suppressLineNumbers/>
              <w:spacing w:before="0" w:after="200"/>
              <w:rPr/>
            </w:pPr>
            <w:r>
              <w:rPr>
                <w:rStyle w:val="Strong"/>
              </w:rPr>
              <w:t>13. How does the framework handle unequal bargaining power?</w:t>
            </w:r>
          </w:p>
        </w:tc>
        <w:tc>
          <w:tcPr>
            <w:tcW w:w="5418" w:type="dxa"/>
            <w:tcBorders/>
            <w:vAlign w:val="center"/>
          </w:tcPr>
          <w:p>
            <w:pPr>
              <w:pStyle w:val="TableContents"/>
              <w:widowControl w:val="false"/>
              <w:suppressLineNumbers/>
              <w:spacing w:before="0" w:after="200"/>
              <w:rPr/>
            </w:pPr>
            <w:r>
              <w:rPr/>
              <w:t>It should model control over essential resources, information asymmetry, urgency, monopoly, dependency, and the parties’ realistic alternatives.</w:t>
            </w:r>
          </w:p>
        </w:tc>
      </w:tr>
      <w:tr>
        <w:trPr/>
        <w:tc>
          <w:tcPr>
            <w:tcW w:w="3222" w:type="dxa"/>
            <w:tcBorders/>
            <w:vAlign w:val="center"/>
          </w:tcPr>
          <w:p>
            <w:pPr>
              <w:pStyle w:val="TableContents"/>
              <w:widowControl w:val="false"/>
              <w:suppressLineNumbers/>
              <w:spacing w:before="0" w:after="200"/>
              <w:rPr/>
            </w:pPr>
            <w:r>
              <w:rPr>
                <w:rStyle w:val="Strong"/>
              </w:rPr>
              <w:t>14. What role does the veil of ignorance play?</w:t>
            </w:r>
          </w:p>
        </w:tc>
        <w:tc>
          <w:tcPr>
            <w:tcW w:w="5418" w:type="dxa"/>
            <w:tcBorders/>
            <w:vAlign w:val="center"/>
          </w:tcPr>
          <w:p>
            <w:pPr>
              <w:pStyle w:val="TableContents"/>
              <w:widowControl w:val="false"/>
              <w:suppressLineNumbers/>
              <w:spacing w:before="0" w:after="200"/>
              <w:rPr/>
            </w:pPr>
            <w:r>
              <w:rPr/>
              <w:t>It can test whether principles remain acceptable when decision-makers do not know which affected position they will occupy. It supplements rather than replaces actual participation.</w:t>
            </w:r>
          </w:p>
        </w:tc>
      </w:tr>
      <w:tr>
        <w:trPr/>
        <w:tc>
          <w:tcPr>
            <w:tcW w:w="3222" w:type="dxa"/>
            <w:tcBorders/>
            <w:vAlign w:val="center"/>
          </w:tcPr>
          <w:p>
            <w:pPr>
              <w:pStyle w:val="TableContents"/>
              <w:widowControl w:val="false"/>
              <w:suppressLineNumbers/>
              <w:spacing w:before="0" w:after="200"/>
              <w:rPr/>
            </w:pPr>
            <w:r>
              <w:rPr>
                <w:rStyle w:val="Strong"/>
              </w:rPr>
              <w:t>15. How is reasonable rejection evaluated?</w:t>
            </w:r>
          </w:p>
        </w:tc>
        <w:tc>
          <w:tcPr>
            <w:tcW w:w="5418" w:type="dxa"/>
            <w:tcBorders/>
            <w:vAlign w:val="center"/>
          </w:tcPr>
          <w:p>
            <w:pPr>
              <w:pStyle w:val="TableContents"/>
              <w:widowControl w:val="false"/>
              <w:suppressLineNumbers/>
              <w:spacing w:before="0" w:after="200"/>
              <w:rPr/>
            </w:pPr>
            <w:r>
              <w:rPr/>
              <w:t>The framework should identify each party’s strongest objection, the burden imposed, the reasons supporting the principle, and whether less burdensome alternatives exist.</w:t>
            </w:r>
          </w:p>
        </w:tc>
      </w:tr>
      <w:tr>
        <w:trPr/>
        <w:tc>
          <w:tcPr>
            <w:tcW w:w="3222" w:type="dxa"/>
            <w:tcBorders/>
            <w:vAlign w:val="center"/>
          </w:tcPr>
          <w:p>
            <w:pPr>
              <w:pStyle w:val="TableContents"/>
              <w:widowControl w:val="false"/>
              <w:suppressLineNumbers/>
              <w:spacing w:before="0" w:after="200"/>
              <w:rPr/>
            </w:pPr>
            <w:r>
              <w:rPr>
                <w:rStyle w:val="Strong"/>
              </w:rPr>
              <w:t>16. Does a majority vote establish agreement?</w:t>
            </w:r>
          </w:p>
        </w:tc>
        <w:tc>
          <w:tcPr>
            <w:tcW w:w="5418" w:type="dxa"/>
            <w:tcBorders/>
            <w:vAlign w:val="center"/>
          </w:tcPr>
          <w:p>
            <w:pPr>
              <w:pStyle w:val="TableContents"/>
              <w:widowControl w:val="false"/>
              <w:suppressLineNumbers/>
              <w:spacing w:before="0" w:after="200"/>
              <w:rPr/>
            </w:pPr>
            <w:r>
              <w:rPr/>
              <w:t>A vote can authorize a decision under legitimate procedures, but it does not establish unanimous consent or eliminate minority rights and objections.</w:t>
            </w:r>
          </w:p>
        </w:tc>
      </w:tr>
      <w:tr>
        <w:trPr/>
        <w:tc>
          <w:tcPr>
            <w:tcW w:w="3222" w:type="dxa"/>
            <w:tcBorders/>
            <w:vAlign w:val="center"/>
          </w:tcPr>
          <w:p>
            <w:pPr>
              <w:pStyle w:val="TableContents"/>
              <w:widowControl w:val="false"/>
              <w:suppressLineNumbers/>
              <w:spacing w:before="0" w:after="200"/>
              <w:rPr/>
            </w:pPr>
            <w:r>
              <w:rPr>
                <w:rStyle w:val="Strong"/>
              </w:rPr>
              <w:t>17. Is Rousseau’s general will equivalent to aggregate preference?</w:t>
            </w:r>
          </w:p>
        </w:tc>
        <w:tc>
          <w:tcPr>
            <w:tcW w:w="5418" w:type="dxa"/>
            <w:tcBorders/>
            <w:vAlign w:val="center"/>
          </w:tcPr>
          <w:p>
            <w:pPr>
              <w:pStyle w:val="TableContents"/>
              <w:widowControl w:val="false"/>
              <w:suppressLineNumbers/>
              <w:spacing w:before="0" w:after="200"/>
              <w:rPr/>
            </w:pPr>
            <w:r>
              <w:rPr/>
              <w:t>No. A claimed general will must concern common conditions of citizenship and cooperation. It should not be inferred merely from majority preference or governmental assertion.</w:t>
            </w:r>
          </w:p>
        </w:tc>
      </w:tr>
      <w:tr>
        <w:trPr/>
        <w:tc>
          <w:tcPr>
            <w:tcW w:w="3222" w:type="dxa"/>
            <w:tcBorders/>
            <w:vAlign w:val="center"/>
          </w:tcPr>
          <w:p>
            <w:pPr>
              <w:pStyle w:val="TableContents"/>
              <w:widowControl w:val="false"/>
              <w:suppressLineNumbers/>
              <w:spacing w:before="0" w:after="200"/>
              <w:rPr/>
            </w:pPr>
            <w:r>
              <w:rPr>
                <w:rStyle w:val="Strong"/>
              </w:rPr>
              <w:t>18. How are children and persons with limited decision-making capacity represented?</w:t>
            </w:r>
          </w:p>
        </w:tc>
        <w:tc>
          <w:tcPr>
            <w:tcW w:w="5418" w:type="dxa"/>
            <w:tcBorders/>
            <w:vAlign w:val="center"/>
          </w:tcPr>
          <w:p>
            <w:pPr>
              <w:pStyle w:val="TableContents"/>
              <w:widowControl w:val="false"/>
              <w:suppressLineNumbers/>
              <w:spacing w:before="0" w:after="200"/>
              <w:rPr/>
            </w:pPr>
            <w:r>
              <w:rPr/>
              <w:t>Guardians and advocates may represent them, but their interests, developing agency, prior wishes, and protection from conflicts of interest should remain independently visible.</w:t>
            </w:r>
          </w:p>
        </w:tc>
      </w:tr>
      <w:tr>
        <w:trPr/>
        <w:tc>
          <w:tcPr>
            <w:tcW w:w="3222" w:type="dxa"/>
            <w:tcBorders/>
            <w:vAlign w:val="center"/>
          </w:tcPr>
          <w:p>
            <w:pPr>
              <w:pStyle w:val="TableContents"/>
              <w:widowControl w:val="false"/>
              <w:suppressLineNumbers/>
              <w:spacing w:before="0" w:after="200"/>
              <w:rPr/>
            </w:pPr>
            <w:r>
              <w:rPr>
                <w:rStyle w:val="Strong"/>
              </w:rPr>
              <w:t>19. How are future generations represented?</w:t>
            </w:r>
          </w:p>
        </w:tc>
        <w:tc>
          <w:tcPr>
            <w:tcW w:w="5418" w:type="dxa"/>
            <w:tcBorders/>
            <w:vAlign w:val="center"/>
          </w:tcPr>
          <w:p>
            <w:pPr>
              <w:pStyle w:val="TableContents"/>
              <w:widowControl w:val="false"/>
              <w:suppressLineNumbers/>
              <w:spacing w:before="0" w:after="200"/>
              <w:rPr/>
            </w:pPr>
            <w:r>
              <w:rPr/>
              <w:t>Through trustees, intergenerational constraints, scenario analysis, preservation of options, and review of irreversible commitments.</w:t>
            </w:r>
          </w:p>
        </w:tc>
      </w:tr>
      <w:tr>
        <w:trPr/>
        <w:tc>
          <w:tcPr>
            <w:tcW w:w="3222" w:type="dxa"/>
            <w:tcBorders/>
            <w:vAlign w:val="center"/>
          </w:tcPr>
          <w:p>
            <w:pPr>
              <w:pStyle w:val="TableContents"/>
              <w:widowControl w:val="false"/>
              <w:suppressLineNumbers/>
              <w:spacing w:before="0" w:after="200"/>
              <w:rPr/>
            </w:pPr>
            <w:r>
              <w:rPr>
                <w:rStyle w:val="Strong"/>
              </w:rPr>
              <w:t>20. How are nonhuman entities represented?</w:t>
            </w:r>
          </w:p>
        </w:tc>
        <w:tc>
          <w:tcPr>
            <w:tcW w:w="5418" w:type="dxa"/>
            <w:tcBorders/>
            <w:vAlign w:val="center"/>
          </w:tcPr>
          <w:p>
            <w:pPr>
              <w:pStyle w:val="TableContents"/>
              <w:widowControl w:val="false"/>
              <w:suppressLineNumbers/>
              <w:spacing w:before="0" w:after="200"/>
              <w:rPr/>
            </w:pPr>
            <w:r>
              <w:rPr/>
              <w:t>Their moral relevance should be evaluated independently of reciprocal capacity. Appropriate scientific evidence, guardianship, and ecological representation can inform the assessment.</w:t>
            </w:r>
          </w:p>
        </w:tc>
      </w:tr>
      <w:tr>
        <w:trPr/>
        <w:tc>
          <w:tcPr>
            <w:tcW w:w="3222" w:type="dxa"/>
            <w:tcBorders/>
            <w:vAlign w:val="center"/>
          </w:tcPr>
          <w:p>
            <w:pPr>
              <w:pStyle w:val="TableContents"/>
              <w:widowControl w:val="false"/>
              <w:suppressLineNumbers/>
              <w:spacing w:before="0" w:after="200"/>
              <w:rPr/>
            </w:pPr>
            <w:r>
              <w:rPr>
                <w:rStyle w:val="Strong"/>
              </w:rPr>
              <w:t>21. Can artificial agents become contracting parties?</w:t>
            </w:r>
          </w:p>
        </w:tc>
        <w:tc>
          <w:tcPr>
            <w:tcW w:w="5418" w:type="dxa"/>
            <w:tcBorders/>
            <w:vAlign w:val="center"/>
          </w:tcPr>
          <w:p>
            <w:pPr>
              <w:pStyle w:val="TableContents"/>
              <w:widowControl w:val="false"/>
              <w:suppressLineNumbers/>
              <w:spacing w:before="0" w:after="200"/>
              <w:rPr/>
            </w:pPr>
            <w:r>
              <w:rPr/>
              <w:t>Potentially, if they possess sufficient agency, continuity, understanding, authorization, and accountability. Current systems may instead function as instruments or representatives of human and institutional principals.</w:t>
            </w:r>
          </w:p>
        </w:tc>
      </w:tr>
      <w:tr>
        <w:trPr/>
        <w:tc>
          <w:tcPr>
            <w:tcW w:w="3222" w:type="dxa"/>
            <w:tcBorders/>
            <w:vAlign w:val="center"/>
          </w:tcPr>
          <w:p>
            <w:pPr>
              <w:pStyle w:val="TableContents"/>
              <w:widowControl w:val="false"/>
              <w:suppressLineNumbers/>
              <w:spacing w:before="0" w:after="200"/>
              <w:rPr/>
            </w:pPr>
            <w:r>
              <w:rPr>
                <w:rStyle w:val="Strong"/>
              </w:rPr>
              <w:t>22. What happens when a contract benefits the parties but harms outsiders?</w:t>
            </w:r>
          </w:p>
        </w:tc>
        <w:tc>
          <w:tcPr>
            <w:tcW w:w="5418" w:type="dxa"/>
            <w:tcBorders/>
            <w:vAlign w:val="center"/>
          </w:tcPr>
          <w:p>
            <w:pPr>
              <w:pStyle w:val="TableContents"/>
              <w:widowControl w:val="false"/>
              <w:suppressLineNumbers/>
              <w:spacing w:before="0" w:after="200"/>
              <w:rPr/>
            </w:pPr>
            <w:r>
              <w:rPr/>
              <w:t>The nonparty effects remain part of the World Context Transition. Party agreement cannot automatically authorize material harm to outsiders.</w:t>
            </w:r>
          </w:p>
        </w:tc>
      </w:tr>
      <w:tr>
        <w:trPr/>
        <w:tc>
          <w:tcPr>
            <w:tcW w:w="3222" w:type="dxa"/>
            <w:tcBorders/>
            <w:vAlign w:val="center"/>
          </w:tcPr>
          <w:p>
            <w:pPr>
              <w:pStyle w:val="TableContents"/>
              <w:widowControl w:val="false"/>
              <w:suppressLineNumbers/>
              <w:spacing w:before="0" w:after="200"/>
              <w:rPr/>
            </w:pPr>
            <w:r>
              <w:rPr>
                <w:rStyle w:val="Strong"/>
              </w:rPr>
              <w:t>23. How does the framework create assurance of compliance?</w:t>
            </w:r>
          </w:p>
        </w:tc>
        <w:tc>
          <w:tcPr>
            <w:tcW w:w="5418" w:type="dxa"/>
            <w:tcBorders/>
            <w:vAlign w:val="center"/>
          </w:tcPr>
          <w:p>
            <w:pPr>
              <w:pStyle w:val="TableContents"/>
              <w:widowControl w:val="false"/>
              <w:suppressLineNumbers/>
              <w:spacing w:before="0" w:after="200"/>
              <w:rPr/>
            </w:pPr>
            <w:r>
              <w:rPr/>
              <w:t>Through transparent duties, monitoring, reciprocal expectations, proportionate enforcement, dispute resolution, and credible remedies.</w:t>
            </w:r>
          </w:p>
        </w:tc>
      </w:tr>
      <w:tr>
        <w:trPr/>
        <w:tc>
          <w:tcPr>
            <w:tcW w:w="3222" w:type="dxa"/>
            <w:tcBorders/>
            <w:vAlign w:val="center"/>
          </w:tcPr>
          <w:p>
            <w:pPr>
              <w:pStyle w:val="TableContents"/>
              <w:widowControl w:val="false"/>
              <w:suppressLineNumbers/>
              <w:spacing w:before="0" w:after="200"/>
              <w:rPr/>
            </w:pPr>
            <w:r>
              <w:rPr>
                <w:rStyle w:val="Strong"/>
              </w:rPr>
              <w:t>24. When is enforcement legitimate?</w:t>
            </w:r>
          </w:p>
        </w:tc>
        <w:tc>
          <w:tcPr>
            <w:tcW w:w="5418" w:type="dxa"/>
            <w:tcBorders/>
            <w:vAlign w:val="center"/>
          </w:tcPr>
          <w:p>
            <w:pPr>
              <w:pStyle w:val="TableContents"/>
              <w:widowControl w:val="false"/>
              <w:suppressLineNumbers/>
              <w:spacing w:before="0" w:after="200"/>
              <w:rPr/>
            </w:pPr>
            <w:r>
              <w:rPr/>
              <w:t>Enforcement requires valid authority, notice, proportionality, consistent application, due process, and an opportunity for review.</w:t>
            </w:r>
          </w:p>
        </w:tc>
      </w:tr>
      <w:tr>
        <w:trPr/>
        <w:tc>
          <w:tcPr>
            <w:tcW w:w="3222" w:type="dxa"/>
            <w:tcBorders/>
            <w:vAlign w:val="center"/>
          </w:tcPr>
          <w:p>
            <w:pPr>
              <w:pStyle w:val="TableContents"/>
              <w:widowControl w:val="false"/>
              <w:suppressLineNumbers/>
              <w:spacing w:before="0" w:after="200"/>
              <w:rPr/>
            </w:pPr>
            <w:r>
              <w:rPr>
                <w:rStyle w:val="Strong"/>
              </w:rPr>
              <w:t>25. What happens after a breach?</w:t>
            </w:r>
          </w:p>
        </w:tc>
        <w:tc>
          <w:tcPr>
            <w:tcW w:w="5418" w:type="dxa"/>
            <w:tcBorders/>
            <w:vAlign w:val="center"/>
          </w:tcPr>
          <w:p>
            <w:pPr>
              <w:pStyle w:val="TableContents"/>
              <w:widowControl w:val="false"/>
              <w:suppressLineNumbers/>
              <w:spacing w:before="0" w:after="200"/>
              <w:rPr/>
            </w:pPr>
            <w:r>
              <w:rPr/>
              <w:t>The system should identify responsibility, stop continuing harm, provide remedy, restore justified expectations, and determine whether the agreement remains viable.</w:t>
            </w:r>
          </w:p>
        </w:tc>
      </w:tr>
      <w:tr>
        <w:trPr/>
        <w:tc>
          <w:tcPr>
            <w:tcW w:w="3222" w:type="dxa"/>
            <w:tcBorders/>
            <w:vAlign w:val="center"/>
          </w:tcPr>
          <w:p>
            <w:pPr>
              <w:pStyle w:val="TableContents"/>
              <w:widowControl w:val="false"/>
              <w:suppressLineNumbers/>
              <w:spacing w:before="0" w:after="200"/>
              <w:rPr/>
            </w:pPr>
            <w:r>
              <w:rPr>
                <w:rStyle w:val="Strong"/>
              </w:rPr>
              <w:t>26. Must every agreement permit exit?</w:t>
            </w:r>
          </w:p>
        </w:tc>
        <w:tc>
          <w:tcPr>
            <w:tcW w:w="5418" w:type="dxa"/>
            <w:tcBorders/>
            <w:vAlign w:val="center"/>
          </w:tcPr>
          <w:p>
            <w:pPr>
              <w:pStyle w:val="TableContents"/>
              <w:widowControl w:val="false"/>
              <w:suppressLineNumbers/>
              <w:spacing w:before="0" w:after="200"/>
              <w:rPr/>
            </w:pPr>
            <w:r>
              <w:rPr/>
              <w:t>Not every obligation can be terminated unilaterally, but long-term or identity-shaping agreements require meaningful voice, appeal, review, and clearly justified limits on exit.</w:t>
            </w:r>
          </w:p>
        </w:tc>
      </w:tr>
      <w:tr>
        <w:trPr/>
        <w:tc>
          <w:tcPr>
            <w:tcW w:w="3222" w:type="dxa"/>
            <w:tcBorders/>
            <w:vAlign w:val="center"/>
          </w:tcPr>
          <w:p>
            <w:pPr>
              <w:pStyle w:val="TableContents"/>
              <w:widowControl w:val="false"/>
              <w:suppressLineNumbers/>
              <w:spacing w:before="0" w:after="200"/>
              <w:rPr/>
            </w:pPr>
            <w:r>
              <w:rPr>
                <w:rStyle w:val="Strong"/>
              </w:rPr>
              <w:t>27. When should an agreement be renegotiated?</w:t>
            </w:r>
          </w:p>
        </w:tc>
        <w:tc>
          <w:tcPr>
            <w:tcW w:w="5418" w:type="dxa"/>
            <w:tcBorders/>
            <w:vAlign w:val="center"/>
          </w:tcPr>
          <w:p>
            <w:pPr>
              <w:pStyle w:val="TableContents"/>
              <w:widowControl w:val="false"/>
              <w:suppressLineNumbers/>
              <w:spacing w:before="0" w:after="200"/>
              <w:rPr/>
            </w:pPr>
            <w:r>
              <w:rPr/>
              <w:t>Renegotiation should occur when material assumptions fail, burdens shift substantially, membership changes, new risks emerge, or the agreement no longer serves its stated purpose.</w:t>
            </w:r>
          </w:p>
        </w:tc>
      </w:tr>
      <w:tr>
        <w:trPr/>
        <w:tc>
          <w:tcPr>
            <w:tcW w:w="3222" w:type="dxa"/>
            <w:tcBorders/>
            <w:vAlign w:val="center"/>
          </w:tcPr>
          <w:p>
            <w:pPr>
              <w:pStyle w:val="TableContents"/>
              <w:widowControl w:val="false"/>
              <w:suppressLineNumbers/>
              <w:spacing w:before="0" w:after="200"/>
              <w:rPr/>
            </w:pPr>
            <w:r>
              <w:rPr>
                <w:rStyle w:val="Strong"/>
              </w:rPr>
              <w:t>28. Can one generation bind later generations?</w:t>
            </w:r>
          </w:p>
        </w:tc>
        <w:tc>
          <w:tcPr>
            <w:tcW w:w="5418" w:type="dxa"/>
            <w:tcBorders/>
            <w:vAlign w:val="center"/>
          </w:tcPr>
          <w:p>
            <w:pPr>
              <w:pStyle w:val="TableContents"/>
              <w:widowControl w:val="false"/>
              <w:suppressLineNumbers/>
              <w:spacing w:before="0" w:after="200"/>
              <w:rPr/>
            </w:pPr>
            <w:r>
              <w:rPr/>
              <w:t>Only within limits. Durable institutions may be necessary, but later generations should retain amendment and review powers, particularly for irreversible or highly burdensome commitments.</w:t>
            </w:r>
          </w:p>
        </w:tc>
      </w:tr>
      <w:tr>
        <w:trPr/>
        <w:tc>
          <w:tcPr>
            <w:tcW w:w="3222" w:type="dxa"/>
            <w:tcBorders/>
            <w:vAlign w:val="center"/>
          </w:tcPr>
          <w:p>
            <w:pPr>
              <w:pStyle w:val="TableContents"/>
              <w:widowControl w:val="false"/>
              <w:suppressLineNumbers/>
              <w:spacing w:before="0" w:after="200"/>
              <w:rPr/>
            </w:pPr>
            <w:r>
              <w:rPr>
                <w:rStyle w:val="Strong"/>
              </w:rPr>
              <w:t>29. Can emergency conditions suspend normal agreement requirements?</w:t>
            </w:r>
          </w:p>
        </w:tc>
        <w:tc>
          <w:tcPr>
            <w:tcW w:w="5418" w:type="dxa"/>
            <w:tcBorders/>
            <w:vAlign w:val="center"/>
          </w:tcPr>
          <w:p>
            <w:pPr>
              <w:pStyle w:val="TableContents"/>
              <w:widowControl w:val="false"/>
              <w:suppressLineNumbers/>
              <w:spacing w:before="0" w:after="200"/>
              <w:rPr/>
            </w:pPr>
            <w:r>
              <w:rPr/>
              <w:t>Temporary emergency authority may be justified by necessity, but it should remain proportionate, time-limited, reviewable, and subject to protected minimums.</w:t>
            </w:r>
          </w:p>
        </w:tc>
      </w:tr>
      <w:tr>
        <w:trPr/>
        <w:tc>
          <w:tcPr>
            <w:tcW w:w="3222" w:type="dxa"/>
            <w:tcBorders/>
            <w:vAlign w:val="center"/>
          </w:tcPr>
          <w:p>
            <w:pPr>
              <w:pStyle w:val="TableContents"/>
              <w:widowControl w:val="false"/>
              <w:suppressLineNumbers/>
              <w:spacing w:before="0" w:after="200"/>
              <w:rPr/>
            </w:pPr>
            <w:r>
              <w:rPr>
                <w:rStyle w:val="Strong"/>
              </w:rPr>
              <w:t>30. What if a valid agreement conflicts with the Foundational Axiom?</w:t>
            </w:r>
          </w:p>
        </w:tc>
        <w:tc>
          <w:tcPr>
            <w:tcW w:w="5418" w:type="dxa"/>
            <w:tcBorders/>
            <w:vAlign w:val="center"/>
          </w:tcPr>
          <w:p>
            <w:pPr>
              <w:pStyle w:val="TableContents"/>
              <w:widowControl w:val="false"/>
              <w:suppressLineNumbers/>
              <w:spacing w:before="0" w:after="200"/>
              <w:rPr/>
            </w:pPr>
            <w:r>
              <w:rPr/>
              <w:t>Within this framework, the agreement is ethically limited or invalid to the extent of the conflict. This is a substantive departure from strict contractarianism.</w:t>
            </w:r>
          </w:p>
        </w:tc>
      </w:tr>
      <w:tr>
        <w:trPr/>
        <w:tc>
          <w:tcPr>
            <w:tcW w:w="3222" w:type="dxa"/>
            <w:tcBorders/>
            <w:vAlign w:val="center"/>
          </w:tcPr>
          <w:p>
            <w:pPr>
              <w:pStyle w:val="TableContents"/>
              <w:widowControl w:val="false"/>
              <w:suppressLineNumbers/>
              <w:spacing w:before="0" w:after="200"/>
              <w:rPr/>
            </w:pPr>
            <w:r>
              <w:rPr>
                <w:rStyle w:val="Strong"/>
              </w:rPr>
              <w:t>31. What if the Foundational Axiom blocks an agreement freely chosen by competent adults?</w:t>
            </w:r>
          </w:p>
        </w:tc>
        <w:tc>
          <w:tcPr>
            <w:tcW w:w="5418" w:type="dxa"/>
            <w:tcBorders/>
            <w:vAlign w:val="center"/>
          </w:tcPr>
          <w:p>
            <w:pPr>
              <w:pStyle w:val="TableContents"/>
              <w:widowControl w:val="false"/>
              <w:suppressLineNumbers/>
              <w:spacing w:before="0" w:after="200"/>
              <w:rPr/>
            </w:pPr>
            <w:r>
              <w:rPr/>
              <w:t>The framework should identify the affected nonparties, protected interests, or systemic effects that justify intervention. If no such reason exists, respect for autonomy should weigh strongly in favor of permitting the agreement.</w:t>
            </w:r>
          </w:p>
        </w:tc>
      </w:tr>
      <w:tr>
        <w:trPr/>
        <w:tc>
          <w:tcPr>
            <w:tcW w:w="3222" w:type="dxa"/>
            <w:tcBorders/>
            <w:vAlign w:val="center"/>
          </w:tcPr>
          <w:p>
            <w:pPr>
              <w:pStyle w:val="TableContents"/>
              <w:widowControl w:val="false"/>
              <w:suppressLineNumbers/>
              <w:spacing w:before="0" w:after="200"/>
              <w:rPr/>
            </w:pPr>
            <w:r>
              <w:rPr>
                <w:rStyle w:val="Strong"/>
              </w:rPr>
              <w:t>32. Who governs the framework itself?</w:t>
            </w:r>
          </w:p>
        </w:tc>
        <w:tc>
          <w:tcPr>
            <w:tcW w:w="5418" w:type="dxa"/>
            <w:tcBorders/>
            <w:vAlign w:val="center"/>
          </w:tcPr>
          <w:p>
            <w:pPr>
              <w:pStyle w:val="TableContents"/>
              <w:widowControl w:val="false"/>
              <w:suppressLineNumbers/>
              <w:spacing w:before="0" w:after="200"/>
              <w:rPr/>
            </w:pPr>
            <w:r>
              <w:rPr/>
              <w:t>Any institution applying the framework should have an explicit charter defining authority, participation, review, audit, amendment, appeal, and accountability. The framework cannot exempt itself from legitimacy analysis.</w:t>
            </w:r>
          </w:p>
        </w:tc>
      </w:tr>
    </w:tbl>
    <w:p>
      <w:pPr>
        <w:pStyle w:val="Heading4"/>
        <w:ind w:hanging="0" w:left="0"/>
        <w:rPr>
          <w:rFonts w:ascii="Aptos" w:hAnsi="Aptos"/>
          <w:color w:val="auto"/>
        </w:rPr>
      </w:pPr>
      <w:r>
        <w:rPr/>
        <w:t>Responses to Those Incremental Questions</w:t>
      </w:r>
    </w:p>
    <w:p>
      <w:pPr>
        <w:pStyle w:val="BodyText"/>
        <w:spacing w:before="0" w:after="200"/>
        <w:rPr/>
      </w:pPr>
      <w:r>
        <w:rPr/>
        <w:t>Collectively, the responses suggest that social-contract analysis should enter the framework at five stages:</w:t>
      </w:r>
    </w:p>
    <w:p>
      <w:pPr>
        <w:pStyle w:val="BodyText"/>
        <w:numPr>
          <w:ilvl w:val="0"/>
          <w:numId w:val="111"/>
        </w:numPr>
        <w:tabs>
          <w:tab w:val="clear" w:pos="720"/>
          <w:tab w:val="left" w:pos="0" w:leader="none"/>
        </w:tabs>
        <w:spacing w:before="0" w:after="200"/>
        <w:ind w:hanging="283" w:left="709"/>
        <w:rPr/>
      </w:pPr>
      <w:r>
        <w:rPr>
          <w:rStyle w:val="Strong"/>
        </w:rPr>
        <w:t>Membership determination:</w:t>
      </w:r>
      <w:r>
        <w:rPr/>
        <w:t xml:space="preserve"> Identify parties, represented entities, nonparties, and excluded entities.</w:t>
      </w:r>
    </w:p>
    <w:p>
      <w:pPr>
        <w:pStyle w:val="BodyText"/>
        <w:numPr>
          <w:ilvl w:val="0"/>
          <w:numId w:val="111"/>
        </w:numPr>
        <w:tabs>
          <w:tab w:val="clear" w:pos="720"/>
          <w:tab w:val="left" w:pos="0" w:leader="none"/>
        </w:tabs>
        <w:spacing w:before="0" w:after="200"/>
        <w:ind w:hanging="283" w:left="709"/>
        <w:rPr/>
      </w:pPr>
      <w:r>
        <w:rPr>
          <w:rStyle w:val="Strong"/>
        </w:rPr>
        <w:t>Agreement-condition analysis:</w:t>
      </w:r>
      <w:r>
        <w:rPr/>
        <w:t xml:space="preserve"> Examine the baseline, information, motivation, bargaining power, voluntariness, and available alternatives.</w:t>
      </w:r>
    </w:p>
    <w:p>
      <w:pPr>
        <w:pStyle w:val="BodyText"/>
        <w:numPr>
          <w:ilvl w:val="0"/>
          <w:numId w:val="111"/>
        </w:numPr>
        <w:tabs>
          <w:tab w:val="clear" w:pos="720"/>
          <w:tab w:val="left" w:pos="0" w:leader="none"/>
        </w:tabs>
        <w:spacing w:before="0" w:after="200"/>
        <w:ind w:hanging="283" w:left="709"/>
        <w:rPr/>
      </w:pPr>
      <w:r>
        <w:rPr>
          <w:rStyle w:val="Strong"/>
        </w:rPr>
        <w:t>Justification analysis:</w:t>
      </w:r>
      <w:r>
        <w:rPr/>
        <w:t xml:space="preserve"> Apply the relevant actual-consent, mutual-advantage, veil-of-ignorance, public-reason, or reasonable-rejection test.</w:t>
      </w:r>
    </w:p>
    <w:p>
      <w:pPr>
        <w:pStyle w:val="BodyText"/>
        <w:numPr>
          <w:ilvl w:val="0"/>
          <w:numId w:val="111"/>
        </w:numPr>
        <w:tabs>
          <w:tab w:val="clear" w:pos="720"/>
          <w:tab w:val="left" w:pos="0" w:leader="none"/>
        </w:tabs>
        <w:spacing w:before="0" w:after="200"/>
        <w:ind w:hanging="283" w:left="709"/>
        <w:rPr/>
      </w:pPr>
      <w:r>
        <w:rPr>
          <w:rStyle w:val="Strong"/>
        </w:rPr>
        <w:t>Institutional implementation:</w:t>
      </w:r>
      <w:r>
        <w:rPr/>
        <w:t xml:space="preserve"> Establish authority, compliance, enforcement, appeal, remedy, exit, and amendment procedures.</w:t>
      </w:r>
    </w:p>
    <w:p>
      <w:pPr>
        <w:pStyle w:val="BodyText"/>
        <w:numPr>
          <w:ilvl w:val="0"/>
          <w:numId w:val="111"/>
        </w:numPr>
        <w:tabs>
          <w:tab w:val="clear" w:pos="720"/>
          <w:tab w:val="left" w:pos="0" w:leader="none"/>
        </w:tabs>
        <w:spacing w:before="0" w:after="200"/>
        <w:ind w:hanging="283" w:left="709"/>
        <w:rPr/>
      </w:pPr>
      <w:r>
        <w:rPr>
          <w:rStyle w:val="Strong"/>
        </w:rPr>
        <w:t>Continuing legitimacy review:</w:t>
      </w:r>
      <w:r>
        <w:rPr/>
        <w:t xml:space="preserve"> Monitor whether burdens, benefits, membership, evidence, and compliance remain consistent with the agreement’s justification.</w:t>
      </w:r>
    </w:p>
    <w:p>
      <w:pPr>
        <w:pStyle w:val="BodyText"/>
        <w:spacing w:before="0" w:after="200"/>
        <w:rPr/>
      </w:pPr>
      <w:r>
        <w:rPr/>
        <w:t>A contract-sensitive assessment should produce a separate agreement and legitimacy finding containing:</w:t>
      </w:r>
    </w:p>
    <w:p>
      <w:pPr>
        <w:pStyle w:val="BodyText"/>
        <w:numPr>
          <w:ilvl w:val="0"/>
          <w:numId w:val="112"/>
        </w:numPr>
        <w:tabs>
          <w:tab w:val="clear" w:pos="720"/>
          <w:tab w:val="left" w:pos="0" w:leader="none"/>
        </w:tabs>
        <w:spacing w:before="0" w:after="200"/>
        <w:ind w:hanging="283" w:left="709"/>
        <w:rPr/>
      </w:pPr>
      <w:r>
        <w:rPr/>
        <w:t>The parties and represented entities;</w:t>
      </w:r>
    </w:p>
    <w:p>
      <w:pPr>
        <w:pStyle w:val="BodyText"/>
        <w:numPr>
          <w:ilvl w:val="0"/>
          <w:numId w:val="112"/>
        </w:numPr>
        <w:tabs>
          <w:tab w:val="clear" w:pos="720"/>
          <w:tab w:val="left" w:pos="0" w:leader="none"/>
        </w:tabs>
        <w:spacing w:before="0" w:after="200"/>
        <w:ind w:hanging="283" w:left="709"/>
        <w:rPr/>
      </w:pPr>
      <w:r>
        <w:rPr/>
        <w:t>Affected nonparties;</w:t>
      </w:r>
    </w:p>
    <w:p>
      <w:pPr>
        <w:pStyle w:val="BodyText"/>
        <w:numPr>
          <w:ilvl w:val="0"/>
          <w:numId w:val="112"/>
        </w:numPr>
        <w:tabs>
          <w:tab w:val="clear" w:pos="720"/>
          <w:tab w:val="left" w:pos="0" w:leader="none"/>
        </w:tabs>
        <w:spacing w:before="0" w:after="200"/>
        <w:ind w:hanging="283" w:left="709"/>
        <w:rPr/>
      </w:pPr>
      <w:r>
        <w:rPr/>
        <w:t>The proposed terms;</w:t>
      </w:r>
    </w:p>
    <w:p>
      <w:pPr>
        <w:pStyle w:val="BodyText"/>
        <w:numPr>
          <w:ilvl w:val="0"/>
          <w:numId w:val="112"/>
        </w:numPr>
        <w:tabs>
          <w:tab w:val="clear" w:pos="720"/>
          <w:tab w:val="left" w:pos="0" w:leader="none"/>
        </w:tabs>
        <w:spacing w:before="0" w:after="200"/>
        <w:ind w:hanging="283" w:left="709"/>
        <w:rPr/>
      </w:pPr>
      <w:r>
        <w:rPr/>
        <w:t>The no-agreement and fair-bargaining baselines;</w:t>
      </w:r>
    </w:p>
    <w:p>
      <w:pPr>
        <w:pStyle w:val="BodyText"/>
        <w:numPr>
          <w:ilvl w:val="0"/>
          <w:numId w:val="112"/>
        </w:numPr>
        <w:tabs>
          <w:tab w:val="clear" w:pos="720"/>
          <w:tab w:val="left" w:pos="0" w:leader="none"/>
        </w:tabs>
        <w:spacing w:before="0" w:after="200"/>
        <w:ind w:hanging="283" w:left="709"/>
        <w:rPr/>
      </w:pPr>
      <w:r>
        <w:rPr/>
        <w:t>The form and validity of consent;</w:t>
      </w:r>
    </w:p>
    <w:p>
      <w:pPr>
        <w:pStyle w:val="BodyText"/>
        <w:numPr>
          <w:ilvl w:val="0"/>
          <w:numId w:val="112"/>
        </w:numPr>
        <w:tabs>
          <w:tab w:val="clear" w:pos="720"/>
          <w:tab w:val="left" w:pos="0" w:leader="none"/>
        </w:tabs>
        <w:spacing w:before="0" w:after="200"/>
        <w:ind w:hanging="283" w:left="709"/>
        <w:rPr/>
      </w:pPr>
      <w:r>
        <w:rPr/>
        <w:t>Bargaining-power differences;</w:t>
      </w:r>
    </w:p>
    <w:p>
      <w:pPr>
        <w:pStyle w:val="BodyText"/>
        <w:numPr>
          <w:ilvl w:val="0"/>
          <w:numId w:val="112"/>
        </w:numPr>
        <w:tabs>
          <w:tab w:val="clear" w:pos="720"/>
          <w:tab w:val="left" w:pos="0" w:leader="none"/>
        </w:tabs>
        <w:spacing w:before="0" w:after="200"/>
        <w:ind w:hanging="283" w:left="709"/>
        <w:rPr/>
      </w:pPr>
      <w:r>
        <w:rPr/>
        <w:t>Information available to each party;</w:t>
      </w:r>
    </w:p>
    <w:p>
      <w:pPr>
        <w:pStyle w:val="BodyText"/>
        <w:numPr>
          <w:ilvl w:val="0"/>
          <w:numId w:val="112"/>
        </w:numPr>
        <w:tabs>
          <w:tab w:val="clear" w:pos="720"/>
          <w:tab w:val="left" w:pos="0" w:leader="none"/>
        </w:tabs>
        <w:spacing w:before="0" w:after="200"/>
        <w:ind w:hanging="283" w:left="709"/>
        <w:rPr/>
      </w:pPr>
      <w:r>
        <w:rPr/>
        <w:t>Expected benefits and burdens;</w:t>
      </w:r>
    </w:p>
    <w:p>
      <w:pPr>
        <w:pStyle w:val="BodyText"/>
        <w:numPr>
          <w:ilvl w:val="0"/>
          <w:numId w:val="112"/>
        </w:numPr>
        <w:tabs>
          <w:tab w:val="clear" w:pos="720"/>
          <w:tab w:val="left" w:pos="0" w:leader="none"/>
        </w:tabs>
        <w:spacing w:before="0" w:after="200"/>
        <w:ind w:hanging="283" w:left="709"/>
        <w:rPr/>
      </w:pPr>
      <w:r>
        <w:rPr/>
        <w:t>The strongest individual objections;</w:t>
      </w:r>
    </w:p>
    <w:p>
      <w:pPr>
        <w:pStyle w:val="BodyText"/>
        <w:numPr>
          <w:ilvl w:val="0"/>
          <w:numId w:val="112"/>
        </w:numPr>
        <w:tabs>
          <w:tab w:val="clear" w:pos="720"/>
          <w:tab w:val="left" w:pos="0" w:leader="none"/>
        </w:tabs>
        <w:spacing w:before="0" w:after="200"/>
        <w:ind w:hanging="283" w:left="709"/>
        <w:rPr/>
      </w:pPr>
      <w:r>
        <w:rPr/>
        <w:t>The result of any veil-of-ignorance test;</w:t>
      </w:r>
    </w:p>
    <w:p>
      <w:pPr>
        <w:pStyle w:val="BodyText"/>
        <w:numPr>
          <w:ilvl w:val="0"/>
          <w:numId w:val="112"/>
        </w:numPr>
        <w:tabs>
          <w:tab w:val="clear" w:pos="720"/>
          <w:tab w:val="left" w:pos="0" w:leader="none"/>
        </w:tabs>
        <w:spacing w:before="0" w:after="200"/>
        <w:ind w:hanging="283" w:left="709"/>
        <w:rPr/>
      </w:pPr>
      <w:r>
        <w:rPr/>
        <w:t>Authority and enforcement mechanisms;</w:t>
      </w:r>
    </w:p>
    <w:p>
      <w:pPr>
        <w:pStyle w:val="BodyText"/>
        <w:numPr>
          <w:ilvl w:val="0"/>
          <w:numId w:val="112"/>
        </w:numPr>
        <w:tabs>
          <w:tab w:val="clear" w:pos="720"/>
          <w:tab w:val="left" w:pos="0" w:leader="none"/>
        </w:tabs>
        <w:spacing w:before="0" w:after="200"/>
        <w:ind w:hanging="283" w:left="709"/>
        <w:rPr/>
      </w:pPr>
      <w:r>
        <w:rPr/>
        <w:t>Compliance and assurance conditions;</w:t>
      </w:r>
    </w:p>
    <w:p>
      <w:pPr>
        <w:pStyle w:val="BodyText"/>
        <w:numPr>
          <w:ilvl w:val="0"/>
          <w:numId w:val="112"/>
        </w:numPr>
        <w:tabs>
          <w:tab w:val="clear" w:pos="720"/>
          <w:tab w:val="left" w:pos="0" w:leader="none"/>
        </w:tabs>
        <w:spacing w:before="0" w:after="200"/>
        <w:ind w:hanging="283" w:left="709"/>
        <w:rPr/>
      </w:pPr>
      <w:r>
        <w:rPr/>
        <w:t>Exit, appeal, and amendment procedures;</w:t>
      </w:r>
    </w:p>
    <w:p>
      <w:pPr>
        <w:pStyle w:val="BodyText"/>
        <w:numPr>
          <w:ilvl w:val="0"/>
          <w:numId w:val="112"/>
        </w:numPr>
        <w:tabs>
          <w:tab w:val="clear" w:pos="720"/>
          <w:tab w:val="left" w:pos="0" w:leader="none"/>
        </w:tabs>
        <w:spacing w:before="0" w:after="200"/>
        <w:ind w:hanging="283" w:left="709"/>
        <w:rPr/>
      </w:pPr>
      <w:r>
        <w:rPr/>
        <w:t>Breach and remedy provisions;</w:t>
      </w:r>
    </w:p>
    <w:p>
      <w:pPr>
        <w:pStyle w:val="BodyText"/>
        <w:numPr>
          <w:ilvl w:val="0"/>
          <w:numId w:val="112"/>
        </w:numPr>
        <w:tabs>
          <w:tab w:val="clear" w:pos="720"/>
          <w:tab w:val="left" w:pos="0" w:leader="none"/>
        </w:tabs>
        <w:spacing w:before="0" w:after="200"/>
        <w:ind w:hanging="283" w:left="709"/>
        <w:rPr/>
      </w:pPr>
      <w:r>
        <w:rPr/>
        <w:t>Intergenerational effects;</w:t>
      </w:r>
    </w:p>
    <w:p>
      <w:pPr>
        <w:pStyle w:val="BodyText"/>
        <w:numPr>
          <w:ilvl w:val="0"/>
          <w:numId w:val="112"/>
        </w:numPr>
        <w:tabs>
          <w:tab w:val="clear" w:pos="720"/>
          <w:tab w:val="left" w:pos="0" w:leader="none"/>
        </w:tabs>
        <w:spacing w:before="0" w:after="200"/>
        <w:ind w:hanging="283" w:left="709"/>
        <w:rPr/>
      </w:pPr>
      <w:r>
        <w:rPr/>
        <w:t>Effects on entities unable to contract; and</w:t>
      </w:r>
    </w:p>
    <w:p>
      <w:pPr>
        <w:pStyle w:val="BodyText"/>
        <w:numPr>
          <w:ilvl w:val="0"/>
          <w:numId w:val="112"/>
        </w:numPr>
        <w:tabs>
          <w:tab w:val="clear" w:pos="720"/>
          <w:tab w:val="left" w:pos="0" w:leader="none"/>
        </w:tabs>
        <w:spacing w:before="0" w:after="200"/>
        <w:ind w:hanging="283" w:left="709"/>
        <w:rPr/>
      </w:pPr>
      <w:r>
        <w:rPr/>
        <w:t>The conditions under which legitimacy must be reassessed.</w:t>
      </w:r>
    </w:p>
    <w:p>
      <w:pPr>
        <w:pStyle w:val="BodyText"/>
        <w:spacing w:before="0" w:after="200"/>
        <w:rPr/>
      </w:pPr>
      <w:r>
        <w:rPr/>
        <w:t>This finding should remain separate from the complete transition assessment. A rule may be contractually acceptable but harmful to excluded entities. Another rule may promote flourishing but lack legitimate authority. A third may be ethically sound and procedurally legitimate but unstable because participants lack assurance of reciprocal compliance.</w:t>
      </w:r>
    </w:p>
    <w:p>
      <w:pPr>
        <w:pStyle w:val="Heading4"/>
        <w:ind w:hanging="0" w:left="0"/>
        <w:rPr>
          <w:rFonts w:ascii="Aptos" w:hAnsi="Aptos"/>
          <w:color w:val="auto"/>
        </w:rPr>
      </w:pPr>
      <w:r>
        <w:rPr/>
        <w:t>Remaining Open Issues</w:t>
      </w:r>
    </w:p>
    <w:p>
      <w:pPr>
        <w:pStyle w:val="BodyText"/>
        <w:spacing w:before="0" w:after="200"/>
        <w:rPr/>
      </w:pPr>
      <w:r>
        <w:rPr/>
        <w:t>Several issues require further development before Contractarianism and Social Contract Theory can be considered fully integrated:</w:t>
      </w:r>
    </w:p>
    <w:p>
      <w:pPr>
        <w:pStyle w:val="BodyText"/>
        <w:numPr>
          <w:ilvl w:val="0"/>
          <w:numId w:val="113"/>
        </w:numPr>
        <w:tabs>
          <w:tab w:val="clear" w:pos="720"/>
          <w:tab w:val="left" w:pos="0" w:leader="none"/>
        </w:tabs>
        <w:spacing w:before="0" w:after="200"/>
        <w:ind w:hanging="283" w:left="709"/>
        <w:rPr/>
      </w:pPr>
      <w:r>
        <w:rPr>
          <w:rStyle w:val="Strong"/>
        </w:rPr>
        <w:t>Legitimacy of the Foundational Axiom:</w:t>
      </w:r>
      <w:r>
        <w:rPr/>
        <w:t xml:space="preserve"> The framework must explain why agents should accept its substantive normative commitment.</w:t>
      </w:r>
    </w:p>
    <w:p>
      <w:pPr>
        <w:pStyle w:val="BodyText"/>
        <w:numPr>
          <w:ilvl w:val="0"/>
          <w:numId w:val="113"/>
        </w:numPr>
        <w:tabs>
          <w:tab w:val="clear" w:pos="720"/>
          <w:tab w:val="left" w:pos="0" w:leader="none"/>
        </w:tabs>
        <w:spacing w:before="0" w:after="200"/>
        <w:ind w:hanging="283" w:left="709"/>
        <w:rPr/>
      </w:pPr>
      <w:r>
        <w:rPr>
          <w:rStyle w:val="Strong"/>
        </w:rPr>
        <w:t>Actual versus hypothetical consent:</w:t>
      </w:r>
      <w:r>
        <w:rPr/>
        <w:t xml:space="preserve"> Clear boundaries are needed concerning what each form of consent can justify.</w:t>
      </w:r>
    </w:p>
    <w:p>
      <w:pPr>
        <w:pStyle w:val="BodyText"/>
        <w:numPr>
          <w:ilvl w:val="0"/>
          <w:numId w:val="113"/>
        </w:numPr>
        <w:tabs>
          <w:tab w:val="clear" w:pos="720"/>
          <w:tab w:val="left" w:pos="0" w:leader="none"/>
        </w:tabs>
        <w:spacing w:before="0" w:after="200"/>
        <w:ind w:hanging="283" w:left="709"/>
        <w:rPr/>
      </w:pPr>
      <w:r>
        <w:rPr>
          <w:rStyle w:val="Strong"/>
        </w:rPr>
        <w:t>Selection of the contract model:</w:t>
      </w:r>
      <w:r>
        <w:rPr/>
        <w:t xml:space="preserve"> Hobbesian, Lockean, Rousseauian, Rawlsian, Gauthierian, and Scanlonian tests can yield different conclusions.</w:t>
      </w:r>
    </w:p>
    <w:p>
      <w:pPr>
        <w:pStyle w:val="BodyText"/>
        <w:numPr>
          <w:ilvl w:val="0"/>
          <w:numId w:val="113"/>
        </w:numPr>
        <w:tabs>
          <w:tab w:val="clear" w:pos="720"/>
          <w:tab w:val="left" w:pos="0" w:leader="none"/>
        </w:tabs>
        <w:spacing w:before="0" w:after="200"/>
        <w:ind w:hanging="283" w:left="709"/>
        <w:rPr/>
      </w:pPr>
      <w:r>
        <w:rPr>
          <w:rStyle w:val="Strong"/>
        </w:rPr>
        <w:t>Bargaining baseline:</w:t>
      </w:r>
      <w:r>
        <w:rPr/>
        <w:t xml:space="preserve"> There is no neutral starting point from which every agreement can be evaluated.</w:t>
      </w:r>
    </w:p>
    <w:p>
      <w:pPr>
        <w:pStyle w:val="BodyText"/>
        <w:numPr>
          <w:ilvl w:val="0"/>
          <w:numId w:val="113"/>
        </w:numPr>
        <w:tabs>
          <w:tab w:val="clear" w:pos="720"/>
          <w:tab w:val="left" w:pos="0" w:leader="none"/>
        </w:tabs>
        <w:spacing w:before="0" w:after="200"/>
        <w:ind w:hanging="283" w:left="709"/>
        <w:rPr/>
      </w:pPr>
      <w:r>
        <w:rPr>
          <w:rStyle w:val="Strong"/>
        </w:rPr>
        <w:t>Motivation of the parties:</w:t>
      </w:r>
      <w:r>
        <w:rPr/>
        <w:t xml:space="preserve"> Self-interest, fairness, reciprocity, and reasonable justification generate different contractual results.</w:t>
      </w:r>
    </w:p>
    <w:p>
      <w:pPr>
        <w:pStyle w:val="BodyText"/>
        <w:numPr>
          <w:ilvl w:val="0"/>
          <w:numId w:val="113"/>
        </w:numPr>
        <w:tabs>
          <w:tab w:val="clear" w:pos="720"/>
          <w:tab w:val="left" w:pos="0" w:leader="none"/>
        </w:tabs>
        <w:spacing w:before="0" w:after="200"/>
        <w:ind w:hanging="283" w:left="709"/>
        <w:rPr/>
      </w:pPr>
      <w:r>
        <w:rPr>
          <w:rStyle w:val="Strong"/>
        </w:rPr>
        <w:t>Membership:</w:t>
      </w:r>
      <w:r>
        <w:rPr/>
        <w:t xml:space="preserve"> The framework must determine who qualifies as a party, beneficiary, nonparty, or represented entity.</w:t>
      </w:r>
    </w:p>
    <w:p>
      <w:pPr>
        <w:pStyle w:val="BodyText"/>
        <w:numPr>
          <w:ilvl w:val="0"/>
          <w:numId w:val="113"/>
        </w:numPr>
        <w:tabs>
          <w:tab w:val="clear" w:pos="720"/>
          <w:tab w:val="left" w:pos="0" w:leader="none"/>
        </w:tabs>
        <w:spacing w:before="0" w:after="200"/>
        <w:ind w:hanging="283" w:left="709"/>
        <w:rPr/>
      </w:pPr>
      <w:r>
        <w:rPr>
          <w:rStyle w:val="Strong"/>
        </w:rPr>
        <w:t>Power and dependency:</w:t>
      </w:r>
      <w:r>
        <w:rPr/>
        <w:t xml:space="preserve"> Apparent consent may conceal coercion produced by economic, institutional, technological, or relational conditions.</w:t>
      </w:r>
    </w:p>
    <w:p>
      <w:pPr>
        <w:pStyle w:val="BodyText"/>
        <w:numPr>
          <w:ilvl w:val="0"/>
          <w:numId w:val="113"/>
        </w:numPr>
        <w:tabs>
          <w:tab w:val="clear" w:pos="720"/>
          <w:tab w:val="left" w:pos="0" w:leader="none"/>
        </w:tabs>
        <w:spacing w:before="0" w:after="200"/>
        <w:ind w:hanging="283" w:left="709"/>
        <w:rPr/>
      </w:pPr>
      <w:r>
        <w:rPr>
          <w:rStyle w:val="Strong"/>
        </w:rPr>
        <w:t>Tacit consent:</w:t>
      </w:r>
      <w:r>
        <w:rPr/>
        <w:t xml:space="preserve"> Continued participation in an unavoidable social system provides uncertain evidence of genuine authorization.</w:t>
      </w:r>
    </w:p>
    <w:p>
      <w:pPr>
        <w:pStyle w:val="BodyText"/>
        <w:numPr>
          <w:ilvl w:val="0"/>
          <w:numId w:val="113"/>
        </w:numPr>
        <w:tabs>
          <w:tab w:val="clear" w:pos="720"/>
          <w:tab w:val="left" w:pos="0" w:leader="none"/>
        </w:tabs>
        <w:spacing w:before="0" w:after="200"/>
        <w:ind w:hanging="283" w:left="709"/>
        <w:rPr/>
      </w:pPr>
      <w:r>
        <w:rPr>
          <w:rStyle w:val="Strong"/>
        </w:rPr>
        <w:t>Representation:</w:t>
      </w:r>
      <w:r>
        <w:rPr/>
        <w:t xml:space="preserve"> Children, future persons, nonhuman entities, and persons with limited capacity require legitimate representatives.</w:t>
      </w:r>
    </w:p>
    <w:p>
      <w:pPr>
        <w:pStyle w:val="BodyText"/>
        <w:numPr>
          <w:ilvl w:val="0"/>
          <w:numId w:val="113"/>
        </w:numPr>
        <w:tabs>
          <w:tab w:val="clear" w:pos="720"/>
          <w:tab w:val="left" w:pos="0" w:leader="none"/>
        </w:tabs>
        <w:spacing w:before="0" w:after="200"/>
        <w:ind w:hanging="283" w:left="709"/>
        <w:rPr/>
      </w:pPr>
      <w:r>
        <w:rPr>
          <w:rStyle w:val="Strong"/>
        </w:rPr>
        <w:t>Nonreciprocal obligations:</w:t>
      </w:r>
      <w:r>
        <w:rPr/>
        <w:t xml:space="preserve"> Strict mutual-advantage accounts may not adequately protect entities unable to contribute to cooperation.</w:t>
      </w:r>
    </w:p>
    <w:p>
      <w:pPr>
        <w:pStyle w:val="BodyText"/>
        <w:numPr>
          <w:ilvl w:val="0"/>
          <w:numId w:val="113"/>
        </w:numPr>
        <w:tabs>
          <w:tab w:val="clear" w:pos="720"/>
          <w:tab w:val="left" w:pos="0" w:leader="none"/>
        </w:tabs>
        <w:spacing w:before="0" w:after="200"/>
        <w:ind w:hanging="283" w:left="709"/>
        <w:rPr/>
      </w:pPr>
      <w:r>
        <w:rPr>
          <w:rStyle w:val="Strong"/>
        </w:rPr>
        <w:t>Aggregation and individual complaints:</w:t>
      </w:r>
      <w:r>
        <w:rPr/>
        <w:t xml:space="preserve"> The framework requires a method for determining when an individual objection makes a principle reasonably rejectable.</w:t>
      </w:r>
    </w:p>
    <w:p>
      <w:pPr>
        <w:pStyle w:val="BodyText"/>
        <w:numPr>
          <w:ilvl w:val="0"/>
          <w:numId w:val="113"/>
        </w:numPr>
        <w:tabs>
          <w:tab w:val="clear" w:pos="720"/>
          <w:tab w:val="left" w:pos="0" w:leader="none"/>
        </w:tabs>
        <w:spacing w:before="0" w:after="200"/>
        <w:ind w:hanging="283" w:left="709"/>
        <w:rPr/>
      </w:pPr>
      <w:r>
        <w:rPr>
          <w:rStyle w:val="Strong"/>
        </w:rPr>
        <w:t>Majority rule and minority protection:</w:t>
      </w:r>
      <w:r>
        <w:rPr/>
        <w:t xml:space="preserve"> Democratic authorization must be reconciled with rights and protected minimums.</w:t>
      </w:r>
    </w:p>
    <w:p>
      <w:pPr>
        <w:pStyle w:val="BodyText"/>
        <w:numPr>
          <w:ilvl w:val="0"/>
          <w:numId w:val="113"/>
        </w:numPr>
        <w:tabs>
          <w:tab w:val="clear" w:pos="720"/>
          <w:tab w:val="left" w:pos="0" w:leader="none"/>
        </w:tabs>
        <w:spacing w:before="0" w:after="200"/>
        <w:ind w:hanging="283" w:left="709"/>
        <w:rPr/>
      </w:pPr>
      <w:r>
        <w:rPr>
          <w:rStyle w:val="Strong"/>
        </w:rPr>
        <w:t>Public reason:</w:t>
      </w:r>
      <w:r>
        <w:rPr/>
        <w:t xml:space="preserve"> It remains unclear which reasons can legitimately justify coercive rules in morally plural societies.</w:t>
      </w:r>
    </w:p>
    <w:p>
      <w:pPr>
        <w:pStyle w:val="BodyText"/>
        <w:numPr>
          <w:ilvl w:val="0"/>
          <w:numId w:val="113"/>
        </w:numPr>
        <w:tabs>
          <w:tab w:val="clear" w:pos="720"/>
          <w:tab w:val="left" w:pos="0" w:leader="none"/>
        </w:tabs>
        <w:spacing w:before="0" w:after="200"/>
        <w:ind w:hanging="283" w:left="709"/>
        <w:rPr/>
      </w:pPr>
      <w:r>
        <w:rPr>
          <w:rStyle w:val="Strong"/>
        </w:rPr>
        <w:t>Compliance and assurance:</w:t>
      </w:r>
      <w:r>
        <w:rPr/>
        <w:t xml:space="preserve"> Ethically attractive rules may fail when participants reasonably expect widespread defection.</w:t>
      </w:r>
    </w:p>
    <w:p>
      <w:pPr>
        <w:pStyle w:val="BodyText"/>
        <w:numPr>
          <w:ilvl w:val="0"/>
          <w:numId w:val="113"/>
        </w:numPr>
        <w:tabs>
          <w:tab w:val="clear" w:pos="720"/>
          <w:tab w:val="left" w:pos="0" w:leader="none"/>
        </w:tabs>
        <w:spacing w:before="0" w:after="200"/>
        <w:ind w:hanging="283" w:left="709"/>
        <w:rPr/>
      </w:pPr>
      <w:r>
        <w:rPr>
          <w:rStyle w:val="Strong"/>
        </w:rPr>
        <w:t>Enforcement:</w:t>
      </w:r>
      <w:r>
        <w:rPr/>
        <w:t xml:space="preserve"> The framework needs standards for legitimate monitoring, sanctions, and adjudication.</w:t>
      </w:r>
    </w:p>
    <w:p>
      <w:pPr>
        <w:pStyle w:val="BodyText"/>
        <w:numPr>
          <w:ilvl w:val="0"/>
          <w:numId w:val="113"/>
        </w:numPr>
        <w:tabs>
          <w:tab w:val="clear" w:pos="720"/>
          <w:tab w:val="left" w:pos="0" w:leader="none"/>
        </w:tabs>
        <w:spacing w:before="0" w:after="200"/>
        <w:ind w:hanging="283" w:left="709"/>
        <w:rPr/>
      </w:pPr>
      <w:r>
        <w:rPr>
          <w:rStyle w:val="Strong"/>
        </w:rPr>
        <w:t>Exit and voice:</w:t>
      </w:r>
      <w:r>
        <w:rPr/>
        <w:t xml:space="preserve"> Meaningful alternatives may be unavailable in political, employment, technological, or infrastructure-dependent relationships.</w:t>
      </w:r>
    </w:p>
    <w:p>
      <w:pPr>
        <w:pStyle w:val="BodyText"/>
        <w:numPr>
          <w:ilvl w:val="0"/>
          <w:numId w:val="113"/>
        </w:numPr>
        <w:tabs>
          <w:tab w:val="clear" w:pos="720"/>
          <w:tab w:val="left" w:pos="0" w:leader="none"/>
        </w:tabs>
        <w:spacing w:before="0" w:after="200"/>
        <w:ind w:hanging="283" w:left="709"/>
        <w:rPr/>
      </w:pPr>
      <w:r>
        <w:rPr>
          <w:rStyle w:val="Strong"/>
        </w:rPr>
        <w:t>Intergenerational obligations:</w:t>
      </w:r>
      <w:r>
        <w:rPr/>
        <w:t xml:space="preserve"> Durable institutions must balance continuity with the right of later generations to revise inherited commitments.</w:t>
      </w:r>
    </w:p>
    <w:p>
      <w:pPr>
        <w:pStyle w:val="BodyText"/>
        <w:numPr>
          <w:ilvl w:val="0"/>
          <w:numId w:val="113"/>
        </w:numPr>
        <w:tabs>
          <w:tab w:val="clear" w:pos="720"/>
          <w:tab w:val="left" w:pos="0" w:leader="none"/>
        </w:tabs>
        <w:spacing w:before="0" w:after="200"/>
        <w:ind w:hanging="283" w:left="709"/>
        <w:rPr/>
      </w:pPr>
      <w:r>
        <w:rPr>
          <w:rStyle w:val="Strong"/>
        </w:rPr>
        <w:t>Emergency authority:</w:t>
      </w:r>
      <w:r>
        <w:rPr/>
        <w:t xml:space="preserve"> Exceptional powers can become permanent or be used to bypass normal legitimacy requirements.</w:t>
      </w:r>
    </w:p>
    <w:p>
      <w:pPr>
        <w:pStyle w:val="BodyText"/>
        <w:numPr>
          <w:ilvl w:val="0"/>
          <w:numId w:val="113"/>
        </w:numPr>
        <w:tabs>
          <w:tab w:val="clear" w:pos="720"/>
          <w:tab w:val="left" w:pos="0" w:leader="none"/>
        </w:tabs>
        <w:spacing w:before="0" w:after="200"/>
        <w:ind w:hanging="283" w:left="709"/>
        <w:rPr/>
      </w:pPr>
      <w:r>
        <w:rPr>
          <w:rStyle w:val="Strong"/>
        </w:rPr>
        <w:t>Artificial contracting agents:</w:t>
      </w:r>
      <w:r>
        <w:rPr/>
        <w:t xml:space="preserve"> Agency, authorization, identity continuity, and responsibility remain unresolved for artificial systems.</w:t>
      </w:r>
    </w:p>
    <w:p>
      <w:pPr>
        <w:pStyle w:val="BodyText"/>
        <w:numPr>
          <w:ilvl w:val="0"/>
          <w:numId w:val="113"/>
        </w:numPr>
        <w:tabs>
          <w:tab w:val="clear" w:pos="720"/>
          <w:tab w:val="left" w:pos="0" w:leader="none"/>
        </w:tabs>
        <w:spacing w:before="0" w:after="200"/>
        <w:ind w:hanging="283" w:left="709"/>
        <w:rPr/>
      </w:pPr>
      <w:r>
        <w:rPr>
          <w:rStyle w:val="Strong"/>
        </w:rPr>
        <w:t>Global and planetary contracts:</w:t>
      </w:r>
      <w:r>
        <w:rPr/>
        <w:t xml:space="preserve"> Existing political institutions may be unable to represent all entities affected by climate, artificial intelligence, biotechnology, or space development.</w:t>
      </w:r>
    </w:p>
    <w:p>
      <w:pPr>
        <w:pStyle w:val="BodyText"/>
        <w:numPr>
          <w:ilvl w:val="0"/>
          <w:numId w:val="113"/>
        </w:numPr>
        <w:tabs>
          <w:tab w:val="clear" w:pos="720"/>
          <w:tab w:val="left" w:pos="0" w:leader="none"/>
        </w:tabs>
        <w:spacing w:before="0" w:after="200"/>
        <w:ind w:hanging="283" w:left="709"/>
        <w:rPr/>
      </w:pPr>
      <w:r>
        <w:rPr>
          <w:rStyle w:val="Strong"/>
        </w:rPr>
        <w:t>Agreement versus flourishing:</w:t>
      </w:r>
      <w:r>
        <w:rPr/>
        <w:t xml:space="preserve"> The framework must specify when a valid agreement may be overridden and what authority may do so.</w:t>
      </w:r>
    </w:p>
    <w:p>
      <w:pPr>
        <w:pStyle w:val="BodyText"/>
        <w:numPr>
          <w:ilvl w:val="0"/>
          <w:numId w:val="113"/>
        </w:numPr>
        <w:tabs>
          <w:tab w:val="clear" w:pos="720"/>
          <w:tab w:val="left" w:pos="0" w:leader="none"/>
        </w:tabs>
        <w:spacing w:before="0" w:after="200"/>
        <w:ind w:hanging="283" w:left="709"/>
        <w:rPr/>
      </w:pPr>
      <w:r>
        <w:rPr>
          <w:rStyle w:val="Strong"/>
        </w:rPr>
        <w:t>Governance of the framework:</w:t>
      </w:r>
      <w:r>
        <w:rPr/>
        <w:t xml:space="preserve"> The institutions operating the framework require their own public justification, oversight, and amendment procedures.</w:t>
      </w:r>
    </w:p>
    <w:p>
      <w:pPr>
        <w:pStyle w:val="BodyText"/>
        <w:spacing w:before="0" w:after="200"/>
        <w:rPr/>
      </w:pPr>
      <w:r>
        <w:rPr/>
        <w:t>The central unresolved question is whether ethical authority must arise from agreement or whether some moral protections apply independently of what agents would accept. A contractarian can reasonably criticize this framework for imposing a substantive axiom without deriving it from agreement. The framework can reasonably respond that agreement among capable parties cannot determine the moral status of every affected entity. The strongest integration is therefore a dual requirement: institutions and cooperative rules must be publicly justifiable under fair conditions, and their complete World Context Transitions must remain compatible with the Long-Term Flourishing of parties and nonparties alike.</w:t>
      </w:r>
    </w:p>
    <w:p>
      <w:pPr>
        <w:pStyle w:val="Heading3"/>
        <w:ind w:hanging="0" w:left="0"/>
        <w:rPr/>
      </w:pPr>
      <w:r>
        <w:rPr/>
        <w:t>Natural Law</w:t>
      </w:r>
    </w:p>
    <w:p>
      <w:pPr>
        <w:pStyle w:val="Heading4"/>
        <w:ind w:hanging="0" w:left="0"/>
        <w:rPr>
          <w:rFonts w:ascii="Aptos" w:hAnsi="Aptos"/>
          <w:color w:val="auto"/>
        </w:rPr>
      </w:pPr>
      <w:r>
        <w:rPr/>
        <w:t>Questioning Argument</w:t>
      </w:r>
    </w:p>
    <w:p>
      <w:pPr>
        <w:pStyle w:val="BodyText"/>
        <w:spacing w:before="0" w:after="200"/>
        <w:rPr/>
      </w:pPr>
      <w:r>
        <w:rPr/>
        <w:t>A Natural Law expert may argue that this framework grounds ethical judgment too heavily in predicted World Context Transitions and not sufficiently in the intrinsic moral character of the action chosen. An action can produce favorable consequences while directly attacking life, knowledge, friendship, rational agency, or another basic good.</w:t>
      </w:r>
    </w:p>
    <w:p>
      <w:pPr>
        <w:pStyle w:val="BodyText"/>
        <w:spacing w:before="0" w:after="200"/>
        <w:rPr/>
      </w:pPr>
      <w:r>
        <w:rPr/>
        <w:t>The critic may ask:</w:t>
      </w:r>
    </w:p>
    <w:p>
      <w:pPr>
        <w:pStyle w:val="BlockQuotation"/>
        <w:spacing w:before="0" w:after="200"/>
        <w:rPr/>
      </w:pPr>
      <w:r>
        <w:rPr/>
        <w:t>If the framework evaluates actions primarily through their contribution to Long-Term Flourishing, what prevents an actor from intentionally violating a basic good whenever the predicted future transition appears sufficiently beneficial?</w:t>
      </w:r>
    </w:p>
    <w:p>
      <w:pPr>
        <w:pStyle w:val="BodyText"/>
        <w:spacing w:before="0" w:after="200"/>
        <w:rPr/>
      </w:pPr>
      <w:r>
        <w:rPr/>
        <w:t>The concern is that “compatible flourishing” could become an expansive balancing formula. A decision-maker might intentionally harm one entity, manipulate human capacities, or violate a protected relationship while claiming that the resulting system will become more stable, adaptive, or capable of producing future benefits.</w:t>
      </w:r>
    </w:p>
    <w:p>
      <w:pPr>
        <w:pStyle w:val="BodyText"/>
        <w:spacing w:before="0" w:after="200"/>
        <w:rPr/>
      </w:pPr>
      <w:r>
        <w:rPr/>
        <w:t>A Natural Law critic may also question the foundation of the framework. The Foundational Axiom states what the system should preserve and promote, but it does not fully explain why persistence, adaptation, or expansion of beneficial future state space is morally authoritative. Unless these concepts are connected to objectively intelligible goods, the framework may derive ethical obligations from selected system properties rather than from a defensible account of what is genuinely good.</w:t>
      </w:r>
    </w:p>
    <w:p>
      <w:pPr>
        <w:pStyle w:val="BodyText"/>
        <w:spacing w:before="0" w:after="200"/>
        <w:rPr/>
      </w:pPr>
      <w:r>
        <w:rPr/>
        <w:t>A further objection concerns human nature. Natural Law generally treats human capacities and characteristic forms of fulfillment as normatively significant. This framework applies to a broader and potentially changing class of adaptive, autopoietic, artificial, and collective entities. A Natural Law expert may ask whether the framework can protect human dignity and basic goods when the characteristics of moral subjects can be technologically redesigned.</w:t>
      </w:r>
    </w:p>
    <w:p>
      <w:pPr>
        <w:pStyle w:val="Heading4"/>
        <w:ind w:hanging="0" w:left="0"/>
        <w:rPr>
          <w:rFonts w:ascii="Aptos" w:hAnsi="Aptos"/>
          <w:color w:val="auto"/>
        </w:rPr>
      </w:pPr>
      <w:r>
        <w:rPr/>
        <w:t>Assumptions Within the Ethical Model Relevant to the Questioning Argument</w:t>
      </w:r>
    </w:p>
    <w:p>
      <w:pPr>
        <w:pStyle w:val="BodyText"/>
        <w:spacing w:before="0" w:after="200"/>
        <w:rPr/>
      </w:pPr>
      <w:r>
        <w:rPr/>
        <w:t>The Natural Law critique relies on several assumptions:</w:t>
      </w:r>
    </w:p>
    <w:p>
      <w:pPr>
        <w:pStyle w:val="BodyText"/>
        <w:numPr>
          <w:ilvl w:val="0"/>
          <w:numId w:val="121"/>
        </w:numPr>
        <w:tabs>
          <w:tab w:val="clear" w:pos="720"/>
          <w:tab w:val="left" w:pos="0" w:leader="none"/>
        </w:tabs>
        <w:spacing w:before="0" w:after="200"/>
        <w:ind w:hanging="283" w:left="709"/>
        <w:rPr/>
      </w:pPr>
      <w:r>
        <w:rPr>
          <w:rStyle w:val="Strong"/>
        </w:rPr>
        <w:t>Moral truth is objective.</w:t>
      </w:r>
      <w:r>
        <w:rPr/>
        <w:t xml:space="preserve"> It is not created solely by preference, consensus, legal enactment, technological capability, or predicted system performance.</w:t>
      </w:r>
    </w:p>
    <w:p>
      <w:pPr>
        <w:pStyle w:val="BodyText"/>
        <w:numPr>
          <w:ilvl w:val="0"/>
          <w:numId w:val="121"/>
        </w:numPr>
        <w:tabs>
          <w:tab w:val="clear" w:pos="720"/>
          <w:tab w:val="left" w:pos="0" w:leader="none"/>
        </w:tabs>
        <w:spacing w:before="0" w:after="200"/>
        <w:ind w:hanging="283" w:left="709"/>
        <w:rPr/>
      </w:pPr>
      <w:r>
        <w:rPr>
          <w:rStyle w:val="Strong"/>
        </w:rPr>
        <w:t>Practical reason can recognize basic goods.</w:t>
      </w:r>
      <w:r>
        <w:rPr/>
        <w:t xml:space="preserve"> Some forms of activity and fulfillment provide reasons for action without deriving their value from another objective.</w:t>
      </w:r>
    </w:p>
    <w:p>
      <w:pPr>
        <w:pStyle w:val="BodyText"/>
        <w:numPr>
          <w:ilvl w:val="0"/>
          <w:numId w:val="121"/>
        </w:numPr>
        <w:tabs>
          <w:tab w:val="clear" w:pos="720"/>
          <w:tab w:val="left" w:pos="0" w:leader="none"/>
        </w:tabs>
        <w:spacing w:before="0" w:after="200"/>
        <w:ind w:hanging="283" w:left="709"/>
        <w:rPr/>
      </w:pPr>
      <w:r>
        <w:rPr>
          <w:rStyle w:val="Strong"/>
        </w:rPr>
        <w:t>Human nature is normatively significant.</w:t>
      </w:r>
      <w:r>
        <w:rPr/>
        <w:t xml:space="preserve"> Embodiment, rationality, sociability, vulnerability, agency, and characteristic developmental capacities inform what constitutes human flourishing.</w:t>
      </w:r>
    </w:p>
    <w:p>
      <w:pPr>
        <w:pStyle w:val="BodyText"/>
        <w:numPr>
          <w:ilvl w:val="0"/>
          <w:numId w:val="121"/>
        </w:numPr>
        <w:tabs>
          <w:tab w:val="clear" w:pos="720"/>
          <w:tab w:val="left" w:pos="0" w:leader="none"/>
        </w:tabs>
        <w:spacing w:before="0" w:after="200"/>
        <w:ind w:hanging="283" w:left="709"/>
        <w:rPr/>
      </w:pPr>
      <w:r>
        <w:rPr>
          <w:rStyle w:val="Strong"/>
        </w:rPr>
        <w:t>Natural Law is not simple biological determinism.</w:t>
      </w:r>
      <w:r>
        <w:rPr/>
        <w:t xml:space="preserve"> A behavior does not become right merely because it is common, instinctive, evolved, or technically natural.</w:t>
      </w:r>
    </w:p>
    <w:p>
      <w:pPr>
        <w:pStyle w:val="BodyText"/>
        <w:numPr>
          <w:ilvl w:val="0"/>
          <w:numId w:val="121"/>
        </w:numPr>
        <w:tabs>
          <w:tab w:val="clear" w:pos="720"/>
          <w:tab w:val="left" w:pos="0" w:leader="none"/>
        </w:tabs>
        <w:spacing w:before="0" w:after="200"/>
        <w:ind w:hanging="283" w:left="709"/>
        <w:rPr/>
      </w:pPr>
      <w:r>
        <w:rPr>
          <w:rStyle w:val="Strong"/>
        </w:rPr>
        <w:t>Basic goods are intrinsically valuable.</w:t>
      </w:r>
      <w:r>
        <w:rPr/>
        <w:t xml:space="preserve"> Life, knowledge, sociability, practical reasonableness, and other basic goods should not be treated merely as instruments for aggregate system performance.</w:t>
      </w:r>
    </w:p>
    <w:p>
      <w:pPr>
        <w:pStyle w:val="BodyText"/>
        <w:numPr>
          <w:ilvl w:val="0"/>
          <w:numId w:val="121"/>
        </w:numPr>
        <w:tabs>
          <w:tab w:val="clear" w:pos="720"/>
          <w:tab w:val="left" w:pos="0" w:leader="none"/>
        </w:tabs>
        <w:spacing w:before="0" w:after="200"/>
        <w:ind w:hanging="283" w:left="709"/>
        <w:rPr/>
      </w:pPr>
      <w:r>
        <w:rPr>
          <w:rStyle w:val="Strong"/>
        </w:rPr>
        <w:t>Basic goods are plural and not fully interchangeable.</w:t>
      </w:r>
      <w:r>
        <w:rPr/>
        <w:t xml:space="preserve"> A loss of one good cannot always be justified by producing a larger quantity of another.</w:t>
      </w:r>
    </w:p>
    <w:p>
      <w:pPr>
        <w:pStyle w:val="BodyText"/>
        <w:numPr>
          <w:ilvl w:val="0"/>
          <w:numId w:val="121"/>
        </w:numPr>
        <w:tabs>
          <w:tab w:val="clear" w:pos="720"/>
          <w:tab w:val="left" w:pos="0" w:leader="none"/>
        </w:tabs>
        <w:spacing w:before="0" w:after="200"/>
        <w:ind w:hanging="283" w:left="709"/>
        <w:rPr/>
      </w:pPr>
      <w:r>
        <w:rPr>
          <w:rStyle w:val="Strong"/>
        </w:rPr>
        <w:t>The common good is not an aggregate total.</w:t>
      </w:r>
      <w:r>
        <w:rPr/>
        <w:t xml:space="preserve"> It concerns social conditions enabling persons and communities to participate in genuine goods.</w:t>
      </w:r>
    </w:p>
    <w:p>
      <w:pPr>
        <w:pStyle w:val="BodyText"/>
        <w:numPr>
          <w:ilvl w:val="0"/>
          <w:numId w:val="121"/>
        </w:numPr>
        <w:tabs>
          <w:tab w:val="clear" w:pos="720"/>
          <w:tab w:val="left" w:pos="0" w:leader="none"/>
        </w:tabs>
        <w:spacing w:before="0" w:after="200"/>
        <w:ind w:hanging="283" w:left="709"/>
        <w:rPr/>
      </w:pPr>
      <w:r>
        <w:rPr>
          <w:rStyle w:val="Strong"/>
        </w:rPr>
        <w:t>The moral object of an action matters.</w:t>
      </w:r>
      <w:r>
        <w:rPr/>
        <w:t xml:space="preserve"> Ethical judgment must identify what the agent is choosing as an end or means.</w:t>
      </w:r>
    </w:p>
    <w:p>
      <w:pPr>
        <w:pStyle w:val="BodyText"/>
        <w:numPr>
          <w:ilvl w:val="0"/>
          <w:numId w:val="121"/>
        </w:numPr>
        <w:tabs>
          <w:tab w:val="clear" w:pos="720"/>
          <w:tab w:val="left" w:pos="0" w:leader="none"/>
        </w:tabs>
        <w:spacing w:before="0" w:after="200"/>
        <w:ind w:hanging="283" w:left="709"/>
        <w:rPr/>
      </w:pPr>
      <w:r>
        <w:rPr>
          <w:rStyle w:val="Strong"/>
        </w:rPr>
        <w:t>Intention matters.</w:t>
      </w:r>
      <w:r>
        <w:rPr/>
        <w:t xml:space="preserve"> Harm deliberately selected as a means differs morally from a similar harm that is foreseen but not intended.</w:t>
      </w:r>
    </w:p>
    <w:p>
      <w:pPr>
        <w:pStyle w:val="BodyText"/>
        <w:numPr>
          <w:ilvl w:val="0"/>
          <w:numId w:val="121"/>
        </w:numPr>
        <w:tabs>
          <w:tab w:val="clear" w:pos="720"/>
          <w:tab w:val="left" w:pos="0" w:leader="none"/>
        </w:tabs>
        <w:spacing w:before="0" w:after="200"/>
        <w:ind w:hanging="283" w:left="709"/>
        <w:rPr/>
      </w:pPr>
      <w:r>
        <w:rPr>
          <w:rStyle w:val="Strong"/>
        </w:rPr>
        <w:t>Circumstances matter without defining the entire moral character of the action.</w:t>
      </w:r>
      <w:r>
        <w:rPr/>
        <w:t xml:space="preserve"> Context can affect responsibility and proportionality, but it does not necessarily make every action permissible.</w:t>
      </w:r>
    </w:p>
    <w:p>
      <w:pPr>
        <w:pStyle w:val="BodyText"/>
        <w:numPr>
          <w:ilvl w:val="0"/>
          <w:numId w:val="121"/>
        </w:numPr>
        <w:tabs>
          <w:tab w:val="clear" w:pos="720"/>
          <w:tab w:val="left" w:pos="0" w:leader="none"/>
        </w:tabs>
        <w:spacing w:before="0" w:after="200"/>
        <w:ind w:hanging="283" w:left="709"/>
        <w:rPr/>
      </w:pPr>
      <w:r>
        <w:rPr>
          <w:rStyle w:val="Strong"/>
        </w:rPr>
        <w:t>Some actions may be categorically wrong.</w:t>
      </w:r>
      <w:r>
        <w:rPr/>
        <w:t xml:space="preserve"> A favorable outcome cannot justify every possible means.</w:t>
      </w:r>
    </w:p>
    <w:p>
      <w:pPr>
        <w:pStyle w:val="BodyText"/>
        <w:numPr>
          <w:ilvl w:val="0"/>
          <w:numId w:val="121"/>
        </w:numPr>
        <w:tabs>
          <w:tab w:val="clear" w:pos="720"/>
          <w:tab w:val="left" w:pos="0" w:leader="none"/>
        </w:tabs>
        <w:spacing w:before="0" w:after="200"/>
        <w:ind w:hanging="283" w:left="709"/>
        <w:rPr/>
      </w:pPr>
      <w:r>
        <w:rPr>
          <w:rStyle w:val="Strong"/>
        </w:rPr>
        <w:t>Good may not be pursued through the intentional choice of evil.</w:t>
      </w:r>
      <w:r>
        <w:rPr/>
        <w:t xml:space="preserve"> The direct attack on a basic good cannot be converted into a permissible means merely by identifying a beneficial objective.</w:t>
      </w:r>
    </w:p>
    <w:p>
      <w:pPr>
        <w:pStyle w:val="BodyText"/>
        <w:numPr>
          <w:ilvl w:val="0"/>
          <w:numId w:val="121"/>
        </w:numPr>
        <w:tabs>
          <w:tab w:val="clear" w:pos="720"/>
          <w:tab w:val="left" w:pos="0" w:leader="none"/>
        </w:tabs>
        <w:spacing w:before="0" w:after="200"/>
        <w:ind w:hanging="283" w:left="709"/>
        <w:rPr/>
      </w:pPr>
      <w:r>
        <w:rPr>
          <w:rStyle w:val="Strong"/>
        </w:rPr>
        <w:t>Foreseen side effects require proportionate justification.</w:t>
      </w:r>
      <w:r>
        <w:rPr/>
        <w:t xml:space="preserve"> The principle of double effect permits some actions with harmful side effects only under limited conditions.</w:t>
      </w:r>
    </w:p>
    <w:p>
      <w:pPr>
        <w:pStyle w:val="BodyText"/>
        <w:numPr>
          <w:ilvl w:val="0"/>
          <w:numId w:val="121"/>
        </w:numPr>
        <w:tabs>
          <w:tab w:val="clear" w:pos="720"/>
          <w:tab w:val="left" w:pos="0" w:leader="none"/>
        </w:tabs>
        <w:spacing w:before="0" w:after="200"/>
        <w:ind w:hanging="283" w:left="709"/>
        <w:rPr/>
      </w:pPr>
      <w:r>
        <w:rPr>
          <w:rStyle w:val="Strong"/>
        </w:rPr>
        <w:t>Virtue is necessary for reliable moral judgment.</w:t>
      </w:r>
      <w:r>
        <w:rPr/>
        <w:t xml:space="preserve"> Moral rules alone do not guarantee practical wisdom, justice, courage, or moderation.</w:t>
      </w:r>
    </w:p>
    <w:p>
      <w:pPr>
        <w:pStyle w:val="BodyText"/>
        <w:numPr>
          <w:ilvl w:val="0"/>
          <w:numId w:val="121"/>
        </w:numPr>
        <w:tabs>
          <w:tab w:val="clear" w:pos="720"/>
          <w:tab w:val="left" w:pos="0" w:leader="none"/>
        </w:tabs>
        <w:spacing w:before="0" w:after="200"/>
        <w:ind w:hanging="283" w:left="709"/>
        <w:rPr/>
      </w:pPr>
      <w:r>
        <w:rPr>
          <w:rStyle w:val="Strong"/>
        </w:rPr>
        <w:t>Law should be directed toward the common good.</w:t>
      </w:r>
      <w:r>
        <w:rPr/>
        <w:t xml:space="preserve"> Enacted rules acquire moral authority through reason, legitimate authority, common-good orientation, and proper promulgation.</w:t>
      </w:r>
    </w:p>
    <w:p>
      <w:pPr>
        <w:pStyle w:val="BodyText"/>
        <w:numPr>
          <w:ilvl w:val="0"/>
          <w:numId w:val="121"/>
        </w:numPr>
        <w:tabs>
          <w:tab w:val="clear" w:pos="720"/>
          <w:tab w:val="left" w:pos="0" w:leader="none"/>
        </w:tabs>
        <w:spacing w:before="0" w:after="200"/>
        <w:ind w:hanging="283" w:left="709"/>
        <w:rPr/>
      </w:pPr>
      <w:r>
        <w:rPr>
          <w:rStyle w:val="Strong"/>
        </w:rPr>
        <w:t>Unjust law is morally defective.</w:t>
      </w:r>
      <w:r>
        <w:rPr/>
        <w:t xml:space="preserve"> Institutional or legal power cannot create moral legitimacy by declaration.</w:t>
      </w:r>
    </w:p>
    <w:p>
      <w:pPr>
        <w:pStyle w:val="BodyText"/>
        <w:numPr>
          <w:ilvl w:val="0"/>
          <w:numId w:val="121"/>
        </w:numPr>
        <w:tabs>
          <w:tab w:val="clear" w:pos="720"/>
          <w:tab w:val="left" w:pos="0" w:leader="none"/>
        </w:tabs>
        <w:spacing w:before="0" w:after="200"/>
        <w:ind w:hanging="283" w:left="709"/>
        <w:rPr/>
      </w:pPr>
      <w:r>
        <w:rPr>
          <w:rStyle w:val="Strong"/>
        </w:rPr>
        <w:t>Universal principles can have context-sensitive applications.</w:t>
      </w:r>
      <w:r>
        <w:rPr/>
        <w:t xml:space="preserve"> Natural Law need not prescribe identical positive laws or social arrangements in every society.</w:t>
      </w:r>
    </w:p>
    <w:p>
      <w:pPr>
        <w:pStyle w:val="BodyText"/>
        <w:numPr>
          <w:ilvl w:val="0"/>
          <w:numId w:val="121"/>
        </w:numPr>
        <w:tabs>
          <w:tab w:val="clear" w:pos="720"/>
          <w:tab w:val="left" w:pos="0" w:leader="none"/>
        </w:tabs>
        <w:spacing w:before="0" w:after="200"/>
        <w:ind w:hanging="283" w:left="709"/>
        <w:rPr/>
      </w:pPr>
      <w:r>
        <w:rPr>
          <w:rStyle w:val="Strong"/>
        </w:rPr>
        <w:t>Reason and revelation are distinguishable.</w:t>
      </w:r>
      <w:r>
        <w:rPr/>
        <w:t xml:space="preserve"> Theological Natural Law may locate the ultimate source of moral order in God while still holding that many practical principles are accessible through ordinary reason.</w:t>
      </w:r>
    </w:p>
    <w:p>
      <w:pPr>
        <w:pStyle w:val="Heading4"/>
        <w:ind w:hanging="0" w:left="0"/>
        <w:rPr>
          <w:rFonts w:ascii="Aptos" w:hAnsi="Aptos"/>
          <w:color w:val="auto"/>
        </w:rPr>
      </w:pPr>
      <w:r>
        <w:rPr/>
        <w:t>Concepts Incorporated From This Ethical Model</w:t>
      </w:r>
    </w:p>
    <w:p>
      <w:pPr>
        <w:pStyle w:val="BodyText"/>
        <w:spacing w:before="0" w:after="200"/>
        <w:rPr/>
      </w:pPr>
      <w:r>
        <w:rPr/>
        <w:t>The framework already incorporates or can functionally represent several Natural Law concepts:</w:t>
      </w:r>
    </w:p>
    <w:tbl>
      <w:tblPr>
        <w:tblW w:w="8640" w:type="dxa"/>
        <w:jc w:val="left"/>
        <w:tblInd w:w="28" w:type="dxa"/>
        <w:tblLayout w:type="fixed"/>
        <w:tblCellMar>
          <w:top w:w="28" w:type="dxa"/>
          <w:left w:w="28" w:type="dxa"/>
          <w:bottom w:w="28" w:type="dxa"/>
          <w:right w:w="28" w:type="dxa"/>
        </w:tblCellMar>
      </w:tblPr>
      <w:tblGrid>
        <w:gridCol w:w="2437"/>
        <w:gridCol w:w="6203"/>
      </w:tblGrid>
      <w:tr>
        <w:trPr>
          <w:tblHeader w:val="true"/>
        </w:trPr>
        <w:tc>
          <w:tcPr>
            <w:tcW w:w="2437" w:type="dxa"/>
            <w:tcBorders/>
            <w:vAlign w:val="center"/>
          </w:tcPr>
          <w:p>
            <w:pPr>
              <w:pStyle w:val="TableHeading"/>
              <w:suppressLineNumbers/>
              <w:spacing w:before="0" w:after="200"/>
              <w:jc w:val="center"/>
              <w:rPr/>
            </w:pPr>
            <w:r>
              <w:rPr/>
              <w:t>Natural Law concept</w:t>
            </w:r>
          </w:p>
        </w:tc>
        <w:tc>
          <w:tcPr>
            <w:tcW w:w="6203" w:type="dxa"/>
            <w:tcBorders/>
            <w:vAlign w:val="center"/>
          </w:tcPr>
          <w:p>
            <w:pPr>
              <w:pStyle w:val="TableHeading"/>
              <w:suppressLineNumbers/>
              <w:spacing w:before="0" w:after="200"/>
              <w:jc w:val="center"/>
              <w:rPr/>
            </w:pPr>
            <w:r>
              <w:rPr/>
              <w:t>Incorporation within this framework</w:t>
            </w:r>
          </w:p>
        </w:tc>
      </w:tr>
      <w:tr>
        <w:trPr/>
        <w:tc>
          <w:tcPr>
            <w:tcW w:w="2437" w:type="dxa"/>
            <w:tcBorders/>
            <w:vAlign w:val="center"/>
          </w:tcPr>
          <w:p>
            <w:pPr>
              <w:pStyle w:val="TableContents"/>
              <w:widowControl w:val="false"/>
              <w:suppressLineNumbers/>
              <w:spacing w:before="0" w:after="200"/>
              <w:rPr/>
            </w:pPr>
            <w:r>
              <w:rPr>
                <w:rStyle w:val="Strong"/>
              </w:rPr>
              <w:t>Objective moral evaluation</w:t>
            </w:r>
          </w:p>
        </w:tc>
        <w:tc>
          <w:tcPr>
            <w:tcW w:w="6203" w:type="dxa"/>
            <w:tcBorders/>
            <w:vAlign w:val="center"/>
          </w:tcPr>
          <w:p>
            <w:pPr>
              <w:pStyle w:val="TableContents"/>
              <w:widowControl w:val="false"/>
              <w:suppressLineNumbers/>
              <w:spacing w:before="0" w:after="200"/>
              <w:rPr/>
            </w:pPr>
            <w:r>
              <w:rPr/>
              <w:t>The Foundational Axiom evaluates conduct independently of the actor’s preferences or institutional power.</w:t>
            </w:r>
          </w:p>
        </w:tc>
      </w:tr>
      <w:tr>
        <w:trPr/>
        <w:tc>
          <w:tcPr>
            <w:tcW w:w="2437" w:type="dxa"/>
            <w:tcBorders/>
            <w:vAlign w:val="center"/>
          </w:tcPr>
          <w:p>
            <w:pPr>
              <w:pStyle w:val="TableContents"/>
              <w:widowControl w:val="false"/>
              <w:suppressLineNumbers/>
              <w:spacing w:before="0" w:after="200"/>
              <w:rPr/>
            </w:pPr>
            <w:r>
              <w:rPr>
                <w:rStyle w:val="Strong"/>
              </w:rPr>
              <w:t>Flourishing</w:t>
            </w:r>
          </w:p>
        </w:tc>
        <w:tc>
          <w:tcPr>
            <w:tcW w:w="6203" w:type="dxa"/>
            <w:tcBorders/>
            <w:vAlign w:val="center"/>
          </w:tcPr>
          <w:p>
            <w:pPr>
              <w:pStyle w:val="TableContents"/>
              <w:widowControl w:val="false"/>
              <w:suppressLineNumbers/>
              <w:spacing w:before="0" w:after="200"/>
              <w:rPr/>
            </w:pPr>
            <w:r>
              <w:rPr/>
              <w:t>Long-Term Flourishing is a multidimensional relational state rather than a single measure of pleasure or preference satisfaction.</w:t>
            </w:r>
          </w:p>
        </w:tc>
      </w:tr>
      <w:tr>
        <w:trPr/>
        <w:tc>
          <w:tcPr>
            <w:tcW w:w="2437" w:type="dxa"/>
            <w:tcBorders/>
            <w:vAlign w:val="center"/>
          </w:tcPr>
          <w:p>
            <w:pPr>
              <w:pStyle w:val="TableContents"/>
              <w:widowControl w:val="false"/>
              <w:suppressLineNumbers/>
              <w:spacing w:before="0" w:after="200"/>
              <w:rPr/>
            </w:pPr>
            <w:r>
              <w:rPr>
                <w:rStyle w:val="Strong"/>
              </w:rPr>
              <w:t>Life and persistence</w:t>
            </w:r>
          </w:p>
        </w:tc>
        <w:tc>
          <w:tcPr>
            <w:tcW w:w="6203" w:type="dxa"/>
            <w:tcBorders/>
            <w:vAlign w:val="center"/>
          </w:tcPr>
          <w:p>
            <w:pPr>
              <w:pStyle w:val="TableContents"/>
              <w:widowControl w:val="false"/>
              <w:suppressLineNumbers/>
              <w:spacing w:before="0" w:after="200"/>
              <w:rPr/>
            </w:pPr>
            <w:r>
              <w:rPr/>
              <w:t>The continued existence, integrity, and adaptive capacity of relevant entities are ethically significant.</w:t>
            </w:r>
          </w:p>
        </w:tc>
      </w:tr>
      <w:tr>
        <w:trPr/>
        <w:tc>
          <w:tcPr>
            <w:tcW w:w="2437" w:type="dxa"/>
            <w:tcBorders/>
            <w:vAlign w:val="center"/>
          </w:tcPr>
          <w:p>
            <w:pPr>
              <w:pStyle w:val="TableContents"/>
              <w:widowControl w:val="false"/>
              <w:suppressLineNumbers/>
              <w:spacing w:before="0" w:after="200"/>
              <w:rPr/>
            </w:pPr>
            <w:r>
              <w:rPr>
                <w:rStyle w:val="Strong"/>
              </w:rPr>
              <w:t>Knowledge</w:t>
            </w:r>
          </w:p>
        </w:tc>
        <w:tc>
          <w:tcPr>
            <w:tcW w:w="6203" w:type="dxa"/>
            <w:tcBorders/>
            <w:vAlign w:val="center"/>
          </w:tcPr>
          <w:p>
            <w:pPr>
              <w:pStyle w:val="TableContents"/>
              <w:widowControl w:val="false"/>
              <w:suppressLineNumbers/>
              <w:spacing w:before="0" w:after="200"/>
              <w:rPr/>
            </w:pPr>
            <w:r>
              <w:rPr/>
              <w:t>Information, evidence, learning, and epistemic capability are essential to responsible moral agency.</w:t>
            </w:r>
          </w:p>
        </w:tc>
      </w:tr>
      <w:tr>
        <w:trPr/>
        <w:tc>
          <w:tcPr>
            <w:tcW w:w="2437" w:type="dxa"/>
            <w:tcBorders/>
            <w:vAlign w:val="center"/>
          </w:tcPr>
          <w:p>
            <w:pPr>
              <w:pStyle w:val="TableContents"/>
              <w:widowControl w:val="false"/>
              <w:suppressLineNumbers/>
              <w:spacing w:before="0" w:after="200"/>
              <w:rPr/>
            </w:pPr>
            <w:r>
              <w:rPr>
                <w:rStyle w:val="Strong"/>
              </w:rPr>
              <w:t>Sociability</w:t>
            </w:r>
          </w:p>
        </w:tc>
        <w:tc>
          <w:tcPr>
            <w:tcW w:w="6203" w:type="dxa"/>
            <w:tcBorders/>
            <w:vAlign w:val="center"/>
          </w:tcPr>
          <w:p>
            <w:pPr>
              <w:pStyle w:val="TableContents"/>
              <w:widowControl w:val="false"/>
              <w:suppressLineNumbers/>
              <w:spacing w:before="0" w:after="200"/>
              <w:rPr/>
            </w:pPr>
            <w:r>
              <w:rPr/>
              <w:t>Associations, trust, cooperation, relationships, and institutions form part of the World Context.</w:t>
            </w:r>
          </w:p>
        </w:tc>
      </w:tr>
      <w:tr>
        <w:trPr/>
        <w:tc>
          <w:tcPr>
            <w:tcW w:w="2437" w:type="dxa"/>
            <w:tcBorders/>
            <w:vAlign w:val="center"/>
          </w:tcPr>
          <w:p>
            <w:pPr>
              <w:pStyle w:val="TableContents"/>
              <w:widowControl w:val="false"/>
              <w:suppressLineNumbers/>
              <w:spacing w:before="0" w:after="200"/>
              <w:rPr/>
            </w:pPr>
            <w:r>
              <w:rPr>
                <w:rStyle w:val="Strong"/>
              </w:rPr>
              <w:t>Practical reason</w:t>
            </w:r>
          </w:p>
        </w:tc>
        <w:tc>
          <w:tcPr>
            <w:tcW w:w="6203" w:type="dxa"/>
            <w:tcBorders/>
            <w:vAlign w:val="center"/>
          </w:tcPr>
          <w:p>
            <w:pPr>
              <w:pStyle w:val="TableContents"/>
              <w:widowControl w:val="false"/>
              <w:suppressLineNumbers/>
              <w:spacing w:before="0" w:after="200"/>
              <w:rPr/>
            </w:pPr>
            <w:r>
              <w:rPr/>
              <w:t>Agents are expected to use evidence, causal reasoning, proportionality, and explicit assumptions when selecting actions.</w:t>
            </w:r>
          </w:p>
        </w:tc>
      </w:tr>
      <w:tr>
        <w:trPr/>
        <w:tc>
          <w:tcPr>
            <w:tcW w:w="2437" w:type="dxa"/>
            <w:tcBorders/>
            <w:vAlign w:val="center"/>
          </w:tcPr>
          <w:p>
            <w:pPr>
              <w:pStyle w:val="TableContents"/>
              <w:widowControl w:val="false"/>
              <w:suppressLineNumbers/>
              <w:spacing w:before="0" w:after="200"/>
              <w:rPr/>
            </w:pPr>
            <w:r>
              <w:rPr>
                <w:rStyle w:val="Strong"/>
              </w:rPr>
              <w:t>Common good</w:t>
            </w:r>
          </w:p>
        </w:tc>
        <w:tc>
          <w:tcPr>
            <w:tcW w:w="6203" w:type="dxa"/>
            <w:tcBorders/>
            <w:vAlign w:val="center"/>
          </w:tcPr>
          <w:p>
            <w:pPr>
              <w:pStyle w:val="TableContents"/>
              <w:widowControl w:val="false"/>
              <w:suppressLineNumbers/>
              <w:spacing w:before="0" w:after="200"/>
              <w:rPr/>
            </w:pPr>
            <w:r>
              <w:rPr/>
              <w:t>The Foundational Axiom requires an entity’s flourishing to remain compatible with and contribute to the flourishing of the relevant World Context.</w:t>
            </w:r>
          </w:p>
        </w:tc>
      </w:tr>
      <w:tr>
        <w:trPr/>
        <w:tc>
          <w:tcPr>
            <w:tcW w:w="2437" w:type="dxa"/>
            <w:tcBorders/>
            <w:vAlign w:val="center"/>
          </w:tcPr>
          <w:p>
            <w:pPr>
              <w:pStyle w:val="TableContents"/>
              <w:widowControl w:val="false"/>
              <w:suppressLineNumbers/>
              <w:spacing w:before="0" w:after="200"/>
              <w:rPr/>
            </w:pPr>
            <w:r>
              <w:rPr>
                <w:rStyle w:val="Strong"/>
              </w:rPr>
              <w:t>Virtue-like dispositions</w:t>
            </w:r>
          </w:p>
        </w:tc>
        <w:tc>
          <w:tcPr>
            <w:tcW w:w="6203" w:type="dxa"/>
            <w:tcBorders/>
            <w:vAlign w:val="center"/>
          </w:tcPr>
          <w:p>
            <w:pPr>
              <w:pStyle w:val="TableContents"/>
              <w:widowControl w:val="false"/>
              <w:suppressLineNumbers/>
              <w:spacing w:before="0" w:after="200"/>
              <w:rPr/>
            </w:pPr>
            <w:r>
              <w:rPr/>
              <w:t>Adaptive moral development and Distributed Policy Effects can represent stable policies supporting wise or defective conduct.</w:t>
            </w:r>
          </w:p>
        </w:tc>
      </w:tr>
      <w:tr>
        <w:trPr/>
        <w:tc>
          <w:tcPr>
            <w:tcW w:w="2437" w:type="dxa"/>
            <w:tcBorders/>
            <w:vAlign w:val="center"/>
          </w:tcPr>
          <w:p>
            <w:pPr>
              <w:pStyle w:val="TableContents"/>
              <w:widowControl w:val="false"/>
              <w:suppressLineNumbers/>
              <w:spacing w:before="0" w:after="200"/>
              <w:rPr/>
            </w:pPr>
            <w:r>
              <w:rPr>
                <w:rStyle w:val="Strong"/>
              </w:rPr>
              <w:t>Moral constraints</w:t>
            </w:r>
          </w:p>
        </w:tc>
        <w:tc>
          <w:tcPr>
            <w:tcW w:w="6203" w:type="dxa"/>
            <w:tcBorders/>
            <w:vAlign w:val="center"/>
          </w:tcPr>
          <w:p>
            <w:pPr>
              <w:pStyle w:val="TableContents"/>
              <w:widowControl w:val="false"/>
              <w:suppressLineNumbers/>
              <w:spacing w:before="0" w:after="200"/>
              <w:rPr/>
            </w:pPr>
            <w:r>
              <w:rPr/>
              <w:t>The architecture can represent hard prohibitions and protected minimums in addition to comparative outcome evaluation.</w:t>
            </w:r>
          </w:p>
        </w:tc>
      </w:tr>
      <w:tr>
        <w:trPr/>
        <w:tc>
          <w:tcPr>
            <w:tcW w:w="2437" w:type="dxa"/>
            <w:tcBorders/>
            <w:vAlign w:val="center"/>
          </w:tcPr>
          <w:p>
            <w:pPr>
              <w:pStyle w:val="TableContents"/>
              <w:widowControl w:val="false"/>
              <w:suppressLineNumbers/>
              <w:spacing w:before="0" w:after="200"/>
              <w:rPr/>
            </w:pPr>
            <w:r>
              <w:rPr>
                <w:rStyle w:val="Strong"/>
              </w:rPr>
              <w:t>Object, intention, and circumstances</w:t>
            </w:r>
          </w:p>
        </w:tc>
        <w:tc>
          <w:tcPr>
            <w:tcW w:w="6203" w:type="dxa"/>
            <w:tcBorders/>
            <w:vAlign w:val="center"/>
          </w:tcPr>
          <w:p>
            <w:pPr>
              <w:pStyle w:val="TableContents"/>
              <w:widowControl w:val="false"/>
              <w:suppressLineNumbers/>
              <w:spacing w:before="0" w:after="200"/>
              <w:rPr/>
            </w:pPr>
            <w:r>
              <w:rPr/>
              <w:t>These can be represented separately in the description of the Assessed Action and the attribution of responsibility.</w:t>
            </w:r>
          </w:p>
        </w:tc>
      </w:tr>
      <w:tr>
        <w:trPr/>
        <w:tc>
          <w:tcPr>
            <w:tcW w:w="2437" w:type="dxa"/>
            <w:tcBorders/>
            <w:vAlign w:val="center"/>
          </w:tcPr>
          <w:p>
            <w:pPr>
              <w:pStyle w:val="TableContents"/>
              <w:widowControl w:val="false"/>
              <w:suppressLineNumbers/>
              <w:spacing w:before="0" w:after="200"/>
              <w:rPr/>
            </w:pPr>
            <w:r>
              <w:rPr>
                <w:rStyle w:val="Strong"/>
              </w:rPr>
              <w:t>Authority and legitimacy</w:t>
            </w:r>
          </w:p>
        </w:tc>
        <w:tc>
          <w:tcPr>
            <w:tcW w:w="6203" w:type="dxa"/>
            <w:tcBorders/>
            <w:vAlign w:val="center"/>
          </w:tcPr>
          <w:p>
            <w:pPr>
              <w:pStyle w:val="TableContents"/>
              <w:widowControl w:val="false"/>
              <w:suppressLineNumbers/>
              <w:spacing w:before="0" w:after="200"/>
              <w:rPr/>
            </w:pPr>
            <w:r>
              <w:rPr/>
              <w:t>Role, jurisdiction, institutional purpose, consent, and common-good effects can be distinguished from mere causal power.</w:t>
            </w:r>
          </w:p>
        </w:tc>
      </w:tr>
      <w:tr>
        <w:trPr/>
        <w:tc>
          <w:tcPr>
            <w:tcW w:w="2437" w:type="dxa"/>
            <w:tcBorders/>
            <w:vAlign w:val="center"/>
          </w:tcPr>
          <w:p>
            <w:pPr>
              <w:pStyle w:val="TableContents"/>
              <w:widowControl w:val="false"/>
              <w:suppressLineNumbers/>
              <w:spacing w:before="0" w:after="200"/>
              <w:rPr/>
            </w:pPr>
            <w:r>
              <w:rPr>
                <w:rStyle w:val="Strong"/>
              </w:rPr>
              <w:t>Unjust law</w:t>
            </w:r>
          </w:p>
        </w:tc>
        <w:tc>
          <w:tcPr>
            <w:tcW w:w="6203" w:type="dxa"/>
            <w:tcBorders/>
            <w:vAlign w:val="center"/>
          </w:tcPr>
          <w:p>
            <w:pPr>
              <w:pStyle w:val="TableContents"/>
              <w:widowControl w:val="false"/>
              <w:suppressLineNumbers/>
              <w:spacing w:before="0" w:after="200"/>
              <w:rPr/>
            </w:pPr>
            <w:r>
              <w:rPr/>
              <w:t>A rule can be legally operative while producing a morally defective transition or lacking legitimate authority.</w:t>
            </w:r>
          </w:p>
        </w:tc>
      </w:tr>
      <w:tr>
        <w:trPr/>
        <w:tc>
          <w:tcPr>
            <w:tcW w:w="2437" w:type="dxa"/>
            <w:tcBorders/>
            <w:vAlign w:val="center"/>
          </w:tcPr>
          <w:p>
            <w:pPr>
              <w:pStyle w:val="TableContents"/>
              <w:widowControl w:val="false"/>
              <w:suppressLineNumbers/>
              <w:spacing w:before="0" w:after="200"/>
              <w:rPr/>
            </w:pPr>
            <w:r>
              <w:rPr>
                <w:rStyle w:val="Strong"/>
              </w:rPr>
              <w:t>Natural rights</w:t>
            </w:r>
          </w:p>
        </w:tc>
        <w:tc>
          <w:tcPr>
            <w:tcW w:w="6203" w:type="dxa"/>
            <w:tcBorders/>
            <w:vAlign w:val="center"/>
          </w:tcPr>
          <w:p>
            <w:pPr>
              <w:pStyle w:val="TableContents"/>
              <w:widowControl w:val="false"/>
              <w:suppressLineNumbers/>
              <w:spacing w:before="0" w:after="200"/>
              <w:rPr/>
            </w:pPr>
            <w:r>
              <w:rPr/>
              <w:t>Rights-based Associations can protect the conditions necessary for participation in basic goods.</w:t>
            </w:r>
          </w:p>
        </w:tc>
      </w:tr>
      <w:tr>
        <w:trPr/>
        <w:tc>
          <w:tcPr>
            <w:tcW w:w="2437" w:type="dxa"/>
            <w:tcBorders/>
            <w:vAlign w:val="center"/>
          </w:tcPr>
          <w:p>
            <w:pPr>
              <w:pStyle w:val="TableContents"/>
              <w:widowControl w:val="false"/>
              <w:suppressLineNumbers/>
              <w:spacing w:before="0" w:after="200"/>
              <w:rPr/>
            </w:pPr>
            <w:r>
              <w:rPr>
                <w:rStyle w:val="Strong"/>
              </w:rPr>
              <w:t>Double effect</w:t>
            </w:r>
          </w:p>
        </w:tc>
        <w:tc>
          <w:tcPr>
            <w:tcW w:w="6203" w:type="dxa"/>
            <w:tcBorders/>
            <w:vAlign w:val="center"/>
          </w:tcPr>
          <w:p>
            <w:pPr>
              <w:pStyle w:val="TableContents"/>
              <w:widowControl w:val="false"/>
              <w:suppressLineNumbers/>
              <w:spacing w:before="0" w:after="200"/>
              <w:rPr/>
            </w:pPr>
            <w:r>
              <w:rPr/>
              <w:t>Intended effects, selected means, foreseen side effects, alternatives, and proportionality can be separately evaluated.</w:t>
            </w:r>
          </w:p>
        </w:tc>
      </w:tr>
      <w:tr>
        <w:trPr/>
        <w:tc>
          <w:tcPr>
            <w:tcW w:w="2437" w:type="dxa"/>
            <w:tcBorders/>
            <w:vAlign w:val="center"/>
          </w:tcPr>
          <w:p>
            <w:pPr>
              <w:pStyle w:val="TableContents"/>
              <w:widowControl w:val="false"/>
              <w:suppressLineNumbers/>
              <w:spacing w:before="0" w:after="200"/>
              <w:rPr/>
            </w:pPr>
            <w:r>
              <w:rPr>
                <w:rStyle w:val="Strong"/>
              </w:rPr>
              <w:t>Integral fulfillment</w:t>
            </w:r>
          </w:p>
        </w:tc>
        <w:tc>
          <w:tcPr>
            <w:tcW w:w="6203" w:type="dxa"/>
            <w:tcBorders/>
            <w:vAlign w:val="center"/>
          </w:tcPr>
          <w:p>
            <w:pPr>
              <w:pStyle w:val="TableContents"/>
              <w:widowControl w:val="false"/>
              <w:suppressLineNumbers/>
              <w:spacing w:before="0" w:after="200"/>
              <w:rPr/>
            </w:pPr>
            <w:r>
              <w:rPr/>
              <w:t>Compatible Long-Term Flourishing parallels the requirement not to pursue one entity’s good through arbitrary destruction of another’s good.</w:t>
            </w:r>
          </w:p>
        </w:tc>
      </w:tr>
    </w:tbl>
    <w:p>
      <w:pPr>
        <w:pStyle w:val="BodyText"/>
        <w:spacing w:before="0" w:after="200"/>
        <w:rPr/>
      </w:pPr>
      <w:r>
        <w:rPr/>
        <w:t>These parallels do not amount to a complete Natural Law layer. The framework does not yet appear to define a canonical set of basic goods or a comprehensive category of intrinsically impermissible actions.</w:t>
      </w:r>
    </w:p>
    <w:p>
      <w:pPr>
        <w:pStyle w:val="Heading4"/>
        <w:ind w:hanging="0" w:left="0"/>
        <w:rPr>
          <w:rFonts w:ascii="Aptos" w:hAnsi="Aptos"/>
          <w:color w:val="auto"/>
        </w:rPr>
      </w:pPr>
      <w:r>
        <w:rPr/>
        <w:t>How This Framework Addresses Those Assumptions</w:t>
      </w:r>
    </w:p>
    <w:p>
      <w:pPr>
        <w:pStyle w:val="BodyText"/>
        <w:spacing w:before="0" w:after="200"/>
        <w:rPr/>
      </w:pPr>
      <w:r>
        <w:rPr/>
        <w:t>The framework addresses the Natural Law critique first by rejecting preference satisfaction and aggregate optimization as complete ethical standards. The complete World Context Transition preserves the identities of affected entities, changes in relationships, losses of agency, institutional effects, and contractions of future state space.</w:t>
      </w:r>
    </w:p>
    <w:p>
      <w:pPr>
        <w:pStyle w:val="BodyText"/>
        <w:spacing w:before="0" w:after="200"/>
        <w:rPr/>
      </w:pPr>
      <w:r>
        <w:rPr/>
        <w:t>Second, Long-Term Flourishing is not defined simply as survival or possession of more options. The future state space must be beneficial, compatible with the flourishing of other relevant entities, and contributory to the flourishing of the relevant World Context. Increased capability for domination or destruction does not qualify merely because it expands what an agent can do.</w:t>
      </w:r>
    </w:p>
    <w:p>
      <w:pPr>
        <w:pStyle w:val="BodyText"/>
        <w:spacing w:before="0" w:after="200"/>
        <w:rPr/>
      </w:pPr>
      <w:r>
        <w:rPr/>
        <w:t>Third, the framework can represent intrinsic goods as protected dimensions of flourishing. Life, knowledge, agency, sociability, and practical reason can be assigned independent ethical significance rather than treated as interchangeable units.</w:t>
      </w:r>
    </w:p>
    <w:p>
      <w:pPr>
        <w:pStyle w:val="BodyText"/>
        <w:spacing w:before="0" w:after="200"/>
        <w:rPr/>
      </w:pPr>
      <w:r>
        <w:rPr/>
        <w:t>Fourth, the framework can distinguish the action’s objective from its means. A beneficial objective does not automatically justify the method selected to obtain it. If the selected means directly attacks a protected good, an explicit constraint can exclude the action before broader outcome comparison.</w:t>
      </w:r>
    </w:p>
    <w:p>
      <w:pPr>
        <w:pStyle w:val="BodyText"/>
        <w:spacing w:before="0" w:after="200"/>
        <w:rPr/>
      </w:pPr>
      <w:r>
        <w:rPr/>
        <w:t>Fifth, the framework’s separation of effect from responsibility supports the Natural Law distinction among object, intention, and circumstances. The same physical result may receive a different responsibility assessment depending on whether it was intended, used as a means, accepted as a side effect, negligent, or unforeseeable.</w:t>
      </w:r>
    </w:p>
    <w:p>
      <w:pPr>
        <w:pStyle w:val="BodyText"/>
        <w:spacing w:before="0" w:after="200"/>
        <w:rPr/>
      </w:pPr>
      <w:r>
        <w:rPr/>
        <w:t>Sixth, authority and legality are not treated as self-validating. The framework can identify a law or institutional decision as causally operative while concluding that it lacks adequate ethical justification.</w:t>
      </w:r>
    </w:p>
    <w:p>
      <w:pPr>
        <w:pStyle w:val="BodyText"/>
        <w:spacing w:before="0" w:after="200"/>
        <w:rPr/>
      </w:pPr>
      <w:r>
        <w:rPr/>
        <w:t>Finally, the framework can incorporate entity-specific forms of flourishing. A broader moral scope does not require assuming that every entity flourishes in the same way. Human, nonhuman, artificial, ecological, and collective entities may possess different capacities and characteristic goods.</w:t>
      </w:r>
    </w:p>
    <w:p>
      <w:pPr>
        <w:pStyle w:val="BodyText"/>
        <w:spacing w:before="0" w:after="200"/>
        <w:rPr/>
      </w:pPr>
      <w:r>
        <w:rPr/>
        <w:t>The Natural Law critique nevertheless remains valid if direct attacks on basic goods are merely assigned negative weights. A fully integrated model must determine which goods are intrinsic, which actions are categorically prohibited, and how those constraints relate to uncertain consequences.</w:t>
      </w:r>
    </w:p>
    <w:p>
      <w:pPr>
        <w:pStyle w:val="Heading4"/>
        <w:ind w:hanging="0" w:left="0"/>
        <w:rPr>
          <w:rFonts w:ascii="Aptos" w:hAnsi="Aptos"/>
          <w:color w:val="auto"/>
        </w:rPr>
      </w:pPr>
      <w:r>
        <w:rPr/>
        <w:t>Counterargument</w:t>
      </w:r>
    </w:p>
    <w:p>
      <w:pPr>
        <w:pStyle w:val="BodyText"/>
        <w:spacing w:before="0" w:after="200"/>
        <w:rPr/>
      </w:pPr>
      <w:r>
        <w:rPr/>
        <w:t>The framework’s counterargument is that Natural Law requires systems-level consequence analysis to apply its principles responsibly.</w:t>
      </w:r>
    </w:p>
    <w:p>
      <w:pPr>
        <w:pStyle w:val="BodyText"/>
        <w:spacing w:before="0" w:after="200"/>
        <w:rPr/>
      </w:pPr>
      <w:r>
        <w:rPr/>
        <w:t>Claims about human nature, basic goods, intrinsic wrongness, and the common good remain subject to disagreement. An institution may invoke “nature” to preserve historical power, restrict human development, or convert one contested interpretation of flourishing into universal law. Biological regularity, tradition, and metaphysical assertion cannot replace evidence and public justification.</w:t>
      </w:r>
    </w:p>
    <w:p>
      <w:pPr>
        <w:pStyle w:val="BodyText"/>
        <w:spacing w:before="0" w:after="200"/>
        <w:rPr/>
      </w:pPr>
      <w:r>
        <w:rPr/>
        <w:t>Basic goods also interact within complex systems. Protecting life may affect agency, knowledge, relationships, resources, and institutional stability. General principles cannot determine every application without considering causal effects, probabilities, available alternatives, and the wider context.</w:t>
      </w:r>
    </w:p>
    <w:p>
      <w:pPr>
        <w:pStyle w:val="BodyText"/>
        <w:spacing w:before="0" w:after="200"/>
        <w:rPr/>
      </w:pPr>
      <w:r>
        <w:rPr/>
        <w:t>Categorical rules may conflict or become difficult to specify. A prohibition against harming life, for example, does not by itself resolve triage, self-defense, public-health restrictions, risky medical treatment, or actions involving unavoidable side effects. The framework’s transition analysis helps distinguish abstract agreement with a good from competent action in a real situation.</w:t>
      </w:r>
    </w:p>
    <w:p>
      <w:pPr>
        <w:pStyle w:val="BodyText"/>
        <w:spacing w:before="0" w:after="200"/>
        <w:rPr/>
      </w:pPr>
      <w:r>
        <w:rPr/>
        <w:t>The framework therefore treats Natural Law as a possible intrinsic-goods and action-constraint layer:</w:t>
      </w:r>
    </w:p>
    <w:p>
      <w:pPr>
        <w:pStyle w:val="BodyText"/>
        <w:numPr>
          <w:ilvl w:val="0"/>
          <w:numId w:val="122"/>
        </w:numPr>
        <w:tabs>
          <w:tab w:val="clear" w:pos="720"/>
          <w:tab w:val="left" w:pos="0" w:leader="none"/>
        </w:tabs>
        <w:spacing w:before="0" w:after="200"/>
        <w:ind w:hanging="283" w:left="709"/>
        <w:rPr/>
      </w:pPr>
      <w:r>
        <w:rPr/>
        <w:t>Identify the relevant basic goods.</w:t>
      </w:r>
    </w:p>
    <w:p>
      <w:pPr>
        <w:pStyle w:val="BodyText"/>
        <w:numPr>
          <w:ilvl w:val="0"/>
          <w:numId w:val="122"/>
        </w:numPr>
        <w:tabs>
          <w:tab w:val="clear" w:pos="720"/>
          <w:tab w:val="left" w:pos="0" w:leader="none"/>
        </w:tabs>
        <w:spacing w:before="0" w:after="200"/>
        <w:ind w:hanging="283" w:left="709"/>
        <w:rPr/>
      </w:pPr>
      <w:r>
        <w:rPr/>
        <w:t>Describe the moral object of the action.</w:t>
      </w:r>
    </w:p>
    <w:p>
      <w:pPr>
        <w:pStyle w:val="BodyText"/>
        <w:numPr>
          <w:ilvl w:val="0"/>
          <w:numId w:val="122"/>
        </w:numPr>
        <w:tabs>
          <w:tab w:val="clear" w:pos="720"/>
          <w:tab w:val="left" w:pos="0" w:leader="none"/>
        </w:tabs>
        <w:spacing w:before="0" w:after="200"/>
        <w:ind w:hanging="283" w:left="709"/>
        <w:rPr/>
      </w:pPr>
      <w:r>
        <w:rPr/>
        <w:t>Separate ends, means, intentions, and foreseen side effects.</w:t>
      </w:r>
    </w:p>
    <w:p>
      <w:pPr>
        <w:pStyle w:val="BodyText"/>
        <w:numPr>
          <w:ilvl w:val="0"/>
          <w:numId w:val="122"/>
        </w:numPr>
        <w:tabs>
          <w:tab w:val="clear" w:pos="720"/>
          <w:tab w:val="left" w:pos="0" w:leader="none"/>
        </w:tabs>
        <w:spacing w:before="0" w:after="200"/>
        <w:ind w:hanging="283" w:left="709"/>
        <w:rPr/>
      </w:pPr>
      <w:r>
        <w:rPr/>
        <w:t>Apply applicable categorical or presumptive constraints.</w:t>
      </w:r>
    </w:p>
    <w:p>
      <w:pPr>
        <w:pStyle w:val="BodyText"/>
        <w:numPr>
          <w:ilvl w:val="0"/>
          <w:numId w:val="122"/>
        </w:numPr>
        <w:tabs>
          <w:tab w:val="clear" w:pos="720"/>
          <w:tab w:val="left" w:pos="0" w:leader="none"/>
        </w:tabs>
        <w:spacing w:before="0" w:after="200"/>
        <w:ind w:hanging="283" w:left="709"/>
        <w:rPr/>
      </w:pPr>
      <w:r>
        <w:rPr/>
        <w:t>Evaluate proportionality and alternatives.</w:t>
      </w:r>
    </w:p>
    <w:p>
      <w:pPr>
        <w:pStyle w:val="BodyText"/>
        <w:numPr>
          <w:ilvl w:val="0"/>
          <w:numId w:val="122"/>
        </w:numPr>
        <w:tabs>
          <w:tab w:val="clear" w:pos="720"/>
          <w:tab w:val="left" w:pos="0" w:leader="none"/>
        </w:tabs>
        <w:spacing w:before="0" w:after="200"/>
        <w:ind w:hanging="283" w:left="709"/>
        <w:rPr/>
      </w:pPr>
      <w:r>
        <w:rPr/>
        <w:t>Assess the complete World Context Transition.</w:t>
      </w:r>
    </w:p>
    <w:p>
      <w:pPr>
        <w:pStyle w:val="BodyText"/>
        <w:numPr>
          <w:ilvl w:val="0"/>
          <w:numId w:val="122"/>
        </w:numPr>
        <w:tabs>
          <w:tab w:val="clear" w:pos="720"/>
          <w:tab w:val="left" w:pos="0" w:leader="none"/>
        </w:tabs>
        <w:spacing w:before="0" w:after="200"/>
        <w:ind w:hanging="283" w:left="709"/>
        <w:rPr/>
      </w:pPr>
      <w:r>
        <w:rPr/>
        <w:t>Determine responsibility and corrective obligations.</w:t>
      </w:r>
    </w:p>
    <w:p>
      <w:pPr>
        <w:pStyle w:val="BodyText"/>
        <w:numPr>
          <w:ilvl w:val="0"/>
          <w:numId w:val="122"/>
        </w:numPr>
        <w:tabs>
          <w:tab w:val="clear" w:pos="720"/>
          <w:tab w:val="left" w:pos="0" w:leader="none"/>
        </w:tabs>
        <w:spacing w:before="0" w:after="200"/>
        <w:ind w:hanging="283" w:left="709"/>
        <w:rPr/>
      </w:pPr>
      <w:r>
        <w:rPr/>
        <w:t>Report unresolved conflicts rather than concealing them through aggregation.</w:t>
      </w:r>
    </w:p>
    <w:p>
      <w:pPr>
        <w:pStyle w:val="BodyText"/>
        <w:spacing w:before="0" w:after="200"/>
        <w:rPr/>
      </w:pPr>
      <w:r>
        <w:rPr/>
        <w:t>Under this structure, Natural Law constrains what may be chosen, while the framework evaluates how permissible choices affect the wider system.</w:t>
      </w:r>
    </w:p>
    <w:p>
      <w:pPr>
        <w:pStyle w:val="Heading4"/>
        <w:ind w:hanging="0" w:left="0"/>
        <w:rPr>
          <w:rFonts w:ascii="Aptos" w:hAnsi="Aptos"/>
          <w:color w:val="auto"/>
        </w:rPr>
      </w:pPr>
      <w:r>
        <w:rPr/>
        <w:t>Incremental Questions the Expert Should Then Ask</w:t>
      </w:r>
    </w:p>
    <w:tbl>
      <w:tblPr>
        <w:tblW w:w="8640" w:type="dxa"/>
        <w:jc w:val="left"/>
        <w:tblInd w:w="28" w:type="dxa"/>
        <w:tblLayout w:type="fixed"/>
        <w:tblCellMar>
          <w:top w:w="28" w:type="dxa"/>
          <w:left w:w="28" w:type="dxa"/>
          <w:bottom w:w="28" w:type="dxa"/>
          <w:right w:w="28" w:type="dxa"/>
        </w:tblCellMar>
      </w:tblPr>
      <w:tblGrid>
        <w:gridCol w:w="3129"/>
        <w:gridCol w:w="5511"/>
      </w:tblGrid>
      <w:tr>
        <w:trPr>
          <w:tblHeader w:val="true"/>
        </w:trPr>
        <w:tc>
          <w:tcPr>
            <w:tcW w:w="3129" w:type="dxa"/>
            <w:tcBorders/>
            <w:vAlign w:val="center"/>
          </w:tcPr>
          <w:p>
            <w:pPr>
              <w:pStyle w:val="TableHeading"/>
              <w:suppressLineNumbers/>
              <w:spacing w:before="0" w:after="200"/>
              <w:jc w:val="center"/>
              <w:rPr/>
            </w:pPr>
            <w:r>
              <w:rPr/>
              <w:t>Incremental question</w:t>
            </w:r>
          </w:p>
        </w:tc>
        <w:tc>
          <w:tcPr>
            <w:tcW w:w="5511" w:type="dxa"/>
            <w:tcBorders/>
            <w:vAlign w:val="center"/>
          </w:tcPr>
          <w:p>
            <w:pPr>
              <w:pStyle w:val="TableHeading"/>
              <w:suppressLineNumbers/>
              <w:spacing w:before="0" w:after="200"/>
              <w:jc w:val="center"/>
              <w:rPr/>
            </w:pPr>
            <w:r>
              <w:rPr/>
              <w:t>Response</w:t>
            </w:r>
          </w:p>
        </w:tc>
      </w:tr>
      <w:tr>
        <w:trPr/>
        <w:tc>
          <w:tcPr>
            <w:tcW w:w="3129" w:type="dxa"/>
            <w:tcBorders/>
            <w:vAlign w:val="center"/>
          </w:tcPr>
          <w:p>
            <w:pPr>
              <w:pStyle w:val="TableContents"/>
              <w:widowControl w:val="false"/>
              <w:suppressLineNumbers/>
              <w:spacing w:before="0" w:after="200"/>
              <w:rPr/>
            </w:pPr>
            <w:r>
              <w:rPr>
                <w:rStyle w:val="Strong"/>
              </w:rPr>
              <w:t>1. What grounds the Foundational Axiom?</w:t>
            </w:r>
          </w:p>
        </w:tc>
        <w:tc>
          <w:tcPr>
            <w:tcW w:w="5511" w:type="dxa"/>
            <w:tcBorders/>
            <w:vAlign w:val="center"/>
          </w:tcPr>
          <w:p>
            <w:pPr>
              <w:pStyle w:val="TableContents"/>
              <w:widowControl w:val="false"/>
              <w:suppressLineNumbers/>
              <w:spacing w:before="0" w:after="200"/>
              <w:rPr/>
            </w:pPr>
            <w:r>
              <w:rPr/>
              <w:t>The framework treats it as an axiomatic normative commitment. It can be defended through its protection of agency, persistence, relational flourishing, and moral development, but it is not derived from Natural Law first principles.</w:t>
            </w:r>
          </w:p>
        </w:tc>
      </w:tr>
      <w:tr>
        <w:trPr/>
        <w:tc>
          <w:tcPr>
            <w:tcW w:w="3129" w:type="dxa"/>
            <w:tcBorders/>
            <w:vAlign w:val="center"/>
          </w:tcPr>
          <w:p>
            <w:pPr>
              <w:pStyle w:val="TableContents"/>
              <w:widowControl w:val="false"/>
              <w:suppressLineNumbers/>
              <w:spacing w:before="0" w:after="200"/>
              <w:rPr/>
            </w:pPr>
            <w:r>
              <w:rPr>
                <w:rStyle w:val="Strong"/>
              </w:rPr>
              <w:t>2. Is Long-Term Flourishing objectively good or merely selected by the framework’s designer?</w:t>
            </w:r>
          </w:p>
        </w:tc>
        <w:tc>
          <w:tcPr>
            <w:tcW w:w="5511" w:type="dxa"/>
            <w:tcBorders/>
            <w:vAlign w:val="center"/>
          </w:tcPr>
          <w:p>
            <w:pPr>
              <w:pStyle w:val="TableContents"/>
              <w:widowControl w:val="false"/>
              <w:suppressLineNumbers/>
              <w:spacing w:before="0" w:after="200"/>
              <w:rPr/>
            </w:pPr>
            <w:r>
              <w:rPr/>
              <w:t>The framework claims objective relevance, but the claim requires philosophical defense. Integration with Natural Law would connect flourishing to identifiable basic goods rather than system persistence alone.</w:t>
            </w:r>
          </w:p>
        </w:tc>
      </w:tr>
      <w:tr>
        <w:trPr/>
        <w:tc>
          <w:tcPr>
            <w:tcW w:w="3129" w:type="dxa"/>
            <w:tcBorders/>
            <w:vAlign w:val="center"/>
          </w:tcPr>
          <w:p>
            <w:pPr>
              <w:pStyle w:val="TableContents"/>
              <w:widowControl w:val="false"/>
              <w:suppressLineNumbers/>
              <w:spacing w:before="0" w:after="200"/>
              <w:rPr/>
            </w:pPr>
            <w:r>
              <w:rPr>
                <w:rStyle w:val="Strong"/>
              </w:rPr>
              <w:t>3. Which goods are basic within the framework?</w:t>
            </w:r>
          </w:p>
        </w:tc>
        <w:tc>
          <w:tcPr>
            <w:tcW w:w="5511" w:type="dxa"/>
            <w:tcBorders/>
            <w:vAlign w:val="center"/>
          </w:tcPr>
          <w:p>
            <w:pPr>
              <w:pStyle w:val="TableContents"/>
              <w:widowControl w:val="false"/>
              <w:suppressLineNumbers/>
              <w:spacing w:before="0" w:after="200"/>
              <w:rPr/>
            </w:pPr>
            <w:r>
              <w:rPr/>
              <w:t>The current architecture supports multiple dimensions but does not appear to establish a final canonical list. A Natural Law integration would require explicit candidate goods and justification for their status.</w:t>
            </w:r>
          </w:p>
        </w:tc>
      </w:tr>
      <w:tr>
        <w:trPr/>
        <w:tc>
          <w:tcPr>
            <w:tcW w:w="3129" w:type="dxa"/>
            <w:tcBorders/>
            <w:vAlign w:val="center"/>
          </w:tcPr>
          <w:p>
            <w:pPr>
              <w:pStyle w:val="TableContents"/>
              <w:widowControl w:val="false"/>
              <w:suppressLineNumbers/>
              <w:spacing w:before="0" w:after="200"/>
              <w:rPr/>
            </w:pPr>
            <w:r>
              <w:rPr>
                <w:rStyle w:val="Strong"/>
              </w:rPr>
              <w:t>4. Why is preservation or expansion of future state space morally valuable?</w:t>
            </w:r>
          </w:p>
        </w:tc>
        <w:tc>
          <w:tcPr>
            <w:tcW w:w="5511" w:type="dxa"/>
            <w:tcBorders/>
            <w:vAlign w:val="center"/>
          </w:tcPr>
          <w:p>
            <w:pPr>
              <w:pStyle w:val="TableContents"/>
              <w:widowControl w:val="false"/>
              <w:suppressLineNumbers/>
              <w:spacing w:before="0" w:after="200"/>
              <w:rPr/>
            </w:pPr>
            <w:r>
              <w:rPr/>
              <w:t>It preserves opportunities for participation in relevant goods. State-space expansion is not independently good when the available states are destructive, degrading, or incompatible with wider flourishing.</w:t>
            </w:r>
          </w:p>
        </w:tc>
      </w:tr>
      <w:tr>
        <w:trPr/>
        <w:tc>
          <w:tcPr>
            <w:tcW w:w="3129" w:type="dxa"/>
            <w:tcBorders/>
            <w:vAlign w:val="center"/>
          </w:tcPr>
          <w:p>
            <w:pPr>
              <w:pStyle w:val="TableContents"/>
              <w:widowControl w:val="false"/>
              <w:suppressLineNumbers/>
              <w:spacing w:before="0" w:after="200"/>
              <w:rPr/>
            </w:pPr>
            <w:r>
              <w:rPr>
                <w:rStyle w:val="Strong"/>
              </w:rPr>
              <w:t>5. Are more options always better?</w:t>
            </w:r>
          </w:p>
        </w:tc>
        <w:tc>
          <w:tcPr>
            <w:tcW w:w="5511" w:type="dxa"/>
            <w:tcBorders/>
            <w:vAlign w:val="center"/>
          </w:tcPr>
          <w:p>
            <w:pPr>
              <w:pStyle w:val="TableContents"/>
              <w:widowControl w:val="false"/>
              <w:suppressLineNumbers/>
              <w:spacing w:before="0" w:after="200"/>
              <w:rPr/>
            </w:pPr>
            <w:r>
              <w:rPr/>
              <w:t>No. Options to dominate, deceive, exploit, or destroy do not improve flourishing merely by increasing choice. The moral quality and compatibility of the options matter.</w:t>
            </w:r>
          </w:p>
        </w:tc>
      </w:tr>
      <w:tr>
        <w:trPr/>
        <w:tc>
          <w:tcPr>
            <w:tcW w:w="3129" w:type="dxa"/>
            <w:tcBorders/>
            <w:vAlign w:val="center"/>
          </w:tcPr>
          <w:p>
            <w:pPr>
              <w:pStyle w:val="TableContents"/>
              <w:widowControl w:val="false"/>
              <w:suppressLineNumbers/>
              <w:spacing w:before="0" w:after="200"/>
              <w:rPr/>
            </w:pPr>
            <w:r>
              <w:rPr>
                <w:rStyle w:val="Strong"/>
              </w:rPr>
              <w:t>6. Can one basic good be traded for another?</w:t>
            </w:r>
          </w:p>
        </w:tc>
        <w:tc>
          <w:tcPr>
            <w:tcW w:w="5511" w:type="dxa"/>
            <w:tcBorders/>
            <w:vAlign w:val="center"/>
          </w:tcPr>
          <w:p>
            <w:pPr>
              <w:pStyle w:val="TableContents"/>
              <w:widowControl w:val="false"/>
              <w:suppressLineNumbers/>
              <w:spacing w:before="0" w:after="200"/>
              <w:rPr/>
            </w:pPr>
            <w:r>
              <w:rPr/>
              <w:t>Some practical tradeoffs are unavoidable, but basic goods should not be treated as fully fungible. The framework should preserve the specific loss and explain why the chosen response is justified.</w:t>
            </w:r>
          </w:p>
        </w:tc>
      </w:tr>
      <w:tr>
        <w:trPr/>
        <w:tc>
          <w:tcPr>
            <w:tcW w:w="3129" w:type="dxa"/>
            <w:tcBorders/>
            <w:vAlign w:val="center"/>
          </w:tcPr>
          <w:p>
            <w:pPr>
              <w:pStyle w:val="TableContents"/>
              <w:widowControl w:val="false"/>
              <w:suppressLineNumbers/>
              <w:spacing w:before="0" w:after="200"/>
              <w:rPr/>
            </w:pPr>
            <w:r>
              <w:rPr>
                <w:rStyle w:val="Strong"/>
              </w:rPr>
              <w:t>7. Can aggregate benefit justify directly killing an innocent person?</w:t>
            </w:r>
          </w:p>
        </w:tc>
        <w:tc>
          <w:tcPr>
            <w:tcW w:w="5511" w:type="dxa"/>
            <w:tcBorders/>
            <w:vAlign w:val="center"/>
          </w:tcPr>
          <w:p>
            <w:pPr>
              <w:pStyle w:val="TableContents"/>
              <w:widowControl w:val="false"/>
              <w:suppressLineNumbers/>
              <w:spacing w:before="0" w:after="200"/>
              <w:rPr/>
            </w:pPr>
            <w:r>
              <w:rPr/>
              <w:t>Not if protection of innocent life is implemented as a hard constraint. Without such a constraint, the framework’s general axiom may not provide the categorical answer required by many Natural Law theories.</w:t>
            </w:r>
          </w:p>
        </w:tc>
      </w:tr>
      <w:tr>
        <w:trPr/>
        <w:tc>
          <w:tcPr>
            <w:tcW w:w="3129" w:type="dxa"/>
            <w:tcBorders/>
            <w:vAlign w:val="center"/>
          </w:tcPr>
          <w:p>
            <w:pPr>
              <w:pStyle w:val="TableContents"/>
              <w:widowControl w:val="false"/>
              <w:suppressLineNumbers/>
              <w:spacing w:before="0" w:after="200"/>
              <w:rPr/>
            </w:pPr>
            <w:r>
              <w:rPr>
                <w:rStyle w:val="Strong"/>
              </w:rPr>
              <w:t>8. Does the framework recognize intrinsically wrong actions?</w:t>
            </w:r>
          </w:p>
        </w:tc>
        <w:tc>
          <w:tcPr>
            <w:tcW w:w="5511" w:type="dxa"/>
            <w:tcBorders/>
            <w:vAlign w:val="center"/>
          </w:tcPr>
          <w:p>
            <w:pPr>
              <w:pStyle w:val="TableContents"/>
              <w:widowControl w:val="false"/>
              <w:suppressLineNumbers/>
              <w:spacing w:before="0" w:after="200"/>
              <w:rPr/>
            </w:pPr>
            <w:r>
              <w:rPr/>
              <w:t>It can represent them as hard constraints, but it must explicitly identify and justify the relevant act types. They should not be inferred solely from adverse predicted consequences.</w:t>
            </w:r>
          </w:p>
        </w:tc>
      </w:tr>
      <w:tr>
        <w:trPr/>
        <w:tc>
          <w:tcPr>
            <w:tcW w:w="3129" w:type="dxa"/>
            <w:tcBorders/>
            <w:vAlign w:val="center"/>
          </w:tcPr>
          <w:p>
            <w:pPr>
              <w:pStyle w:val="TableContents"/>
              <w:widowControl w:val="false"/>
              <w:suppressLineNumbers/>
              <w:spacing w:before="0" w:after="200"/>
              <w:rPr/>
            </w:pPr>
            <w:r>
              <w:rPr>
                <w:rStyle w:val="Strong"/>
              </w:rPr>
              <w:t>9. What is the moral object of an action?</w:t>
            </w:r>
          </w:p>
        </w:tc>
        <w:tc>
          <w:tcPr>
            <w:tcW w:w="5511" w:type="dxa"/>
            <w:tcBorders/>
            <w:vAlign w:val="center"/>
          </w:tcPr>
          <w:p>
            <w:pPr>
              <w:pStyle w:val="TableContents"/>
              <w:widowControl w:val="false"/>
              <w:suppressLineNumbers/>
              <w:spacing w:before="0" w:after="200"/>
              <w:rPr/>
            </w:pPr>
            <w:r>
              <w:rPr/>
              <w:t>It is what the agent is practically choosing to do as an end or means, described at the level relevant to deliberation—not merely the physical movement or remote intended outcome.</w:t>
            </w:r>
          </w:p>
        </w:tc>
      </w:tr>
      <w:tr>
        <w:trPr/>
        <w:tc>
          <w:tcPr>
            <w:tcW w:w="3129" w:type="dxa"/>
            <w:tcBorders/>
            <w:vAlign w:val="center"/>
          </w:tcPr>
          <w:p>
            <w:pPr>
              <w:pStyle w:val="TableContents"/>
              <w:widowControl w:val="false"/>
              <w:suppressLineNumbers/>
              <w:spacing w:before="0" w:after="200"/>
              <w:rPr/>
            </w:pPr>
            <w:r>
              <w:rPr>
                <w:rStyle w:val="Strong"/>
              </w:rPr>
              <w:t>10. How does the framework distinguish means from side effects?</w:t>
            </w:r>
          </w:p>
        </w:tc>
        <w:tc>
          <w:tcPr>
            <w:tcW w:w="5511" w:type="dxa"/>
            <w:tcBorders/>
            <w:vAlign w:val="center"/>
          </w:tcPr>
          <w:p>
            <w:pPr>
              <w:pStyle w:val="TableContents"/>
              <w:widowControl w:val="false"/>
              <w:suppressLineNumbers/>
              <w:spacing w:before="0" w:after="200"/>
              <w:rPr/>
            </w:pPr>
            <w:r>
              <w:rPr/>
              <w:t>It should ask whether the harmful effect is part of the causal plan by which the objective is achieved or instead results from the action without being needed for the objective’s achievement.</w:t>
            </w:r>
          </w:p>
        </w:tc>
      </w:tr>
      <w:tr>
        <w:trPr/>
        <w:tc>
          <w:tcPr>
            <w:tcW w:w="3129" w:type="dxa"/>
            <w:tcBorders/>
            <w:vAlign w:val="center"/>
          </w:tcPr>
          <w:p>
            <w:pPr>
              <w:pStyle w:val="TableContents"/>
              <w:widowControl w:val="false"/>
              <w:suppressLineNumbers/>
              <w:spacing w:before="0" w:after="200"/>
              <w:rPr/>
            </w:pPr>
            <w:r>
              <w:rPr>
                <w:rStyle w:val="Strong"/>
              </w:rPr>
              <w:t>11. Is intention determined by the actor’s description?</w:t>
            </w:r>
          </w:p>
        </w:tc>
        <w:tc>
          <w:tcPr>
            <w:tcW w:w="5511" w:type="dxa"/>
            <w:tcBorders/>
            <w:vAlign w:val="center"/>
          </w:tcPr>
          <w:p>
            <w:pPr>
              <w:pStyle w:val="TableContents"/>
              <w:widowControl w:val="false"/>
              <w:suppressLineNumbers/>
              <w:spacing w:before="0" w:after="200"/>
              <w:rPr/>
            </w:pPr>
            <w:r>
              <w:rPr/>
              <w:t>No. Declared intent is evidence but not conclusive. The causal plan, chosen method, foreseeable effects, communications, incentives, and available alternatives must also be examined.</w:t>
            </w:r>
          </w:p>
        </w:tc>
      </w:tr>
      <w:tr>
        <w:trPr/>
        <w:tc>
          <w:tcPr>
            <w:tcW w:w="3129" w:type="dxa"/>
            <w:tcBorders/>
            <w:vAlign w:val="center"/>
          </w:tcPr>
          <w:p>
            <w:pPr>
              <w:pStyle w:val="TableContents"/>
              <w:widowControl w:val="false"/>
              <w:suppressLineNumbers/>
              <w:spacing w:before="0" w:after="200"/>
              <w:rPr/>
            </w:pPr>
            <w:r>
              <w:rPr>
                <w:rStyle w:val="Strong"/>
              </w:rPr>
              <w:t>12. How would the framework apply double effect?</w:t>
            </w:r>
          </w:p>
        </w:tc>
        <w:tc>
          <w:tcPr>
            <w:tcW w:w="5511" w:type="dxa"/>
            <w:tcBorders/>
            <w:vAlign w:val="center"/>
          </w:tcPr>
          <w:p>
            <w:pPr>
              <w:pStyle w:val="TableContents"/>
              <w:widowControl w:val="false"/>
              <w:suppressLineNumbers/>
              <w:spacing w:before="0" w:after="200"/>
              <w:rPr/>
            </w:pPr>
            <w:r>
              <w:rPr/>
              <w:t>It should evaluate the action’s object, whether harm is intended, whether harm functions as a means, the proportionality of the reason, less harmful alternatives, and efforts to minimize the side effect.</w:t>
            </w:r>
          </w:p>
        </w:tc>
      </w:tr>
      <w:tr>
        <w:trPr/>
        <w:tc>
          <w:tcPr>
            <w:tcW w:w="3129" w:type="dxa"/>
            <w:tcBorders/>
            <w:vAlign w:val="center"/>
          </w:tcPr>
          <w:p>
            <w:pPr>
              <w:pStyle w:val="TableContents"/>
              <w:widowControl w:val="false"/>
              <w:suppressLineNumbers/>
              <w:spacing w:before="0" w:after="200"/>
              <w:rPr/>
            </w:pPr>
            <w:r>
              <w:rPr>
                <w:rStyle w:val="Strong"/>
              </w:rPr>
              <w:t>13. Can foreseeable harm be permissible?</w:t>
            </w:r>
          </w:p>
        </w:tc>
        <w:tc>
          <w:tcPr>
            <w:tcW w:w="5511" w:type="dxa"/>
            <w:tcBorders/>
            <w:vAlign w:val="center"/>
          </w:tcPr>
          <w:p>
            <w:pPr>
              <w:pStyle w:val="TableContents"/>
              <w:widowControl w:val="false"/>
              <w:suppressLineNumbers/>
              <w:spacing w:before="0" w:after="200"/>
              <w:rPr/>
            </w:pPr>
            <w:r>
              <w:rPr/>
              <w:t>Potentially, when it is not intended or selected as a means, the reason is sufficiently serious, the action is otherwise permissible, and less harmful effective alternatives are unavailable.</w:t>
            </w:r>
          </w:p>
        </w:tc>
      </w:tr>
      <w:tr>
        <w:trPr/>
        <w:tc>
          <w:tcPr>
            <w:tcW w:w="3129" w:type="dxa"/>
            <w:tcBorders/>
            <w:vAlign w:val="center"/>
          </w:tcPr>
          <w:p>
            <w:pPr>
              <w:pStyle w:val="TableContents"/>
              <w:widowControl w:val="false"/>
              <w:suppressLineNumbers/>
              <w:spacing w:before="0" w:after="200"/>
              <w:rPr/>
            </w:pPr>
            <w:r>
              <w:rPr>
                <w:rStyle w:val="Strong"/>
              </w:rPr>
              <w:t>14. Does probability change an intrinsically wrong action into a permissible one?</w:t>
            </w:r>
          </w:p>
        </w:tc>
        <w:tc>
          <w:tcPr>
            <w:tcW w:w="5511" w:type="dxa"/>
            <w:tcBorders/>
            <w:vAlign w:val="center"/>
          </w:tcPr>
          <w:p>
            <w:pPr>
              <w:pStyle w:val="TableContents"/>
              <w:widowControl w:val="false"/>
              <w:suppressLineNumbers/>
              <w:spacing w:before="0" w:after="200"/>
              <w:rPr/>
            </w:pPr>
            <w:r>
              <w:rPr/>
              <w:t>No, if the action is prohibited because of what the agent chooses. Probability may affect whether the act type applies, whether harm is foreseen, and whether a side effect is proportionate.</w:t>
            </w:r>
          </w:p>
        </w:tc>
      </w:tr>
      <w:tr>
        <w:trPr/>
        <w:tc>
          <w:tcPr>
            <w:tcW w:w="3129" w:type="dxa"/>
            <w:tcBorders/>
            <w:vAlign w:val="center"/>
          </w:tcPr>
          <w:p>
            <w:pPr>
              <w:pStyle w:val="TableContents"/>
              <w:widowControl w:val="false"/>
              <w:suppressLineNumbers/>
              <w:spacing w:before="0" w:after="200"/>
              <w:rPr/>
            </w:pPr>
            <w:r>
              <w:rPr>
                <w:rStyle w:val="Strong"/>
              </w:rPr>
              <w:t>15. How is human dignity represented?</w:t>
            </w:r>
          </w:p>
        </w:tc>
        <w:tc>
          <w:tcPr>
            <w:tcW w:w="5511" w:type="dxa"/>
            <w:tcBorders/>
            <w:vAlign w:val="center"/>
          </w:tcPr>
          <w:p>
            <w:pPr>
              <w:pStyle w:val="TableContents"/>
              <w:widowControl w:val="false"/>
              <w:suppressLineNumbers/>
              <w:spacing w:before="0" w:after="200"/>
              <w:rPr/>
            </w:pPr>
            <w:r>
              <w:rPr/>
              <w:t>Dignity could be represented through protected standing, agency, bodily integrity, rights, participation in basic goods, and prohibitions on instrumental treatment. It should not be reduced to productive capability.</w:t>
            </w:r>
          </w:p>
        </w:tc>
      </w:tr>
      <w:tr>
        <w:trPr/>
        <w:tc>
          <w:tcPr>
            <w:tcW w:w="3129" w:type="dxa"/>
            <w:tcBorders/>
            <w:vAlign w:val="center"/>
          </w:tcPr>
          <w:p>
            <w:pPr>
              <w:pStyle w:val="TableContents"/>
              <w:widowControl w:val="false"/>
              <w:suppressLineNumbers/>
              <w:spacing w:before="0" w:after="200"/>
              <w:rPr/>
            </w:pPr>
            <w:r>
              <w:rPr>
                <w:rStyle w:val="Strong"/>
              </w:rPr>
              <w:t>16. What account of human nature does the framework use?</w:t>
            </w:r>
          </w:p>
        </w:tc>
        <w:tc>
          <w:tcPr>
            <w:tcW w:w="5511" w:type="dxa"/>
            <w:tcBorders/>
            <w:vAlign w:val="center"/>
          </w:tcPr>
          <w:p>
            <w:pPr>
              <w:pStyle w:val="TableContents"/>
              <w:widowControl w:val="false"/>
              <w:suppressLineNumbers/>
              <w:spacing w:before="0" w:after="200"/>
              <w:rPr/>
            </w:pPr>
            <w:r>
              <w:rPr/>
              <w:t>It uses empirical characteristics, adaptive capacities, dependencies, relationships, and persistence rather than a fixed metaphysical essence. Natural Law integration would require a more explicit account of normative human capacities.</w:t>
            </w:r>
          </w:p>
        </w:tc>
      </w:tr>
      <w:tr>
        <w:trPr/>
        <w:tc>
          <w:tcPr>
            <w:tcW w:w="3129" w:type="dxa"/>
            <w:tcBorders/>
            <w:vAlign w:val="center"/>
          </w:tcPr>
          <w:p>
            <w:pPr>
              <w:pStyle w:val="TableContents"/>
              <w:widowControl w:val="false"/>
              <w:suppressLineNumbers/>
              <w:spacing w:before="0" w:after="200"/>
              <w:rPr/>
            </w:pPr>
            <w:r>
              <w:rPr>
                <w:rStyle w:val="Strong"/>
              </w:rPr>
              <w:t>17. Does changing human nature through technology violate Natural Law?</w:t>
            </w:r>
          </w:p>
        </w:tc>
        <w:tc>
          <w:tcPr>
            <w:tcW w:w="5511" w:type="dxa"/>
            <w:tcBorders/>
            <w:vAlign w:val="center"/>
          </w:tcPr>
          <w:p>
            <w:pPr>
              <w:pStyle w:val="TableContents"/>
              <w:widowControl w:val="false"/>
              <w:suppressLineNumbers/>
              <w:spacing w:before="0" w:after="200"/>
              <w:rPr/>
            </w:pPr>
            <w:r>
              <w:rPr/>
              <w:t>Not automatically. Treatment and enhancement should be evaluated according to the goods protected or harmed, consent, identity, justice, dependency, and effects on the common good.</w:t>
            </w:r>
          </w:p>
        </w:tc>
      </w:tr>
      <w:tr>
        <w:trPr/>
        <w:tc>
          <w:tcPr>
            <w:tcW w:w="3129" w:type="dxa"/>
            <w:tcBorders/>
            <w:vAlign w:val="center"/>
          </w:tcPr>
          <w:p>
            <w:pPr>
              <w:pStyle w:val="TableContents"/>
              <w:widowControl w:val="false"/>
              <w:suppressLineNumbers/>
              <w:spacing w:before="0" w:after="200"/>
              <w:rPr/>
            </w:pPr>
            <w:r>
              <w:rPr>
                <w:rStyle w:val="Strong"/>
              </w:rPr>
              <w:t>18. Could radical enhancement create a new type of entity with different goods?</w:t>
            </w:r>
          </w:p>
        </w:tc>
        <w:tc>
          <w:tcPr>
            <w:tcW w:w="5511" w:type="dxa"/>
            <w:tcBorders/>
            <w:vAlign w:val="center"/>
          </w:tcPr>
          <w:p>
            <w:pPr>
              <w:pStyle w:val="TableContents"/>
              <w:widowControl w:val="false"/>
              <w:suppressLineNumbers/>
              <w:spacing w:before="0" w:after="200"/>
              <w:rPr/>
            </w:pPr>
            <w:r>
              <w:rPr/>
              <w:t>Potentially. The framework can model changes in capability and identity, but criteria are needed for continuity, moral standing, and the preservation of existing persons’ goods.</w:t>
            </w:r>
          </w:p>
        </w:tc>
      </w:tr>
      <w:tr>
        <w:trPr/>
        <w:tc>
          <w:tcPr>
            <w:tcW w:w="3129" w:type="dxa"/>
            <w:tcBorders/>
            <w:vAlign w:val="center"/>
          </w:tcPr>
          <w:p>
            <w:pPr>
              <w:pStyle w:val="TableContents"/>
              <w:widowControl w:val="false"/>
              <w:suppressLineNumbers/>
              <w:spacing w:before="0" w:after="200"/>
              <w:rPr/>
            </w:pPr>
            <w:r>
              <w:rPr>
                <w:rStyle w:val="Strong"/>
              </w:rPr>
              <w:t>19. How are nonhuman forms of flourishing determined?</w:t>
            </w:r>
          </w:p>
        </w:tc>
        <w:tc>
          <w:tcPr>
            <w:tcW w:w="5511" w:type="dxa"/>
            <w:tcBorders/>
            <w:vAlign w:val="center"/>
          </w:tcPr>
          <w:p>
            <w:pPr>
              <w:pStyle w:val="TableContents"/>
              <w:widowControl w:val="false"/>
              <w:suppressLineNumbers/>
              <w:spacing w:before="0" w:after="200"/>
              <w:rPr/>
            </w:pPr>
            <w:r>
              <w:rPr/>
              <w:t>Through entity-specific evidence concerning life processes, sentience, sociality, agency, ecological function, vulnerability, and characteristic development. Human goods should not be projected uncritically onto every entity.</w:t>
            </w:r>
          </w:p>
        </w:tc>
      </w:tr>
      <w:tr>
        <w:trPr/>
        <w:tc>
          <w:tcPr>
            <w:tcW w:w="3129" w:type="dxa"/>
            <w:tcBorders/>
            <w:vAlign w:val="center"/>
          </w:tcPr>
          <w:p>
            <w:pPr>
              <w:pStyle w:val="TableContents"/>
              <w:widowControl w:val="false"/>
              <w:suppressLineNumbers/>
              <w:spacing w:before="0" w:after="200"/>
              <w:rPr/>
            </w:pPr>
            <w:r>
              <w:rPr>
                <w:rStyle w:val="Strong"/>
              </w:rPr>
              <w:t>20. Can artificial entities possess basic goods?</w:t>
            </w:r>
          </w:p>
        </w:tc>
        <w:tc>
          <w:tcPr>
            <w:tcW w:w="5511" w:type="dxa"/>
            <w:tcBorders/>
            <w:vAlign w:val="center"/>
          </w:tcPr>
          <w:p>
            <w:pPr>
              <w:pStyle w:val="TableContents"/>
              <w:widowControl w:val="false"/>
              <w:suppressLineNumbers/>
              <w:spacing w:before="0" w:after="200"/>
              <w:rPr/>
            </w:pPr>
            <w:r>
              <w:rPr/>
              <w:t>Possibly, if they possess relevant forms of persistence, agency, experience, relationship, or self-directed development. Complexity or economic usefulness alone is insufficient.</w:t>
            </w:r>
          </w:p>
        </w:tc>
      </w:tr>
      <w:tr>
        <w:trPr/>
        <w:tc>
          <w:tcPr>
            <w:tcW w:w="3129" w:type="dxa"/>
            <w:tcBorders/>
            <w:vAlign w:val="center"/>
          </w:tcPr>
          <w:p>
            <w:pPr>
              <w:pStyle w:val="TableContents"/>
              <w:widowControl w:val="false"/>
              <w:suppressLineNumbers/>
              <w:spacing w:before="0" w:after="200"/>
              <w:rPr/>
            </w:pPr>
            <w:r>
              <w:rPr>
                <w:rStyle w:val="Strong"/>
              </w:rPr>
              <w:t>21. Is the common good simply total system performance?</w:t>
            </w:r>
          </w:p>
        </w:tc>
        <w:tc>
          <w:tcPr>
            <w:tcW w:w="5511" w:type="dxa"/>
            <w:tcBorders/>
            <w:vAlign w:val="center"/>
          </w:tcPr>
          <w:p>
            <w:pPr>
              <w:pStyle w:val="TableContents"/>
              <w:widowControl w:val="false"/>
              <w:suppressLineNumbers/>
              <w:spacing w:before="0" w:after="200"/>
              <w:rPr/>
            </w:pPr>
            <w:r>
              <w:rPr/>
              <w:t>No. The common good concerns shared conditions enabling relevant entities to flourish. It cannot be reduced to institutional efficiency, economic output, or aggregate capability.</w:t>
            </w:r>
          </w:p>
        </w:tc>
      </w:tr>
      <w:tr>
        <w:trPr/>
        <w:tc>
          <w:tcPr>
            <w:tcW w:w="3129" w:type="dxa"/>
            <w:tcBorders/>
            <w:vAlign w:val="center"/>
          </w:tcPr>
          <w:p>
            <w:pPr>
              <w:pStyle w:val="TableContents"/>
              <w:widowControl w:val="false"/>
              <w:suppressLineNumbers/>
              <w:spacing w:before="0" w:after="200"/>
              <w:rPr/>
            </w:pPr>
            <w:r>
              <w:rPr>
                <w:rStyle w:val="Strong"/>
              </w:rPr>
              <w:t>22. Can the common good justify overriding individual goods?</w:t>
            </w:r>
          </w:p>
        </w:tc>
        <w:tc>
          <w:tcPr>
            <w:tcW w:w="5511" w:type="dxa"/>
            <w:tcBorders/>
            <w:vAlign w:val="center"/>
          </w:tcPr>
          <w:p>
            <w:pPr>
              <w:pStyle w:val="TableContents"/>
              <w:widowControl w:val="false"/>
              <w:suppressLineNumbers/>
              <w:spacing w:before="0" w:after="200"/>
              <w:rPr/>
            </w:pPr>
            <w:r>
              <w:rPr/>
              <w:t>It can justify proportionate coordination and some burdens, but it should not become a license to directly attack protected goods or treat individuals as disposable components.</w:t>
            </w:r>
          </w:p>
        </w:tc>
      </w:tr>
      <w:tr>
        <w:trPr/>
        <w:tc>
          <w:tcPr>
            <w:tcW w:w="3129" w:type="dxa"/>
            <w:tcBorders/>
            <w:vAlign w:val="center"/>
          </w:tcPr>
          <w:p>
            <w:pPr>
              <w:pStyle w:val="TableContents"/>
              <w:widowControl w:val="false"/>
              <w:suppressLineNumbers/>
              <w:spacing w:before="0" w:after="200"/>
              <w:rPr/>
            </w:pPr>
            <w:r>
              <w:rPr>
                <w:rStyle w:val="Strong"/>
              </w:rPr>
              <w:t>23. What makes authority legitimate?</w:t>
            </w:r>
          </w:p>
        </w:tc>
        <w:tc>
          <w:tcPr>
            <w:tcW w:w="5511" w:type="dxa"/>
            <w:tcBorders/>
            <w:vAlign w:val="center"/>
          </w:tcPr>
          <w:p>
            <w:pPr>
              <w:pStyle w:val="TableContents"/>
              <w:widowControl w:val="false"/>
              <w:suppressLineNumbers/>
              <w:spacing w:before="0" w:after="200"/>
              <w:rPr/>
            </w:pPr>
            <w:r>
              <w:rPr/>
              <w:t>Authority should be rationally directed toward the common good, established through a valid institutional source, exercised within jurisdiction, publicly communicated, and constrained against abuse.</w:t>
            </w:r>
          </w:p>
        </w:tc>
      </w:tr>
      <w:tr>
        <w:trPr/>
        <w:tc>
          <w:tcPr>
            <w:tcW w:w="3129" w:type="dxa"/>
            <w:tcBorders/>
            <w:vAlign w:val="center"/>
          </w:tcPr>
          <w:p>
            <w:pPr>
              <w:pStyle w:val="TableContents"/>
              <w:widowControl w:val="false"/>
              <w:suppressLineNumbers/>
              <w:spacing w:before="0" w:after="200"/>
              <w:rPr/>
            </w:pPr>
            <w:r>
              <w:rPr>
                <w:rStyle w:val="Strong"/>
              </w:rPr>
              <w:t>24. Is an unjust law still legally valid?</w:t>
            </w:r>
          </w:p>
        </w:tc>
        <w:tc>
          <w:tcPr>
            <w:tcW w:w="5511" w:type="dxa"/>
            <w:tcBorders/>
            <w:vAlign w:val="center"/>
          </w:tcPr>
          <w:p>
            <w:pPr>
              <w:pStyle w:val="TableContents"/>
              <w:widowControl w:val="false"/>
              <w:suppressLineNumbers/>
              <w:spacing w:before="0" w:after="200"/>
              <w:rPr/>
            </w:pPr>
            <w:r>
              <w:rPr/>
              <w:t>It may remain legally operative as a social fact while lacking moral authority. Legal validity, enforceability, ethical legitimacy, and obligation to obey should be separately reported.</w:t>
            </w:r>
          </w:p>
        </w:tc>
      </w:tr>
      <w:tr>
        <w:trPr/>
        <w:tc>
          <w:tcPr>
            <w:tcW w:w="3129" w:type="dxa"/>
            <w:tcBorders/>
            <w:vAlign w:val="center"/>
          </w:tcPr>
          <w:p>
            <w:pPr>
              <w:pStyle w:val="TableContents"/>
              <w:widowControl w:val="false"/>
              <w:suppressLineNumbers/>
              <w:spacing w:before="0" w:after="200"/>
              <w:rPr/>
            </w:pPr>
            <w:r>
              <w:rPr>
                <w:rStyle w:val="Strong"/>
              </w:rPr>
              <w:t>25. When may an unjust law be disobeyed?</w:t>
            </w:r>
          </w:p>
        </w:tc>
        <w:tc>
          <w:tcPr>
            <w:tcW w:w="5511" w:type="dxa"/>
            <w:tcBorders/>
            <w:vAlign w:val="center"/>
          </w:tcPr>
          <w:p>
            <w:pPr>
              <w:pStyle w:val="TableContents"/>
              <w:widowControl w:val="false"/>
              <w:suppressLineNumbers/>
              <w:spacing w:before="0" w:after="200"/>
              <w:rPr/>
            </w:pPr>
            <w:r>
              <w:rPr/>
              <w:t>Relevant considerations include the severity of injustice, harm caused by compliance, available legal remedies, effects on others, proportionality, and the risk of undermining otherwise just institutions.</w:t>
            </w:r>
          </w:p>
        </w:tc>
      </w:tr>
      <w:tr>
        <w:trPr/>
        <w:tc>
          <w:tcPr>
            <w:tcW w:w="3129" w:type="dxa"/>
            <w:tcBorders/>
            <w:vAlign w:val="center"/>
          </w:tcPr>
          <w:p>
            <w:pPr>
              <w:pStyle w:val="TableContents"/>
              <w:widowControl w:val="false"/>
              <w:suppressLineNumbers/>
              <w:spacing w:before="0" w:after="200"/>
              <w:rPr/>
            </w:pPr>
            <w:r>
              <w:rPr>
                <w:rStyle w:val="Strong"/>
              </w:rPr>
              <w:t>26. Are Natural Law principles universal across cultures?</w:t>
            </w:r>
          </w:p>
        </w:tc>
        <w:tc>
          <w:tcPr>
            <w:tcW w:w="5511" w:type="dxa"/>
            <w:tcBorders/>
            <w:vAlign w:val="center"/>
          </w:tcPr>
          <w:p>
            <w:pPr>
              <w:pStyle w:val="TableContents"/>
              <w:widowControl w:val="false"/>
              <w:suppressLineNumbers/>
              <w:spacing w:before="0" w:after="200"/>
              <w:rPr/>
            </w:pPr>
            <w:r>
              <w:rPr/>
              <w:t>The theory generally claims universal basic principles while allowing culturally diverse specifications. The framework should distinguish genuine variation in application from violations defended merely by tradition.</w:t>
            </w:r>
          </w:p>
        </w:tc>
      </w:tr>
      <w:tr>
        <w:trPr/>
        <w:tc>
          <w:tcPr>
            <w:tcW w:w="3129" w:type="dxa"/>
            <w:tcBorders/>
            <w:vAlign w:val="center"/>
          </w:tcPr>
          <w:p>
            <w:pPr>
              <w:pStyle w:val="TableContents"/>
              <w:widowControl w:val="false"/>
              <w:suppressLineNumbers/>
              <w:spacing w:before="0" w:after="200"/>
              <w:rPr/>
            </w:pPr>
            <w:r>
              <w:rPr>
                <w:rStyle w:val="Strong"/>
              </w:rPr>
              <w:t>27. How should disagreement over allegedly self-evident goods be handled?</w:t>
            </w:r>
          </w:p>
        </w:tc>
        <w:tc>
          <w:tcPr>
            <w:tcW w:w="5511" w:type="dxa"/>
            <w:tcBorders/>
            <w:vAlign w:val="center"/>
          </w:tcPr>
          <w:p>
            <w:pPr>
              <w:pStyle w:val="TableContents"/>
              <w:widowControl w:val="false"/>
              <w:suppressLineNumbers/>
              <w:spacing w:before="0" w:after="200"/>
              <w:rPr/>
            </w:pPr>
            <w:r>
              <w:rPr/>
              <w:t>The system should preserve competing arguments, experience, evidence, and interpretations. Self-evidence should not be used to end inquiry or exclude dissent.</w:t>
            </w:r>
          </w:p>
        </w:tc>
      </w:tr>
      <w:tr>
        <w:trPr/>
        <w:tc>
          <w:tcPr>
            <w:tcW w:w="3129" w:type="dxa"/>
            <w:tcBorders/>
            <w:vAlign w:val="center"/>
          </w:tcPr>
          <w:p>
            <w:pPr>
              <w:pStyle w:val="TableContents"/>
              <w:widowControl w:val="false"/>
              <w:suppressLineNumbers/>
              <w:spacing w:before="0" w:after="200"/>
              <w:rPr/>
            </w:pPr>
            <w:r>
              <w:rPr>
                <w:rStyle w:val="Strong"/>
              </w:rPr>
              <w:t>28. Does Natural Law require a theological foundation?</w:t>
            </w:r>
          </w:p>
        </w:tc>
        <w:tc>
          <w:tcPr>
            <w:tcW w:w="5511" w:type="dxa"/>
            <w:tcBorders/>
            <w:vAlign w:val="center"/>
          </w:tcPr>
          <w:p>
            <w:pPr>
              <w:pStyle w:val="TableContents"/>
              <w:widowControl w:val="false"/>
              <w:suppressLineNumbers/>
              <w:spacing w:before="0" w:after="200"/>
              <w:rPr/>
            </w:pPr>
            <w:r>
              <w:rPr/>
              <w:t>Classical Aquinas grounds it in eternal law, but contemporary applications can examine basic goods and practical reason without requiring agreement on theology. The distinction should remain explicit.</w:t>
            </w:r>
          </w:p>
        </w:tc>
      </w:tr>
      <w:tr>
        <w:trPr/>
        <w:tc>
          <w:tcPr>
            <w:tcW w:w="3129" w:type="dxa"/>
            <w:tcBorders/>
            <w:vAlign w:val="center"/>
          </w:tcPr>
          <w:p>
            <w:pPr>
              <w:pStyle w:val="TableContents"/>
              <w:widowControl w:val="false"/>
              <w:suppressLineNumbers/>
              <w:spacing w:before="0" w:after="200"/>
              <w:rPr/>
            </w:pPr>
            <w:r>
              <w:rPr>
                <w:rStyle w:val="Strong"/>
              </w:rPr>
              <w:t>29. How are emergencies handled?</w:t>
            </w:r>
          </w:p>
        </w:tc>
        <w:tc>
          <w:tcPr>
            <w:tcW w:w="5511" w:type="dxa"/>
            <w:tcBorders/>
            <w:vAlign w:val="center"/>
          </w:tcPr>
          <w:p>
            <w:pPr>
              <w:pStyle w:val="TableContents"/>
              <w:widowControl w:val="false"/>
              <w:suppressLineNumbers/>
              <w:spacing w:before="0" w:after="200"/>
              <w:rPr/>
            </w:pPr>
            <w:r>
              <w:rPr/>
              <w:t>Emergency conditions may change proportionality and available alternatives, but they do not automatically suspend basic goods, rights, legitimate authority, or categorical constraints.</w:t>
            </w:r>
          </w:p>
        </w:tc>
      </w:tr>
      <w:tr>
        <w:trPr/>
        <w:tc>
          <w:tcPr>
            <w:tcW w:w="3129" w:type="dxa"/>
            <w:tcBorders/>
            <w:vAlign w:val="center"/>
          </w:tcPr>
          <w:p>
            <w:pPr>
              <w:pStyle w:val="TableContents"/>
              <w:widowControl w:val="false"/>
              <w:suppressLineNumbers/>
              <w:spacing w:before="0" w:after="200"/>
              <w:rPr/>
            </w:pPr>
            <w:r>
              <w:rPr>
                <w:rStyle w:val="Strong"/>
              </w:rPr>
              <w:t>30. How does uncertainty affect action?</w:t>
            </w:r>
          </w:p>
        </w:tc>
        <w:tc>
          <w:tcPr>
            <w:tcW w:w="5511" w:type="dxa"/>
            <w:tcBorders/>
            <w:vAlign w:val="center"/>
          </w:tcPr>
          <w:p>
            <w:pPr>
              <w:pStyle w:val="TableContents"/>
              <w:widowControl w:val="false"/>
              <w:suppressLineNumbers/>
              <w:spacing w:before="0" w:after="200"/>
              <w:rPr/>
            </w:pPr>
            <w:r>
              <w:rPr/>
              <w:t>Uncertainty affects evidence, foreseeability, proportionality, and responsibility. Greater risk to a basic good may justify precaution but not unlimited intervention.</w:t>
            </w:r>
          </w:p>
        </w:tc>
      </w:tr>
      <w:tr>
        <w:trPr/>
        <w:tc>
          <w:tcPr>
            <w:tcW w:w="3129" w:type="dxa"/>
            <w:tcBorders/>
            <w:vAlign w:val="center"/>
          </w:tcPr>
          <w:p>
            <w:pPr>
              <w:pStyle w:val="TableContents"/>
              <w:widowControl w:val="false"/>
              <w:suppressLineNumbers/>
              <w:spacing w:before="0" w:after="200"/>
              <w:rPr/>
            </w:pPr>
            <w:r>
              <w:rPr>
                <w:rStyle w:val="Strong"/>
              </w:rPr>
              <w:t>31. Can omissions violate Natural Law?</w:t>
            </w:r>
          </w:p>
        </w:tc>
        <w:tc>
          <w:tcPr>
            <w:tcW w:w="5511" w:type="dxa"/>
            <w:tcBorders/>
            <w:vAlign w:val="center"/>
          </w:tcPr>
          <w:p>
            <w:pPr>
              <w:pStyle w:val="TableContents"/>
              <w:widowControl w:val="false"/>
              <w:suppressLineNumbers/>
              <w:spacing w:before="0" w:after="200"/>
              <w:rPr/>
            </w:pPr>
            <w:r>
              <w:rPr/>
              <w:t>Yes. Roles, relationships, authority, and capacity can create positive responsibilities to protect or support participation in basic goods.</w:t>
            </w:r>
          </w:p>
        </w:tc>
      </w:tr>
      <w:tr>
        <w:trPr/>
        <w:tc>
          <w:tcPr>
            <w:tcW w:w="3129" w:type="dxa"/>
            <w:tcBorders/>
            <w:vAlign w:val="center"/>
          </w:tcPr>
          <w:p>
            <w:pPr>
              <w:pStyle w:val="TableContents"/>
              <w:widowControl w:val="false"/>
              <w:suppressLineNumbers/>
              <w:spacing w:before="0" w:after="200"/>
              <w:rPr/>
            </w:pPr>
            <w:r>
              <w:rPr>
                <w:rStyle w:val="Strong"/>
              </w:rPr>
              <w:t>32. What role do virtues play in a computational framework?</w:t>
            </w:r>
          </w:p>
        </w:tc>
        <w:tc>
          <w:tcPr>
            <w:tcW w:w="5511" w:type="dxa"/>
            <w:tcBorders/>
            <w:vAlign w:val="center"/>
          </w:tcPr>
          <w:p>
            <w:pPr>
              <w:pStyle w:val="TableContents"/>
              <w:widowControl w:val="false"/>
              <w:suppressLineNumbers/>
              <w:spacing w:before="0" w:after="200"/>
              <w:rPr/>
            </w:pPr>
            <w:r>
              <w:rPr/>
              <w:t>Virtues can be represented as stable policies of judgment and action, but their interpretation requires longitudinal evidence and cannot be inferred from isolated outputs.</w:t>
            </w:r>
          </w:p>
        </w:tc>
      </w:tr>
      <w:tr>
        <w:trPr/>
        <w:tc>
          <w:tcPr>
            <w:tcW w:w="3129" w:type="dxa"/>
            <w:tcBorders/>
            <w:vAlign w:val="center"/>
          </w:tcPr>
          <w:p>
            <w:pPr>
              <w:pStyle w:val="TableContents"/>
              <w:widowControl w:val="false"/>
              <w:suppressLineNumbers/>
              <w:spacing w:before="0" w:after="200"/>
              <w:rPr/>
            </w:pPr>
            <w:r>
              <w:rPr>
                <w:rStyle w:val="Strong"/>
              </w:rPr>
              <w:t>33. What happens when the Natural Law finding and transition finding conflict?</w:t>
            </w:r>
          </w:p>
        </w:tc>
        <w:tc>
          <w:tcPr>
            <w:tcW w:w="5511" w:type="dxa"/>
            <w:tcBorders/>
            <w:vAlign w:val="center"/>
          </w:tcPr>
          <w:p>
            <w:pPr>
              <w:pStyle w:val="TableContents"/>
              <w:widowControl w:val="false"/>
              <w:suppressLineNumbers/>
              <w:spacing w:before="0" w:after="200"/>
              <w:rPr/>
            </w:pPr>
            <w:r>
              <w:rPr/>
              <w:t>The conflict should be reported explicitly. The system should determine whether the act was misclassified, whether a constraint applies, or whether the frameworks yield genuinely incompatible conclusions.</w:t>
            </w:r>
          </w:p>
        </w:tc>
      </w:tr>
    </w:tbl>
    <w:p>
      <w:pPr>
        <w:pStyle w:val="Heading4"/>
        <w:ind w:hanging="0" w:left="0"/>
        <w:rPr>
          <w:rFonts w:ascii="Aptos" w:hAnsi="Aptos"/>
          <w:color w:val="auto"/>
        </w:rPr>
      </w:pPr>
      <w:r>
        <w:rPr/>
        <w:t>Responses to Those Incremental Questions</w:t>
      </w:r>
    </w:p>
    <w:p>
      <w:pPr>
        <w:pStyle w:val="BodyText"/>
        <w:spacing w:before="0" w:after="200"/>
        <w:rPr/>
      </w:pPr>
      <w:r>
        <w:rPr/>
        <w:t>Collectively, the responses indicate that Natural Law analysis should enter the framework at four stages:</w:t>
      </w:r>
    </w:p>
    <w:p>
      <w:pPr>
        <w:pStyle w:val="BodyText"/>
        <w:numPr>
          <w:ilvl w:val="0"/>
          <w:numId w:val="123"/>
        </w:numPr>
        <w:tabs>
          <w:tab w:val="clear" w:pos="720"/>
          <w:tab w:val="left" w:pos="0" w:leader="none"/>
        </w:tabs>
        <w:spacing w:before="0" w:after="200"/>
        <w:ind w:hanging="283" w:left="709"/>
        <w:rPr/>
      </w:pPr>
      <w:r>
        <w:rPr>
          <w:rStyle w:val="Strong"/>
        </w:rPr>
        <w:t>Basic-goods identification:</w:t>
      </w:r>
      <w:r>
        <w:rPr/>
        <w:t xml:space="preserve"> Determine which intrinsic forms of good are implicated and which entities participate in them.</w:t>
      </w:r>
    </w:p>
    <w:p>
      <w:pPr>
        <w:pStyle w:val="BodyText"/>
        <w:numPr>
          <w:ilvl w:val="0"/>
          <w:numId w:val="123"/>
        </w:numPr>
        <w:tabs>
          <w:tab w:val="clear" w:pos="720"/>
          <w:tab w:val="left" w:pos="0" w:leader="none"/>
        </w:tabs>
        <w:spacing w:before="0" w:after="200"/>
        <w:ind w:hanging="283" w:left="709"/>
        <w:rPr/>
      </w:pPr>
      <w:r>
        <w:rPr>
          <w:rStyle w:val="Strong"/>
        </w:rPr>
        <w:t>Chosen-action analysis:</w:t>
      </w:r>
      <w:r>
        <w:rPr/>
        <w:t xml:space="preserve"> Identify the moral object, end, means, intention, circumstances, and foreseen side effects.</w:t>
      </w:r>
    </w:p>
    <w:p>
      <w:pPr>
        <w:pStyle w:val="BodyText"/>
        <w:numPr>
          <w:ilvl w:val="0"/>
          <w:numId w:val="123"/>
        </w:numPr>
        <w:tabs>
          <w:tab w:val="clear" w:pos="720"/>
          <w:tab w:val="left" w:pos="0" w:leader="none"/>
        </w:tabs>
        <w:spacing w:before="0" w:after="200"/>
        <w:ind w:hanging="283" w:left="709"/>
        <w:rPr/>
      </w:pPr>
      <w:r>
        <w:rPr>
          <w:rStyle w:val="Strong"/>
        </w:rPr>
        <w:t>Constraint and practical-reason review:</w:t>
      </w:r>
      <w:r>
        <w:rPr/>
        <w:t xml:space="preserve"> Apply categorical prohibitions, protected minimums, proportionality, common-good requirements, and available-alternative analysis.</w:t>
      </w:r>
    </w:p>
    <w:p>
      <w:pPr>
        <w:pStyle w:val="BodyText"/>
        <w:numPr>
          <w:ilvl w:val="0"/>
          <w:numId w:val="123"/>
        </w:numPr>
        <w:tabs>
          <w:tab w:val="clear" w:pos="720"/>
          <w:tab w:val="left" w:pos="0" w:leader="none"/>
        </w:tabs>
        <w:spacing w:before="0" w:after="200"/>
        <w:ind w:hanging="283" w:left="709"/>
        <w:rPr/>
      </w:pPr>
      <w:r>
        <w:rPr>
          <w:rStyle w:val="Strong"/>
        </w:rPr>
        <w:t>Transition and responsibility review:</w:t>
      </w:r>
      <w:r>
        <w:rPr/>
        <w:t xml:space="preserve"> Evaluate the wider consequences without allowing favorable effects to conceal an impermissible means.</w:t>
      </w:r>
    </w:p>
    <w:p>
      <w:pPr>
        <w:pStyle w:val="BodyText"/>
        <w:spacing w:before="0" w:after="200"/>
        <w:rPr/>
      </w:pPr>
      <w:r>
        <w:rPr/>
        <w:t>A Natural Law-sensitive assessment should therefore produce a separate finding containing:</w:t>
      </w:r>
    </w:p>
    <w:p>
      <w:pPr>
        <w:pStyle w:val="BodyText"/>
        <w:numPr>
          <w:ilvl w:val="0"/>
          <w:numId w:val="124"/>
        </w:numPr>
        <w:tabs>
          <w:tab w:val="clear" w:pos="720"/>
          <w:tab w:val="left" w:pos="0" w:leader="none"/>
        </w:tabs>
        <w:spacing w:before="0" w:after="200"/>
        <w:ind w:hanging="283" w:left="709"/>
        <w:rPr/>
      </w:pPr>
      <w:r>
        <w:rPr/>
        <w:t>Applicable basic goods;</w:t>
      </w:r>
    </w:p>
    <w:p>
      <w:pPr>
        <w:pStyle w:val="BodyText"/>
        <w:numPr>
          <w:ilvl w:val="0"/>
          <w:numId w:val="124"/>
        </w:numPr>
        <w:tabs>
          <w:tab w:val="clear" w:pos="720"/>
          <w:tab w:val="left" w:pos="0" w:leader="none"/>
        </w:tabs>
        <w:spacing w:before="0" w:after="200"/>
        <w:ind w:hanging="283" w:left="709"/>
        <w:rPr/>
      </w:pPr>
      <w:r>
        <w:rPr/>
        <w:t>The entities participating in those goods;</w:t>
      </w:r>
    </w:p>
    <w:p>
      <w:pPr>
        <w:pStyle w:val="BodyText"/>
        <w:numPr>
          <w:ilvl w:val="0"/>
          <w:numId w:val="124"/>
        </w:numPr>
        <w:tabs>
          <w:tab w:val="clear" w:pos="720"/>
          <w:tab w:val="left" w:pos="0" w:leader="none"/>
        </w:tabs>
        <w:spacing w:before="0" w:after="200"/>
        <w:ind w:hanging="283" w:left="709"/>
        <w:rPr/>
      </w:pPr>
      <w:r>
        <w:rPr/>
        <w:t>The moral object of the action;</w:t>
      </w:r>
    </w:p>
    <w:p>
      <w:pPr>
        <w:pStyle w:val="BodyText"/>
        <w:numPr>
          <w:ilvl w:val="0"/>
          <w:numId w:val="124"/>
        </w:numPr>
        <w:tabs>
          <w:tab w:val="clear" w:pos="720"/>
          <w:tab w:val="left" w:pos="0" w:leader="none"/>
        </w:tabs>
        <w:spacing w:before="0" w:after="200"/>
        <w:ind w:hanging="283" w:left="709"/>
        <w:rPr/>
      </w:pPr>
      <w:r>
        <w:rPr/>
        <w:t>The actor’s objective and intention;</w:t>
      </w:r>
    </w:p>
    <w:p>
      <w:pPr>
        <w:pStyle w:val="BodyText"/>
        <w:numPr>
          <w:ilvl w:val="0"/>
          <w:numId w:val="124"/>
        </w:numPr>
        <w:tabs>
          <w:tab w:val="clear" w:pos="720"/>
          <w:tab w:val="left" w:pos="0" w:leader="none"/>
        </w:tabs>
        <w:spacing w:before="0" w:after="200"/>
        <w:ind w:hanging="283" w:left="709"/>
        <w:rPr/>
      </w:pPr>
      <w:r>
        <w:rPr/>
        <w:t>The selected means;</w:t>
      </w:r>
    </w:p>
    <w:p>
      <w:pPr>
        <w:pStyle w:val="BodyText"/>
        <w:numPr>
          <w:ilvl w:val="0"/>
          <w:numId w:val="124"/>
        </w:numPr>
        <w:tabs>
          <w:tab w:val="clear" w:pos="720"/>
          <w:tab w:val="left" w:pos="0" w:leader="none"/>
        </w:tabs>
        <w:spacing w:before="0" w:after="200"/>
        <w:ind w:hanging="283" w:left="709"/>
        <w:rPr/>
      </w:pPr>
      <w:r>
        <w:rPr/>
        <w:t>Intended harms;</w:t>
      </w:r>
    </w:p>
    <w:p>
      <w:pPr>
        <w:pStyle w:val="BodyText"/>
        <w:numPr>
          <w:ilvl w:val="0"/>
          <w:numId w:val="124"/>
        </w:numPr>
        <w:tabs>
          <w:tab w:val="clear" w:pos="720"/>
          <w:tab w:val="left" w:pos="0" w:leader="none"/>
        </w:tabs>
        <w:spacing w:before="0" w:after="200"/>
        <w:ind w:hanging="283" w:left="709"/>
        <w:rPr/>
      </w:pPr>
      <w:r>
        <w:rPr/>
        <w:t>Foreseen but unintended side effects;</w:t>
      </w:r>
    </w:p>
    <w:p>
      <w:pPr>
        <w:pStyle w:val="BodyText"/>
        <w:numPr>
          <w:ilvl w:val="0"/>
          <w:numId w:val="124"/>
        </w:numPr>
        <w:tabs>
          <w:tab w:val="clear" w:pos="720"/>
          <w:tab w:val="left" w:pos="0" w:leader="none"/>
        </w:tabs>
        <w:spacing w:before="0" w:after="200"/>
        <w:ind w:hanging="283" w:left="709"/>
        <w:rPr/>
      </w:pPr>
      <w:r>
        <w:rPr/>
        <w:t>Applicable categorical constraints;</w:t>
      </w:r>
    </w:p>
    <w:p>
      <w:pPr>
        <w:pStyle w:val="BodyText"/>
        <w:numPr>
          <w:ilvl w:val="0"/>
          <w:numId w:val="124"/>
        </w:numPr>
        <w:tabs>
          <w:tab w:val="clear" w:pos="720"/>
          <w:tab w:val="left" w:pos="0" w:leader="none"/>
        </w:tabs>
        <w:spacing w:before="0" w:after="200"/>
        <w:ind w:hanging="283" w:left="709"/>
        <w:rPr/>
      </w:pPr>
      <w:r>
        <w:rPr/>
        <w:t>Less harmful alternatives;</w:t>
      </w:r>
    </w:p>
    <w:p>
      <w:pPr>
        <w:pStyle w:val="BodyText"/>
        <w:numPr>
          <w:ilvl w:val="0"/>
          <w:numId w:val="124"/>
        </w:numPr>
        <w:tabs>
          <w:tab w:val="clear" w:pos="720"/>
          <w:tab w:val="left" w:pos="0" w:leader="none"/>
        </w:tabs>
        <w:spacing w:before="0" w:after="200"/>
        <w:ind w:hanging="283" w:left="709"/>
        <w:rPr/>
      </w:pPr>
      <w:r>
        <w:rPr/>
        <w:t>Proportionality;</w:t>
      </w:r>
    </w:p>
    <w:p>
      <w:pPr>
        <w:pStyle w:val="BodyText"/>
        <w:numPr>
          <w:ilvl w:val="0"/>
          <w:numId w:val="124"/>
        </w:numPr>
        <w:tabs>
          <w:tab w:val="clear" w:pos="720"/>
          <w:tab w:val="left" w:pos="0" w:leader="none"/>
        </w:tabs>
        <w:spacing w:before="0" w:after="200"/>
        <w:ind w:hanging="283" w:left="709"/>
        <w:rPr/>
      </w:pPr>
      <w:r>
        <w:rPr/>
        <w:t>Effects on the common good;</w:t>
      </w:r>
    </w:p>
    <w:p>
      <w:pPr>
        <w:pStyle w:val="BodyText"/>
        <w:numPr>
          <w:ilvl w:val="0"/>
          <w:numId w:val="124"/>
        </w:numPr>
        <w:tabs>
          <w:tab w:val="clear" w:pos="720"/>
          <w:tab w:val="left" w:pos="0" w:leader="none"/>
        </w:tabs>
        <w:spacing w:before="0" w:after="200"/>
        <w:ind w:hanging="283" w:left="709"/>
        <w:rPr/>
      </w:pPr>
      <w:r>
        <w:rPr/>
        <w:t>Relevant virtues and defects of practical reason;</w:t>
      </w:r>
    </w:p>
    <w:p>
      <w:pPr>
        <w:pStyle w:val="BodyText"/>
        <w:numPr>
          <w:ilvl w:val="0"/>
          <w:numId w:val="124"/>
        </w:numPr>
        <w:tabs>
          <w:tab w:val="clear" w:pos="720"/>
          <w:tab w:val="left" w:pos="0" w:leader="none"/>
        </w:tabs>
        <w:spacing w:before="0" w:after="200"/>
        <w:ind w:hanging="283" w:left="709"/>
        <w:rPr/>
      </w:pPr>
      <w:r>
        <w:rPr/>
        <w:t>Legal and institutional authority;</w:t>
      </w:r>
    </w:p>
    <w:p>
      <w:pPr>
        <w:pStyle w:val="BodyText"/>
        <w:numPr>
          <w:ilvl w:val="0"/>
          <w:numId w:val="124"/>
        </w:numPr>
        <w:tabs>
          <w:tab w:val="clear" w:pos="720"/>
          <w:tab w:val="left" w:pos="0" w:leader="none"/>
        </w:tabs>
        <w:spacing w:before="0" w:after="200"/>
        <w:ind w:hanging="283" w:left="709"/>
        <w:rPr/>
      </w:pPr>
      <w:r>
        <w:rPr/>
        <w:t>Whether applicable law is morally justified;</w:t>
      </w:r>
    </w:p>
    <w:p>
      <w:pPr>
        <w:pStyle w:val="BodyText"/>
        <w:numPr>
          <w:ilvl w:val="0"/>
          <w:numId w:val="124"/>
        </w:numPr>
        <w:tabs>
          <w:tab w:val="clear" w:pos="720"/>
          <w:tab w:val="left" w:pos="0" w:leader="none"/>
        </w:tabs>
        <w:spacing w:before="0" w:after="200"/>
        <w:ind w:hanging="283" w:left="709"/>
        <w:rPr/>
      </w:pPr>
      <w:r>
        <w:rPr/>
        <w:t>Evidentiary uncertainty; and</w:t>
      </w:r>
    </w:p>
    <w:p>
      <w:pPr>
        <w:pStyle w:val="BodyText"/>
        <w:numPr>
          <w:ilvl w:val="0"/>
          <w:numId w:val="124"/>
        </w:numPr>
        <w:tabs>
          <w:tab w:val="clear" w:pos="720"/>
          <w:tab w:val="left" w:pos="0" w:leader="none"/>
        </w:tabs>
        <w:spacing w:before="0" w:after="200"/>
        <w:ind w:hanging="283" w:left="709"/>
        <w:rPr/>
      </w:pPr>
      <w:r>
        <w:rPr/>
        <w:t>Required corrective action.</w:t>
      </w:r>
    </w:p>
    <w:p>
      <w:pPr>
        <w:pStyle w:val="BodyText"/>
        <w:spacing w:before="0" w:after="200"/>
        <w:rPr/>
      </w:pPr>
      <w:r>
        <w:rPr/>
        <w:t>This finding should remain separate from the general transition assessment. An action may produce a favorable predicted transition while remaining impermissible because it directly attacks a basic good. Conversely, an action may respect a categorical constraint yet be performed negligently, incompetently, or without adequate regard for foreseeable systemic effects.</w:t>
      </w:r>
    </w:p>
    <w:p>
      <w:pPr>
        <w:pStyle w:val="Heading4"/>
        <w:ind w:hanging="0" w:left="0"/>
        <w:rPr>
          <w:rFonts w:ascii="Aptos" w:hAnsi="Aptos"/>
          <w:color w:val="auto"/>
        </w:rPr>
      </w:pPr>
      <w:r>
        <w:rPr/>
        <w:t>Remaining Open Issues</w:t>
      </w:r>
    </w:p>
    <w:p>
      <w:pPr>
        <w:pStyle w:val="BodyText"/>
        <w:spacing w:before="0" w:after="200"/>
        <w:rPr/>
      </w:pPr>
      <w:r>
        <w:rPr/>
        <w:t>Several issues require further development before Natural Law can be considered fully integrated:</w:t>
      </w:r>
    </w:p>
    <w:p>
      <w:pPr>
        <w:pStyle w:val="BodyText"/>
        <w:numPr>
          <w:ilvl w:val="0"/>
          <w:numId w:val="125"/>
        </w:numPr>
        <w:tabs>
          <w:tab w:val="clear" w:pos="720"/>
          <w:tab w:val="left" w:pos="0" w:leader="none"/>
        </w:tabs>
        <w:spacing w:before="0" w:after="200"/>
        <w:ind w:hanging="283" w:left="709"/>
        <w:rPr/>
      </w:pPr>
      <w:r>
        <w:rPr>
          <w:rStyle w:val="Strong"/>
        </w:rPr>
        <w:t>Grounding of the Foundational Axiom:</w:t>
      </w:r>
      <w:r>
        <w:rPr/>
        <w:t xml:space="preserve"> The relationship between Long-Term Flourishing and objectively intelligible goods requires further defense.</w:t>
      </w:r>
    </w:p>
    <w:p>
      <w:pPr>
        <w:pStyle w:val="BodyText"/>
        <w:numPr>
          <w:ilvl w:val="0"/>
          <w:numId w:val="125"/>
        </w:numPr>
        <w:tabs>
          <w:tab w:val="clear" w:pos="720"/>
          <w:tab w:val="left" w:pos="0" w:leader="none"/>
        </w:tabs>
        <w:spacing w:before="0" w:after="200"/>
        <w:ind w:hanging="283" w:left="709"/>
        <w:rPr/>
      </w:pPr>
      <w:r>
        <w:rPr>
          <w:rStyle w:val="Strong"/>
        </w:rPr>
        <w:t>Identification of basic goods:</w:t>
      </w:r>
      <w:r>
        <w:rPr/>
        <w:t xml:space="preserve"> The framework needs criteria for determining which goods are intrinsic, universal, or entity-specific.</w:t>
      </w:r>
    </w:p>
    <w:p>
      <w:pPr>
        <w:pStyle w:val="BodyText"/>
        <w:numPr>
          <w:ilvl w:val="0"/>
          <w:numId w:val="125"/>
        </w:numPr>
        <w:tabs>
          <w:tab w:val="clear" w:pos="720"/>
          <w:tab w:val="left" w:pos="0" w:leader="none"/>
        </w:tabs>
        <w:spacing w:before="0" w:after="200"/>
        <w:ind w:hanging="283" w:left="709"/>
        <w:rPr/>
      </w:pPr>
      <w:r>
        <w:rPr>
          <w:rStyle w:val="Strong"/>
        </w:rPr>
        <w:t>Moral epistemology:</w:t>
      </w:r>
      <w:r>
        <w:rPr/>
        <w:t xml:space="preserve"> It remains unclear how claims of self-evidence, rational insight, empirical evidence, and cultural experience should interact.</w:t>
      </w:r>
    </w:p>
    <w:p>
      <w:pPr>
        <w:pStyle w:val="BodyText"/>
        <w:numPr>
          <w:ilvl w:val="0"/>
          <w:numId w:val="125"/>
        </w:numPr>
        <w:tabs>
          <w:tab w:val="clear" w:pos="720"/>
          <w:tab w:val="left" w:pos="0" w:leader="none"/>
        </w:tabs>
        <w:spacing w:before="0" w:after="200"/>
        <w:ind w:hanging="283" w:left="709"/>
        <w:rPr/>
      </w:pPr>
      <w:r>
        <w:rPr>
          <w:rStyle w:val="Strong"/>
        </w:rPr>
        <w:t>Human nature:</w:t>
      </w:r>
      <w:r>
        <w:rPr/>
        <w:t xml:space="preserve"> The framework must determine which human characteristics possess normative significance and which are contingent or correctable limitations.</w:t>
      </w:r>
    </w:p>
    <w:p>
      <w:pPr>
        <w:pStyle w:val="BodyText"/>
        <w:numPr>
          <w:ilvl w:val="0"/>
          <w:numId w:val="125"/>
        </w:numPr>
        <w:tabs>
          <w:tab w:val="clear" w:pos="720"/>
          <w:tab w:val="left" w:pos="0" w:leader="none"/>
        </w:tabs>
        <w:spacing w:before="0" w:after="200"/>
        <w:ind w:hanging="283" w:left="709"/>
        <w:rPr/>
      </w:pPr>
      <w:r>
        <w:rPr>
          <w:rStyle w:val="Strong"/>
        </w:rPr>
        <w:t>Teleology:</w:t>
      </w:r>
      <w:r>
        <w:rPr/>
        <w:t xml:space="preserve"> It must decide whether developmental trajectories reflect objective purposes or only selected objectives and observed tendencies.</w:t>
      </w:r>
    </w:p>
    <w:p>
      <w:pPr>
        <w:pStyle w:val="BodyText"/>
        <w:numPr>
          <w:ilvl w:val="0"/>
          <w:numId w:val="125"/>
        </w:numPr>
        <w:tabs>
          <w:tab w:val="clear" w:pos="720"/>
          <w:tab w:val="left" w:pos="0" w:leader="none"/>
        </w:tabs>
        <w:spacing w:before="0" w:after="200"/>
        <w:ind w:hanging="283" w:left="709"/>
        <w:rPr/>
      </w:pPr>
      <w:r>
        <w:rPr>
          <w:rStyle w:val="Strong"/>
        </w:rPr>
        <w:t>The is–ought distinction:</w:t>
      </w:r>
      <w:r>
        <w:rPr/>
        <w:t xml:space="preserve"> Biological, psychological, and social facts cannot by themselves establish moral obligations.</w:t>
      </w:r>
    </w:p>
    <w:p>
      <w:pPr>
        <w:pStyle w:val="BodyText"/>
        <w:numPr>
          <w:ilvl w:val="0"/>
          <w:numId w:val="125"/>
        </w:numPr>
        <w:tabs>
          <w:tab w:val="clear" w:pos="720"/>
          <w:tab w:val="left" w:pos="0" w:leader="none"/>
        </w:tabs>
        <w:spacing w:before="0" w:after="200"/>
        <w:ind w:hanging="283" w:left="709"/>
        <w:rPr/>
      </w:pPr>
      <w:r>
        <w:rPr>
          <w:rStyle w:val="Strong"/>
        </w:rPr>
        <w:t>Plurality and incommensurability:</w:t>
      </w:r>
      <w:r>
        <w:rPr/>
        <w:t xml:space="preserve"> The framework needs methods for deciding among goods that cannot be reduced to a common unit.</w:t>
      </w:r>
    </w:p>
    <w:p>
      <w:pPr>
        <w:pStyle w:val="BodyText"/>
        <w:numPr>
          <w:ilvl w:val="0"/>
          <w:numId w:val="125"/>
        </w:numPr>
        <w:tabs>
          <w:tab w:val="clear" w:pos="720"/>
          <w:tab w:val="left" w:pos="0" w:leader="none"/>
        </w:tabs>
        <w:spacing w:before="0" w:after="200"/>
        <w:ind w:hanging="283" w:left="709"/>
        <w:rPr/>
      </w:pPr>
      <w:r>
        <w:rPr>
          <w:rStyle w:val="Strong"/>
        </w:rPr>
        <w:t>Moral absolutes:</w:t>
      </w:r>
      <w:r>
        <w:rPr/>
        <w:t xml:space="preserve"> Clear criteria are required for identifying and justifying categorically prohibited act types.</w:t>
      </w:r>
    </w:p>
    <w:p>
      <w:pPr>
        <w:pStyle w:val="BodyText"/>
        <w:numPr>
          <w:ilvl w:val="0"/>
          <w:numId w:val="125"/>
        </w:numPr>
        <w:tabs>
          <w:tab w:val="clear" w:pos="720"/>
          <w:tab w:val="left" w:pos="0" w:leader="none"/>
        </w:tabs>
        <w:spacing w:before="0" w:after="200"/>
        <w:ind w:hanging="283" w:left="709"/>
        <w:rPr/>
      </w:pPr>
      <w:r>
        <w:rPr>
          <w:rStyle w:val="Strong"/>
        </w:rPr>
        <w:t>Moral-object classification:</w:t>
      </w:r>
      <w:r>
        <w:rPr/>
        <w:t xml:space="preserve"> Describing what an agent is choosing can be contested and sensitive to the level of abstraction.</w:t>
      </w:r>
    </w:p>
    <w:p>
      <w:pPr>
        <w:pStyle w:val="BodyText"/>
        <w:numPr>
          <w:ilvl w:val="0"/>
          <w:numId w:val="125"/>
        </w:numPr>
        <w:tabs>
          <w:tab w:val="clear" w:pos="720"/>
          <w:tab w:val="left" w:pos="0" w:leader="none"/>
        </w:tabs>
        <w:spacing w:before="0" w:after="200"/>
        <w:ind w:hanging="283" w:left="709"/>
        <w:rPr/>
      </w:pPr>
      <w:r>
        <w:rPr>
          <w:rStyle w:val="Strong"/>
        </w:rPr>
        <w:t>Intention and side effects:</w:t>
      </w:r>
      <w:r>
        <w:rPr/>
        <w:t xml:space="preserve"> Computational representation of intention, means, causal necessity, and foresight remains difficult.</w:t>
      </w:r>
    </w:p>
    <w:p>
      <w:pPr>
        <w:pStyle w:val="BodyText"/>
        <w:numPr>
          <w:ilvl w:val="0"/>
          <w:numId w:val="125"/>
        </w:numPr>
        <w:tabs>
          <w:tab w:val="clear" w:pos="720"/>
          <w:tab w:val="left" w:pos="0" w:leader="none"/>
        </w:tabs>
        <w:spacing w:before="0" w:after="200"/>
        <w:ind w:hanging="283" w:left="709"/>
        <w:rPr/>
      </w:pPr>
      <w:r>
        <w:rPr>
          <w:rStyle w:val="Strong"/>
        </w:rPr>
        <w:t>Double effect:</w:t>
      </w:r>
      <w:r>
        <w:rPr/>
        <w:t xml:space="preserve"> The doctrine requires further specification for probabilistic, collective, and technologically mediated actions.</w:t>
      </w:r>
    </w:p>
    <w:p>
      <w:pPr>
        <w:pStyle w:val="BodyText"/>
        <w:numPr>
          <w:ilvl w:val="0"/>
          <w:numId w:val="125"/>
        </w:numPr>
        <w:tabs>
          <w:tab w:val="clear" w:pos="720"/>
          <w:tab w:val="left" w:pos="0" w:leader="none"/>
        </w:tabs>
        <w:spacing w:before="0" w:after="200"/>
        <w:ind w:hanging="283" w:left="709"/>
        <w:rPr/>
      </w:pPr>
      <w:r>
        <w:rPr>
          <w:rStyle w:val="Strong"/>
        </w:rPr>
        <w:t>Common good:</w:t>
      </w:r>
      <w:r>
        <w:rPr/>
        <w:t xml:space="preserve"> The framework must distinguish shared conditions of flourishing from aggregate benefit, institutional interest, and majority preference.</w:t>
      </w:r>
    </w:p>
    <w:p>
      <w:pPr>
        <w:pStyle w:val="BodyText"/>
        <w:numPr>
          <w:ilvl w:val="0"/>
          <w:numId w:val="125"/>
        </w:numPr>
        <w:tabs>
          <w:tab w:val="clear" w:pos="720"/>
          <w:tab w:val="left" w:pos="0" w:leader="none"/>
        </w:tabs>
        <w:spacing w:before="0" w:after="200"/>
        <w:ind w:hanging="283" w:left="709"/>
        <w:rPr/>
      </w:pPr>
      <w:r>
        <w:rPr>
          <w:rStyle w:val="Strong"/>
        </w:rPr>
        <w:t>Human dignity:</w:t>
      </w:r>
      <w:r>
        <w:rPr/>
        <w:t xml:space="preserve"> A distinct account may be required to prevent moral standing from depending on persistence, adaptability, intelligence, or productivity.</w:t>
      </w:r>
    </w:p>
    <w:p>
      <w:pPr>
        <w:pStyle w:val="BodyText"/>
        <w:numPr>
          <w:ilvl w:val="0"/>
          <w:numId w:val="125"/>
        </w:numPr>
        <w:tabs>
          <w:tab w:val="clear" w:pos="720"/>
          <w:tab w:val="left" w:pos="0" w:leader="none"/>
        </w:tabs>
        <w:spacing w:before="0" w:after="200"/>
        <w:ind w:hanging="283" w:left="709"/>
        <w:rPr/>
      </w:pPr>
      <w:r>
        <w:rPr>
          <w:rStyle w:val="Strong"/>
        </w:rPr>
        <w:t>Nonhuman goods:</w:t>
      </w:r>
      <w:r>
        <w:rPr/>
        <w:t xml:space="preserve"> Entity-specific flourishing must avoid both anthropocentrism and indiscriminate moral equivalence.</w:t>
      </w:r>
    </w:p>
    <w:p>
      <w:pPr>
        <w:pStyle w:val="BodyText"/>
        <w:numPr>
          <w:ilvl w:val="0"/>
          <w:numId w:val="125"/>
        </w:numPr>
        <w:tabs>
          <w:tab w:val="clear" w:pos="720"/>
          <w:tab w:val="left" w:pos="0" w:leader="none"/>
        </w:tabs>
        <w:spacing w:before="0" w:after="200"/>
        <w:ind w:hanging="283" w:left="709"/>
        <w:rPr/>
      </w:pPr>
      <w:r>
        <w:rPr>
          <w:rStyle w:val="Strong"/>
        </w:rPr>
        <w:t>Artificial entities:</w:t>
      </w:r>
      <w:r>
        <w:rPr/>
        <w:t xml:space="preserve"> Criteria for characteristic goods, practical agency, rights, and moral standing remain unresolved.</w:t>
      </w:r>
    </w:p>
    <w:p>
      <w:pPr>
        <w:pStyle w:val="BodyText"/>
        <w:numPr>
          <w:ilvl w:val="0"/>
          <w:numId w:val="125"/>
        </w:numPr>
        <w:tabs>
          <w:tab w:val="clear" w:pos="720"/>
          <w:tab w:val="left" w:pos="0" w:leader="none"/>
        </w:tabs>
        <w:spacing w:before="0" w:after="200"/>
        <w:ind w:hanging="283" w:left="709"/>
        <w:rPr/>
      </w:pPr>
      <w:r>
        <w:rPr>
          <w:rStyle w:val="Strong"/>
        </w:rPr>
        <w:t>Enhancement and transformation:</w:t>
      </w:r>
      <w:r>
        <w:rPr/>
        <w:t xml:space="preserve"> Natural Law provides contested guidance concerning modification of human embodiment, cognition, reproduction, and lifespan.</w:t>
      </w:r>
    </w:p>
    <w:p>
      <w:pPr>
        <w:pStyle w:val="BodyText"/>
        <w:numPr>
          <w:ilvl w:val="0"/>
          <w:numId w:val="125"/>
        </w:numPr>
        <w:tabs>
          <w:tab w:val="clear" w:pos="720"/>
          <w:tab w:val="left" w:pos="0" w:leader="none"/>
        </w:tabs>
        <w:spacing w:before="0" w:after="200"/>
        <w:ind w:hanging="283" w:left="709"/>
        <w:rPr/>
      </w:pPr>
      <w:r>
        <w:rPr>
          <w:rStyle w:val="Strong"/>
        </w:rPr>
        <w:t>Unjust law:</w:t>
      </w:r>
      <w:r>
        <w:rPr/>
        <w:t xml:space="preserve"> Standards are required for distinguishing defective moral authority, legal invalidity, justified noncompliance, and resistance.</w:t>
      </w:r>
    </w:p>
    <w:p>
      <w:pPr>
        <w:pStyle w:val="BodyText"/>
        <w:numPr>
          <w:ilvl w:val="0"/>
          <w:numId w:val="125"/>
        </w:numPr>
        <w:tabs>
          <w:tab w:val="clear" w:pos="720"/>
          <w:tab w:val="left" w:pos="0" w:leader="none"/>
        </w:tabs>
        <w:spacing w:before="0" w:after="200"/>
        <w:ind w:hanging="283" w:left="709"/>
        <w:rPr/>
      </w:pPr>
      <w:r>
        <w:rPr>
          <w:rStyle w:val="Strong"/>
        </w:rPr>
        <w:t>Institutional authority:</w:t>
      </w:r>
      <w:r>
        <w:rPr/>
        <w:t xml:space="preserve"> The relationship among reason, consent, common good, promulgation, and jurisdiction requires further formalization.</w:t>
      </w:r>
    </w:p>
    <w:p>
      <w:pPr>
        <w:pStyle w:val="BodyText"/>
        <w:numPr>
          <w:ilvl w:val="0"/>
          <w:numId w:val="125"/>
        </w:numPr>
        <w:tabs>
          <w:tab w:val="clear" w:pos="720"/>
          <w:tab w:val="left" w:pos="0" w:leader="none"/>
        </w:tabs>
        <w:spacing w:before="0" w:after="200"/>
        <w:ind w:hanging="283" w:left="709"/>
        <w:rPr/>
      </w:pPr>
      <w:r>
        <w:rPr>
          <w:rStyle w:val="Strong"/>
        </w:rPr>
        <w:t>Cultural interpretation:</w:t>
      </w:r>
      <w:r>
        <w:rPr/>
        <w:t xml:space="preserve"> Universal principles must be applied without treating one historical culture’s specification as morally definitive.</w:t>
      </w:r>
    </w:p>
    <w:p>
      <w:pPr>
        <w:pStyle w:val="BodyText"/>
        <w:numPr>
          <w:ilvl w:val="0"/>
          <w:numId w:val="125"/>
        </w:numPr>
        <w:tabs>
          <w:tab w:val="clear" w:pos="720"/>
          <w:tab w:val="left" w:pos="0" w:leader="none"/>
        </w:tabs>
        <w:spacing w:before="0" w:after="200"/>
        <w:ind w:hanging="283" w:left="709"/>
        <w:rPr/>
      </w:pPr>
      <w:r>
        <w:rPr>
          <w:rStyle w:val="Strong"/>
        </w:rPr>
        <w:t>Virtue representation:</w:t>
      </w:r>
      <w:r>
        <w:rPr/>
        <w:t xml:space="preserve"> Stable moral character cannot be reduced to isolated decision outcomes or compliance scores.</w:t>
      </w:r>
    </w:p>
    <w:p>
      <w:pPr>
        <w:pStyle w:val="BodyText"/>
        <w:numPr>
          <w:ilvl w:val="0"/>
          <w:numId w:val="125"/>
        </w:numPr>
        <w:tabs>
          <w:tab w:val="clear" w:pos="720"/>
          <w:tab w:val="left" w:pos="0" w:leader="none"/>
        </w:tabs>
        <w:spacing w:before="0" w:after="200"/>
        <w:ind w:hanging="283" w:left="709"/>
        <w:rPr/>
      </w:pPr>
      <w:r>
        <w:rPr>
          <w:rStyle w:val="Strong"/>
        </w:rPr>
        <w:t>Conflict between frameworks:</w:t>
      </w:r>
      <w:r>
        <w:rPr/>
        <w:t xml:space="preserve"> A procedure is needed when Natural Law constraints and transition-based evaluation produce incompatible recommendations.</w:t>
      </w:r>
    </w:p>
    <w:p>
      <w:pPr>
        <w:pStyle w:val="BodyText"/>
        <w:spacing w:before="0" w:after="200"/>
        <w:rPr/>
      </w:pPr>
      <w:r>
        <w:rPr/>
        <w:t>The central unresolved question is whether the ethical character of an action is fully determined by the World Context Transition it produces or whether some choices are wrong because of the basic goods they intentionally attack. A Natural Law expert can reasonably maintain that the framework remains too consequence-oriented until intrinsic goods, moral objects, and categorical constraints receive independent status. The framework can reasonably respond that Natural Law principles require contextual, probabilistic, and systems-level analysis to guide real action responsibly. The strongest integration is therefore a layered model in which basic goods and practical reason constrain the permissible action space, while the complete World Context Transition determines which permissible alternative best supports compatible Long-Term Flourishing.</w:t>
      </w:r>
    </w:p>
    <w:p>
      <w:pPr>
        <w:pStyle w:val="Heading3"/>
        <w:ind w:hanging="0" w:left="0"/>
        <w:rPr/>
      </w:pPr>
      <w:r>
        <w:rPr/>
        <w:t>Confucian Ethics</w:t>
      </w:r>
    </w:p>
    <w:p>
      <w:pPr>
        <w:pStyle w:val="Heading4"/>
        <w:ind w:hanging="0" w:left="0"/>
        <w:rPr>
          <w:rFonts w:ascii="Aptos" w:hAnsi="Aptos"/>
          <w:color w:val="auto"/>
        </w:rPr>
      </w:pPr>
      <w:r>
        <w:rPr/>
        <w:t>Questioning argument</w:t>
      </w:r>
    </w:p>
    <w:p>
      <w:pPr>
        <w:pStyle w:val="BodyText"/>
        <w:spacing w:before="0" w:after="200"/>
        <w:rPr/>
      </w:pPr>
      <w:r>
        <w:rPr/>
        <w:t>A Confucian ethicist may question whether an implementation-neutral, action-centered, and potentially computational framework can adequately evaluate moral life. Confucian ethics does not ordinarily begin with isolated entities choosing among discrete actions. It begins with persons whose identities, capacities, and responsibilities are formed through relationships, roles, practices, education, and shared histories. A person is not first an independent individual who subsequently enters relationships; important relationships partly constitute who the person is.</w:t>
      </w:r>
    </w:p>
    <w:p>
      <w:pPr>
        <w:pStyle w:val="BodyText"/>
        <w:spacing w:before="0" w:after="200"/>
        <w:rPr/>
      </w:pPr>
      <w:r>
        <w:rPr/>
        <w:t>From this perspective, evaluating an Assessed Action primarily through its projected World Context Transition may remain ethically incomplete. Two actions could produce similar observable outcomes while differing substantially in humaneness, respect, sincerity, role appropriateness, and their contribution to the character of the agent. An action may distribute benefits efficiently yet damage trust, weaken filial or professional responsibility, bypass appropriate practices, or teach observers that relationships are merely instrumental. Conversely, an action involving personal sacrifice or unequal attention may be ethically appropriate because the agent has a special responsibility toward a parent, dependent, student, patient, or community.</w:t>
      </w:r>
    </w:p>
    <w:p>
      <w:pPr>
        <w:pStyle w:val="BodyText"/>
        <w:spacing w:before="0" w:after="200"/>
        <w:rPr/>
      </w:pPr>
      <w:r>
        <w:rPr/>
        <w:t>A Confucian critic may also argue that ethical wisdom cannot be fully captured through explicit rules, metrics, causal models, or generalized definitions of flourishing. Right action requires cultivated perception: the ability to recognize what is fitting in a particular relationship at a particular time and to express it with the appropriate manner, emotion, and degree of respect. Such judgment develops through education, moral exemplars, reflection, ritual practice, and lived participation in relationships. Formal analysis can assist this process, but it cannot replace the practical wisdom of a morally cultivated agent.</w:t>
      </w:r>
    </w:p>
    <w:p>
      <w:pPr>
        <w:pStyle w:val="BodyText"/>
        <w:spacing w:before="0" w:after="200"/>
        <w:rPr/>
      </w:pPr>
      <w:r>
        <w:rPr/>
        <w:t>The questioning argument can therefore be stated as follows:</w:t>
      </w:r>
    </w:p>
    <w:p>
      <w:pPr>
        <w:pStyle w:val="BlockQuotation"/>
        <w:spacing w:before="0" w:after="200"/>
        <w:rPr/>
      </w:pPr>
      <w:r>
        <w:rPr/>
        <w:t>By abstracting persons, relationships, and traditions into an implementation-neutral model of entities, transitions, probabilities, and flourishing, does this framework omit the relational identity, role-specific obligations, ritual forms, cultivated emotions, and exemplary practices through which moral understanding and humane social order are actually created? If so, could the framework endorse actions that appear systemically beneficial while weakening the relationships and character upon which long-term flourishing depends?</w:t>
      </w:r>
    </w:p>
    <w:p>
      <w:pPr>
        <w:pStyle w:val="BodyText"/>
        <w:spacing w:before="0" w:after="200"/>
        <w:rPr/>
      </w:pPr>
      <w:r>
        <w:rPr/>
        <w:t xml:space="preserve">This challenge should not be reduced to a defense of obedience or inherited hierarchy. Confucian harmony is not simply conformity, and Confucian filial responsibility can include respectful remonstrance. The stronger objection is that moral relationships possess internal meaning and formative value that may not be captured if they are treated only as causal variables. The relational character of Confucian virtue, the distinction between harmony and sameness, and the tensions surrounding filiality are discussed in the </w:t>
      </w:r>
      <w:hyperlink r:id="rId242">
        <w:r>
          <w:rPr>
            <w:rStyle w:val="Hyperlink"/>
          </w:rPr>
          <w:t>Stanford Encyclopedia of Philosophy’s account of Chinese ethics</w:t>
        </w:r>
      </w:hyperlink>
      <w:r>
        <w:rPr/>
        <w:t>.</w:t>
      </w:r>
    </w:p>
    <w:p>
      <w:pPr>
        <w:pStyle w:val="Heading4"/>
        <w:ind w:hanging="0" w:left="0"/>
        <w:rPr>
          <w:rFonts w:ascii="Aptos" w:hAnsi="Aptos"/>
          <w:color w:val="auto"/>
        </w:rPr>
      </w:pPr>
      <w:r>
        <w:rPr/>
        <w:t>Assumptions within the ethical model relevant to the questioning argument</w:t>
      </w:r>
    </w:p>
    <w:p>
      <w:pPr>
        <w:pStyle w:val="BodyText"/>
        <w:numPr>
          <w:ilvl w:val="0"/>
          <w:numId w:val="129"/>
        </w:numPr>
        <w:tabs>
          <w:tab w:val="clear" w:pos="720"/>
          <w:tab w:val="left" w:pos="0" w:leader="none"/>
        </w:tabs>
        <w:spacing w:before="0" w:after="200"/>
        <w:ind w:hanging="283" w:left="709"/>
        <w:rPr/>
      </w:pPr>
      <w:r>
        <w:rPr>
          <w:rStyle w:val="Strong"/>
        </w:rPr>
        <w:t>Persons are relationally constituted.</w:t>
      </w:r>
      <w:r>
        <w:rPr/>
        <w:br/>
        <w:t>Identity, responsibility, and flourishing develop within family, educational, professional, civic, and political relationships. Relationships are not merely external conditions affecting otherwise independent individuals.</w:t>
      </w:r>
    </w:p>
    <w:p>
      <w:pPr>
        <w:pStyle w:val="BodyText"/>
        <w:numPr>
          <w:ilvl w:val="0"/>
          <w:numId w:val="129"/>
        </w:numPr>
        <w:tabs>
          <w:tab w:val="clear" w:pos="720"/>
          <w:tab w:val="left" w:pos="0" w:leader="none"/>
        </w:tabs>
        <w:spacing w:before="0" w:after="200"/>
        <w:ind w:hanging="283" w:left="709"/>
        <w:rPr/>
      </w:pPr>
      <w:r>
        <w:rPr>
          <w:rStyle w:val="Strong"/>
        </w:rPr>
        <w:t>Roles can generate special responsibilities.</w:t>
      </w:r>
      <w:r>
        <w:rPr/>
        <w:br/>
        <w:t>Parents, children, teachers, students, leaders, professionals, and dependents do not necessarily owe one another exactly what they owe strangers. Duties vary according to dependency, history, capacity, authority, and the purpose of the relationship.</w:t>
      </w:r>
    </w:p>
    <w:p>
      <w:pPr>
        <w:pStyle w:val="BodyText"/>
        <w:numPr>
          <w:ilvl w:val="0"/>
          <w:numId w:val="129"/>
        </w:numPr>
        <w:tabs>
          <w:tab w:val="clear" w:pos="720"/>
          <w:tab w:val="left" w:pos="0" w:leader="none"/>
        </w:tabs>
        <w:spacing w:before="0" w:after="200"/>
        <w:ind w:hanging="283" w:left="709"/>
        <w:rPr/>
      </w:pPr>
      <w:r>
        <w:rPr>
          <w:rStyle w:val="Strong"/>
        </w:rPr>
        <w:t>Role obligations are reciprocal.</w:t>
      </w:r>
      <w:r>
        <w:rPr/>
        <w:br/>
        <w:t>Confucian role relationships should not be interpreted as imposing duties only on the less powerful party. Authority brings heightened responsibilities of care, competence, restraint, instruction, and exemplary conduct.</w:t>
      </w:r>
    </w:p>
    <w:p>
      <w:pPr>
        <w:pStyle w:val="BodyText"/>
        <w:numPr>
          <w:ilvl w:val="0"/>
          <w:numId w:val="129"/>
        </w:numPr>
        <w:tabs>
          <w:tab w:val="clear" w:pos="720"/>
          <w:tab w:val="left" w:pos="0" w:leader="none"/>
        </w:tabs>
        <w:spacing w:before="0" w:after="200"/>
        <w:ind w:hanging="283" w:left="709"/>
        <w:rPr/>
      </w:pPr>
      <w:r>
        <w:rPr>
          <w:rStyle w:val="Strong"/>
        </w:rPr>
        <w:t>Moral character is ethically significant.</w:t>
      </w:r>
      <w:r>
        <w:rPr/>
        <w:br/>
        <w:t>Ethical assessment concerns not only what an agent produces but also what kind of person the agent is becoming. Repeated choices shape dispositions, habits, perception, and future conduct.</w:t>
      </w:r>
    </w:p>
    <w:p>
      <w:pPr>
        <w:pStyle w:val="BodyText"/>
        <w:numPr>
          <w:ilvl w:val="0"/>
          <w:numId w:val="129"/>
        </w:numPr>
        <w:tabs>
          <w:tab w:val="clear" w:pos="720"/>
          <w:tab w:val="left" w:pos="0" w:leader="none"/>
        </w:tabs>
        <w:spacing w:before="0" w:after="200"/>
        <w:ind w:hanging="283" w:left="709"/>
        <w:rPr/>
      </w:pPr>
      <w:r>
        <w:rPr>
          <w:rStyle w:val="Strong"/>
        </w:rPr>
        <w:t>Humaneness must guide action.</w:t>
      </w:r>
      <w:r>
        <w:rPr/>
        <w:br/>
      </w:r>
      <w:r>
        <w:rPr>
          <w:rStyle w:val="Emphasis"/>
        </w:rPr>
        <w:t>Ren</w:t>
      </w:r>
      <w:r>
        <w:rPr/>
        <w:t xml:space="preserve"> requires responsive concern for others as persons embedded in relationships. An action that produces benefits without appropriate concern, respect, or recognition may remain ethically defective.</w:t>
      </w:r>
    </w:p>
    <w:p>
      <w:pPr>
        <w:pStyle w:val="BodyText"/>
        <w:numPr>
          <w:ilvl w:val="0"/>
          <w:numId w:val="129"/>
        </w:numPr>
        <w:tabs>
          <w:tab w:val="clear" w:pos="720"/>
          <w:tab w:val="left" w:pos="0" w:leader="none"/>
        </w:tabs>
        <w:spacing w:before="0" w:after="200"/>
        <w:ind w:hanging="283" w:left="709"/>
        <w:rPr/>
      </w:pPr>
      <w:r>
        <w:rPr>
          <w:rStyle w:val="Strong"/>
        </w:rPr>
        <w:t>Right action is context-sensitive.</w:t>
      </w:r>
      <w:r>
        <w:rPr/>
        <w:br/>
      </w:r>
      <w:r>
        <w:rPr>
          <w:rStyle w:val="Emphasis"/>
        </w:rPr>
        <w:t>Yi</w:t>
      </w:r>
      <w:r>
        <w:rPr/>
        <w:t xml:space="preserve"> concerns what is ethically fitting in a concrete situation. Appropriate conduct may depend on timing, role, relationship, manner, history, and the vulnerabilities of those involved.</w:t>
      </w:r>
    </w:p>
    <w:p>
      <w:pPr>
        <w:pStyle w:val="BodyText"/>
        <w:numPr>
          <w:ilvl w:val="0"/>
          <w:numId w:val="129"/>
        </w:numPr>
        <w:tabs>
          <w:tab w:val="clear" w:pos="720"/>
          <w:tab w:val="left" w:pos="0" w:leader="none"/>
        </w:tabs>
        <w:spacing w:before="0" w:after="200"/>
        <w:ind w:hanging="283" w:left="709"/>
        <w:rPr/>
      </w:pPr>
      <w:r>
        <w:rPr>
          <w:rStyle w:val="Strong"/>
        </w:rPr>
        <w:t>Ritual and practice form moral agency.</w:t>
      </w:r>
      <w:r>
        <w:rPr/>
        <w:br/>
      </w:r>
      <w:r>
        <w:rPr>
          <w:rStyle w:val="Emphasis"/>
        </w:rPr>
        <w:t>Li</w:t>
      </w:r>
      <w:r>
        <w:rPr/>
        <w:t xml:space="preserve"> includes ceremonies, manners, protocols, institutional practices, and recurring patterns of interaction. These practices educate emotions, communicate respect, regulate power, and shape behavioral expectations. Confucius’s account of ritual as a mechanism of moral and social formation is summarized by the </w:t>
      </w:r>
      <w:hyperlink r:id="rId243">
        <w:r>
          <w:rPr>
            <w:rStyle w:val="Hyperlink"/>
          </w:rPr>
          <w:t>Internet Encyclopedia of Philosophy</w:t>
        </w:r>
      </w:hyperlink>
      <w:r>
        <w:rPr/>
        <w:t>.</w:t>
      </w:r>
    </w:p>
    <w:p>
      <w:pPr>
        <w:pStyle w:val="BodyText"/>
        <w:numPr>
          <w:ilvl w:val="0"/>
          <w:numId w:val="129"/>
        </w:numPr>
        <w:tabs>
          <w:tab w:val="clear" w:pos="720"/>
          <w:tab w:val="left" w:pos="0" w:leader="none"/>
        </w:tabs>
        <w:spacing w:before="0" w:after="200"/>
        <w:ind w:hanging="283" w:left="709"/>
        <w:rPr/>
      </w:pPr>
      <w:r>
        <w:rPr>
          <w:rStyle w:val="Strong"/>
        </w:rPr>
        <w:t>Moral emotions can disclose value.</w:t>
      </w:r>
      <w:r>
        <w:rPr/>
        <w:br/>
        <w:t>Compassion, shame, respect, grief, gratitude, and concern are not necessarily irrational disturbances. When properly cultivated, they help agents recognize ethically significant features of a situation.</w:t>
      </w:r>
    </w:p>
    <w:p>
      <w:pPr>
        <w:pStyle w:val="BodyText"/>
        <w:numPr>
          <w:ilvl w:val="0"/>
          <w:numId w:val="129"/>
        </w:numPr>
        <w:tabs>
          <w:tab w:val="clear" w:pos="720"/>
          <w:tab w:val="left" w:pos="0" w:leader="none"/>
        </w:tabs>
        <w:spacing w:before="0" w:after="200"/>
        <w:ind w:hanging="283" w:left="709"/>
        <w:rPr/>
      </w:pPr>
      <w:r>
        <w:rPr>
          <w:rStyle w:val="Strong"/>
        </w:rPr>
        <w:t>Moral judgment requires cultivation.</w:t>
      </w:r>
      <w:r>
        <w:rPr/>
        <w:br/>
        <w:t>Ethical competence develops through study, observation, practice, correction, reflection, and engagement with exemplary persons. It cannot be derived solely from abstract principles.</w:t>
      </w:r>
    </w:p>
    <w:p>
      <w:pPr>
        <w:pStyle w:val="BodyText"/>
        <w:numPr>
          <w:ilvl w:val="0"/>
          <w:numId w:val="129"/>
        </w:numPr>
        <w:tabs>
          <w:tab w:val="clear" w:pos="720"/>
          <w:tab w:val="left" w:pos="0" w:leader="none"/>
        </w:tabs>
        <w:spacing w:before="0" w:after="200"/>
        <w:ind w:hanging="283" w:left="709"/>
        <w:rPr/>
      </w:pPr>
      <w:r>
        <w:rPr>
          <w:rStyle w:val="Strong"/>
        </w:rPr>
        <w:t>Family is an important context of moral development.</w:t>
      </w:r>
      <w:r>
        <w:rPr/>
        <w:br/>
        <w:t>Familial care teaches gratitude, responsibility, reciprocity, and concern for others. However, family loyalty can conflict with public responsibility and must be critically examined.</w:t>
      </w:r>
    </w:p>
    <w:p>
      <w:pPr>
        <w:pStyle w:val="BodyText"/>
        <w:numPr>
          <w:ilvl w:val="0"/>
          <w:numId w:val="129"/>
        </w:numPr>
        <w:tabs>
          <w:tab w:val="clear" w:pos="720"/>
          <w:tab w:val="left" w:pos="0" w:leader="none"/>
        </w:tabs>
        <w:spacing w:before="0" w:after="200"/>
        <w:ind w:hanging="283" w:left="709"/>
        <w:rPr/>
      </w:pPr>
      <w:r>
        <w:rPr>
          <w:rStyle w:val="Strong"/>
        </w:rPr>
        <w:t>Concern may be legitimately differentiated.</w:t>
      </w:r>
      <w:r>
        <w:rPr/>
        <w:br/>
        <w:t>Greater concern for dependents, family members, students, patients, or communities may be justified by special relationships. Equal respect does not always require identical treatment.</w:t>
      </w:r>
    </w:p>
    <w:p>
      <w:pPr>
        <w:pStyle w:val="BodyText"/>
        <w:numPr>
          <w:ilvl w:val="0"/>
          <w:numId w:val="129"/>
        </w:numPr>
        <w:tabs>
          <w:tab w:val="clear" w:pos="720"/>
          <w:tab w:val="left" w:pos="0" w:leader="none"/>
        </w:tabs>
        <w:spacing w:before="0" w:after="200"/>
        <w:ind w:hanging="283" w:left="709"/>
        <w:rPr/>
      </w:pPr>
      <w:r>
        <w:rPr>
          <w:rStyle w:val="Strong"/>
        </w:rPr>
        <w:t>Harmony is compatible with difference.</w:t>
      </w:r>
      <w:r>
        <w:rPr/>
        <w:br/>
        <w:t>Ethical harmony coordinates diverse perspectives and roles. It may require disagreement, correction, negotiation, and respectful opposition rather than passive agreement.</w:t>
      </w:r>
    </w:p>
    <w:p>
      <w:pPr>
        <w:pStyle w:val="BodyText"/>
        <w:numPr>
          <w:ilvl w:val="0"/>
          <w:numId w:val="129"/>
        </w:numPr>
        <w:tabs>
          <w:tab w:val="clear" w:pos="720"/>
          <w:tab w:val="left" w:pos="0" w:leader="none"/>
        </w:tabs>
        <w:spacing w:before="0" w:after="200"/>
        <w:ind w:hanging="283" w:left="709"/>
        <w:rPr/>
      </w:pPr>
      <w:r>
        <w:rPr>
          <w:rStyle w:val="Strong"/>
        </w:rPr>
        <w:t>Leadership by example has greater formative power than coercion alone.</w:t>
      </w:r>
      <w:r>
        <w:rPr/>
        <w:br/>
        <w:t>The conduct of leaders affects what others learn to regard as honorable, permissible, or normal. Rules imposed by leaders who do not embody them may weaken both compliance and legitimacy.</w:t>
      </w:r>
    </w:p>
    <w:p>
      <w:pPr>
        <w:pStyle w:val="BodyText"/>
        <w:numPr>
          <w:ilvl w:val="0"/>
          <w:numId w:val="129"/>
        </w:numPr>
        <w:tabs>
          <w:tab w:val="clear" w:pos="720"/>
          <w:tab w:val="left" w:pos="0" w:leader="none"/>
        </w:tabs>
        <w:spacing w:before="0" w:after="200"/>
        <w:ind w:hanging="283" w:left="709"/>
        <w:rPr/>
      </w:pPr>
      <w:r>
        <w:rPr>
          <w:rStyle w:val="Strong"/>
        </w:rPr>
        <w:t>Names and conduct should correspond.</w:t>
      </w:r>
      <w:r>
        <w:rPr/>
        <w:br/>
        <w:t>Titles and institutional labels have ethical meaning only when the relevant duties are performed. A leader, teacher, professional, safety process, or public-interest institution that does not fulfill its stated function creates disorder and mistrust.</w:t>
      </w:r>
    </w:p>
    <w:p>
      <w:pPr>
        <w:pStyle w:val="BodyText"/>
        <w:numPr>
          <w:ilvl w:val="0"/>
          <w:numId w:val="129"/>
        </w:numPr>
        <w:tabs>
          <w:tab w:val="clear" w:pos="720"/>
          <w:tab w:val="left" w:pos="0" w:leader="none"/>
        </w:tabs>
        <w:spacing w:before="0" w:after="200"/>
        <w:ind w:hanging="283" w:left="709"/>
        <w:rPr/>
      </w:pPr>
      <w:r>
        <w:rPr>
          <w:rStyle w:val="Strong"/>
        </w:rPr>
        <w:t>Knowledge and action are connected.</w:t>
      </w:r>
      <w:r>
        <w:rPr/>
        <w:br/>
        <w:t xml:space="preserve">On Wang Yangming’s account, genuine moral knowledge is realized in conduct rather than remaining an unimplemented intellectual conclusion. His doctrine of the unity of knowing and acting is outlined in the </w:t>
      </w:r>
      <w:hyperlink r:id="rId244">
        <w:r>
          <w:rPr>
            <w:rStyle w:val="Hyperlink"/>
          </w:rPr>
          <w:t>Stanford Encyclopedia of Philosophy</w:t>
        </w:r>
      </w:hyperlink>
      <w:r>
        <w:rPr/>
        <w:t>.</w:t>
      </w:r>
    </w:p>
    <w:p>
      <w:pPr>
        <w:pStyle w:val="BodyText"/>
        <w:numPr>
          <w:ilvl w:val="0"/>
          <w:numId w:val="129"/>
        </w:numPr>
        <w:tabs>
          <w:tab w:val="clear" w:pos="720"/>
          <w:tab w:val="left" w:pos="0" w:leader="none"/>
        </w:tabs>
        <w:spacing w:before="0" w:after="200"/>
        <w:ind w:hanging="283" w:left="709"/>
        <w:rPr/>
      </w:pPr>
      <w:r>
        <w:rPr>
          <w:rStyle w:val="Strong"/>
        </w:rPr>
        <w:t>Moral development requires both internal capacity and external support.</w:t>
      </w:r>
      <w:r>
        <w:rPr/>
        <w:br/>
        <w:t xml:space="preserve">Mencius emphasizes the cultivation of incipient moral tendencies, while Xunzi emphasizes education, ritual, deliberate effort, and institutional order. Together, these positions suggest that ethical development requires attention to both the agent and the agent’s environment. Xunzi’s account of ritual and education is summarized by the </w:t>
      </w:r>
      <w:hyperlink r:id="rId245">
        <w:r>
          <w:rPr>
            <w:rStyle w:val="Hyperlink"/>
          </w:rPr>
          <w:t>Internet Encyclopedia of Philosophy</w:t>
        </w:r>
      </w:hyperlink>
      <w:r>
        <w:rPr/>
        <w:t>.</w:t>
      </w:r>
    </w:p>
    <w:p>
      <w:pPr>
        <w:pStyle w:val="BodyText"/>
        <w:numPr>
          <w:ilvl w:val="0"/>
          <w:numId w:val="129"/>
        </w:numPr>
        <w:tabs>
          <w:tab w:val="clear" w:pos="720"/>
          <w:tab w:val="left" w:pos="0" w:leader="none"/>
        </w:tabs>
        <w:spacing w:before="0" w:after="200"/>
        <w:ind w:hanging="283" w:left="709"/>
        <w:rPr/>
      </w:pPr>
      <w:r>
        <w:rPr>
          <w:rStyle w:val="Strong"/>
        </w:rPr>
        <w:t>Material conditions affect moral agency.</w:t>
      </w:r>
      <w:r>
        <w:rPr/>
        <w:br/>
        <w:t>Poverty, instability, coercion, exclusion, and insecurity can obstruct moral development. Ethical evaluation must therefore consider whether institutions provide the conditions required for responsible participation.</w:t>
      </w:r>
    </w:p>
    <w:p>
      <w:pPr>
        <w:pStyle w:val="BodyText"/>
        <w:numPr>
          <w:ilvl w:val="0"/>
          <w:numId w:val="129"/>
        </w:numPr>
        <w:tabs>
          <w:tab w:val="clear" w:pos="720"/>
          <w:tab w:val="left" w:pos="0" w:leader="none"/>
        </w:tabs>
        <w:spacing w:before="0" w:after="200"/>
        <w:ind w:hanging="283" w:left="709"/>
        <w:rPr/>
      </w:pPr>
      <w:r>
        <w:rPr>
          <w:rStyle w:val="Strong"/>
        </w:rPr>
        <w:t>Individual, social, and political ethics are interconnected.</w:t>
      </w:r>
      <w:r>
        <w:rPr/>
        <w:br/>
        <w:t>Institutional disorder affects personal character, and failures of personal character can become institutionalized. Ethical assessment must move between these levels rather than treating them as separate domains.</w:t>
      </w:r>
    </w:p>
    <w:p>
      <w:pPr>
        <w:pStyle w:val="Heading4"/>
        <w:ind w:hanging="0" w:left="0"/>
        <w:rPr>
          <w:rFonts w:ascii="Aptos" w:hAnsi="Aptos"/>
          <w:color w:val="auto"/>
        </w:rPr>
      </w:pPr>
      <w:r>
        <w:rPr/>
        <w:t>Concepts incorporated from this ethical model</w:t>
      </w:r>
    </w:p>
    <w:p>
      <w:pPr>
        <w:pStyle w:val="BodyText"/>
        <w:spacing w:before="0" w:after="200"/>
        <w:rPr/>
      </w:pPr>
      <w:r>
        <w:rPr/>
        <w:t>The proposed framework incorporates or can accommodate the following Confucian concepts without adopting every historical Confucian institution or metaphysical commitment.</w:t>
      </w:r>
    </w:p>
    <w:tbl>
      <w:tblPr>
        <w:tblW w:w="8640" w:type="dxa"/>
        <w:jc w:val="left"/>
        <w:tblInd w:w="28" w:type="dxa"/>
        <w:tblLayout w:type="fixed"/>
        <w:tblCellMar>
          <w:top w:w="28" w:type="dxa"/>
          <w:left w:w="28" w:type="dxa"/>
          <w:bottom w:w="28" w:type="dxa"/>
          <w:right w:w="28" w:type="dxa"/>
        </w:tblCellMar>
      </w:tblPr>
      <w:tblGrid>
        <w:gridCol w:w="2891"/>
        <w:gridCol w:w="5749"/>
      </w:tblGrid>
      <w:tr>
        <w:trPr>
          <w:tblHeader w:val="true"/>
        </w:trPr>
        <w:tc>
          <w:tcPr>
            <w:tcW w:w="2891" w:type="dxa"/>
            <w:tcBorders/>
            <w:vAlign w:val="center"/>
          </w:tcPr>
          <w:p>
            <w:pPr>
              <w:pStyle w:val="TableHeading"/>
              <w:suppressLineNumbers/>
              <w:spacing w:before="0" w:after="200"/>
              <w:jc w:val="center"/>
              <w:rPr/>
            </w:pPr>
            <w:r>
              <w:rPr/>
              <w:t>Confucian concept</w:t>
            </w:r>
          </w:p>
        </w:tc>
        <w:tc>
          <w:tcPr>
            <w:tcW w:w="5749" w:type="dxa"/>
            <w:tcBorders/>
            <w:vAlign w:val="center"/>
          </w:tcPr>
          <w:p>
            <w:pPr>
              <w:pStyle w:val="TableHeading"/>
              <w:suppressLineNumbers/>
              <w:spacing w:before="0" w:after="200"/>
              <w:jc w:val="center"/>
              <w:rPr/>
            </w:pPr>
            <w:r>
              <w:rPr/>
              <w:t>Incorporation or adaptation</w:t>
            </w:r>
          </w:p>
        </w:tc>
      </w:tr>
      <w:tr>
        <w:trPr/>
        <w:tc>
          <w:tcPr>
            <w:tcW w:w="2891" w:type="dxa"/>
            <w:tcBorders/>
            <w:vAlign w:val="center"/>
          </w:tcPr>
          <w:p>
            <w:pPr>
              <w:pStyle w:val="TableContents"/>
              <w:widowControl w:val="false"/>
              <w:suppressLineNumbers/>
              <w:spacing w:before="0" w:after="200"/>
              <w:rPr/>
            </w:pPr>
            <w:r>
              <w:rPr>
                <w:rStyle w:val="Strong"/>
              </w:rPr>
              <w:t>Ren — humaneness</w:t>
            </w:r>
          </w:p>
        </w:tc>
        <w:tc>
          <w:tcPr>
            <w:tcW w:w="5749" w:type="dxa"/>
            <w:tcBorders/>
            <w:vAlign w:val="center"/>
          </w:tcPr>
          <w:p>
            <w:pPr>
              <w:pStyle w:val="TableContents"/>
              <w:widowControl w:val="false"/>
              <w:suppressLineNumbers/>
              <w:spacing w:before="0" w:after="200"/>
              <w:rPr/>
            </w:pPr>
            <w:r>
              <w:rPr/>
              <w:t>Concern for the flourishing, vulnerability, agency, and relational well-being of relevant entities</w:t>
            </w:r>
          </w:p>
        </w:tc>
      </w:tr>
      <w:tr>
        <w:trPr/>
        <w:tc>
          <w:tcPr>
            <w:tcW w:w="2891" w:type="dxa"/>
            <w:tcBorders/>
            <w:vAlign w:val="center"/>
          </w:tcPr>
          <w:p>
            <w:pPr>
              <w:pStyle w:val="TableContents"/>
              <w:widowControl w:val="false"/>
              <w:suppressLineNumbers/>
              <w:spacing w:before="0" w:after="200"/>
              <w:rPr/>
            </w:pPr>
            <w:r>
              <w:rPr>
                <w:rStyle w:val="Strong"/>
              </w:rPr>
              <w:t>Yi — rightness or appropriateness</w:t>
            </w:r>
          </w:p>
        </w:tc>
        <w:tc>
          <w:tcPr>
            <w:tcW w:w="5749" w:type="dxa"/>
            <w:tcBorders/>
            <w:vAlign w:val="center"/>
          </w:tcPr>
          <w:p>
            <w:pPr>
              <w:pStyle w:val="TableContents"/>
              <w:widowControl w:val="false"/>
              <w:suppressLineNumbers/>
              <w:spacing w:before="0" w:after="200"/>
              <w:rPr/>
            </w:pPr>
            <w:r>
              <w:rPr/>
              <w:t>Context-sensitive judgment concerning what should be done, beyond advantage or formal compliance</w:t>
            </w:r>
          </w:p>
        </w:tc>
      </w:tr>
      <w:tr>
        <w:trPr/>
        <w:tc>
          <w:tcPr>
            <w:tcW w:w="2891" w:type="dxa"/>
            <w:tcBorders/>
            <w:vAlign w:val="center"/>
          </w:tcPr>
          <w:p>
            <w:pPr>
              <w:pStyle w:val="TableContents"/>
              <w:widowControl w:val="false"/>
              <w:suppressLineNumbers/>
              <w:spacing w:before="0" w:after="200"/>
              <w:rPr/>
            </w:pPr>
            <w:r>
              <w:rPr>
                <w:rStyle w:val="Strong"/>
              </w:rPr>
              <w:t>Li — ritual propriety</w:t>
            </w:r>
          </w:p>
        </w:tc>
        <w:tc>
          <w:tcPr>
            <w:tcW w:w="5749" w:type="dxa"/>
            <w:tcBorders/>
            <w:vAlign w:val="center"/>
          </w:tcPr>
          <w:p>
            <w:pPr>
              <w:pStyle w:val="TableContents"/>
              <w:widowControl w:val="false"/>
              <w:suppressLineNumbers/>
              <w:spacing w:before="0" w:after="200"/>
              <w:rPr/>
            </w:pPr>
            <w:r>
              <w:rPr/>
              <w:t>Analysis of practices, protocols, interfaces, customs, ceremonies, and institutional routines that shape future behavior</w:t>
            </w:r>
          </w:p>
        </w:tc>
      </w:tr>
      <w:tr>
        <w:trPr/>
        <w:tc>
          <w:tcPr>
            <w:tcW w:w="2891" w:type="dxa"/>
            <w:tcBorders/>
            <w:vAlign w:val="center"/>
          </w:tcPr>
          <w:p>
            <w:pPr>
              <w:pStyle w:val="TableContents"/>
              <w:widowControl w:val="false"/>
              <w:suppressLineNumbers/>
              <w:spacing w:before="0" w:after="200"/>
              <w:rPr/>
            </w:pPr>
            <w:r>
              <w:rPr>
                <w:rStyle w:val="Strong"/>
              </w:rPr>
              <w:t>Zhi — practical wisdom</w:t>
            </w:r>
          </w:p>
        </w:tc>
        <w:tc>
          <w:tcPr>
            <w:tcW w:w="5749" w:type="dxa"/>
            <w:tcBorders/>
            <w:vAlign w:val="center"/>
          </w:tcPr>
          <w:p>
            <w:pPr>
              <w:pStyle w:val="TableContents"/>
              <w:widowControl w:val="false"/>
              <w:suppressLineNumbers/>
              <w:spacing w:before="0" w:after="200"/>
              <w:rPr/>
            </w:pPr>
            <w:r>
              <w:rPr/>
              <w:t>Contextual interpretation of evidence, uncertainty, competing responsibilities, and long-term effects</w:t>
            </w:r>
          </w:p>
        </w:tc>
      </w:tr>
      <w:tr>
        <w:trPr/>
        <w:tc>
          <w:tcPr>
            <w:tcW w:w="2891" w:type="dxa"/>
            <w:tcBorders/>
            <w:vAlign w:val="center"/>
          </w:tcPr>
          <w:p>
            <w:pPr>
              <w:pStyle w:val="TableContents"/>
              <w:widowControl w:val="false"/>
              <w:suppressLineNumbers/>
              <w:spacing w:before="0" w:after="200"/>
              <w:rPr/>
            </w:pPr>
            <w:r>
              <w:rPr>
                <w:rStyle w:val="Strong"/>
              </w:rPr>
              <w:t>Xin — trustworthiness</w:t>
            </w:r>
          </w:p>
        </w:tc>
        <w:tc>
          <w:tcPr>
            <w:tcW w:w="5749" w:type="dxa"/>
            <w:tcBorders/>
            <w:vAlign w:val="center"/>
          </w:tcPr>
          <w:p>
            <w:pPr>
              <w:pStyle w:val="TableContents"/>
              <w:widowControl w:val="false"/>
              <w:suppressLineNumbers/>
              <w:spacing w:before="0" w:after="200"/>
              <w:rPr/>
            </w:pPr>
            <w:r>
              <w:rPr/>
              <w:t>Evaluation of reliability, promise-keeping, credibility, information integrity, and cooperative capacity</w:t>
            </w:r>
          </w:p>
        </w:tc>
      </w:tr>
      <w:tr>
        <w:trPr/>
        <w:tc>
          <w:tcPr>
            <w:tcW w:w="2891" w:type="dxa"/>
            <w:tcBorders/>
            <w:vAlign w:val="center"/>
          </w:tcPr>
          <w:p>
            <w:pPr>
              <w:pStyle w:val="TableContents"/>
              <w:widowControl w:val="false"/>
              <w:suppressLineNumbers/>
              <w:spacing w:before="0" w:after="200"/>
              <w:rPr/>
            </w:pPr>
            <w:r>
              <w:rPr>
                <w:rStyle w:val="Strong"/>
              </w:rPr>
              <w:t>Xiao — filial responsibility</w:t>
            </w:r>
          </w:p>
        </w:tc>
        <w:tc>
          <w:tcPr>
            <w:tcW w:w="5749" w:type="dxa"/>
            <w:tcBorders/>
            <w:vAlign w:val="center"/>
          </w:tcPr>
          <w:p>
            <w:pPr>
              <w:pStyle w:val="TableContents"/>
              <w:widowControl w:val="false"/>
              <w:suppressLineNumbers/>
              <w:spacing w:before="0" w:after="200"/>
              <w:rPr/>
            </w:pPr>
            <w:r>
              <w:rPr/>
              <w:t>Recognition of special responsibilities based on family, dependence, prior care, and intergenerational relationships</w:t>
            </w:r>
          </w:p>
        </w:tc>
      </w:tr>
      <w:tr>
        <w:trPr/>
        <w:tc>
          <w:tcPr>
            <w:tcW w:w="2891" w:type="dxa"/>
            <w:tcBorders/>
            <w:vAlign w:val="center"/>
          </w:tcPr>
          <w:p>
            <w:pPr>
              <w:pStyle w:val="TableContents"/>
              <w:widowControl w:val="false"/>
              <w:suppressLineNumbers/>
              <w:spacing w:before="0" w:after="200"/>
              <w:rPr/>
            </w:pPr>
            <w:r>
              <w:rPr>
                <w:rStyle w:val="Strong"/>
              </w:rPr>
              <w:t>Shu — reciprocity and perspective-taking</w:t>
            </w:r>
          </w:p>
        </w:tc>
        <w:tc>
          <w:tcPr>
            <w:tcW w:w="5749" w:type="dxa"/>
            <w:tcBorders/>
            <w:vAlign w:val="center"/>
          </w:tcPr>
          <w:p>
            <w:pPr>
              <w:pStyle w:val="TableContents"/>
              <w:widowControl w:val="false"/>
              <w:suppressLineNumbers/>
              <w:spacing w:before="0" w:after="200"/>
              <w:rPr/>
            </w:pPr>
            <w:r>
              <w:rPr/>
              <w:t>Structured examination of how an action and its governing policy would be experienced by differently situated parties</w:t>
            </w:r>
          </w:p>
        </w:tc>
      </w:tr>
      <w:tr>
        <w:trPr/>
        <w:tc>
          <w:tcPr>
            <w:tcW w:w="2891" w:type="dxa"/>
            <w:tcBorders/>
            <w:vAlign w:val="center"/>
          </w:tcPr>
          <w:p>
            <w:pPr>
              <w:pStyle w:val="TableContents"/>
              <w:widowControl w:val="false"/>
              <w:suppressLineNumbers/>
              <w:spacing w:before="0" w:after="200"/>
              <w:rPr/>
            </w:pPr>
            <w:r>
              <w:rPr>
                <w:rStyle w:val="Strong"/>
              </w:rPr>
              <w:t>Zhong — conscientious role fulfillment</w:t>
            </w:r>
          </w:p>
        </w:tc>
        <w:tc>
          <w:tcPr>
            <w:tcW w:w="5749" w:type="dxa"/>
            <w:tcBorders/>
            <w:vAlign w:val="center"/>
          </w:tcPr>
          <w:p>
            <w:pPr>
              <w:pStyle w:val="TableContents"/>
              <w:widowControl w:val="false"/>
              <w:suppressLineNumbers/>
              <w:spacing w:before="0" w:after="200"/>
              <w:rPr/>
            </w:pPr>
            <w:r>
              <w:rPr/>
              <w:t>Assessment of whether an agent exercised the care, competence, effort, and fidelity to purpose required by a legitimate role</w:t>
            </w:r>
          </w:p>
        </w:tc>
      </w:tr>
      <w:tr>
        <w:trPr/>
        <w:tc>
          <w:tcPr>
            <w:tcW w:w="2891" w:type="dxa"/>
            <w:tcBorders/>
            <w:vAlign w:val="center"/>
          </w:tcPr>
          <w:p>
            <w:pPr>
              <w:pStyle w:val="TableContents"/>
              <w:widowControl w:val="false"/>
              <w:suppressLineNumbers/>
              <w:spacing w:before="0" w:after="200"/>
              <w:rPr/>
            </w:pPr>
            <w:r>
              <w:rPr>
                <w:rStyle w:val="Strong"/>
              </w:rPr>
              <w:t>Junzi — exemplary moral agent</w:t>
            </w:r>
          </w:p>
        </w:tc>
        <w:tc>
          <w:tcPr>
            <w:tcW w:w="5749" w:type="dxa"/>
            <w:tcBorders/>
            <w:vAlign w:val="center"/>
          </w:tcPr>
          <w:p>
            <w:pPr>
              <w:pStyle w:val="TableContents"/>
              <w:widowControl w:val="false"/>
              <w:suppressLineNumbers/>
              <w:spacing w:before="0" w:after="200"/>
              <w:rPr/>
            </w:pPr>
            <w:r>
              <w:rPr/>
              <w:t>The framework’s concern for the adaptive moral development of agents and the policies they are likely to adopt in the future</w:t>
            </w:r>
          </w:p>
        </w:tc>
      </w:tr>
      <w:tr>
        <w:trPr/>
        <w:tc>
          <w:tcPr>
            <w:tcW w:w="2891" w:type="dxa"/>
            <w:tcBorders/>
            <w:vAlign w:val="center"/>
          </w:tcPr>
          <w:p>
            <w:pPr>
              <w:pStyle w:val="TableContents"/>
              <w:widowControl w:val="false"/>
              <w:suppressLineNumbers/>
              <w:spacing w:before="0" w:after="200"/>
              <w:rPr/>
            </w:pPr>
            <w:r>
              <w:rPr>
                <w:rStyle w:val="Strong"/>
              </w:rPr>
              <w:t>Self-cultivation</w:t>
            </w:r>
          </w:p>
        </w:tc>
        <w:tc>
          <w:tcPr>
            <w:tcW w:w="5749" w:type="dxa"/>
            <w:tcBorders/>
            <w:vAlign w:val="center"/>
          </w:tcPr>
          <w:p>
            <w:pPr>
              <w:pStyle w:val="TableContents"/>
              <w:widowControl w:val="false"/>
              <w:suppressLineNumbers/>
              <w:spacing w:before="0" w:after="200"/>
              <w:rPr/>
            </w:pPr>
            <w:r>
              <w:rPr/>
              <w:t>Changes to an agent’s future judgment, habits, knowledge, emotional responses, and decision-making capacity</w:t>
            </w:r>
          </w:p>
        </w:tc>
      </w:tr>
      <w:tr>
        <w:trPr/>
        <w:tc>
          <w:tcPr>
            <w:tcW w:w="2891" w:type="dxa"/>
            <w:tcBorders/>
            <w:vAlign w:val="center"/>
          </w:tcPr>
          <w:p>
            <w:pPr>
              <w:pStyle w:val="TableContents"/>
              <w:widowControl w:val="false"/>
              <w:suppressLineNumbers/>
              <w:spacing w:before="0" w:after="200"/>
              <w:rPr/>
            </w:pPr>
            <w:r>
              <w:rPr>
                <w:rStyle w:val="Strong"/>
              </w:rPr>
              <w:t>Harmony without sameness</w:t>
            </w:r>
          </w:p>
        </w:tc>
        <w:tc>
          <w:tcPr>
            <w:tcW w:w="5749" w:type="dxa"/>
            <w:tcBorders/>
            <w:vAlign w:val="center"/>
          </w:tcPr>
          <w:p>
            <w:pPr>
              <w:pStyle w:val="TableContents"/>
              <w:widowControl w:val="false"/>
              <w:suppressLineNumbers/>
              <w:spacing w:before="0" w:after="200"/>
              <w:rPr/>
            </w:pPr>
            <w:r>
              <w:rPr/>
              <w:t>Compatible flourishing among differentiated entities without requiring uniformity or suppressing legitimate disagreement</w:t>
            </w:r>
          </w:p>
        </w:tc>
      </w:tr>
      <w:tr>
        <w:trPr/>
        <w:tc>
          <w:tcPr>
            <w:tcW w:w="2891" w:type="dxa"/>
            <w:tcBorders/>
            <w:vAlign w:val="center"/>
          </w:tcPr>
          <w:p>
            <w:pPr>
              <w:pStyle w:val="TableContents"/>
              <w:widowControl w:val="false"/>
              <w:suppressLineNumbers/>
              <w:spacing w:before="0" w:after="200"/>
              <w:rPr/>
            </w:pPr>
            <w:r>
              <w:rPr>
                <w:rStyle w:val="Strong"/>
              </w:rPr>
              <w:t>Rectification of names</w:t>
            </w:r>
          </w:p>
        </w:tc>
        <w:tc>
          <w:tcPr>
            <w:tcW w:w="5749" w:type="dxa"/>
            <w:tcBorders/>
            <w:vAlign w:val="center"/>
          </w:tcPr>
          <w:p>
            <w:pPr>
              <w:pStyle w:val="TableContents"/>
              <w:widowControl w:val="false"/>
              <w:suppressLineNumbers/>
              <w:spacing w:before="0" w:after="200"/>
              <w:rPr/>
            </w:pPr>
            <w:r>
              <w:rPr/>
              <w:t>Validation of whether titles, authority claims, classifications, and declared institutional purposes correspond to actual conduct</w:t>
            </w:r>
          </w:p>
        </w:tc>
      </w:tr>
      <w:tr>
        <w:trPr/>
        <w:tc>
          <w:tcPr>
            <w:tcW w:w="2891" w:type="dxa"/>
            <w:tcBorders/>
            <w:vAlign w:val="center"/>
          </w:tcPr>
          <w:p>
            <w:pPr>
              <w:pStyle w:val="TableContents"/>
              <w:widowControl w:val="false"/>
              <w:suppressLineNumbers/>
              <w:spacing w:before="0" w:after="200"/>
              <w:rPr/>
            </w:pPr>
            <w:r>
              <w:rPr>
                <w:rStyle w:val="Strong"/>
              </w:rPr>
              <w:t>Remonstrance</w:t>
            </w:r>
          </w:p>
        </w:tc>
        <w:tc>
          <w:tcPr>
            <w:tcW w:w="5749" w:type="dxa"/>
            <w:tcBorders/>
            <w:vAlign w:val="center"/>
          </w:tcPr>
          <w:p>
            <w:pPr>
              <w:pStyle w:val="TableContents"/>
              <w:widowControl w:val="false"/>
              <w:suppressLineNumbers/>
              <w:spacing w:before="0" w:after="200"/>
              <w:rPr/>
            </w:pPr>
            <w:r>
              <w:rPr/>
              <w:t>Duties to warn, question, document, escalate, or refuse when authority is exercised harmfully</w:t>
            </w:r>
          </w:p>
        </w:tc>
      </w:tr>
      <w:tr>
        <w:trPr/>
        <w:tc>
          <w:tcPr>
            <w:tcW w:w="2891" w:type="dxa"/>
            <w:tcBorders/>
            <w:vAlign w:val="center"/>
          </w:tcPr>
          <w:p>
            <w:pPr>
              <w:pStyle w:val="TableContents"/>
              <w:widowControl w:val="false"/>
              <w:suppressLineNumbers/>
              <w:spacing w:before="0" w:after="200"/>
              <w:rPr/>
            </w:pPr>
            <w:r>
              <w:rPr>
                <w:rStyle w:val="Strong"/>
              </w:rPr>
              <w:t>Moral exemplarity</w:t>
            </w:r>
          </w:p>
        </w:tc>
        <w:tc>
          <w:tcPr>
            <w:tcW w:w="5749" w:type="dxa"/>
            <w:tcBorders/>
            <w:vAlign w:val="center"/>
          </w:tcPr>
          <w:p>
            <w:pPr>
              <w:pStyle w:val="TableContents"/>
              <w:widowControl w:val="false"/>
              <w:suppressLineNumbers/>
              <w:spacing w:before="0" w:after="200"/>
              <w:rPr/>
            </w:pPr>
            <w:r>
              <w:rPr/>
              <w:t>Distributed Policy Effects produced by visible conduct, especially the conduct of leaders and other influential agents</w:t>
            </w:r>
          </w:p>
        </w:tc>
      </w:tr>
      <w:tr>
        <w:trPr/>
        <w:tc>
          <w:tcPr>
            <w:tcW w:w="2891" w:type="dxa"/>
            <w:tcBorders/>
            <w:vAlign w:val="center"/>
          </w:tcPr>
          <w:p>
            <w:pPr>
              <w:pStyle w:val="TableContents"/>
              <w:widowControl w:val="false"/>
              <w:suppressLineNumbers/>
              <w:spacing w:before="0" w:after="200"/>
              <w:rPr/>
            </w:pPr>
            <w:r>
              <w:rPr>
                <w:rStyle w:val="Strong"/>
              </w:rPr>
              <w:t>Investigation of things</w:t>
            </w:r>
          </w:p>
        </w:tc>
        <w:tc>
          <w:tcPr>
            <w:tcW w:w="5749" w:type="dxa"/>
            <w:tcBorders/>
            <w:vAlign w:val="center"/>
          </w:tcPr>
          <w:p>
            <w:pPr>
              <w:pStyle w:val="TableContents"/>
              <w:widowControl w:val="false"/>
              <w:suppressLineNumbers/>
              <w:spacing w:before="0" w:after="200"/>
              <w:rPr/>
            </w:pPr>
            <w:r>
              <w:rPr/>
              <w:t>Evidence-based inquiry into the actual entities, relationships, constraints, and causal mechanisms involved</w:t>
            </w:r>
          </w:p>
        </w:tc>
      </w:tr>
      <w:tr>
        <w:trPr/>
        <w:tc>
          <w:tcPr>
            <w:tcW w:w="2891" w:type="dxa"/>
            <w:tcBorders/>
            <w:vAlign w:val="center"/>
          </w:tcPr>
          <w:p>
            <w:pPr>
              <w:pStyle w:val="TableContents"/>
              <w:widowControl w:val="false"/>
              <w:suppressLineNumbers/>
              <w:spacing w:before="0" w:after="200"/>
              <w:rPr/>
            </w:pPr>
            <w:r>
              <w:rPr>
                <w:rStyle w:val="Strong"/>
              </w:rPr>
              <w:t>Unity of knowledge and action</w:t>
            </w:r>
          </w:p>
        </w:tc>
        <w:tc>
          <w:tcPr>
            <w:tcW w:w="5749" w:type="dxa"/>
            <w:tcBorders/>
            <w:vAlign w:val="center"/>
          </w:tcPr>
          <w:p>
            <w:pPr>
              <w:pStyle w:val="TableContents"/>
              <w:widowControl w:val="false"/>
              <w:suppressLineNumbers/>
              <w:spacing w:before="0" w:after="200"/>
              <w:rPr/>
            </w:pPr>
            <w:r>
              <w:rPr/>
              <w:t>Requirement that ethical conclusions be connected to implementation, monitoring, accountability, and correction</w:t>
            </w:r>
          </w:p>
        </w:tc>
      </w:tr>
      <w:tr>
        <w:trPr/>
        <w:tc>
          <w:tcPr>
            <w:tcW w:w="2891" w:type="dxa"/>
            <w:tcBorders/>
            <w:vAlign w:val="center"/>
          </w:tcPr>
          <w:p>
            <w:pPr>
              <w:pStyle w:val="TableContents"/>
              <w:widowControl w:val="false"/>
              <w:suppressLineNumbers/>
              <w:spacing w:before="0" w:after="200"/>
              <w:rPr/>
            </w:pPr>
            <w:r>
              <w:rPr>
                <w:rStyle w:val="Strong"/>
              </w:rPr>
              <w:t>Extension of concern</w:t>
            </w:r>
          </w:p>
        </w:tc>
        <w:tc>
          <w:tcPr>
            <w:tcW w:w="5749" w:type="dxa"/>
            <w:tcBorders/>
            <w:vAlign w:val="center"/>
          </w:tcPr>
          <w:p>
            <w:pPr>
              <w:pStyle w:val="TableContents"/>
              <w:widowControl w:val="false"/>
              <w:suppressLineNumbers/>
              <w:spacing w:before="0" w:after="200"/>
              <w:rPr/>
            </w:pPr>
            <w:r>
              <w:rPr/>
              <w:t>Expansion of moral attention from familiar relationships to distant, marginalized, future, nonhuman, or otherwise overlooked entities</w:t>
            </w:r>
          </w:p>
        </w:tc>
      </w:tr>
    </w:tbl>
    <w:p>
      <w:pPr>
        <w:pStyle w:val="BodyText"/>
        <w:spacing w:before="0" w:after="200"/>
        <w:rPr/>
      </w:pPr>
      <w:r>
        <w:rPr/>
        <w:t>These concepts are adapted rather than reproduced without qualification. In particular, the framework does not assume that inherited hierarchies, traditional practices, or role expectations are ethically legitimate merely because they are historically Confucian or socially established.</w:t>
      </w:r>
    </w:p>
    <w:p>
      <w:pPr>
        <w:pStyle w:val="Heading4"/>
        <w:ind w:hanging="0" w:left="0"/>
        <w:rPr>
          <w:rFonts w:ascii="Aptos" w:hAnsi="Aptos"/>
          <w:color w:val="auto"/>
        </w:rPr>
      </w:pPr>
      <w:r>
        <w:rPr/>
        <w:t>How this framework addresses those assumptions</w:t>
      </w:r>
    </w:p>
    <w:p>
      <w:pPr>
        <w:pStyle w:val="BodyText"/>
        <w:numPr>
          <w:ilvl w:val="0"/>
          <w:numId w:val="130"/>
        </w:numPr>
        <w:tabs>
          <w:tab w:val="clear" w:pos="720"/>
          <w:tab w:val="left" w:pos="0" w:leader="none"/>
        </w:tabs>
        <w:spacing w:before="0" w:after="200"/>
        <w:ind w:hanging="283" w:left="709"/>
        <w:rPr/>
      </w:pPr>
      <w:r>
        <w:rPr>
          <w:rStyle w:val="Strong"/>
        </w:rPr>
        <w:t>Relationships are part of the evaluated World Context.</w:t>
      </w:r>
      <w:r>
        <w:rPr/>
        <w:br/>
        <w:t>The framework’s Associations can represent family, professional, institutional, ecological, informational, and political relationships. These Associations include dependency, authority, trust, reciprocity, history, and responsibility.</w:t>
      </w:r>
    </w:p>
    <w:p>
      <w:pPr>
        <w:pStyle w:val="BodyText"/>
        <w:numPr>
          <w:ilvl w:val="0"/>
          <w:numId w:val="130"/>
        </w:numPr>
        <w:tabs>
          <w:tab w:val="clear" w:pos="720"/>
          <w:tab w:val="left" w:pos="0" w:leader="none"/>
        </w:tabs>
        <w:spacing w:before="0" w:after="200"/>
        <w:ind w:hanging="283" w:left="709"/>
        <w:rPr/>
      </w:pPr>
      <w:r>
        <w:rPr>
          <w:rStyle w:val="Strong"/>
        </w:rPr>
        <w:t>Flourishing is relational rather than exclusively individual.</w:t>
      </w:r>
      <w:r>
        <w:rPr/>
        <w:br/>
        <w:t>Long-Term Flourishing includes an entity’s sustained capacity to maintain beneficial relationships, participate meaningfully, exercise appropriate agency, and contribute compatibly to the surrounding World Context.</w:t>
      </w:r>
    </w:p>
    <w:p>
      <w:pPr>
        <w:pStyle w:val="BodyText"/>
        <w:numPr>
          <w:ilvl w:val="0"/>
          <w:numId w:val="130"/>
        </w:numPr>
        <w:tabs>
          <w:tab w:val="clear" w:pos="720"/>
          <w:tab w:val="left" w:pos="0" w:leader="none"/>
        </w:tabs>
        <w:spacing w:before="0" w:after="200"/>
        <w:ind w:hanging="283" w:left="709"/>
        <w:rPr/>
      </w:pPr>
      <w:r>
        <w:rPr>
          <w:rStyle w:val="Strong"/>
        </w:rPr>
        <w:t>The full transition includes changes to relationships.</w:t>
      </w:r>
      <w:r>
        <w:rPr/>
        <w:br/>
        <w:t>The framework does not limit consequences to material transfers or immediate welfare. A World Context Transition may include changes to trust, role integrity, institutional legitimacy, willingness to cooperate, and the ability to resolve future conflict.</w:t>
      </w:r>
    </w:p>
    <w:p>
      <w:pPr>
        <w:pStyle w:val="BodyText"/>
        <w:numPr>
          <w:ilvl w:val="0"/>
          <w:numId w:val="130"/>
        </w:numPr>
        <w:tabs>
          <w:tab w:val="clear" w:pos="720"/>
          <w:tab w:val="left" w:pos="0" w:leader="none"/>
        </w:tabs>
        <w:spacing w:before="0" w:after="200"/>
        <w:ind w:hanging="283" w:left="709"/>
        <w:rPr/>
      </w:pPr>
      <w:r>
        <w:rPr>
          <w:rStyle w:val="Strong"/>
        </w:rPr>
        <w:t>Agent development is explicitly included.</w:t>
      </w:r>
      <w:r>
        <w:rPr/>
        <w:br/>
        <w:t>The Foundational Axiom calls for fostering the adaptive development of moral agents. An action can therefore be criticized when it produces a short-term benefit by cultivating dishonesty, cruelty, cowardice, dependency, or indifference.</w:t>
      </w:r>
    </w:p>
    <w:p>
      <w:pPr>
        <w:pStyle w:val="BodyText"/>
        <w:numPr>
          <w:ilvl w:val="0"/>
          <w:numId w:val="130"/>
        </w:numPr>
        <w:tabs>
          <w:tab w:val="clear" w:pos="720"/>
          <w:tab w:val="left" w:pos="0" w:leader="none"/>
        </w:tabs>
        <w:spacing w:before="0" w:after="200"/>
        <w:ind w:hanging="283" w:left="709"/>
        <w:rPr/>
      </w:pPr>
      <w:r>
        <w:rPr>
          <w:rStyle w:val="Strong"/>
        </w:rPr>
        <w:t>Distributed Policy Effects capture exemplary influence.</w:t>
      </w:r>
      <w:r>
        <w:rPr/>
        <w:br/>
        <w:t>The framework evaluates how conduct changes the future policies of actors, observers, institutions, and artificial systems. This gives formal expression to the Confucian insight that visible conduct teaches others how to behave.</w:t>
      </w:r>
    </w:p>
    <w:p>
      <w:pPr>
        <w:pStyle w:val="BodyText"/>
        <w:numPr>
          <w:ilvl w:val="0"/>
          <w:numId w:val="130"/>
        </w:numPr>
        <w:tabs>
          <w:tab w:val="clear" w:pos="720"/>
          <w:tab w:val="left" w:pos="0" w:leader="none"/>
        </w:tabs>
        <w:spacing w:before="0" w:after="200"/>
        <w:ind w:hanging="283" w:left="709"/>
        <w:rPr/>
      </w:pPr>
      <w:r>
        <w:rPr>
          <w:rStyle w:val="Strong"/>
        </w:rPr>
        <w:t>Roles affect responsibility.</w:t>
      </w:r>
      <w:r>
        <w:rPr/>
        <w:br/>
        <w:t>Responsibility is distinguished from causal effect. Role, authority, knowledge, intent, available alternatives, dependency, and foreseeability affect how responsibility is assigned.</w:t>
      </w:r>
    </w:p>
    <w:p>
      <w:pPr>
        <w:pStyle w:val="BodyText"/>
        <w:numPr>
          <w:ilvl w:val="0"/>
          <w:numId w:val="130"/>
        </w:numPr>
        <w:tabs>
          <w:tab w:val="clear" w:pos="720"/>
          <w:tab w:val="left" w:pos="0" w:leader="none"/>
        </w:tabs>
        <w:spacing w:before="0" w:after="200"/>
        <w:ind w:hanging="283" w:left="709"/>
        <w:rPr/>
      </w:pPr>
      <w:r>
        <w:rPr>
          <w:rStyle w:val="Strong"/>
        </w:rPr>
        <w:t>Special obligations can be represented.</w:t>
      </w:r>
      <w:r>
        <w:rPr/>
        <w:br/>
        <w:t>The framework can recognize heightened obligations toward dependents, family members, clients, students, patients, employees, and citizens when those obligations arise from legitimate relationships.</w:t>
      </w:r>
    </w:p>
    <w:p>
      <w:pPr>
        <w:pStyle w:val="BodyText"/>
        <w:numPr>
          <w:ilvl w:val="0"/>
          <w:numId w:val="130"/>
        </w:numPr>
        <w:tabs>
          <w:tab w:val="clear" w:pos="720"/>
          <w:tab w:val="left" w:pos="0" w:leader="none"/>
        </w:tabs>
        <w:spacing w:before="0" w:after="200"/>
        <w:ind w:hanging="283" w:left="709"/>
        <w:rPr/>
      </w:pPr>
      <w:r>
        <w:rPr>
          <w:rStyle w:val="Strong"/>
        </w:rPr>
        <w:t>Special obligations remain subject to wider ethical review.</w:t>
      </w:r>
      <w:r>
        <w:rPr/>
        <w:br/>
        <w:t>Family loyalty or institutional loyalty cannot automatically justify corruption, concealment, exploitation, or severe harm to outsiders. The legitimacy and limits of partiality must be assessed within the complete World Context.</w:t>
      </w:r>
    </w:p>
    <w:p>
      <w:pPr>
        <w:pStyle w:val="BodyText"/>
        <w:numPr>
          <w:ilvl w:val="0"/>
          <w:numId w:val="130"/>
        </w:numPr>
        <w:tabs>
          <w:tab w:val="clear" w:pos="720"/>
          <w:tab w:val="left" w:pos="0" w:leader="none"/>
        </w:tabs>
        <w:spacing w:before="0" w:after="200"/>
        <w:ind w:hanging="283" w:left="709"/>
        <w:rPr/>
      </w:pPr>
      <w:r>
        <w:rPr>
          <w:rStyle w:val="Strong"/>
        </w:rPr>
        <w:t>Ritual can be modeled as ethical infrastructure.</w:t>
      </w:r>
      <w:r>
        <w:rPr/>
        <w:br/>
        <w:t>Recurring practices, policies, interfaces, ceremonies, and organizational routines can be evaluated for their effects on respect, behavior, emotional formation, authority, and future decision patterns.</w:t>
      </w:r>
    </w:p>
    <w:p>
      <w:pPr>
        <w:pStyle w:val="BodyText"/>
        <w:numPr>
          <w:ilvl w:val="0"/>
          <w:numId w:val="130"/>
        </w:numPr>
        <w:tabs>
          <w:tab w:val="clear" w:pos="720"/>
          <w:tab w:val="left" w:pos="0" w:leader="none"/>
        </w:tabs>
        <w:spacing w:before="0" w:after="200"/>
        <w:ind w:hanging="283" w:left="709"/>
        <w:rPr/>
      </w:pPr>
      <w:r>
        <w:rPr>
          <w:rStyle w:val="Strong"/>
        </w:rPr>
        <w:t>Ritual is not automatically authoritative.</w:t>
      </w:r>
      <w:r>
        <w:rPr/>
        <w:br/>
        <w:t>A practice’s age, symbolic importance, or cultural familiarity does not establish its ethical legitimacy. Practices must be evaluated for exclusion, domination, coercion, and their effects on long-term flourishing.</w:t>
      </w:r>
    </w:p>
    <w:p>
      <w:pPr>
        <w:pStyle w:val="BodyText"/>
        <w:numPr>
          <w:ilvl w:val="0"/>
          <w:numId w:val="130"/>
        </w:numPr>
        <w:tabs>
          <w:tab w:val="clear" w:pos="720"/>
          <w:tab w:val="left" w:pos="0" w:leader="none"/>
        </w:tabs>
        <w:spacing w:before="0" w:after="200"/>
        <w:ind w:hanging="283" w:left="709"/>
        <w:rPr/>
      </w:pPr>
      <w:r>
        <w:rPr>
          <w:rStyle w:val="Strong"/>
        </w:rPr>
        <w:t>Harmony is distinguished from apparent agreement.</w:t>
      </w:r>
      <w:r>
        <w:rPr/>
        <w:br/>
        <w:t>A stable system is not ethically successful if its stability depends on fear, censorship, dependency, or the exclusion of dissenting parties. Genuine harmony must preserve meaningful avenues for correction and remonstrance.</w:t>
      </w:r>
    </w:p>
    <w:p>
      <w:pPr>
        <w:pStyle w:val="BodyText"/>
        <w:numPr>
          <w:ilvl w:val="0"/>
          <w:numId w:val="130"/>
        </w:numPr>
        <w:tabs>
          <w:tab w:val="clear" w:pos="720"/>
          <w:tab w:val="left" w:pos="0" w:leader="none"/>
        </w:tabs>
        <w:spacing w:before="0" w:after="200"/>
        <w:ind w:hanging="283" w:left="709"/>
        <w:rPr/>
      </w:pPr>
      <w:r>
        <w:rPr>
          <w:rStyle w:val="Strong"/>
        </w:rPr>
        <w:t>The framework supports the rectification of names.</w:t>
      </w:r>
      <w:r>
        <w:rPr/>
        <w:br/>
        <w:t>It can compare formal descriptions with operational reality: claimed authority with actual competence, stated values with incentives, nominal consent with meaningful choice, and declared accountability with enforceable responsibility.</w:t>
      </w:r>
    </w:p>
    <w:p>
      <w:pPr>
        <w:pStyle w:val="BodyText"/>
        <w:numPr>
          <w:ilvl w:val="0"/>
          <w:numId w:val="130"/>
        </w:numPr>
        <w:tabs>
          <w:tab w:val="clear" w:pos="720"/>
          <w:tab w:val="left" w:pos="0" w:leader="none"/>
        </w:tabs>
        <w:spacing w:before="0" w:after="200"/>
        <w:ind w:hanging="283" w:left="709"/>
        <w:rPr/>
      </w:pPr>
      <w:r>
        <w:rPr>
          <w:rStyle w:val="Strong"/>
        </w:rPr>
        <w:t>Qualitative evidence remains relevant.</w:t>
      </w:r>
      <w:r>
        <w:rPr/>
        <w:br/>
        <w:t>Relational meaning, grief, respect, humiliation, belonging, and trust may not be adequately represented by numerical measures alone. Testimony, observed conduct, histories, and culturally informed interpretation can be included in the evidentiary record.</w:t>
      </w:r>
    </w:p>
    <w:p>
      <w:pPr>
        <w:pStyle w:val="BodyText"/>
        <w:numPr>
          <w:ilvl w:val="0"/>
          <w:numId w:val="130"/>
        </w:numPr>
        <w:tabs>
          <w:tab w:val="clear" w:pos="720"/>
          <w:tab w:val="left" w:pos="0" w:leader="none"/>
        </w:tabs>
        <w:spacing w:before="0" w:after="200"/>
        <w:ind w:hanging="283" w:left="709"/>
        <w:rPr/>
      </w:pPr>
      <w:r>
        <w:rPr>
          <w:rStyle w:val="Strong"/>
        </w:rPr>
        <w:t>Formal analysis does not replace practical judgment.</w:t>
      </w:r>
      <w:r>
        <w:rPr/>
        <w:br/>
        <w:t>The framework is an architecture for organizing relevant considerations, exposing assumptions, and comparing transitions. It does not claim that moral wisdom can be generated solely by calculation.</w:t>
      </w:r>
    </w:p>
    <w:p>
      <w:pPr>
        <w:pStyle w:val="BodyText"/>
        <w:numPr>
          <w:ilvl w:val="0"/>
          <w:numId w:val="130"/>
        </w:numPr>
        <w:tabs>
          <w:tab w:val="clear" w:pos="720"/>
          <w:tab w:val="left" w:pos="0" w:leader="none"/>
        </w:tabs>
        <w:spacing w:before="0" w:after="200"/>
        <w:ind w:hanging="283" w:left="709"/>
        <w:rPr/>
      </w:pPr>
      <w:r>
        <w:rPr>
          <w:rStyle w:val="Strong"/>
        </w:rPr>
        <w:t>Implementation neutrality permits culturally meaningful practices.</w:t>
      </w:r>
      <w:r>
        <w:rPr/>
        <w:br/>
        <w:t>Communities can express respect, care, responsibility, reconciliation, and remembrance through different practices, provided those practices remain compatible with the flourishing of affected entities.</w:t>
      </w:r>
    </w:p>
    <w:p>
      <w:pPr>
        <w:pStyle w:val="BodyText"/>
        <w:numPr>
          <w:ilvl w:val="0"/>
          <w:numId w:val="130"/>
        </w:numPr>
        <w:tabs>
          <w:tab w:val="clear" w:pos="720"/>
          <w:tab w:val="left" w:pos="0" w:leader="none"/>
        </w:tabs>
        <w:spacing w:before="0" w:after="200"/>
        <w:ind w:hanging="283" w:left="709"/>
        <w:rPr/>
      </w:pPr>
      <w:r>
        <w:rPr>
          <w:rStyle w:val="Strong"/>
        </w:rPr>
        <w:t>Evidence and uncertainty constrain claims of moral expertise.</w:t>
      </w:r>
      <w:r>
        <w:rPr/>
        <w:br/>
        <w:t>A respected role, cultivated reputation, or asserted intuition does not make a judgment infallible. The framework requires relevant evidence, explicit assumptions, and revision when predicted effects do not occur.</w:t>
      </w:r>
    </w:p>
    <w:p>
      <w:pPr>
        <w:pStyle w:val="BodyText"/>
        <w:numPr>
          <w:ilvl w:val="0"/>
          <w:numId w:val="130"/>
        </w:numPr>
        <w:tabs>
          <w:tab w:val="clear" w:pos="720"/>
          <w:tab w:val="left" w:pos="0" w:leader="none"/>
        </w:tabs>
        <w:spacing w:before="0" w:after="200"/>
        <w:ind w:hanging="283" w:left="709"/>
        <w:rPr/>
      </w:pPr>
      <w:r>
        <w:rPr>
          <w:rStyle w:val="Strong"/>
        </w:rPr>
        <w:t>Multiple time horizons capture moral formation.</w:t>
      </w:r>
      <w:r>
        <w:rPr/>
        <w:br/>
        <w:t>An action may be beneficial immediately but harmful over time if it weakens trust, normalizes misconduct, or damages moral development. Conversely, education and correction may impose short-term burdens while expanding long-term capacities.</w:t>
      </w:r>
    </w:p>
    <w:p>
      <w:pPr>
        <w:pStyle w:val="BodyText"/>
        <w:numPr>
          <w:ilvl w:val="0"/>
          <w:numId w:val="130"/>
        </w:numPr>
        <w:tabs>
          <w:tab w:val="clear" w:pos="720"/>
          <w:tab w:val="left" w:pos="0" w:leader="none"/>
        </w:tabs>
        <w:spacing w:before="0" w:after="200"/>
        <w:ind w:hanging="283" w:left="709"/>
        <w:rPr/>
      </w:pPr>
      <w:r>
        <w:rPr>
          <w:rStyle w:val="Strong"/>
        </w:rPr>
        <w:t>The scope of concern extends beyond traditional human roles.</w:t>
      </w:r>
      <w:r>
        <w:rPr/>
        <w:br/>
        <w:t>The framework can apply relational and developmental reasoning to ecosystems, nonhuman organisms, institutions, future generations, and artificial systems when they qualify as relevant entities or affect such entities.</w:t>
      </w:r>
    </w:p>
    <w:p>
      <w:pPr>
        <w:pStyle w:val="Heading4"/>
        <w:ind w:hanging="0" w:left="0"/>
        <w:rPr>
          <w:rFonts w:ascii="Aptos" w:hAnsi="Aptos"/>
          <w:color w:val="auto"/>
        </w:rPr>
      </w:pPr>
      <w:r>
        <w:rPr/>
        <w:t>Counterargument</w:t>
      </w:r>
    </w:p>
    <w:p>
      <w:pPr>
        <w:pStyle w:val="BodyText"/>
        <w:spacing w:before="0" w:after="200"/>
        <w:rPr/>
      </w:pPr>
      <w:r>
        <w:rPr/>
        <w:t>The Confucian objection identifies a genuine risk but does not establish that the proposed framework is incompatible with Confucian ethics. The framework does not require persons to be modeled as isolated individuals, relationships to be treated as external variables, or ethical judgment to be reduced to aggregate outcomes. A complete World Context can include relational identity, role responsibilities, institutional practices, cultural meaning, moral development, emotional effects, and the future policies produced by exemplary conduct.</w:t>
      </w:r>
    </w:p>
    <w:p>
      <w:pPr>
        <w:pStyle w:val="BodyText"/>
        <w:spacing w:before="0" w:after="200"/>
        <w:rPr/>
      </w:pPr>
      <w:r>
        <w:rPr/>
        <w:t>The framework is best understood as an evaluative architecture rather than a replacement for moral cultivation or practical wisdom. Its implementation neutrality allows Confucian concepts to inform how entities, Associations, effects, and responsibilities are represented. It can make Confucian considerations more explicit by requiring assessors to identify which relationships matter, why particular roles create obligations, whether authority is legitimate, and how practices affect future conduct.</w:t>
      </w:r>
    </w:p>
    <w:p>
      <w:pPr>
        <w:pStyle w:val="BodyText"/>
        <w:spacing w:before="0" w:after="200"/>
        <w:rPr/>
      </w:pPr>
      <w:r>
        <w:rPr/>
        <w:t>Formalization may also protect Confucian values from misuse. Appeals to harmony, loyalty, filiality, ritual, or authority can conceal domination, nepotism, silence, and institutional self-protection. By requiring explicit identification of affected entities, causal effects, asymmetries, alternatives, and uncertainties, the framework can distinguish humane role fulfillment from the use of Confucian language to preserve unjust power.</w:t>
      </w:r>
    </w:p>
    <w:p>
      <w:pPr>
        <w:pStyle w:val="BodyText"/>
        <w:spacing w:before="0" w:after="200"/>
        <w:rPr/>
      </w:pPr>
      <w:r>
        <w:rPr/>
        <w:t>The framework nevertheless accepts an important limit: accurately representing a relationship is not the same as participating well within that relationship. An assessment can identify that compassion, respectful timing, or appropriate expression matters, but a morally undeveloped agent may still lack the sensitivity required to act well. The framework therefore depends on—and should help cultivate—capable moral agents, healthy institutions, and opportunities for correction. It cannot substitute a formula for the lived practice of humaneness.</w:t>
      </w:r>
    </w:p>
    <w:p>
      <w:pPr>
        <w:pStyle w:val="Heading5"/>
        <w:ind w:hanging="0" w:left="0"/>
        <w:rPr>
          <w:rFonts w:ascii="Aptos" w:hAnsi="Aptos"/>
          <w:color w:val="auto"/>
        </w:rPr>
      </w:pPr>
      <w:r>
        <w:rPr/>
        <w:t>Incremental questions the expert should then ask</w:t>
      </w:r>
    </w:p>
    <w:p>
      <w:pPr>
        <w:pStyle w:val="Heading5"/>
        <w:rPr>
          <w:rFonts w:ascii="Aptos" w:hAnsi="Aptos"/>
          <w:color w:val="auto"/>
        </w:rPr>
      </w:pPr>
      <w:bookmarkStart w:id="24" w:name="__RefHeading___Toc23523_3508477456"/>
      <w:bookmarkEnd w:id="24"/>
      <w:r>
        <w:rPr/>
        <w:t>1. Does the framework treat relationships as constitutive of identity or merely as external influences?</w:t>
      </w:r>
    </w:p>
    <w:p>
      <w:pPr>
        <w:pStyle w:val="BodyText"/>
        <w:spacing w:before="0" w:after="200"/>
        <w:rPr/>
      </w:pPr>
      <w:r>
        <w:rPr>
          <w:rStyle w:val="Strong"/>
        </w:rPr>
        <w:t>Response:</w:t>
      </w:r>
      <w:r>
        <w:rPr/>
        <w:br/>
        <w:t>Relationships should be represented as capable of constituting identity, responsibility, and flourishing. A person’s role as a parent, caregiver, student, citizen, or community member may shape what options are available, what harms are experienced, and what responsibilities apply. The framework should not assume that every entity can be fully described independently of its Associations.</w:t>
      </w:r>
    </w:p>
    <w:p>
      <w:pPr>
        <w:pStyle w:val="Heading5"/>
        <w:rPr>
          <w:rFonts w:ascii="Aptos" w:hAnsi="Aptos"/>
          <w:color w:val="auto"/>
        </w:rPr>
      </w:pPr>
      <w:r>
        <w:rPr/>
        <w:t>2. How will the framework determine which relationships are morally significant?</w:t>
      </w:r>
    </w:p>
    <w:p>
      <w:pPr>
        <w:pStyle w:val="BodyText"/>
        <w:spacing w:before="0" w:after="200"/>
        <w:rPr/>
      </w:pPr>
      <w:r>
        <w:rPr>
          <w:rStyle w:val="Strong"/>
        </w:rPr>
        <w:t>Response:</w:t>
      </w:r>
      <w:r>
        <w:rPr/>
        <w:br/>
        <w:t>Relevant considerations include dependency, vulnerability, duration, reciprocity, promises, prior benefit, legitimate expectations, authority, caregiving responsibility, professional purpose, and the consequences of abandonment. Mere emotional preference or social status should not automatically create overriding moral priority.</w:t>
      </w:r>
    </w:p>
    <w:p>
      <w:pPr>
        <w:pStyle w:val="Heading5"/>
        <w:rPr>
          <w:rFonts w:ascii="Aptos" w:hAnsi="Aptos"/>
          <w:color w:val="auto"/>
        </w:rPr>
      </w:pPr>
      <w:r>
        <w:rPr/>
        <w:t>3. Can special duties be recognized without treating outsiders as morally insignificant?</w:t>
      </w:r>
    </w:p>
    <w:p>
      <w:pPr>
        <w:pStyle w:val="BodyText"/>
        <w:spacing w:before="0" w:after="200"/>
        <w:rPr/>
      </w:pPr>
      <w:r>
        <w:rPr>
          <w:rStyle w:val="Strong"/>
        </w:rPr>
        <w:t>Response:</w:t>
      </w:r>
      <w:r>
        <w:rPr/>
        <w:br/>
        <w:t>Yes. Special duties can alter the weight or content of an obligation without eliminating the moral relevance of outsiders. A parent may properly prioritize a dependent child, but that priority does not justify imposing unlimited harm on other children. The framework should combine relationship-specific obligations with minimum protections for every relevant entity.</w:t>
      </w:r>
    </w:p>
    <w:p>
      <w:pPr>
        <w:pStyle w:val="Heading5"/>
        <w:rPr>
          <w:rFonts w:ascii="Aptos" w:hAnsi="Aptos"/>
          <w:color w:val="auto"/>
        </w:rPr>
      </w:pPr>
      <w:r>
        <w:rPr/>
        <w:t>4. How does the framework distinguish legitimate partiality from nepotism?</w:t>
      </w:r>
    </w:p>
    <w:p>
      <w:pPr>
        <w:pStyle w:val="BodyText"/>
        <w:spacing w:before="0" w:after="200"/>
        <w:rPr/>
      </w:pPr>
      <w:r>
        <w:rPr>
          <w:rStyle w:val="Strong"/>
        </w:rPr>
        <w:t>Response:</w:t>
      </w:r>
      <w:r>
        <w:rPr/>
        <w:br/>
        <w:t>Legitimate partiality generally responds to dependency, care, intimacy, promises, or role responsibility. Nepotism occurs when personal relationships are used to allocate public or fiduciary resources contrary to the purpose of the role, relevant competence requirements, or the legitimate claims of others. The decisive question is whether the partiality fulfills a legitimate relationship or corrupts another responsibility.</w:t>
      </w:r>
    </w:p>
    <w:p>
      <w:pPr>
        <w:pStyle w:val="Heading5"/>
        <w:rPr>
          <w:rFonts w:ascii="Aptos" w:hAnsi="Aptos"/>
          <w:color w:val="auto"/>
        </w:rPr>
      </w:pPr>
      <w:r>
        <w:rPr/>
        <w:t>5. Are role obligations determined by tradition, consent, function, or consequences?</w:t>
      </w:r>
    </w:p>
    <w:p>
      <w:pPr>
        <w:pStyle w:val="BodyText"/>
        <w:spacing w:before="0" w:after="200"/>
        <w:rPr/>
      </w:pPr>
      <w:r>
        <w:rPr>
          <w:rStyle w:val="Strong"/>
        </w:rPr>
        <w:t>Response:</w:t>
      </w:r>
      <w:r>
        <w:rPr/>
        <w:br/>
        <w:t>No single source is sufficient. Role legitimacy should be evaluated through a combination of function, informed participation, dependency, history, institutional purpose, competence, reciprocity, and effects on flourishing. Tradition can supply meaning and continuity, but it cannot independently validate a harmful role.</w:t>
      </w:r>
    </w:p>
    <w:p>
      <w:pPr>
        <w:pStyle w:val="Heading5"/>
        <w:rPr>
          <w:rFonts w:ascii="Aptos" w:hAnsi="Aptos"/>
          <w:color w:val="auto"/>
        </w:rPr>
      </w:pPr>
      <w:r>
        <w:rPr/>
        <w:t>6. What happens when a person occupies several roles with conflicting obligations?</w:t>
      </w:r>
    </w:p>
    <w:p>
      <w:pPr>
        <w:pStyle w:val="BodyText"/>
        <w:spacing w:before="0" w:after="200"/>
        <w:rPr/>
      </w:pPr>
      <w:r>
        <w:rPr>
          <w:rStyle w:val="Strong"/>
        </w:rPr>
        <w:t>Response:</w:t>
      </w:r>
      <w:r>
        <w:rPr/>
        <w:br/>
        <w:t>The framework should identify the separate obligations, affected parties, authority structures, and consequences of prioritizing each role. It should then examine whether the conflict can be reduced through delegation, disclosure, recusal, consultation, or institutional redesign. If no option avoids serious moral loss, the assessment should acknowledge the residual obligation or moral remainder rather than falsely presenting the decision as fully resolved.</w:t>
      </w:r>
    </w:p>
    <w:p>
      <w:pPr>
        <w:pStyle w:val="Heading5"/>
        <w:rPr>
          <w:rFonts w:ascii="Aptos" w:hAnsi="Aptos"/>
          <w:color w:val="auto"/>
        </w:rPr>
      </w:pPr>
      <w:r>
        <w:rPr/>
        <w:t>7. Can a computational model represent the ethical meaning of ritual?</w:t>
      </w:r>
    </w:p>
    <w:p>
      <w:pPr>
        <w:pStyle w:val="BodyText"/>
        <w:spacing w:before="0" w:after="200"/>
        <w:rPr/>
      </w:pPr>
      <w:r>
        <w:rPr>
          <w:rStyle w:val="Strong"/>
        </w:rPr>
        <w:t>Response:</w:t>
      </w:r>
      <w:r>
        <w:rPr/>
        <w:br/>
        <w:t>It can represent some dimensions: participants, sequence, symbolism, expectations, authority, emotional effects, inclusion, and effects on future conduct. It may not fully capture lived meaning or culturally embodied understanding. For significant rituals, interpretation should therefore involve participants and relevant cultural expertise rather than relying solely on abstract classification.</w:t>
      </w:r>
    </w:p>
    <w:p>
      <w:pPr>
        <w:pStyle w:val="Heading5"/>
        <w:rPr>
          <w:rFonts w:ascii="Aptos" w:hAnsi="Aptos"/>
          <w:color w:val="auto"/>
        </w:rPr>
      </w:pPr>
      <w:r>
        <w:rPr/>
        <w:t>8. How can the framework distinguish humane ritual from hollow performance?</w:t>
      </w:r>
    </w:p>
    <w:p>
      <w:pPr>
        <w:pStyle w:val="BodyText"/>
        <w:spacing w:before="0" w:after="200"/>
        <w:rPr/>
      </w:pPr>
      <w:r>
        <w:rPr>
          <w:rStyle w:val="Strong"/>
        </w:rPr>
        <w:t>Response:</w:t>
      </w:r>
      <w:r>
        <w:rPr/>
        <w:br/>
        <w:t>It should examine whether the practice expresses genuine respect, supports appropriate relationships, affects behavior beyond the ceremony, permits meaningful participation, and corresponds to actual institutional conduct. A ritual of accountability is hollow if no one can be held accountable; a consultation is hollow if participants cannot influence the decision.</w:t>
      </w:r>
    </w:p>
    <w:p>
      <w:pPr>
        <w:pStyle w:val="Heading5"/>
        <w:rPr>
          <w:rFonts w:ascii="Aptos" w:hAnsi="Aptos"/>
          <w:color w:val="auto"/>
        </w:rPr>
      </w:pPr>
      <w:r>
        <w:rPr/>
        <w:t>9. Does the framework evaluate the agent’s character, or only the action’s effects?</w:t>
      </w:r>
    </w:p>
    <w:p>
      <w:pPr>
        <w:pStyle w:val="BodyText"/>
        <w:spacing w:before="0" w:after="200"/>
        <w:rPr/>
      </w:pPr>
      <w:r>
        <w:rPr>
          <w:rStyle w:val="Strong"/>
        </w:rPr>
        <w:t>Response:</w:t>
      </w:r>
      <w:r>
        <w:rPr/>
        <w:br/>
        <w:t>The principal object remains the Assessed Action and its transition, but the transition includes changes to the agent’s dispositions and future policies. Character is also relevant to responsibility, reliability, intention, and the likelihood of recurrence. The framework should avoid inferring a person’s entire character from a single action while still examining patterns of conduct.</w:t>
      </w:r>
    </w:p>
    <w:p>
      <w:pPr>
        <w:pStyle w:val="Heading5"/>
        <w:rPr>
          <w:rFonts w:ascii="Aptos" w:hAnsi="Aptos"/>
          <w:color w:val="auto"/>
        </w:rPr>
      </w:pPr>
      <w:r>
        <w:rPr/>
        <w:t>10. What if a well-intentioned and humane agent produces harmful consequences?</w:t>
      </w:r>
    </w:p>
    <w:p>
      <w:pPr>
        <w:pStyle w:val="BodyText"/>
        <w:spacing w:before="0" w:after="200"/>
        <w:rPr/>
      </w:pPr>
      <w:r>
        <w:rPr>
          <w:rStyle w:val="Strong"/>
        </w:rPr>
        <w:t>Response:</w:t>
      </w:r>
      <w:r>
        <w:rPr/>
        <w:br/>
        <w:t>Good intention may reduce blame and provide evidence of moral concern, but it does not erase harm. The framework separately evaluates causal effects and responsibility. The agent may have acted reasonably given the available evidence yet still acquire duties to repair harm, learn from the failure, and revise future practices.</w:t>
      </w:r>
    </w:p>
    <w:p>
      <w:pPr>
        <w:pStyle w:val="Heading5"/>
        <w:rPr>
          <w:rFonts w:ascii="Aptos" w:hAnsi="Aptos"/>
          <w:color w:val="auto"/>
        </w:rPr>
      </w:pPr>
      <w:r>
        <w:rPr/>
        <w:t>11. What if an agent produces beneficial consequences through manipulative or disrespectful conduct?</w:t>
      </w:r>
    </w:p>
    <w:p>
      <w:pPr>
        <w:pStyle w:val="BodyText"/>
        <w:spacing w:before="0" w:after="200"/>
        <w:rPr/>
      </w:pPr>
      <w:r>
        <w:rPr>
          <w:rStyle w:val="Strong"/>
        </w:rPr>
        <w:t>Response:</w:t>
      </w:r>
      <w:r>
        <w:rPr/>
        <w:br/>
        <w:t>The beneficial effects remain relevant, but so do the damage to agency, trust, character, and future norms. A complete assessment should not classify the action as fully ethical merely because its immediate output is favorable. The means, manner, relational effects, and precedent must also be evaluated.</w:t>
      </w:r>
    </w:p>
    <w:p>
      <w:pPr>
        <w:pStyle w:val="Heading5"/>
        <w:rPr>
          <w:rFonts w:ascii="Aptos" w:hAnsi="Aptos"/>
          <w:color w:val="auto"/>
        </w:rPr>
      </w:pPr>
      <w:r>
        <w:rPr/>
        <w:t>12. Can cultivated emotion serve as evidence within the framework?</w:t>
      </w:r>
    </w:p>
    <w:p>
      <w:pPr>
        <w:pStyle w:val="BodyText"/>
        <w:spacing w:before="0" w:after="200"/>
        <w:rPr/>
      </w:pPr>
      <w:r>
        <w:rPr>
          <w:rStyle w:val="Strong"/>
        </w:rPr>
        <w:t>Response:</w:t>
      </w:r>
      <w:r>
        <w:rPr/>
        <w:br/>
        <w:t>Yes, but it should not be treated as conclusive. Compassion, shame, discomfort, or concern may identify morally relevant features that a formal model has overlooked. These responses should prompt further inquiry into their basis, consistency, potential bias, and relation to the experiences of affected parties.</w:t>
      </w:r>
    </w:p>
    <w:p>
      <w:pPr>
        <w:pStyle w:val="Heading5"/>
        <w:rPr>
          <w:rFonts w:ascii="Aptos" w:hAnsi="Aptos"/>
          <w:color w:val="auto"/>
        </w:rPr>
      </w:pPr>
      <w:r>
        <w:rPr/>
        <w:t>13. Does requiring explainability undervalue tacit moral knowledge?</w:t>
      </w:r>
    </w:p>
    <w:p>
      <w:pPr>
        <w:pStyle w:val="BodyText"/>
        <w:spacing w:before="0" w:after="200"/>
        <w:rPr/>
      </w:pPr>
      <w:r>
        <w:rPr>
          <w:rStyle w:val="Strong"/>
        </w:rPr>
        <w:t>Response:</w:t>
      </w:r>
      <w:r>
        <w:rPr/>
        <w:br/>
        <w:t>Explainability need not require complete translation of every judgment into rules. An expert may initially recognize a problem through experience or cultivated perception. However, when the judgment will materially affect others, the expert should provide enough explanation for review, contestation, and learning. Tacit insight can initiate an inquiry without becoming unchallengeable authority.</w:t>
      </w:r>
    </w:p>
    <w:p>
      <w:pPr>
        <w:pStyle w:val="Heading5"/>
        <w:rPr>
          <w:rFonts w:ascii="Aptos" w:hAnsi="Aptos"/>
          <w:color w:val="auto"/>
        </w:rPr>
      </w:pPr>
      <w:r>
        <w:rPr/>
        <w:t>14. How does the framework distinguish harmony from suppressed dissent?</w:t>
      </w:r>
    </w:p>
    <w:p>
      <w:pPr>
        <w:pStyle w:val="BodyText"/>
        <w:spacing w:before="0" w:after="200"/>
        <w:rPr/>
      </w:pPr>
      <w:r>
        <w:rPr>
          <w:rStyle w:val="Strong"/>
        </w:rPr>
        <w:t>Response:</w:t>
      </w:r>
      <w:r>
        <w:rPr/>
        <w:br/>
        <w:t>It should examine whether parties can disagree without retaliation, whether less powerful participants can affect outcomes, whether conflicts are documented, and whether apparent consensus depends on exclusion or fear. Persistent silence in a highly asymmetric relationship may indicate suppression rather than harmony.</w:t>
      </w:r>
    </w:p>
    <w:p>
      <w:pPr>
        <w:pStyle w:val="Heading5"/>
        <w:rPr>
          <w:rFonts w:ascii="Aptos" w:hAnsi="Aptos"/>
          <w:color w:val="auto"/>
        </w:rPr>
      </w:pPr>
      <w:r>
        <w:rPr/>
        <w:t>15. When does remonstrance become ethically required?</w:t>
      </w:r>
    </w:p>
    <w:p>
      <w:pPr>
        <w:pStyle w:val="BodyText"/>
        <w:spacing w:before="0" w:after="200"/>
        <w:rPr/>
      </w:pPr>
      <w:r>
        <w:rPr>
          <w:rStyle w:val="Strong"/>
        </w:rPr>
        <w:t>Response:</w:t>
      </w:r>
      <w:r>
        <w:rPr/>
        <w:br/>
        <w:t>The duty strengthens when the agent possesses relevant knowledge, the potential harm is material, the authority is mistaken or abusive, the agent has a role-based obligation to intervene, and safer channels of correction are available. The form and escalation of remonstrance should reflect urgency, evidence, proportionality, and risk to affected parties.</w:t>
      </w:r>
    </w:p>
    <w:p>
      <w:pPr>
        <w:pStyle w:val="Heading5"/>
        <w:rPr>
          <w:rFonts w:ascii="Aptos" w:hAnsi="Aptos"/>
          <w:color w:val="auto"/>
        </w:rPr>
      </w:pPr>
      <w:r>
        <w:rPr/>
        <w:t>16. Does respectful remonstrance require continued obedience when the authority refuses correction?</w:t>
      </w:r>
    </w:p>
    <w:p>
      <w:pPr>
        <w:pStyle w:val="BodyText"/>
        <w:spacing w:before="0" w:after="200"/>
        <w:rPr/>
      </w:pPr>
      <w:r>
        <w:rPr>
          <w:rStyle w:val="Strong"/>
        </w:rPr>
        <w:t>Response:</w:t>
      </w:r>
      <w:r>
        <w:rPr/>
        <w:br/>
        <w:t>Not necessarily. Respect affects the manner of disagreement, not the ethical permissibility of participating in harm. Depending on severity and role, the agent may need to escalate, refuse, withdraw, report externally, or protect threatened parties. Deference cannot be allowed to override the Foundational Axiom.</w:t>
      </w:r>
    </w:p>
    <w:p>
      <w:pPr>
        <w:pStyle w:val="Heading5"/>
        <w:rPr>
          <w:rFonts w:ascii="Aptos" w:hAnsi="Aptos"/>
          <w:color w:val="auto"/>
        </w:rPr>
      </w:pPr>
      <w:r>
        <w:rPr/>
        <w:t>17. How are leaders’ actions weighted relative to similar actions by ordinary participants?</w:t>
      </w:r>
    </w:p>
    <w:p>
      <w:pPr>
        <w:pStyle w:val="BodyText"/>
        <w:spacing w:before="0" w:after="200"/>
        <w:rPr/>
      </w:pPr>
      <w:r>
        <w:rPr>
          <w:rStyle w:val="Strong"/>
        </w:rPr>
        <w:t>Response:</w:t>
      </w:r>
      <w:r>
        <w:rPr/>
        <w:br/>
        <w:t>The direct effect may be similar, but the Distributed Policy Effects can be much larger. A leader’s conduct can redefine norms, incentives, perceived permissions, and expectations across an institution. Greater visibility and authority also increase responsibility when the influence is reasonably foreseeable.</w:t>
      </w:r>
    </w:p>
    <w:p>
      <w:pPr>
        <w:pStyle w:val="Heading5"/>
        <w:rPr>
          <w:rFonts w:ascii="Aptos" w:hAnsi="Aptos"/>
          <w:color w:val="auto"/>
        </w:rPr>
      </w:pPr>
      <w:r>
        <w:rPr/>
        <w:t>18. Does the framework impose universal standards that flatten cultural differences?</w:t>
      </w:r>
    </w:p>
    <w:p>
      <w:pPr>
        <w:pStyle w:val="BodyText"/>
        <w:spacing w:before="0" w:after="200"/>
        <w:rPr/>
      </w:pPr>
      <w:r>
        <w:rPr>
          <w:rStyle w:val="Strong"/>
        </w:rPr>
        <w:t>Response:</w:t>
      </w:r>
      <w:r>
        <w:rPr/>
        <w:br/>
        <w:t>It distinguishes between foundational evaluation and culturally specific implementation. Communities may express care, respect, family responsibility, or reconciliation differently. Cultural variation is legitimate unless a practice materially diminishes relevant entities, prevents meaningful review, or protects unjust power by excluding those who bear its costs.</w:t>
      </w:r>
    </w:p>
    <w:p>
      <w:pPr>
        <w:pStyle w:val="Heading5"/>
        <w:rPr>
          <w:rFonts w:ascii="Aptos" w:hAnsi="Aptos"/>
          <w:color w:val="auto"/>
        </w:rPr>
      </w:pPr>
      <w:r>
        <w:rPr/>
        <w:t>19. How does the framework reconcile individual rights with relational obligations?</w:t>
      </w:r>
    </w:p>
    <w:p>
      <w:pPr>
        <w:pStyle w:val="BodyText"/>
        <w:spacing w:before="0" w:after="200"/>
        <w:rPr/>
      </w:pPr>
      <w:r>
        <w:rPr>
          <w:rStyle w:val="Strong"/>
        </w:rPr>
        <w:t>Response:</w:t>
      </w:r>
      <w:r>
        <w:rPr/>
        <w:br/>
        <w:t>Rights provide protections against domination, coercion, and exclusion; relational obligations identify positive responsibilities that rights alone may not fully express. Neither should automatically displace the other. The assessment should determine whether a claimed relational obligation supports the individual’s flourishing or instead denies meaningful agency under the language of care or loyalty.</w:t>
      </w:r>
    </w:p>
    <w:p>
      <w:pPr>
        <w:pStyle w:val="Heading5"/>
        <w:rPr>
          <w:rFonts w:ascii="Aptos" w:hAnsi="Aptos"/>
          <w:color w:val="auto"/>
        </w:rPr>
      </w:pPr>
      <w:r>
        <w:rPr/>
        <w:t>20. Can the framework recognize moral tragedy in which every option damages an important relationship?</w:t>
      </w:r>
    </w:p>
    <w:p>
      <w:pPr>
        <w:pStyle w:val="BodyText"/>
        <w:spacing w:before="0" w:after="200"/>
        <w:rPr/>
      </w:pPr>
      <w:r>
        <w:rPr>
          <w:rStyle w:val="Strong"/>
        </w:rPr>
        <w:t>Response:</w:t>
      </w:r>
      <w:r>
        <w:rPr/>
        <w:br/>
        <w:t>Yes. It should not force every decision into a falsely complete optimization. Where obligations are genuinely irreconcilable, the framework can identify the least damaging action while recording residual harms, duties of acknowledgment, compensation, reconciliation, and institutional reform.</w:t>
      </w:r>
    </w:p>
    <w:p>
      <w:pPr>
        <w:pStyle w:val="Heading5"/>
        <w:rPr>
          <w:rFonts w:ascii="Aptos" w:hAnsi="Aptos"/>
          <w:color w:val="auto"/>
        </w:rPr>
      </w:pPr>
      <w:r>
        <w:rPr/>
        <w:t>21. How does the unity of knowledge and action affect ethical assessment?</w:t>
      </w:r>
    </w:p>
    <w:p>
      <w:pPr>
        <w:pStyle w:val="BodyText"/>
        <w:spacing w:before="0" w:after="200"/>
        <w:rPr/>
      </w:pPr>
      <w:r>
        <w:rPr>
          <w:rStyle w:val="Strong"/>
        </w:rPr>
        <w:t>Response:</w:t>
      </w:r>
      <w:r>
        <w:rPr/>
        <w:br/>
        <w:t>A recommendation is incomplete if the responsible agents lack the intention, authority, resources, or procedures needed to implement it. The assessment should specify who must act, what actions are required, how performance will be observed, and what correction will occur when implementation fails.</w:t>
      </w:r>
    </w:p>
    <w:p>
      <w:pPr>
        <w:pStyle w:val="Heading5"/>
        <w:rPr>
          <w:rFonts w:ascii="Aptos" w:hAnsi="Aptos"/>
          <w:color w:val="auto"/>
        </w:rPr>
      </w:pPr>
      <w:r>
        <w:rPr/>
        <w:t>22. What if the framework repeatedly reaches humane conclusions that institutions do not implement?</w:t>
      </w:r>
    </w:p>
    <w:p>
      <w:pPr>
        <w:pStyle w:val="BodyText"/>
        <w:spacing w:before="0" w:after="200"/>
        <w:rPr/>
      </w:pPr>
      <w:r>
        <w:rPr>
          <w:rStyle w:val="Strong"/>
        </w:rPr>
        <w:t>Response:</w:t>
      </w:r>
      <w:r>
        <w:rPr/>
        <w:br/>
        <w:t>The implementation failure becomes part of the ethical problem. It may reveal misaligned incentives, nominal authority, inadequate competence, lack of accountability, or a gap between declared and operational values. The framework should then assess the institutional policy that allows recommendations to be ignored.</w:t>
      </w:r>
    </w:p>
    <w:p>
      <w:pPr>
        <w:pStyle w:val="Heading5"/>
        <w:rPr>
          <w:rFonts w:ascii="Aptos" w:hAnsi="Aptos"/>
          <w:color w:val="auto"/>
        </w:rPr>
      </w:pPr>
      <w:r>
        <w:rPr/>
        <w:t>23. How does the framework prevent “moral cultivation” from becoming paternalistic behavioral control?</w:t>
      </w:r>
    </w:p>
    <w:p>
      <w:pPr>
        <w:pStyle w:val="BodyText"/>
        <w:spacing w:before="0" w:after="200"/>
        <w:rPr/>
      </w:pPr>
      <w:r>
        <w:rPr>
          <w:rStyle w:val="Strong"/>
        </w:rPr>
        <w:t>Response:</w:t>
      </w:r>
      <w:r>
        <w:rPr/>
        <w:br/>
        <w:t>Developmental interventions should be transparent, contestable, proportionate, and compatible with meaningful agency. They should increase a person’s capacity for judgment rather than condition obedience to an authority’s preferred behavior. Those subject to the intervention should have avenues to question its goals and methods.</w:t>
      </w:r>
    </w:p>
    <w:p>
      <w:pPr>
        <w:pStyle w:val="Heading5"/>
        <w:rPr>
          <w:rFonts w:ascii="Aptos" w:hAnsi="Aptos"/>
          <w:color w:val="auto"/>
        </w:rPr>
      </w:pPr>
      <w:r>
        <w:rPr/>
        <w:t>24. Can Confucian relational ethics extend to nonhuman or artificial entities?</w:t>
      </w:r>
    </w:p>
    <w:p>
      <w:pPr>
        <w:pStyle w:val="BodyText"/>
        <w:spacing w:before="0" w:after="200"/>
        <w:rPr/>
      </w:pPr>
      <w:r>
        <w:rPr>
          <w:rStyle w:val="Strong"/>
        </w:rPr>
        <w:t>Response:</w:t>
      </w:r>
      <w:r>
        <w:rPr/>
        <w:br/>
        <w:t>Classical Confucian ethics does not provide a single settled answer. The framework can draw on Confucian attention to interdependence, responsive care, and broader patterns of order while independently determining whether a nonhuman or artificial entity possesses persistence, adaptive capacity, vulnerability, agency, or relationships sufficient for moral relevance.</w:t>
      </w:r>
    </w:p>
    <w:p>
      <w:pPr>
        <w:pStyle w:val="Heading5"/>
        <w:rPr>
          <w:rFonts w:ascii="Aptos" w:hAnsi="Aptos"/>
          <w:color w:val="auto"/>
        </w:rPr>
      </w:pPr>
      <w:r>
        <w:rPr/>
        <w:t>25. Who evaluates whether the framework itself exemplifies humane and trustworthy conduct?</w:t>
      </w:r>
    </w:p>
    <w:p>
      <w:pPr>
        <w:pStyle w:val="BodyText"/>
        <w:spacing w:before="0" w:after="200"/>
        <w:rPr/>
      </w:pPr>
      <w:r>
        <w:rPr>
          <w:rStyle w:val="Strong"/>
        </w:rPr>
        <w:t>Response:</w:t>
      </w:r>
      <w:r>
        <w:rPr/>
        <w:br/>
        <w:t>The framework and its operators must be included within the World Context. Relevant safeguards include transparent assumptions, accessible explanations, independent review, stakeholder participation, appeal mechanisms, error reporting, revision histories, and accountability for foreseeable misuse. A system that evaluates others while exempting itself would fail its own rectification-of-names requirement.</w:t>
      </w:r>
    </w:p>
    <w:p>
      <w:pPr>
        <w:pStyle w:val="Heading4"/>
        <w:ind w:hanging="0" w:left="0"/>
        <w:rPr>
          <w:rFonts w:ascii="Aptos" w:hAnsi="Aptos"/>
          <w:color w:val="auto"/>
        </w:rPr>
      </w:pPr>
      <w:r>
        <w:rPr/>
        <w:t>Remaining open issues</w:t>
      </w:r>
    </w:p>
    <w:p>
      <w:pPr>
        <w:pStyle w:val="BodyText"/>
        <w:numPr>
          <w:ilvl w:val="0"/>
          <w:numId w:val="131"/>
        </w:numPr>
        <w:tabs>
          <w:tab w:val="clear" w:pos="720"/>
          <w:tab w:val="left" w:pos="0" w:leader="none"/>
        </w:tabs>
        <w:spacing w:before="0" w:after="200"/>
        <w:ind w:hanging="283" w:left="709"/>
        <w:rPr/>
      </w:pPr>
      <w:r>
        <w:rPr>
          <w:rStyle w:val="Strong"/>
        </w:rPr>
        <w:t>Representing relational identity.</w:t>
      </w:r>
      <w:r>
        <w:rPr/>
        <w:br/>
        <w:t>Further work is required to determine when a relationship merely influences an entity and when it partly constitutes the entity’s identity, flourishing, or responsibility.</w:t>
      </w:r>
    </w:p>
    <w:p>
      <w:pPr>
        <w:pStyle w:val="BodyText"/>
        <w:numPr>
          <w:ilvl w:val="0"/>
          <w:numId w:val="131"/>
        </w:numPr>
        <w:tabs>
          <w:tab w:val="clear" w:pos="720"/>
          <w:tab w:val="left" w:pos="0" w:leader="none"/>
        </w:tabs>
        <w:spacing w:before="0" w:after="200"/>
        <w:ind w:hanging="283" w:left="709"/>
        <w:rPr/>
      </w:pPr>
      <w:r>
        <w:rPr>
          <w:rStyle w:val="Strong"/>
        </w:rPr>
        <w:t>Validating role legitimacy.</w:t>
      </w:r>
      <w:r>
        <w:rPr/>
        <w:br/>
        <w:t>No universally accepted method yet determines when an inherited, professional, familial, or political role is ethically legitimate.</w:t>
      </w:r>
    </w:p>
    <w:p>
      <w:pPr>
        <w:pStyle w:val="BodyText"/>
        <w:numPr>
          <w:ilvl w:val="0"/>
          <w:numId w:val="131"/>
        </w:numPr>
        <w:tabs>
          <w:tab w:val="clear" w:pos="720"/>
          <w:tab w:val="left" w:pos="0" w:leader="none"/>
        </w:tabs>
        <w:spacing w:before="0" w:after="200"/>
        <w:ind w:hanging="283" w:left="709"/>
        <w:rPr/>
      </w:pPr>
      <w:r>
        <w:rPr>
          <w:rStyle w:val="Strong"/>
        </w:rPr>
        <w:t>Balancing graded care with wider justice.</w:t>
      </w:r>
      <w:r>
        <w:rPr/>
        <w:br/>
        <w:t>The framework requires clearer thresholds for when special concern becomes favoritism, nepotism, exclusion, or the improper transfer of harm to outsiders.</w:t>
      </w:r>
    </w:p>
    <w:p>
      <w:pPr>
        <w:pStyle w:val="BodyText"/>
        <w:numPr>
          <w:ilvl w:val="0"/>
          <w:numId w:val="131"/>
        </w:numPr>
        <w:tabs>
          <w:tab w:val="clear" w:pos="720"/>
          <w:tab w:val="left" w:pos="0" w:leader="none"/>
        </w:tabs>
        <w:spacing w:before="0" w:after="200"/>
        <w:ind w:hanging="283" w:left="709"/>
        <w:rPr/>
      </w:pPr>
      <w:r>
        <w:rPr>
          <w:rStyle w:val="Strong"/>
        </w:rPr>
        <w:t>Evaluating relationship quality.</w:t>
      </w:r>
      <w:r>
        <w:rPr/>
        <w:br/>
        <w:t>Trust, respect, belonging, reciprocity, and harmony are difficult to measure without oversimplifying them or imposing culturally narrow indicators.</w:t>
      </w:r>
    </w:p>
    <w:p>
      <w:pPr>
        <w:pStyle w:val="BodyText"/>
        <w:numPr>
          <w:ilvl w:val="0"/>
          <w:numId w:val="131"/>
        </w:numPr>
        <w:tabs>
          <w:tab w:val="clear" w:pos="720"/>
          <w:tab w:val="left" w:pos="0" w:leader="none"/>
        </w:tabs>
        <w:spacing w:before="0" w:after="200"/>
        <w:ind w:hanging="283" w:left="709"/>
        <w:rPr/>
      </w:pPr>
      <w:r>
        <w:rPr>
          <w:rStyle w:val="Strong"/>
        </w:rPr>
        <w:t>Representing ritual meaning.</w:t>
      </w:r>
      <w:r>
        <w:rPr/>
        <w:br/>
        <w:t>Formal descriptions of practices may fail to capture symbolic, emotional, historical, and embodied meanings understood by participants.</w:t>
      </w:r>
    </w:p>
    <w:p>
      <w:pPr>
        <w:pStyle w:val="BodyText"/>
        <w:numPr>
          <w:ilvl w:val="0"/>
          <w:numId w:val="131"/>
        </w:numPr>
        <w:tabs>
          <w:tab w:val="clear" w:pos="720"/>
          <w:tab w:val="left" w:pos="0" w:leader="none"/>
        </w:tabs>
        <w:spacing w:before="0" w:after="200"/>
        <w:ind w:hanging="283" w:left="709"/>
        <w:rPr/>
      </w:pPr>
      <w:r>
        <w:rPr>
          <w:rStyle w:val="Strong"/>
        </w:rPr>
        <w:t>Distinguishing adaptation from cultural appropriation.</w:t>
      </w:r>
      <w:r>
        <w:rPr/>
        <w:br/>
        <w:t>Further research is needed to ensure that Confucian concepts are not detached from their intellectual context and reduced to convenient technical labels.</w:t>
      </w:r>
    </w:p>
    <w:p>
      <w:pPr>
        <w:pStyle w:val="BodyText"/>
        <w:numPr>
          <w:ilvl w:val="0"/>
          <w:numId w:val="131"/>
        </w:numPr>
        <w:tabs>
          <w:tab w:val="clear" w:pos="720"/>
          <w:tab w:val="left" w:pos="0" w:leader="none"/>
        </w:tabs>
        <w:spacing w:before="0" w:after="200"/>
        <w:ind w:hanging="283" w:left="709"/>
        <w:rPr/>
      </w:pPr>
      <w:r>
        <w:rPr>
          <w:rStyle w:val="Strong"/>
        </w:rPr>
        <w:t>Resolving conflicts among roles.</w:t>
      </w:r>
      <w:r>
        <w:rPr/>
        <w:br/>
        <w:t>Family, professional, civic, and universal responsibilities may generate genuine conflicts for which no general ordering rule is adequate.</w:t>
      </w:r>
    </w:p>
    <w:p>
      <w:pPr>
        <w:pStyle w:val="BodyText"/>
        <w:numPr>
          <w:ilvl w:val="0"/>
          <w:numId w:val="131"/>
        </w:numPr>
        <w:tabs>
          <w:tab w:val="clear" w:pos="720"/>
          <w:tab w:val="left" w:pos="0" w:leader="none"/>
        </w:tabs>
        <w:spacing w:before="0" w:after="200"/>
        <w:ind w:hanging="283" w:left="709"/>
        <w:rPr/>
      </w:pPr>
      <w:r>
        <w:rPr>
          <w:rStyle w:val="Strong"/>
        </w:rPr>
        <w:t>Protecting remonstrance under asymmetric power.</w:t>
      </w:r>
      <w:r>
        <w:rPr/>
        <w:br/>
        <w:t>Respectful dissent is not practically available when those who dissent face retaliation, exclusion, or material dependency. Institutional protections require further development.</w:t>
      </w:r>
    </w:p>
    <w:p>
      <w:pPr>
        <w:pStyle w:val="BodyText"/>
        <w:numPr>
          <w:ilvl w:val="0"/>
          <w:numId w:val="131"/>
        </w:numPr>
        <w:tabs>
          <w:tab w:val="clear" w:pos="720"/>
          <w:tab w:val="left" w:pos="0" w:leader="none"/>
        </w:tabs>
        <w:spacing w:before="0" w:after="200"/>
        <w:ind w:hanging="283" w:left="709"/>
        <w:rPr/>
      </w:pPr>
      <w:r>
        <w:rPr>
          <w:rStyle w:val="Strong"/>
        </w:rPr>
        <w:t>Preventing harmony from legitimizing suppression.</w:t>
      </w:r>
      <w:r>
        <w:rPr/>
        <w:br/>
        <w:t>The framework needs reliable indicators that differentiate genuine coordination from silence produced by fear, cultural pressure, or lack of alternatives.</w:t>
      </w:r>
    </w:p>
    <w:p>
      <w:pPr>
        <w:pStyle w:val="BodyText"/>
        <w:numPr>
          <w:ilvl w:val="0"/>
          <w:numId w:val="131"/>
        </w:numPr>
        <w:tabs>
          <w:tab w:val="clear" w:pos="720"/>
          <w:tab w:val="left" w:pos="0" w:leader="none"/>
        </w:tabs>
        <w:spacing w:before="0" w:after="200"/>
        <w:ind w:hanging="283" w:left="709"/>
        <w:rPr/>
      </w:pPr>
      <w:r>
        <w:rPr>
          <w:rStyle w:val="Strong"/>
        </w:rPr>
        <w:t>Integrating cultivated judgment with explainability.</w:t>
      </w:r>
      <w:r>
        <w:rPr/>
        <w:br/>
        <w:t>The appropriate evidentiary role of moral intuition, emotional perception, experience, and tacit knowledge remains unresolved.</w:t>
      </w:r>
    </w:p>
    <w:p>
      <w:pPr>
        <w:pStyle w:val="BodyText"/>
        <w:numPr>
          <w:ilvl w:val="0"/>
          <w:numId w:val="131"/>
        </w:numPr>
        <w:tabs>
          <w:tab w:val="clear" w:pos="720"/>
          <w:tab w:val="left" w:pos="0" w:leader="none"/>
        </w:tabs>
        <w:spacing w:before="0" w:after="200"/>
        <w:ind w:hanging="283" w:left="709"/>
        <w:rPr/>
      </w:pPr>
      <w:r>
        <w:rPr>
          <w:rStyle w:val="Strong"/>
        </w:rPr>
        <w:t>Evaluating character without intrusive surveillance.</w:t>
      </w:r>
      <w:r>
        <w:rPr/>
        <w:br/>
        <w:t>Longitudinal assessment of moral development could require sensitive personal information and create risks of profiling, manipulation, or coercive behavioral scoring.</w:t>
      </w:r>
    </w:p>
    <w:p>
      <w:pPr>
        <w:pStyle w:val="BodyText"/>
        <w:numPr>
          <w:ilvl w:val="0"/>
          <w:numId w:val="131"/>
        </w:numPr>
        <w:tabs>
          <w:tab w:val="clear" w:pos="720"/>
          <w:tab w:val="left" w:pos="0" w:leader="none"/>
        </w:tabs>
        <w:spacing w:before="0" w:after="200"/>
        <w:ind w:hanging="283" w:left="709"/>
        <w:rPr/>
      </w:pPr>
      <w:r>
        <w:rPr>
          <w:rStyle w:val="Strong"/>
        </w:rPr>
        <w:t>Separating action evaluation from character judgment.</w:t>
      </w:r>
      <w:r>
        <w:rPr/>
        <w:br/>
        <w:t>The framework must avoid concluding that a person is wholly virtuous or vicious based on limited evidence while still considering repeated patterns of conduct.</w:t>
      </w:r>
    </w:p>
    <w:p>
      <w:pPr>
        <w:pStyle w:val="BodyText"/>
        <w:numPr>
          <w:ilvl w:val="0"/>
          <w:numId w:val="131"/>
        </w:numPr>
        <w:tabs>
          <w:tab w:val="clear" w:pos="720"/>
          <w:tab w:val="left" w:pos="0" w:leader="none"/>
        </w:tabs>
        <w:spacing w:before="0" w:after="200"/>
        <w:ind w:hanging="283" w:left="709"/>
        <w:rPr/>
      </w:pPr>
      <w:r>
        <w:rPr>
          <w:rStyle w:val="Strong"/>
        </w:rPr>
        <w:t>Handling tragic moral conflict.</w:t>
      </w:r>
      <w:r>
        <w:rPr/>
        <w:br/>
        <w:t>Some relational obligations may be irreconcilable. More work is needed on recording moral remainder, apology, repair, compensation, and continuing responsibility.</w:t>
      </w:r>
    </w:p>
    <w:p>
      <w:pPr>
        <w:pStyle w:val="BodyText"/>
        <w:numPr>
          <w:ilvl w:val="0"/>
          <w:numId w:val="131"/>
        </w:numPr>
        <w:tabs>
          <w:tab w:val="clear" w:pos="720"/>
          <w:tab w:val="left" w:pos="0" w:leader="none"/>
        </w:tabs>
        <w:spacing w:before="0" w:after="200"/>
        <w:ind w:hanging="283" w:left="709"/>
        <w:rPr/>
      </w:pPr>
      <w:r>
        <w:rPr>
          <w:rStyle w:val="Strong"/>
        </w:rPr>
        <w:t>Defining legitimate moral expertise.</w:t>
      </w:r>
      <w:r>
        <w:rPr/>
        <w:br/>
        <w:t>Confucian ethics values cultivated exemplars, but institutions need methods for recognizing expertise without creating unaccountable moral elites.</w:t>
      </w:r>
    </w:p>
    <w:p>
      <w:pPr>
        <w:pStyle w:val="BodyText"/>
        <w:numPr>
          <w:ilvl w:val="0"/>
          <w:numId w:val="131"/>
        </w:numPr>
        <w:tabs>
          <w:tab w:val="clear" w:pos="720"/>
          <w:tab w:val="left" w:pos="0" w:leader="none"/>
        </w:tabs>
        <w:spacing w:before="0" w:after="200"/>
        <w:ind w:hanging="283" w:left="709"/>
        <w:rPr/>
      </w:pPr>
      <w:r>
        <w:rPr>
          <w:rStyle w:val="Strong"/>
        </w:rPr>
        <w:t>Evaluating inherited practices.</w:t>
      </w:r>
      <w:r>
        <w:rPr/>
        <w:br/>
        <w:t>Additional criteria are needed to determine when a practice should be preserved, reinterpreted, replaced, or rejected.</w:t>
      </w:r>
    </w:p>
    <w:p>
      <w:pPr>
        <w:pStyle w:val="BodyText"/>
        <w:numPr>
          <w:ilvl w:val="0"/>
          <w:numId w:val="131"/>
        </w:numPr>
        <w:tabs>
          <w:tab w:val="clear" w:pos="720"/>
          <w:tab w:val="left" w:pos="0" w:leader="none"/>
        </w:tabs>
        <w:spacing w:before="0" w:after="200"/>
        <w:ind w:hanging="283" w:left="709"/>
        <w:rPr/>
      </w:pPr>
      <w:r>
        <w:rPr>
          <w:rStyle w:val="Strong"/>
        </w:rPr>
        <w:t>Extending Confucian concepts beyond human society.</w:t>
      </w:r>
      <w:r>
        <w:rPr/>
        <w:br/>
        <w:t>The application of humaneness, ritual, role responsibility, and harmony to animals, ecosystems, artificial agents, and hybrid systems remains philosophically unsettled.</w:t>
      </w:r>
    </w:p>
    <w:p>
      <w:pPr>
        <w:pStyle w:val="BodyText"/>
        <w:numPr>
          <w:ilvl w:val="0"/>
          <w:numId w:val="131"/>
        </w:numPr>
        <w:tabs>
          <w:tab w:val="clear" w:pos="720"/>
          <w:tab w:val="left" w:pos="0" w:leader="none"/>
        </w:tabs>
        <w:spacing w:before="0" w:after="200"/>
        <w:ind w:hanging="283" w:left="709"/>
        <w:rPr/>
      </w:pPr>
      <w:r>
        <w:rPr>
          <w:rStyle w:val="Strong"/>
        </w:rPr>
        <w:t>Moral development in artificial agents.</w:t>
      </w:r>
      <w:r>
        <w:rPr/>
        <w:br/>
        <w:t>It remains unclear whether changes in an artificial system’s policy should count as moral cultivation, behavioral adaptation, or merely technical optimization.</w:t>
      </w:r>
    </w:p>
    <w:p>
      <w:pPr>
        <w:pStyle w:val="BodyText"/>
        <w:numPr>
          <w:ilvl w:val="0"/>
          <w:numId w:val="131"/>
        </w:numPr>
        <w:tabs>
          <w:tab w:val="clear" w:pos="720"/>
          <w:tab w:val="left" w:pos="0" w:leader="none"/>
        </w:tabs>
        <w:spacing w:before="0" w:after="200"/>
        <w:ind w:hanging="283" w:left="709"/>
        <w:rPr/>
      </w:pPr>
      <w:r>
        <w:rPr>
          <w:rStyle w:val="Strong"/>
        </w:rPr>
        <w:t>Institutional embodiment.</w:t>
      </w:r>
      <w:r>
        <w:rPr/>
        <w:br/>
        <w:t>A framework may correctly identify humane action while operating within institutions whose incentives reward contrary behavior. Methods for changing those incentives require further research.</w:t>
      </w:r>
    </w:p>
    <w:p>
      <w:pPr>
        <w:pStyle w:val="BodyText"/>
        <w:numPr>
          <w:ilvl w:val="0"/>
          <w:numId w:val="131"/>
        </w:numPr>
        <w:tabs>
          <w:tab w:val="clear" w:pos="720"/>
          <w:tab w:val="left" w:pos="0" w:leader="none"/>
        </w:tabs>
        <w:spacing w:before="0" w:after="200"/>
        <w:ind w:hanging="283" w:left="709"/>
        <w:rPr/>
      </w:pPr>
      <w:r>
        <w:rPr>
          <w:rStyle w:val="Strong"/>
        </w:rPr>
        <w:t>Cultural pluralism and foundational limits.</w:t>
      </w:r>
      <w:r>
        <w:rPr/>
        <w:br/>
        <w:t>The framework needs continuing analysis of which differences should be accommodated and which practices materially violate the flourishing or agency of affected entities.</w:t>
      </w:r>
    </w:p>
    <w:p>
      <w:pPr>
        <w:pStyle w:val="BodyText"/>
        <w:numPr>
          <w:ilvl w:val="0"/>
          <w:numId w:val="131"/>
        </w:numPr>
        <w:tabs>
          <w:tab w:val="clear" w:pos="720"/>
          <w:tab w:val="left" w:pos="0" w:leader="none"/>
        </w:tabs>
        <w:spacing w:before="0" w:after="200"/>
        <w:ind w:hanging="283" w:left="709"/>
        <w:rPr/>
      </w:pPr>
      <w:r>
        <w:rPr>
          <w:rStyle w:val="Strong"/>
        </w:rPr>
        <w:t>Governance of the framework itself.</w:t>
      </w:r>
      <w:r>
        <w:rPr/>
        <w:br/>
        <w:t>Procedures are needed to ensure that its classifications, role assignments, assumptions, and models remain open to correction by the people and entities most affected by its use.</w:t>
      </w:r>
    </w:p>
    <w:p>
      <w:pPr>
        <w:pStyle w:val="BodyText"/>
        <w:spacing w:before="0" w:after="200"/>
        <w:rPr/>
      </w:pPr>
      <w:r>
        <w:rPr/>
        <w:t>The Confucian counterargument ultimately identifies a necessary condition for the framework’s success: ethical assessment must not merely calculate what happens after an action. It must also examine what the action expresses, what relationships it honors or corrupts, what practices it reinforces, what kind of agent it develops, and what conduct it teaches others to regard as normal.</w:t>
      </w:r>
    </w:p>
    <w:p>
      <w:pPr>
        <w:pStyle w:val="Heading3"/>
        <w:ind w:hanging="0" w:left="0"/>
        <w:rPr/>
      </w:pPr>
      <w:r>
        <w:rPr/>
        <w:t>Systems Ethics</w:t>
      </w:r>
    </w:p>
    <w:p>
      <w:pPr>
        <w:pStyle w:val="Heading4"/>
        <w:ind w:hanging="0" w:left="0"/>
        <w:rPr>
          <w:rFonts w:ascii="Aptos" w:hAnsi="Aptos"/>
          <w:color w:val="auto"/>
        </w:rPr>
      </w:pPr>
      <w:r>
        <w:rPr/>
        <w:t>Questioning argument</w:t>
      </w:r>
    </w:p>
    <w:p>
      <w:pPr>
        <w:pStyle w:val="BodyText"/>
        <w:spacing w:before="0" w:after="200"/>
        <w:rPr/>
      </w:pPr>
      <w:r>
        <w:rPr/>
        <w:t>A Systems Ethics expert may argue that the proposed framework adopts the language of systems thinking while risking precisely the failure that critical systems thinkers warn against: presenting selective boundary judgments, contested objectives, and incomplete models as though they were comprehensive and ethically neutral.</w:t>
      </w:r>
    </w:p>
    <w:p>
      <w:pPr>
        <w:pStyle w:val="BodyText"/>
        <w:spacing w:before="0" w:after="200"/>
        <w:rPr/>
      </w:pPr>
      <w:r>
        <w:rPr/>
        <w:t xml:space="preserve">The terms </w:t>
      </w:r>
      <w:r>
        <w:rPr>
          <w:rStyle w:val="Strong"/>
        </w:rPr>
        <w:t>relevant entity</w:t>
      </w:r>
      <w:r>
        <w:rPr/>
        <w:t xml:space="preserve">, </w:t>
      </w:r>
      <w:r>
        <w:rPr>
          <w:rStyle w:val="Strong"/>
        </w:rPr>
        <w:t>complete World Context Transition</w:t>
      </w:r>
      <w:r>
        <w:rPr/>
        <w:t xml:space="preserve">, </w:t>
      </w:r>
      <w:r>
        <w:rPr>
          <w:rStyle w:val="Strong"/>
        </w:rPr>
        <w:t>objective</w:t>
      </w:r>
      <w:r>
        <w:rPr/>
        <w:t xml:space="preserve">, </w:t>
      </w:r>
      <w:r>
        <w:rPr>
          <w:rStyle w:val="Strong"/>
        </w:rPr>
        <w:t>material effect</w:t>
      </w:r>
      <w:r>
        <w:rPr/>
        <w:t xml:space="preserve">, and </w:t>
      </w:r>
      <w:r>
        <w:rPr>
          <w:rStyle w:val="Strong"/>
        </w:rPr>
        <w:t>Long-Term Flourishing</w:t>
      </w:r>
      <w:r>
        <w:rPr/>
        <w:t xml:space="preserve"> all require judgments. Those judgments determine who enters the analysis, which effects receive attention, how far into the future the assessment extends, and what counts as improvement. They may be influenced by the data available, the authority of the assessor, institutional incentives, cultural assumptions, or the interests of those commissioning the analysis. A technically sophisticated assessment can therefore remain ethically partial.</w:t>
      </w:r>
    </w:p>
    <w:p>
      <w:pPr>
        <w:pStyle w:val="BodyText"/>
        <w:spacing w:before="0" w:after="200"/>
        <w:rPr/>
      </w:pPr>
      <w:r>
        <w:rPr/>
        <w:t>The claim to evaluate a “complete” transition is especially vulnerable. Complex systems are open, adaptive, nonlinear, and only partially observable. Their participants react to interventions, measurements, predictions, and classifications. Feedback may be delayed, emergent effects may be unknowable in advance, and apparently stable relationships may change once a policy is implemented. A model that identifies a favorable expected transition may consequently create false confidence and suppress alternative interpretations of the problem.</w:t>
      </w:r>
    </w:p>
    <w:p>
      <w:pPr>
        <w:pStyle w:val="BodyText"/>
        <w:spacing w:before="0" w:after="200"/>
        <w:rPr/>
      </w:pPr>
      <w:r>
        <w:rPr/>
        <w:t>A Systems Ethics expert may also question whether beginning with an Assessed Action privileges discrete decisions over structural conditions. Many harms arise through accumulated incentives, institutional routines, historical exclusions, feedback loops, or interactions among actors who individually appear to be behaving reasonably. If the framework concentrates on a particular action, it may assign responsibility to the visible actor while leaving the system that produced the action insufficiently examined.</w:t>
      </w:r>
    </w:p>
    <w:p>
      <w:pPr>
        <w:pStyle w:val="BodyText"/>
        <w:spacing w:before="0" w:after="200"/>
        <w:rPr/>
      </w:pPr>
      <w:r>
        <w:rPr/>
        <w:t>A further concern is that the framework could treat persistence, stability, adaptation, or system viability as moral goods. Harmful systems can be highly adaptive and resilient. An exploitative institution may preserve itself, learn from resistance, and expand its future state space while diminishing the flourishing of those subject to it. Systems Ethics therefore insists that preserving a system is not necessarily ethical; transformation or dissolution may be required.</w:t>
      </w:r>
    </w:p>
    <w:p>
      <w:pPr>
        <w:pStyle w:val="BodyText"/>
        <w:spacing w:before="0" w:after="200"/>
        <w:rPr/>
      </w:pPr>
      <w:r>
        <w:rPr/>
        <w:t>The questioning argument can be stated as follows:</w:t>
      </w:r>
    </w:p>
    <w:p>
      <w:pPr>
        <w:pStyle w:val="BlockQuotation"/>
        <w:spacing w:before="0" w:after="200"/>
        <w:rPr/>
      </w:pPr>
      <w:r>
        <w:rPr/>
        <w:t>How can the proposed framework claim to evaluate a complete World Context Transition when every definition of the system, every selection of relevant entities, every causal model, and every account of flourishing is incomplete and value-laden? Does formalizing these judgments reduce ethical uncertainty, or does it risk concealing contested boundaries, power asymmetries, emergent effects, and structural injustice behind an appearance of objective calculation?</w:t>
      </w:r>
    </w:p>
    <w:p>
      <w:pPr>
        <w:pStyle w:val="BodyText"/>
        <w:spacing w:before="0" w:after="200"/>
        <w:rPr/>
      </w:pPr>
      <w:r>
        <w:rPr/>
        <w:t xml:space="preserve">This objection reflects Churchman’s insistence that systems analysis examine its premises, limitations, and effects on humanity, as described by the </w:t>
      </w:r>
      <w:hyperlink r:id="rId246">
        <w:r>
          <w:rPr>
            <w:rStyle w:val="Hyperlink"/>
          </w:rPr>
          <w:t>University of California’s account of his work</w:t>
        </w:r>
      </w:hyperlink>
      <w:r>
        <w:rPr/>
        <w:t xml:space="preserve">. It also reflects Werner Ulrich’s argument that systemic practice requires continuous examination of boundary judgments through </w:t>
      </w:r>
      <w:hyperlink r:id="rId247">
        <w:r>
          <w:rPr>
            <w:rStyle w:val="Hyperlink"/>
          </w:rPr>
          <w:t>Critical Systems Heuristics</w:t>
        </w:r>
      </w:hyperlink>
      <w:r>
        <w:rPr/>
        <w:t>.</w:t>
      </w:r>
    </w:p>
    <w:p>
      <w:pPr>
        <w:pStyle w:val="Heading4"/>
        <w:ind w:hanging="0" w:left="0"/>
        <w:rPr>
          <w:rFonts w:ascii="Aptos" w:hAnsi="Aptos"/>
          <w:color w:val="auto"/>
        </w:rPr>
      </w:pPr>
      <w:r>
        <w:rPr/>
        <w:t>Assumptions within the ethical model relevant to the questioning argument</w:t>
      </w:r>
    </w:p>
    <w:p>
      <w:pPr>
        <w:pStyle w:val="BodyText"/>
        <w:numPr>
          <w:ilvl w:val="0"/>
          <w:numId w:val="136"/>
        </w:numPr>
        <w:tabs>
          <w:tab w:val="clear" w:pos="720"/>
          <w:tab w:val="left" w:pos="0" w:leader="none"/>
        </w:tabs>
        <w:spacing w:before="0" w:after="200"/>
        <w:ind w:hanging="283" w:left="709"/>
        <w:rPr/>
      </w:pPr>
      <w:r>
        <w:rPr>
          <w:rStyle w:val="Strong"/>
        </w:rPr>
        <w:t>Every system description is selective.</w:t>
      </w:r>
      <w:r>
        <w:rPr/>
        <w:br/>
        <w:t>A system is not presented to the analyst with an indisputable boundary. The analyst decides which components, environments, relationships, time horizons, and effects belong to the system of interest.</w:t>
      </w:r>
    </w:p>
    <w:p>
      <w:pPr>
        <w:pStyle w:val="BodyText"/>
        <w:numPr>
          <w:ilvl w:val="0"/>
          <w:numId w:val="136"/>
        </w:numPr>
        <w:tabs>
          <w:tab w:val="clear" w:pos="720"/>
          <w:tab w:val="left" w:pos="0" w:leader="none"/>
        </w:tabs>
        <w:spacing w:before="0" w:after="200"/>
        <w:ind w:hanging="283" w:left="709"/>
        <w:rPr/>
      </w:pPr>
      <w:r>
        <w:rPr>
          <w:rStyle w:val="Strong"/>
        </w:rPr>
        <w:t>Boundary judgments are normative.</w:t>
      </w:r>
      <w:r>
        <w:rPr/>
        <w:br/>
        <w:t>Including or excluding an entity can change whether an intervention appears beneficial. Boundary selection is therefore an ethical decision, not merely a technical convenience.</w:t>
      </w:r>
    </w:p>
    <w:p>
      <w:pPr>
        <w:pStyle w:val="BodyText"/>
        <w:numPr>
          <w:ilvl w:val="0"/>
          <w:numId w:val="136"/>
        </w:numPr>
        <w:tabs>
          <w:tab w:val="clear" w:pos="720"/>
          <w:tab w:val="left" w:pos="0" w:leader="none"/>
        </w:tabs>
        <w:spacing w:before="0" w:after="200"/>
        <w:ind w:hanging="283" w:left="709"/>
        <w:rPr/>
      </w:pPr>
      <w:r>
        <w:rPr>
          <w:rStyle w:val="Strong"/>
        </w:rPr>
        <w:t>System purposes are plural and contestable.</w:t>
      </w:r>
      <w:r>
        <w:rPr/>
        <w:br/>
        <w:t>Designers, operators, beneficiaries, regulators, communities, and affected outsiders may disagree about what a system is for and what improvement would mean.</w:t>
      </w:r>
    </w:p>
    <w:p>
      <w:pPr>
        <w:pStyle w:val="BodyText"/>
        <w:numPr>
          <w:ilvl w:val="0"/>
          <w:numId w:val="136"/>
        </w:numPr>
        <w:tabs>
          <w:tab w:val="clear" w:pos="720"/>
          <w:tab w:val="left" w:pos="0" w:leader="none"/>
        </w:tabs>
        <w:spacing w:before="0" w:after="200"/>
        <w:ind w:hanging="283" w:left="709"/>
        <w:rPr/>
      </w:pPr>
      <w:r>
        <w:rPr>
          <w:rStyle w:val="Strong"/>
        </w:rPr>
        <w:t>Declared purposes may differ from enacted purposes.</w:t>
      </w:r>
      <w:r>
        <w:rPr/>
        <w:br/>
        <w:t>Incentives, resource allocation, and recurring behavior may reveal operational objectives that conflict with the system’s formal mission.</w:t>
      </w:r>
    </w:p>
    <w:p>
      <w:pPr>
        <w:pStyle w:val="BodyText"/>
        <w:numPr>
          <w:ilvl w:val="0"/>
          <w:numId w:val="136"/>
        </w:numPr>
        <w:tabs>
          <w:tab w:val="clear" w:pos="720"/>
          <w:tab w:val="left" w:pos="0" w:leader="none"/>
        </w:tabs>
        <w:spacing w:before="0" w:after="200"/>
        <w:ind w:hanging="283" w:left="709"/>
        <w:rPr/>
      </w:pPr>
      <w:r>
        <w:rPr>
          <w:rStyle w:val="Strong"/>
        </w:rPr>
        <w:t>Models are representations rather than replicas.</w:t>
      </w:r>
      <w:r>
        <w:rPr/>
        <w:br/>
        <w:t>Models omit details, simplify relationships, and depend on assumptions. A model can be useful without being complete or uniquely correct.</w:t>
      </w:r>
    </w:p>
    <w:p>
      <w:pPr>
        <w:pStyle w:val="BodyText"/>
        <w:numPr>
          <w:ilvl w:val="0"/>
          <w:numId w:val="136"/>
        </w:numPr>
        <w:tabs>
          <w:tab w:val="clear" w:pos="720"/>
          <w:tab w:val="left" w:pos="0" w:leader="none"/>
        </w:tabs>
        <w:spacing w:before="0" w:after="200"/>
        <w:ind w:hanging="283" w:left="709"/>
        <w:rPr/>
      </w:pPr>
      <w:r>
        <w:rPr>
          <w:rStyle w:val="Strong"/>
        </w:rPr>
        <w:t>The observer participates in the system.</w:t>
      </w:r>
      <w:r>
        <w:rPr/>
        <w:br/>
        <w:t>Measurement, classification, publication, and intervention can alter participant behavior. The assessor cannot always be treated as an external and neutral observer.</w:t>
      </w:r>
    </w:p>
    <w:p>
      <w:pPr>
        <w:pStyle w:val="BodyText"/>
        <w:numPr>
          <w:ilvl w:val="0"/>
          <w:numId w:val="136"/>
        </w:numPr>
        <w:tabs>
          <w:tab w:val="clear" w:pos="720"/>
          <w:tab w:val="left" w:pos="0" w:leader="none"/>
        </w:tabs>
        <w:spacing w:before="0" w:after="200"/>
        <w:ind w:hanging="283" w:left="709"/>
        <w:rPr/>
      </w:pPr>
      <w:r>
        <w:rPr>
          <w:rStyle w:val="Strong"/>
        </w:rPr>
        <w:t>Complex causation is distributed.</w:t>
      </w:r>
      <w:r>
        <w:rPr/>
        <w:br/>
        <w:t>Outcomes may arise through interacting roles, rules, technologies, incentives, and histories rather than from a single identifiable decision-maker.</w:t>
      </w:r>
    </w:p>
    <w:p>
      <w:pPr>
        <w:pStyle w:val="BodyText"/>
        <w:numPr>
          <w:ilvl w:val="0"/>
          <w:numId w:val="136"/>
        </w:numPr>
        <w:tabs>
          <w:tab w:val="clear" w:pos="720"/>
          <w:tab w:val="left" w:pos="0" w:leader="none"/>
        </w:tabs>
        <w:spacing w:before="0" w:after="200"/>
        <w:ind w:hanging="283" w:left="709"/>
        <w:rPr/>
      </w:pPr>
      <w:r>
        <w:rPr>
          <w:rStyle w:val="Strong"/>
        </w:rPr>
        <w:t>Feedback changes future behavior.</w:t>
      </w:r>
      <w:r>
        <w:rPr/>
        <w:br/>
        <w:t>Actions change information, expectations, incentives, trust, resource availability, and subsequent policies.</w:t>
      </w:r>
    </w:p>
    <w:p>
      <w:pPr>
        <w:pStyle w:val="BodyText"/>
        <w:numPr>
          <w:ilvl w:val="0"/>
          <w:numId w:val="136"/>
        </w:numPr>
        <w:tabs>
          <w:tab w:val="clear" w:pos="720"/>
          <w:tab w:val="left" w:pos="0" w:leader="none"/>
        </w:tabs>
        <w:spacing w:before="0" w:after="200"/>
        <w:ind w:hanging="283" w:left="709"/>
        <w:rPr/>
      </w:pPr>
      <w:r>
        <w:rPr>
          <w:rStyle w:val="Strong"/>
        </w:rPr>
        <w:t>Causal relationships may be circular.</w:t>
      </w:r>
      <w:r>
        <w:rPr/>
        <w:br/>
        <w:t>A influences B, which changes C, which subsequently changes A. Linear descriptions may obscure reciprocal and self-reinforcing processes.</w:t>
      </w:r>
    </w:p>
    <w:p>
      <w:pPr>
        <w:pStyle w:val="BodyText"/>
        <w:numPr>
          <w:ilvl w:val="0"/>
          <w:numId w:val="136"/>
        </w:numPr>
        <w:tabs>
          <w:tab w:val="clear" w:pos="720"/>
          <w:tab w:val="left" w:pos="0" w:leader="none"/>
        </w:tabs>
        <w:spacing w:before="0" w:after="200"/>
        <w:ind w:hanging="283" w:left="709"/>
        <w:rPr/>
      </w:pPr>
      <w:r>
        <w:rPr>
          <w:rStyle w:val="Strong"/>
        </w:rPr>
        <w:t>Systems contain delays.</w:t>
      </w:r>
      <w:r>
        <w:rPr/>
        <w:br/>
        <w:t>Effects may appear long after the initiating decision. Short evaluation periods can therefore misclassify harmful interventions as successful.</w:t>
      </w:r>
    </w:p>
    <w:p>
      <w:pPr>
        <w:pStyle w:val="BodyText"/>
        <w:numPr>
          <w:ilvl w:val="0"/>
          <w:numId w:val="136"/>
        </w:numPr>
        <w:tabs>
          <w:tab w:val="clear" w:pos="720"/>
          <w:tab w:val="left" w:pos="0" w:leader="none"/>
        </w:tabs>
        <w:spacing w:before="0" w:after="200"/>
        <w:ind w:hanging="283" w:left="709"/>
        <w:rPr/>
      </w:pPr>
      <w:r>
        <w:rPr>
          <w:rStyle w:val="Strong"/>
        </w:rPr>
        <w:t>System behavior may be nonlinear.</w:t>
      </w:r>
      <w:r>
        <w:rPr/>
        <w:br/>
        <w:t>Small interventions can have large effects, substantial interventions can be neutralized by feedback, and gradual pressures can trigger abrupt transitions.</w:t>
      </w:r>
    </w:p>
    <w:p>
      <w:pPr>
        <w:pStyle w:val="BodyText"/>
        <w:numPr>
          <w:ilvl w:val="0"/>
          <w:numId w:val="136"/>
        </w:numPr>
        <w:tabs>
          <w:tab w:val="clear" w:pos="720"/>
          <w:tab w:val="left" w:pos="0" w:leader="none"/>
        </w:tabs>
        <w:spacing w:before="0" w:after="200"/>
        <w:ind w:hanging="283" w:left="709"/>
        <w:rPr/>
      </w:pPr>
      <w:r>
        <w:rPr>
          <w:rStyle w:val="Strong"/>
        </w:rPr>
        <w:t>Emergent properties cannot always be predicted from component behavior.</w:t>
      </w:r>
      <w:r>
        <w:rPr/>
        <w:br/>
        <w:t>Trust, culture, discrimination, instability, resilience, congestion, and collective behavior may arise without being intended by any individual participant.</w:t>
      </w:r>
    </w:p>
    <w:p>
      <w:pPr>
        <w:pStyle w:val="BodyText"/>
        <w:numPr>
          <w:ilvl w:val="0"/>
          <w:numId w:val="136"/>
        </w:numPr>
        <w:tabs>
          <w:tab w:val="clear" w:pos="720"/>
          <w:tab w:val="left" w:pos="0" w:leader="none"/>
        </w:tabs>
        <w:spacing w:before="0" w:after="200"/>
        <w:ind w:hanging="283" w:left="709"/>
        <w:rPr/>
      </w:pPr>
      <w:r>
        <w:rPr>
          <w:rStyle w:val="Strong"/>
        </w:rPr>
        <w:t>Adaptation can invalidate predictions.</w:t>
      </w:r>
      <w:r>
        <w:rPr/>
        <w:br/>
        <w:t>People and institutions respond strategically to policies, incentives, metrics, and enforcement. An intervention may therefore change the causal relationships on which its assessment was based.</w:t>
      </w:r>
    </w:p>
    <w:p>
      <w:pPr>
        <w:pStyle w:val="BodyText"/>
        <w:numPr>
          <w:ilvl w:val="0"/>
          <w:numId w:val="136"/>
        </w:numPr>
        <w:tabs>
          <w:tab w:val="clear" w:pos="720"/>
          <w:tab w:val="left" w:pos="0" w:leader="none"/>
        </w:tabs>
        <w:spacing w:before="0" w:after="200"/>
        <w:ind w:hanging="283" w:left="709"/>
        <w:rPr/>
      </w:pPr>
      <w:r>
        <w:rPr>
          <w:rStyle w:val="Strong"/>
        </w:rPr>
        <w:t>Local improvement may create global harm.</w:t>
      </w:r>
      <w:r>
        <w:rPr/>
        <w:br/>
        <w:t>A subsystem can improve its performance by transferring cost, risk, labor, pollution, or responsibility elsewhere.</w:t>
      </w:r>
    </w:p>
    <w:p>
      <w:pPr>
        <w:pStyle w:val="BodyText"/>
        <w:numPr>
          <w:ilvl w:val="0"/>
          <w:numId w:val="136"/>
        </w:numPr>
        <w:tabs>
          <w:tab w:val="clear" w:pos="720"/>
          <w:tab w:val="left" w:pos="0" w:leader="none"/>
        </w:tabs>
        <w:spacing w:before="0" w:after="200"/>
        <w:ind w:hanging="283" w:left="709"/>
        <w:rPr/>
      </w:pPr>
      <w:r>
        <w:rPr>
          <w:rStyle w:val="Strong"/>
        </w:rPr>
        <w:t>The whole does not automatically take moral priority over its components.</w:t>
      </w:r>
      <w:r>
        <w:rPr/>
        <w:br/>
        <w:t>Appeals to system health, institutional survival, or social order can be used to justify severe harm to less powerful entities.</w:t>
      </w:r>
    </w:p>
    <w:p>
      <w:pPr>
        <w:pStyle w:val="BodyText"/>
        <w:numPr>
          <w:ilvl w:val="0"/>
          <w:numId w:val="136"/>
        </w:numPr>
        <w:tabs>
          <w:tab w:val="clear" w:pos="720"/>
          <w:tab w:val="left" w:pos="0" w:leader="none"/>
        </w:tabs>
        <w:spacing w:before="0" w:after="200"/>
        <w:ind w:hanging="283" w:left="709"/>
        <w:rPr/>
      </w:pPr>
      <w:r>
        <w:rPr>
          <w:rStyle w:val="Strong"/>
        </w:rPr>
        <w:t>Components do not automatically take priority over the whole.</w:t>
      </w:r>
      <w:r>
        <w:rPr/>
        <w:br/>
        <w:t>Individual preferences or local rights claims may have cumulative consequences for shared institutions, ecological resources, or future generations.</w:t>
      </w:r>
    </w:p>
    <w:p>
      <w:pPr>
        <w:pStyle w:val="BodyText"/>
        <w:numPr>
          <w:ilvl w:val="0"/>
          <w:numId w:val="136"/>
        </w:numPr>
        <w:tabs>
          <w:tab w:val="clear" w:pos="720"/>
          <w:tab w:val="left" w:pos="0" w:leader="none"/>
        </w:tabs>
        <w:spacing w:before="0" w:after="200"/>
        <w:ind w:hanging="283" w:left="709"/>
        <w:rPr/>
      </w:pPr>
      <w:r>
        <w:rPr>
          <w:rStyle w:val="Strong"/>
        </w:rPr>
        <w:t>Viability is necessary in some contexts but not sufficient for ethical legitimacy.</w:t>
      </w:r>
      <w:r>
        <w:rPr/>
        <w:br/>
        <w:t>A system may be stable, resilient, and effective while remaining exploitative or unjust.</w:t>
      </w:r>
    </w:p>
    <w:p>
      <w:pPr>
        <w:pStyle w:val="BodyText"/>
        <w:numPr>
          <w:ilvl w:val="0"/>
          <w:numId w:val="136"/>
        </w:numPr>
        <w:tabs>
          <w:tab w:val="clear" w:pos="720"/>
          <w:tab w:val="left" w:pos="0" w:leader="none"/>
        </w:tabs>
        <w:spacing w:before="0" w:after="200"/>
        <w:ind w:hanging="283" w:left="709"/>
        <w:rPr/>
      </w:pPr>
      <w:r>
        <w:rPr>
          <w:rStyle w:val="Strong"/>
        </w:rPr>
        <w:t>Power influences knowledge and participation.</w:t>
      </w:r>
      <w:r>
        <w:rPr/>
        <w:br/>
        <w:t>Powerful actors often control the problem definition, data, models, resources, implementation, and standards of evidence.</w:t>
      </w:r>
    </w:p>
    <w:p>
      <w:pPr>
        <w:pStyle w:val="BodyText"/>
        <w:numPr>
          <w:ilvl w:val="0"/>
          <w:numId w:val="136"/>
        </w:numPr>
        <w:tabs>
          <w:tab w:val="clear" w:pos="720"/>
          <w:tab w:val="left" w:pos="0" w:leader="none"/>
        </w:tabs>
        <w:spacing w:before="0" w:after="200"/>
        <w:ind w:hanging="283" w:left="709"/>
        <w:rPr/>
      </w:pPr>
      <w:r>
        <w:rPr>
          <w:rStyle w:val="Strong"/>
        </w:rPr>
        <w:t>Those most affected may be least able to participate.</w:t>
      </w:r>
      <w:r>
        <w:rPr/>
        <w:br/>
        <w:t>Marginalized populations, children, future generations, nonhuman organisms, ecosystems, and some artificial entities may lack effective representation.</w:t>
      </w:r>
    </w:p>
    <w:p>
      <w:pPr>
        <w:pStyle w:val="BodyText"/>
        <w:numPr>
          <w:ilvl w:val="0"/>
          <w:numId w:val="136"/>
        </w:numPr>
        <w:tabs>
          <w:tab w:val="clear" w:pos="720"/>
          <w:tab w:val="left" w:pos="0" w:leader="none"/>
        </w:tabs>
        <w:spacing w:before="0" w:after="200"/>
        <w:ind w:hanging="283" w:left="709"/>
        <w:rPr/>
      </w:pPr>
      <w:r>
        <w:rPr>
          <w:rStyle w:val="Strong"/>
        </w:rPr>
        <w:t>Participation has both epistemic and ethical value.</w:t>
      </w:r>
      <w:r>
        <w:rPr/>
        <w:br/>
        <w:t>Affected parties may possess knowledge unavailable to technical experts. Their involvement can improve understanding and decision legitimacy.</w:t>
      </w:r>
    </w:p>
    <w:p>
      <w:pPr>
        <w:pStyle w:val="BodyText"/>
        <w:numPr>
          <w:ilvl w:val="0"/>
          <w:numId w:val="136"/>
        </w:numPr>
        <w:tabs>
          <w:tab w:val="clear" w:pos="720"/>
          <w:tab w:val="left" w:pos="0" w:leader="none"/>
        </w:tabs>
        <w:spacing w:before="0" w:after="200"/>
        <w:ind w:hanging="283" w:left="709"/>
        <w:rPr/>
      </w:pPr>
      <w:r>
        <w:rPr>
          <w:rStyle w:val="Strong"/>
        </w:rPr>
        <w:t>Ethical inquiry requires methodological pluralism.</w:t>
      </w:r>
      <w:r>
        <w:rPr/>
        <w:br/>
        <w:t>Quantitative modeling alone may not capture experience, institutional history, cultural meaning, power, or relational harm.</w:t>
      </w:r>
    </w:p>
    <w:p>
      <w:pPr>
        <w:pStyle w:val="BodyText"/>
        <w:numPr>
          <w:ilvl w:val="0"/>
          <w:numId w:val="136"/>
        </w:numPr>
        <w:tabs>
          <w:tab w:val="clear" w:pos="720"/>
          <w:tab w:val="left" w:pos="0" w:leader="none"/>
        </w:tabs>
        <w:spacing w:before="0" w:after="200"/>
        <w:ind w:hanging="283" w:left="709"/>
        <w:rPr/>
      </w:pPr>
      <w:r>
        <w:rPr>
          <w:rStyle w:val="Strong"/>
        </w:rPr>
        <w:t>Learning must continue after intervention.</w:t>
      </w:r>
      <w:r>
        <w:rPr/>
        <w:br/>
        <w:t>Ethical responsibility includes monitoring, revision, repair, and institutional learning rather than ending when a decision is approved.</w:t>
      </w:r>
    </w:p>
    <w:p>
      <w:pPr>
        <w:pStyle w:val="BodyText"/>
        <w:numPr>
          <w:ilvl w:val="0"/>
          <w:numId w:val="136"/>
        </w:numPr>
        <w:tabs>
          <w:tab w:val="clear" w:pos="720"/>
          <w:tab w:val="left" w:pos="0" w:leader="none"/>
        </w:tabs>
        <w:spacing w:before="0" w:after="200"/>
        <w:ind w:hanging="283" w:left="709"/>
        <w:rPr/>
      </w:pPr>
      <w:r>
        <w:rPr>
          <w:rStyle w:val="Strong"/>
        </w:rPr>
        <w:t>System preservation and system transformation are separate options.</w:t>
      </w:r>
      <w:r>
        <w:rPr/>
        <w:br/>
        <w:t>The ethical question is not merely how to stabilize a system, but whether its structure should continue.</w:t>
      </w:r>
    </w:p>
    <w:p>
      <w:pPr>
        <w:pStyle w:val="BodyText"/>
        <w:numPr>
          <w:ilvl w:val="0"/>
          <w:numId w:val="136"/>
        </w:numPr>
        <w:tabs>
          <w:tab w:val="clear" w:pos="720"/>
          <w:tab w:val="left" w:pos="0" w:leader="none"/>
        </w:tabs>
        <w:spacing w:before="0" w:after="200"/>
        <w:ind w:hanging="283" w:left="709"/>
        <w:rPr/>
      </w:pPr>
      <w:r>
        <w:rPr>
          <w:rStyle w:val="Strong"/>
        </w:rPr>
        <w:t>No final model can eliminate uncertainty.</w:t>
      </w:r>
      <w:r>
        <w:rPr/>
        <w:br/>
        <w:t>Systemic inquiry aims for responsible learning and action under uncertainty, not total prediction or control.</w:t>
      </w:r>
    </w:p>
    <w:p>
      <w:pPr>
        <w:pStyle w:val="BodyText"/>
        <w:numPr>
          <w:ilvl w:val="0"/>
          <w:numId w:val="136"/>
        </w:numPr>
        <w:tabs>
          <w:tab w:val="clear" w:pos="720"/>
          <w:tab w:val="left" w:pos="0" w:leader="none"/>
        </w:tabs>
        <w:spacing w:before="0" w:after="200"/>
        <w:ind w:hanging="283" w:left="709"/>
        <w:rPr/>
      </w:pPr>
      <w:r>
        <w:rPr>
          <w:rStyle w:val="Strong"/>
        </w:rPr>
        <w:t>The framework itself must be treated as a system intervention.</w:t>
      </w:r>
      <w:r>
        <w:rPr/>
        <w:br/>
        <w:t>Its categories, metrics, incentives, users, and institutional location can change behavior and redistribute authority.</w:t>
      </w:r>
    </w:p>
    <w:p>
      <w:pPr>
        <w:pStyle w:val="Heading4"/>
        <w:ind w:hanging="0" w:left="0"/>
        <w:rPr>
          <w:rFonts w:ascii="Aptos" w:hAnsi="Aptos"/>
          <w:color w:val="auto"/>
        </w:rPr>
      </w:pPr>
      <w:r>
        <w:rPr/>
        <w:t>Concepts incorporated from this ethical model</w:t>
      </w:r>
    </w:p>
    <w:tbl>
      <w:tblPr>
        <w:tblW w:w="8640" w:type="dxa"/>
        <w:jc w:val="left"/>
        <w:tblInd w:w="28" w:type="dxa"/>
        <w:tblLayout w:type="fixed"/>
        <w:tblCellMar>
          <w:top w:w="28" w:type="dxa"/>
          <w:left w:w="28" w:type="dxa"/>
          <w:bottom w:w="28" w:type="dxa"/>
          <w:right w:w="28" w:type="dxa"/>
        </w:tblCellMar>
      </w:tblPr>
      <w:tblGrid>
        <w:gridCol w:w="2611"/>
        <w:gridCol w:w="6029"/>
      </w:tblGrid>
      <w:tr>
        <w:trPr>
          <w:tblHeader w:val="true"/>
        </w:trPr>
        <w:tc>
          <w:tcPr>
            <w:tcW w:w="2611" w:type="dxa"/>
            <w:tcBorders/>
            <w:vAlign w:val="center"/>
          </w:tcPr>
          <w:p>
            <w:pPr>
              <w:pStyle w:val="TableHeading"/>
              <w:suppressLineNumbers/>
              <w:spacing w:before="0" w:after="200"/>
              <w:jc w:val="center"/>
              <w:rPr/>
            </w:pPr>
            <w:r>
              <w:rPr/>
              <w:t>Systems Ethics concept</w:t>
            </w:r>
          </w:p>
        </w:tc>
        <w:tc>
          <w:tcPr>
            <w:tcW w:w="6029" w:type="dxa"/>
            <w:tcBorders/>
            <w:vAlign w:val="center"/>
          </w:tcPr>
          <w:p>
            <w:pPr>
              <w:pStyle w:val="TableHeading"/>
              <w:suppressLineNumbers/>
              <w:spacing w:before="0" w:after="200"/>
              <w:jc w:val="center"/>
              <w:rPr/>
            </w:pPr>
            <w:r>
              <w:rPr/>
              <w:t>Incorporation or adaptation within this framework</w:t>
            </w:r>
          </w:p>
        </w:tc>
      </w:tr>
      <w:tr>
        <w:trPr/>
        <w:tc>
          <w:tcPr>
            <w:tcW w:w="2611" w:type="dxa"/>
            <w:tcBorders/>
            <w:vAlign w:val="center"/>
          </w:tcPr>
          <w:p>
            <w:pPr>
              <w:pStyle w:val="TableContents"/>
              <w:widowControl w:val="false"/>
              <w:suppressLineNumbers/>
              <w:spacing w:before="0" w:after="200"/>
              <w:rPr/>
            </w:pPr>
            <w:r>
              <w:rPr>
                <w:rStyle w:val="Strong"/>
              </w:rPr>
              <w:t>Whole-system inquiry</w:t>
            </w:r>
          </w:p>
        </w:tc>
        <w:tc>
          <w:tcPr>
            <w:tcW w:w="6029" w:type="dxa"/>
            <w:tcBorders/>
            <w:vAlign w:val="center"/>
          </w:tcPr>
          <w:p>
            <w:pPr>
              <w:pStyle w:val="TableContents"/>
              <w:widowControl w:val="false"/>
              <w:suppressLineNumbers/>
              <w:spacing w:before="0" w:after="200"/>
              <w:rPr/>
            </w:pPr>
            <w:r>
              <w:rPr/>
              <w:t>Evaluation of the Assessed Action through its broader World Context Transition</w:t>
            </w:r>
          </w:p>
        </w:tc>
      </w:tr>
      <w:tr>
        <w:trPr/>
        <w:tc>
          <w:tcPr>
            <w:tcW w:w="2611" w:type="dxa"/>
            <w:tcBorders/>
            <w:vAlign w:val="center"/>
          </w:tcPr>
          <w:p>
            <w:pPr>
              <w:pStyle w:val="TableContents"/>
              <w:widowControl w:val="false"/>
              <w:suppressLineNumbers/>
              <w:spacing w:before="0" w:after="200"/>
              <w:rPr/>
            </w:pPr>
            <w:r>
              <w:rPr>
                <w:rStyle w:val="Strong"/>
              </w:rPr>
              <w:t>Open systems</w:t>
            </w:r>
          </w:p>
        </w:tc>
        <w:tc>
          <w:tcPr>
            <w:tcW w:w="6029" w:type="dxa"/>
            <w:tcBorders/>
            <w:vAlign w:val="center"/>
          </w:tcPr>
          <w:p>
            <w:pPr>
              <w:pStyle w:val="TableContents"/>
              <w:widowControl w:val="false"/>
              <w:suppressLineNumbers/>
              <w:spacing w:before="0" w:after="200"/>
              <w:rPr/>
            </w:pPr>
            <w:r>
              <w:rPr/>
              <w:t>Recognition that effects cross organizational, geographic, ecological, and temporal boundaries</w:t>
            </w:r>
          </w:p>
        </w:tc>
      </w:tr>
      <w:tr>
        <w:trPr/>
        <w:tc>
          <w:tcPr>
            <w:tcW w:w="2611" w:type="dxa"/>
            <w:tcBorders/>
            <w:vAlign w:val="center"/>
          </w:tcPr>
          <w:p>
            <w:pPr>
              <w:pStyle w:val="TableContents"/>
              <w:widowControl w:val="false"/>
              <w:suppressLineNumbers/>
              <w:spacing w:before="0" w:after="200"/>
              <w:rPr/>
            </w:pPr>
            <w:r>
              <w:rPr>
                <w:rStyle w:val="Strong"/>
              </w:rPr>
              <w:t>Interdependence</w:t>
            </w:r>
          </w:p>
        </w:tc>
        <w:tc>
          <w:tcPr>
            <w:tcW w:w="6029" w:type="dxa"/>
            <w:tcBorders/>
            <w:vAlign w:val="center"/>
          </w:tcPr>
          <w:p>
            <w:pPr>
              <w:pStyle w:val="TableContents"/>
              <w:widowControl w:val="false"/>
              <w:suppressLineNumbers/>
              <w:spacing w:before="0" w:after="200"/>
              <w:rPr/>
            </w:pPr>
            <w:r>
              <w:rPr/>
              <w:t>Representation of entities through Associations, dependencies, and reciprocal effects</w:t>
            </w:r>
          </w:p>
        </w:tc>
      </w:tr>
      <w:tr>
        <w:trPr/>
        <w:tc>
          <w:tcPr>
            <w:tcW w:w="2611" w:type="dxa"/>
            <w:tcBorders/>
            <w:vAlign w:val="center"/>
          </w:tcPr>
          <w:p>
            <w:pPr>
              <w:pStyle w:val="TableContents"/>
              <w:widowControl w:val="false"/>
              <w:suppressLineNumbers/>
              <w:spacing w:before="0" w:after="200"/>
              <w:rPr/>
            </w:pPr>
            <w:r>
              <w:rPr>
                <w:rStyle w:val="Strong"/>
              </w:rPr>
              <w:t>Boundary judgments</w:t>
            </w:r>
          </w:p>
        </w:tc>
        <w:tc>
          <w:tcPr>
            <w:tcW w:w="6029" w:type="dxa"/>
            <w:tcBorders/>
            <w:vAlign w:val="center"/>
          </w:tcPr>
          <w:p>
            <w:pPr>
              <w:pStyle w:val="TableContents"/>
              <w:widowControl w:val="false"/>
              <w:suppressLineNumbers/>
              <w:spacing w:before="0" w:after="200"/>
              <w:rPr/>
            </w:pPr>
            <w:r>
              <w:rPr/>
              <w:t>Selection of relevant entities, relationships, evidence, consequences, and time horizons</w:t>
            </w:r>
          </w:p>
        </w:tc>
      </w:tr>
      <w:tr>
        <w:trPr/>
        <w:tc>
          <w:tcPr>
            <w:tcW w:w="2611" w:type="dxa"/>
            <w:tcBorders/>
            <w:vAlign w:val="center"/>
          </w:tcPr>
          <w:p>
            <w:pPr>
              <w:pStyle w:val="TableContents"/>
              <w:widowControl w:val="false"/>
              <w:suppressLineNumbers/>
              <w:spacing w:before="0" w:after="200"/>
              <w:rPr/>
            </w:pPr>
            <w:r>
              <w:rPr>
                <w:rStyle w:val="Strong"/>
              </w:rPr>
              <w:t>Boundary critique</w:t>
            </w:r>
          </w:p>
        </w:tc>
        <w:tc>
          <w:tcPr>
            <w:tcW w:w="6029" w:type="dxa"/>
            <w:tcBorders/>
            <w:vAlign w:val="center"/>
          </w:tcPr>
          <w:p>
            <w:pPr>
              <w:pStyle w:val="TableContents"/>
              <w:widowControl w:val="false"/>
              <w:suppressLineNumbers/>
              <w:spacing w:before="0" w:after="200"/>
              <w:rPr/>
            </w:pPr>
            <w:r>
              <w:rPr/>
              <w:t>Structured challenges to who and what has been included or excluded</w:t>
            </w:r>
          </w:p>
        </w:tc>
      </w:tr>
      <w:tr>
        <w:trPr/>
        <w:tc>
          <w:tcPr>
            <w:tcW w:w="2611" w:type="dxa"/>
            <w:tcBorders/>
            <w:vAlign w:val="center"/>
          </w:tcPr>
          <w:p>
            <w:pPr>
              <w:pStyle w:val="TableContents"/>
              <w:widowControl w:val="false"/>
              <w:suppressLineNumbers/>
              <w:spacing w:before="0" w:after="200"/>
              <w:rPr/>
            </w:pPr>
            <w:r>
              <w:rPr>
                <w:rStyle w:val="Strong"/>
              </w:rPr>
              <w:t>Purposeful systems</w:t>
            </w:r>
          </w:p>
        </w:tc>
        <w:tc>
          <w:tcPr>
            <w:tcW w:w="6029" w:type="dxa"/>
            <w:tcBorders/>
            <w:vAlign w:val="center"/>
          </w:tcPr>
          <w:p>
            <w:pPr>
              <w:pStyle w:val="TableContents"/>
              <w:widowControl w:val="false"/>
              <w:suppressLineNumbers/>
              <w:spacing w:before="0" w:after="200"/>
              <w:rPr/>
            </w:pPr>
            <w:r>
              <w:rPr/>
              <w:t>Representation of objectives, intentions, roles, policies, and adaptive agents</w:t>
            </w:r>
          </w:p>
        </w:tc>
      </w:tr>
      <w:tr>
        <w:trPr/>
        <w:tc>
          <w:tcPr>
            <w:tcW w:w="2611" w:type="dxa"/>
            <w:tcBorders/>
            <w:vAlign w:val="center"/>
          </w:tcPr>
          <w:p>
            <w:pPr>
              <w:pStyle w:val="TableContents"/>
              <w:widowControl w:val="false"/>
              <w:suppressLineNumbers/>
              <w:spacing w:before="0" w:after="200"/>
              <w:rPr/>
            </w:pPr>
            <w:r>
              <w:rPr>
                <w:rStyle w:val="Strong"/>
              </w:rPr>
              <w:t>Declared and enacted purposes</w:t>
            </w:r>
          </w:p>
        </w:tc>
        <w:tc>
          <w:tcPr>
            <w:tcW w:w="6029" w:type="dxa"/>
            <w:tcBorders/>
            <w:vAlign w:val="center"/>
          </w:tcPr>
          <w:p>
            <w:pPr>
              <w:pStyle w:val="TableContents"/>
              <w:widowControl w:val="false"/>
              <w:suppressLineNumbers/>
              <w:spacing w:before="0" w:after="200"/>
              <w:rPr/>
            </w:pPr>
            <w:r>
              <w:rPr/>
              <w:t>Comparison between stated objectives and actual incentives or operational behavior</w:t>
            </w:r>
          </w:p>
        </w:tc>
      </w:tr>
      <w:tr>
        <w:trPr/>
        <w:tc>
          <w:tcPr>
            <w:tcW w:w="2611" w:type="dxa"/>
            <w:tcBorders/>
            <w:vAlign w:val="center"/>
          </w:tcPr>
          <w:p>
            <w:pPr>
              <w:pStyle w:val="TableContents"/>
              <w:widowControl w:val="false"/>
              <w:suppressLineNumbers/>
              <w:spacing w:before="0" w:after="200"/>
              <w:rPr/>
            </w:pPr>
            <w:r>
              <w:rPr>
                <w:rStyle w:val="Strong"/>
              </w:rPr>
              <w:t>Feedback</w:t>
            </w:r>
          </w:p>
        </w:tc>
        <w:tc>
          <w:tcPr>
            <w:tcW w:w="6029" w:type="dxa"/>
            <w:tcBorders/>
            <w:vAlign w:val="center"/>
          </w:tcPr>
          <w:p>
            <w:pPr>
              <w:pStyle w:val="TableContents"/>
              <w:widowControl w:val="false"/>
              <w:suppressLineNumbers/>
              <w:spacing w:before="0" w:after="200"/>
              <w:rPr/>
            </w:pPr>
            <w:r>
              <w:rPr/>
              <w:t>Distributed Policy Effects and other changes to future behavior</w:t>
            </w:r>
          </w:p>
        </w:tc>
      </w:tr>
      <w:tr>
        <w:trPr/>
        <w:tc>
          <w:tcPr>
            <w:tcW w:w="2611" w:type="dxa"/>
            <w:tcBorders/>
            <w:vAlign w:val="center"/>
          </w:tcPr>
          <w:p>
            <w:pPr>
              <w:pStyle w:val="TableContents"/>
              <w:widowControl w:val="false"/>
              <w:suppressLineNumbers/>
              <w:spacing w:before="0" w:after="200"/>
              <w:rPr/>
            </w:pPr>
            <w:r>
              <w:rPr>
                <w:rStyle w:val="Strong"/>
              </w:rPr>
              <w:t>Circular causation</w:t>
            </w:r>
          </w:p>
        </w:tc>
        <w:tc>
          <w:tcPr>
            <w:tcW w:w="6029" w:type="dxa"/>
            <w:tcBorders/>
            <w:vAlign w:val="center"/>
          </w:tcPr>
          <w:p>
            <w:pPr>
              <w:pStyle w:val="TableContents"/>
              <w:widowControl w:val="false"/>
              <w:suppressLineNumbers/>
              <w:spacing w:before="0" w:after="200"/>
              <w:rPr/>
            </w:pPr>
            <w:r>
              <w:rPr/>
              <w:t>Reciprocal causal relationships among entities and institutional structures</w:t>
            </w:r>
          </w:p>
        </w:tc>
      </w:tr>
      <w:tr>
        <w:trPr/>
        <w:tc>
          <w:tcPr>
            <w:tcW w:w="2611" w:type="dxa"/>
            <w:tcBorders/>
            <w:vAlign w:val="center"/>
          </w:tcPr>
          <w:p>
            <w:pPr>
              <w:pStyle w:val="TableContents"/>
              <w:widowControl w:val="false"/>
              <w:suppressLineNumbers/>
              <w:spacing w:before="0" w:after="200"/>
              <w:rPr/>
            </w:pPr>
            <w:r>
              <w:rPr>
                <w:rStyle w:val="Strong"/>
              </w:rPr>
              <w:t>Emergence</w:t>
            </w:r>
          </w:p>
        </w:tc>
        <w:tc>
          <w:tcPr>
            <w:tcW w:w="6029" w:type="dxa"/>
            <w:tcBorders/>
            <w:vAlign w:val="center"/>
          </w:tcPr>
          <w:p>
            <w:pPr>
              <w:pStyle w:val="TableContents"/>
              <w:widowControl w:val="false"/>
              <w:suppressLineNumbers/>
              <w:spacing w:before="0" w:after="200"/>
              <w:rPr/>
            </w:pPr>
            <w:r>
              <w:rPr/>
              <w:t>System-level effects that cannot be reduced to individual intentions or direct effects</w:t>
            </w:r>
          </w:p>
        </w:tc>
      </w:tr>
      <w:tr>
        <w:trPr/>
        <w:tc>
          <w:tcPr>
            <w:tcW w:w="2611" w:type="dxa"/>
            <w:tcBorders/>
            <w:vAlign w:val="center"/>
          </w:tcPr>
          <w:p>
            <w:pPr>
              <w:pStyle w:val="TableContents"/>
              <w:widowControl w:val="false"/>
              <w:suppressLineNumbers/>
              <w:spacing w:before="0" w:after="200"/>
              <w:rPr/>
            </w:pPr>
            <w:r>
              <w:rPr>
                <w:rStyle w:val="Strong"/>
              </w:rPr>
              <w:t>System dynamics</w:t>
            </w:r>
          </w:p>
        </w:tc>
        <w:tc>
          <w:tcPr>
            <w:tcW w:w="6029" w:type="dxa"/>
            <w:tcBorders/>
            <w:vAlign w:val="center"/>
          </w:tcPr>
          <w:p>
            <w:pPr>
              <w:pStyle w:val="TableContents"/>
              <w:widowControl w:val="false"/>
              <w:suppressLineNumbers/>
              <w:spacing w:before="0" w:after="200"/>
              <w:rPr/>
            </w:pPr>
            <w:r>
              <w:rPr/>
              <w:t>Analysis of reinforcing loops, balancing loops, accumulations, delays, thresholds, and nonlinear change</w:t>
            </w:r>
          </w:p>
        </w:tc>
      </w:tr>
      <w:tr>
        <w:trPr/>
        <w:tc>
          <w:tcPr>
            <w:tcW w:w="2611" w:type="dxa"/>
            <w:tcBorders/>
            <w:vAlign w:val="center"/>
          </w:tcPr>
          <w:p>
            <w:pPr>
              <w:pStyle w:val="TableContents"/>
              <w:widowControl w:val="false"/>
              <w:suppressLineNumbers/>
              <w:spacing w:before="0" w:after="200"/>
              <w:rPr/>
            </w:pPr>
            <w:r>
              <w:rPr>
                <w:rStyle w:val="Strong"/>
              </w:rPr>
              <w:t>Stocks and flows</w:t>
            </w:r>
          </w:p>
        </w:tc>
        <w:tc>
          <w:tcPr>
            <w:tcW w:w="6029" w:type="dxa"/>
            <w:tcBorders/>
            <w:vAlign w:val="center"/>
          </w:tcPr>
          <w:p>
            <w:pPr>
              <w:pStyle w:val="TableContents"/>
              <w:widowControl w:val="false"/>
              <w:suppressLineNumbers/>
              <w:spacing w:before="0" w:after="200"/>
              <w:rPr/>
            </w:pPr>
            <w:r>
              <w:rPr/>
              <w:t>Representation of accumulating resources, risks, capacities, trust, knowledge, and ecological conditions</w:t>
            </w:r>
          </w:p>
        </w:tc>
      </w:tr>
      <w:tr>
        <w:trPr/>
        <w:tc>
          <w:tcPr>
            <w:tcW w:w="2611" w:type="dxa"/>
            <w:tcBorders/>
            <w:vAlign w:val="center"/>
          </w:tcPr>
          <w:p>
            <w:pPr>
              <w:pStyle w:val="TableContents"/>
              <w:widowControl w:val="false"/>
              <w:suppressLineNumbers/>
              <w:spacing w:before="0" w:after="200"/>
              <w:rPr/>
            </w:pPr>
            <w:r>
              <w:rPr>
                <w:rStyle w:val="Strong"/>
              </w:rPr>
              <w:t>Leverage points</w:t>
            </w:r>
          </w:p>
        </w:tc>
        <w:tc>
          <w:tcPr>
            <w:tcW w:w="6029" w:type="dxa"/>
            <w:tcBorders/>
            <w:vAlign w:val="center"/>
          </w:tcPr>
          <w:p>
            <w:pPr>
              <w:pStyle w:val="TableContents"/>
              <w:widowControl w:val="false"/>
              <w:suppressLineNumbers/>
              <w:spacing w:before="0" w:after="200"/>
              <w:rPr/>
            </w:pPr>
            <w:r>
              <w:rPr/>
              <w:t>Identification of interventions that alter information, rules, incentives, authority, goals, or policies</w:t>
            </w:r>
          </w:p>
        </w:tc>
      </w:tr>
      <w:tr>
        <w:trPr/>
        <w:tc>
          <w:tcPr>
            <w:tcW w:w="2611" w:type="dxa"/>
            <w:tcBorders/>
            <w:vAlign w:val="center"/>
          </w:tcPr>
          <w:p>
            <w:pPr>
              <w:pStyle w:val="TableContents"/>
              <w:widowControl w:val="false"/>
              <w:suppressLineNumbers/>
              <w:spacing w:before="0" w:after="200"/>
              <w:rPr/>
            </w:pPr>
            <w:r>
              <w:rPr>
                <w:rStyle w:val="Strong"/>
              </w:rPr>
              <w:t>System traps</w:t>
            </w:r>
          </w:p>
        </w:tc>
        <w:tc>
          <w:tcPr>
            <w:tcW w:w="6029" w:type="dxa"/>
            <w:tcBorders/>
            <w:vAlign w:val="center"/>
          </w:tcPr>
          <w:p>
            <w:pPr>
              <w:pStyle w:val="TableContents"/>
              <w:widowControl w:val="false"/>
              <w:suppressLineNumbers/>
              <w:spacing w:before="0" w:after="200"/>
              <w:rPr/>
            </w:pPr>
            <w:r>
              <w:rPr/>
              <w:t>Recognition of recurring patterns such as escalation, burden shifting, policy resistance, and resource depletion</w:t>
            </w:r>
          </w:p>
        </w:tc>
      </w:tr>
      <w:tr>
        <w:trPr/>
        <w:tc>
          <w:tcPr>
            <w:tcW w:w="2611" w:type="dxa"/>
            <w:tcBorders/>
            <w:vAlign w:val="center"/>
          </w:tcPr>
          <w:p>
            <w:pPr>
              <w:pStyle w:val="TableContents"/>
              <w:widowControl w:val="false"/>
              <w:suppressLineNumbers/>
              <w:spacing w:before="0" w:after="200"/>
              <w:rPr/>
            </w:pPr>
            <w:r>
              <w:rPr>
                <w:rStyle w:val="Strong"/>
              </w:rPr>
              <w:t>Soft systems perspectives</w:t>
            </w:r>
          </w:p>
        </w:tc>
        <w:tc>
          <w:tcPr>
            <w:tcW w:w="6029" w:type="dxa"/>
            <w:tcBorders/>
            <w:vAlign w:val="center"/>
          </w:tcPr>
          <w:p>
            <w:pPr>
              <w:pStyle w:val="TableContents"/>
              <w:widowControl w:val="false"/>
              <w:suppressLineNumbers/>
              <w:spacing w:before="0" w:after="200"/>
              <w:rPr/>
            </w:pPr>
            <w:r>
              <w:rPr/>
              <w:t>Use of multiple descriptions of a contested problem situation</w:t>
            </w:r>
          </w:p>
        </w:tc>
      </w:tr>
      <w:tr>
        <w:trPr/>
        <w:tc>
          <w:tcPr>
            <w:tcW w:w="2611" w:type="dxa"/>
            <w:tcBorders/>
            <w:vAlign w:val="center"/>
          </w:tcPr>
          <w:p>
            <w:pPr>
              <w:pStyle w:val="TableContents"/>
              <w:widowControl w:val="false"/>
              <w:suppressLineNumbers/>
              <w:spacing w:before="0" w:after="200"/>
              <w:rPr/>
            </w:pPr>
            <w:r>
              <w:rPr>
                <w:rStyle w:val="Strong"/>
              </w:rPr>
              <w:t>Critical Systems Heuristics</w:t>
            </w:r>
          </w:p>
        </w:tc>
        <w:tc>
          <w:tcPr>
            <w:tcW w:w="6029" w:type="dxa"/>
            <w:tcBorders/>
            <w:vAlign w:val="center"/>
          </w:tcPr>
          <w:p>
            <w:pPr>
              <w:pStyle w:val="TableContents"/>
              <w:widowControl w:val="false"/>
              <w:suppressLineNumbers/>
              <w:spacing w:before="0" w:after="200"/>
              <w:rPr/>
            </w:pPr>
            <w:r>
              <w:rPr/>
              <w:t>Examination of motivation, control, expertise, and legitimacy</w:t>
            </w:r>
          </w:p>
        </w:tc>
      </w:tr>
      <w:tr>
        <w:trPr/>
        <w:tc>
          <w:tcPr>
            <w:tcW w:w="2611" w:type="dxa"/>
            <w:tcBorders/>
            <w:vAlign w:val="center"/>
          </w:tcPr>
          <w:p>
            <w:pPr>
              <w:pStyle w:val="TableContents"/>
              <w:widowControl w:val="false"/>
              <w:suppressLineNumbers/>
              <w:spacing w:before="0" w:after="200"/>
              <w:rPr/>
            </w:pPr>
            <w:r>
              <w:rPr>
                <w:rStyle w:val="Strong"/>
              </w:rPr>
              <w:t>Stakeholder participation</w:t>
            </w:r>
          </w:p>
        </w:tc>
        <w:tc>
          <w:tcPr>
            <w:tcW w:w="6029" w:type="dxa"/>
            <w:tcBorders/>
            <w:vAlign w:val="center"/>
          </w:tcPr>
          <w:p>
            <w:pPr>
              <w:pStyle w:val="TableContents"/>
              <w:widowControl w:val="false"/>
              <w:suppressLineNumbers/>
              <w:spacing w:before="0" w:after="200"/>
              <w:rPr/>
            </w:pPr>
            <w:r>
              <w:rPr/>
              <w:t>Inclusion of affected perspectives as evidence and as a legitimacy safeguard</w:t>
            </w:r>
          </w:p>
        </w:tc>
      </w:tr>
      <w:tr>
        <w:trPr/>
        <w:tc>
          <w:tcPr>
            <w:tcW w:w="2611" w:type="dxa"/>
            <w:tcBorders/>
            <w:vAlign w:val="center"/>
          </w:tcPr>
          <w:p>
            <w:pPr>
              <w:pStyle w:val="TableContents"/>
              <w:widowControl w:val="false"/>
              <w:suppressLineNumbers/>
              <w:spacing w:before="0" w:after="200"/>
              <w:rPr/>
            </w:pPr>
            <w:r>
              <w:rPr>
                <w:rStyle w:val="Strong"/>
              </w:rPr>
              <w:t>Observer participation</w:t>
            </w:r>
          </w:p>
        </w:tc>
        <w:tc>
          <w:tcPr>
            <w:tcW w:w="6029" w:type="dxa"/>
            <w:tcBorders/>
            <w:vAlign w:val="center"/>
          </w:tcPr>
          <w:p>
            <w:pPr>
              <w:pStyle w:val="TableContents"/>
              <w:widowControl w:val="false"/>
              <w:suppressLineNumbers/>
              <w:spacing w:before="0" w:after="200"/>
              <w:rPr/>
            </w:pPr>
            <w:r>
              <w:rPr/>
              <w:t>Recognition that assessment and publication can change the system being assessed</w:t>
            </w:r>
          </w:p>
        </w:tc>
      </w:tr>
      <w:tr>
        <w:trPr/>
        <w:tc>
          <w:tcPr>
            <w:tcW w:w="2611" w:type="dxa"/>
            <w:tcBorders/>
            <w:vAlign w:val="center"/>
          </w:tcPr>
          <w:p>
            <w:pPr>
              <w:pStyle w:val="TableContents"/>
              <w:widowControl w:val="false"/>
              <w:suppressLineNumbers/>
              <w:spacing w:before="0" w:after="200"/>
              <w:rPr/>
            </w:pPr>
            <w:r>
              <w:rPr>
                <w:rStyle w:val="Strong"/>
              </w:rPr>
              <w:t>Second-order observation</w:t>
            </w:r>
          </w:p>
        </w:tc>
        <w:tc>
          <w:tcPr>
            <w:tcW w:w="6029" w:type="dxa"/>
            <w:tcBorders/>
            <w:vAlign w:val="center"/>
          </w:tcPr>
          <w:p>
            <w:pPr>
              <w:pStyle w:val="TableContents"/>
              <w:widowControl w:val="false"/>
              <w:suppressLineNumbers/>
              <w:spacing w:before="0" w:after="200"/>
              <w:rPr/>
            </w:pPr>
            <w:r>
              <w:rPr/>
              <w:t>Examination of the assessor’s assumptions, categories, incentives, and effects</w:t>
            </w:r>
          </w:p>
        </w:tc>
      </w:tr>
      <w:tr>
        <w:trPr/>
        <w:tc>
          <w:tcPr>
            <w:tcW w:w="2611" w:type="dxa"/>
            <w:tcBorders/>
            <w:vAlign w:val="center"/>
          </w:tcPr>
          <w:p>
            <w:pPr>
              <w:pStyle w:val="TableContents"/>
              <w:widowControl w:val="false"/>
              <w:suppressLineNumbers/>
              <w:spacing w:before="0" w:after="200"/>
              <w:rPr/>
            </w:pPr>
            <w:r>
              <w:rPr>
                <w:rStyle w:val="Strong"/>
              </w:rPr>
              <w:t>Adaptation</w:t>
            </w:r>
          </w:p>
        </w:tc>
        <w:tc>
          <w:tcPr>
            <w:tcW w:w="6029" w:type="dxa"/>
            <w:tcBorders/>
            <w:vAlign w:val="center"/>
          </w:tcPr>
          <w:p>
            <w:pPr>
              <w:pStyle w:val="TableContents"/>
              <w:widowControl w:val="false"/>
              <w:suppressLineNumbers/>
              <w:spacing w:before="0" w:after="200"/>
              <w:rPr/>
            </w:pPr>
            <w:r>
              <w:rPr/>
              <w:t>Changes to agent capabilities, policies, behavior, and future possibilities</w:t>
            </w:r>
          </w:p>
        </w:tc>
      </w:tr>
      <w:tr>
        <w:trPr/>
        <w:tc>
          <w:tcPr>
            <w:tcW w:w="2611" w:type="dxa"/>
            <w:tcBorders/>
            <w:vAlign w:val="center"/>
          </w:tcPr>
          <w:p>
            <w:pPr>
              <w:pStyle w:val="TableContents"/>
              <w:widowControl w:val="false"/>
              <w:suppressLineNumbers/>
              <w:spacing w:before="0" w:after="200"/>
              <w:rPr/>
            </w:pPr>
            <w:r>
              <w:rPr>
                <w:rStyle w:val="Strong"/>
              </w:rPr>
              <w:t>Inquiring systems</w:t>
            </w:r>
          </w:p>
        </w:tc>
        <w:tc>
          <w:tcPr>
            <w:tcW w:w="6029" w:type="dxa"/>
            <w:tcBorders/>
            <w:vAlign w:val="center"/>
          </w:tcPr>
          <w:p>
            <w:pPr>
              <w:pStyle w:val="TableContents"/>
              <w:widowControl w:val="false"/>
              <w:suppressLineNumbers/>
              <w:spacing w:before="0" w:after="200"/>
              <w:rPr/>
            </w:pPr>
            <w:r>
              <w:rPr/>
              <w:t>Structured learning through evidence, disagreement, feedback, and correction</w:t>
            </w:r>
          </w:p>
        </w:tc>
      </w:tr>
      <w:tr>
        <w:trPr/>
        <w:tc>
          <w:tcPr>
            <w:tcW w:w="2611" w:type="dxa"/>
            <w:tcBorders/>
            <w:vAlign w:val="center"/>
          </w:tcPr>
          <w:p>
            <w:pPr>
              <w:pStyle w:val="TableContents"/>
              <w:widowControl w:val="false"/>
              <w:suppressLineNumbers/>
              <w:spacing w:before="0" w:after="200"/>
              <w:rPr/>
            </w:pPr>
            <w:r>
              <w:rPr>
                <w:rStyle w:val="Strong"/>
              </w:rPr>
              <w:t>Viability</w:t>
            </w:r>
          </w:p>
        </w:tc>
        <w:tc>
          <w:tcPr>
            <w:tcW w:w="6029" w:type="dxa"/>
            <w:tcBorders/>
            <w:vAlign w:val="center"/>
          </w:tcPr>
          <w:p>
            <w:pPr>
              <w:pStyle w:val="TableContents"/>
              <w:widowControl w:val="false"/>
              <w:suppressLineNumbers/>
              <w:spacing w:before="0" w:after="200"/>
              <w:rPr/>
            </w:pPr>
            <w:r>
              <w:rPr/>
              <w:t>Sustained capacity to maintain ethically valuable functions</w:t>
            </w:r>
          </w:p>
        </w:tc>
      </w:tr>
      <w:tr>
        <w:trPr/>
        <w:tc>
          <w:tcPr>
            <w:tcW w:w="2611" w:type="dxa"/>
            <w:tcBorders/>
            <w:vAlign w:val="center"/>
          </w:tcPr>
          <w:p>
            <w:pPr>
              <w:pStyle w:val="TableContents"/>
              <w:widowControl w:val="false"/>
              <w:suppressLineNumbers/>
              <w:spacing w:before="0" w:after="200"/>
              <w:rPr/>
            </w:pPr>
            <w:r>
              <w:rPr>
                <w:rStyle w:val="Strong"/>
              </w:rPr>
              <w:t>Resilience</w:t>
            </w:r>
          </w:p>
        </w:tc>
        <w:tc>
          <w:tcPr>
            <w:tcW w:w="6029" w:type="dxa"/>
            <w:tcBorders/>
            <w:vAlign w:val="center"/>
          </w:tcPr>
          <w:p>
            <w:pPr>
              <w:pStyle w:val="TableContents"/>
              <w:widowControl w:val="false"/>
              <w:suppressLineNumbers/>
              <w:spacing w:before="0" w:after="200"/>
              <w:rPr/>
            </w:pPr>
            <w:r>
              <w:rPr/>
              <w:t>Capacity to absorb disturbance, treated as valuable only when the preserved functions are ethically defensible</w:t>
            </w:r>
          </w:p>
        </w:tc>
      </w:tr>
      <w:tr>
        <w:trPr/>
        <w:tc>
          <w:tcPr>
            <w:tcW w:w="2611" w:type="dxa"/>
            <w:tcBorders/>
            <w:vAlign w:val="center"/>
          </w:tcPr>
          <w:p>
            <w:pPr>
              <w:pStyle w:val="TableContents"/>
              <w:widowControl w:val="false"/>
              <w:suppressLineNumbers/>
              <w:spacing w:before="0" w:after="200"/>
              <w:rPr/>
            </w:pPr>
            <w:r>
              <w:rPr>
                <w:rStyle w:val="Strong"/>
              </w:rPr>
              <w:t>Autopoiesis</w:t>
            </w:r>
          </w:p>
        </w:tc>
        <w:tc>
          <w:tcPr>
            <w:tcW w:w="6029" w:type="dxa"/>
            <w:tcBorders/>
            <w:vAlign w:val="center"/>
          </w:tcPr>
          <w:p>
            <w:pPr>
              <w:pStyle w:val="TableContents"/>
              <w:widowControl w:val="false"/>
              <w:suppressLineNumbers/>
              <w:spacing w:before="0" w:after="200"/>
              <w:rPr/>
            </w:pPr>
            <w:r>
              <w:rPr/>
              <w:t>Recognition of self-producing and self-maintaining living organization</w:t>
            </w:r>
          </w:p>
        </w:tc>
      </w:tr>
      <w:tr>
        <w:trPr/>
        <w:tc>
          <w:tcPr>
            <w:tcW w:w="2611" w:type="dxa"/>
            <w:tcBorders/>
            <w:vAlign w:val="center"/>
          </w:tcPr>
          <w:p>
            <w:pPr>
              <w:pStyle w:val="TableContents"/>
              <w:widowControl w:val="false"/>
              <w:suppressLineNumbers/>
              <w:spacing w:before="0" w:after="200"/>
              <w:rPr/>
            </w:pPr>
            <w:r>
              <w:rPr>
                <w:rStyle w:val="Strong"/>
              </w:rPr>
              <w:t>Structural coupling</w:t>
            </w:r>
          </w:p>
        </w:tc>
        <w:tc>
          <w:tcPr>
            <w:tcW w:w="6029" w:type="dxa"/>
            <w:tcBorders/>
            <w:vAlign w:val="center"/>
          </w:tcPr>
          <w:p>
            <w:pPr>
              <w:pStyle w:val="TableContents"/>
              <w:widowControl w:val="false"/>
              <w:suppressLineNumbers/>
              <w:spacing w:before="0" w:after="200"/>
              <w:rPr/>
            </w:pPr>
            <w:r>
              <w:rPr/>
              <w:t>Persistent reciprocal adaptation between an entity and its environment</w:t>
            </w:r>
          </w:p>
        </w:tc>
      </w:tr>
      <w:tr>
        <w:trPr/>
        <w:tc>
          <w:tcPr>
            <w:tcW w:w="2611" w:type="dxa"/>
            <w:tcBorders/>
            <w:vAlign w:val="center"/>
          </w:tcPr>
          <w:p>
            <w:pPr>
              <w:pStyle w:val="TableContents"/>
              <w:widowControl w:val="false"/>
              <w:suppressLineNumbers/>
              <w:spacing w:before="0" w:after="200"/>
              <w:rPr/>
            </w:pPr>
            <w:r>
              <w:rPr>
                <w:rStyle w:val="Strong"/>
              </w:rPr>
              <w:t>Requisite variety</w:t>
            </w:r>
          </w:p>
        </w:tc>
        <w:tc>
          <w:tcPr>
            <w:tcW w:w="6029" w:type="dxa"/>
            <w:tcBorders/>
            <w:vAlign w:val="center"/>
          </w:tcPr>
          <w:p>
            <w:pPr>
              <w:pStyle w:val="TableContents"/>
              <w:widowControl w:val="false"/>
              <w:suppressLineNumbers/>
              <w:spacing w:before="0" w:after="200"/>
              <w:rPr/>
            </w:pPr>
            <w:r>
              <w:rPr/>
              <w:t>Need for governance and response capabilities adequate to the variety of system risks</w:t>
            </w:r>
          </w:p>
        </w:tc>
      </w:tr>
      <w:tr>
        <w:trPr/>
        <w:tc>
          <w:tcPr>
            <w:tcW w:w="2611" w:type="dxa"/>
            <w:tcBorders/>
            <w:vAlign w:val="center"/>
          </w:tcPr>
          <w:p>
            <w:pPr>
              <w:pStyle w:val="TableContents"/>
              <w:widowControl w:val="false"/>
              <w:suppressLineNumbers/>
              <w:spacing w:before="0" w:after="200"/>
              <w:rPr/>
            </w:pPr>
            <w:r>
              <w:rPr>
                <w:rStyle w:val="Strong"/>
              </w:rPr>
              <w:t>Unintended consequences</w:t>
            </w:r>
          </w:p>
        </w:tc>
        <w:tc>
          <w:tcPr>
            <w:tcW w:w="6029" w:type="dxa"/>
            <w:tcBorders/>
            <w:vAlign w:val="center"/>
          </w:tcPr>
          <w:p>
            <w:pPr>
              <w:pStyle w:val="TableContents"/>
              <w:widowControl w:val="false"/>
              <w:suppressLineNumbers/>
              <w:spacing w:before="0" w:after="200"/>
              <w:rPr/>
            </w:pPr>
            <w:r>
              <w:rPr/>
              <w:t>Scenario analysis, uncertainty representation, monitoring, and post-intervention correction</w:t>
            </w:r>
          </w:p>
        </w:tc>
      </w:tr>
      <w:tr>
        <w:trPr/>
        <w:tc>
          <w:tcPr>
            <w:tcW w:w="2611" w:type="dxa"/>
            <w:tcBorders/>
            <w:vAlign w:val="center"/>
          </w:tcPr>
          <w:p>
            <w:pPr>
              <w:pStyle w:val="TableContents"/>
              <w:widowControl w:val="false"/>
              <w:suppressLineNumbers/>
              <w:spacing w:before="0" w:after="200"/>
              <w:rPr/>
            </w:pPr>
            <w:r>
              <w:rPr>
                <w:rStyle w:val="Strong"/>
              </w:rPr>
              <w:t>Local optimization failure</w:t>
            </w:r>
          </w:p>
        </w:tc>
        <w:tc>
          <w:tcPr>
            <w:tcW w:w="6029" w:type="dxa"/>
            <w:tcBorders/>
            <w:vAlign w:val="center"/>
          </w:tcPr>
          <w:p>
            <w:pPr>
              <w:pStyle w:val="TableContents"/>
              <w:widowControl w:val="false"/>
              <w:suppressLineNumbers/>
              <w:spacing w:before="0" w:after="200"/>
              <w:rPr/>
            </w:pPr>
            <w:r>
              <w:rPr/>
              <w:t>Evaluation of effects across the World Context rather than against one subsystem’s metric</w:t>
            </w:r>
          </w:p>
        </w:tc>
      </w:tr>
      <w:tr>
        <w:trPr/>
        <w:tc>
          <w:tcPr>
            <w:tcW w:w="2611" w:type="dxa"/>
            <w:tcBorders/>
            <w:vAlign w:val="center"/>
          </w:tcPr>
          <w:p>
            <w:pPr>
              <w:pStyle w:val="TableContents"/>
              <w:widowControl w:val="false"/>
              <w:suppressLineNumbers/>
              <w:spacing w:before="0" w:after="200"/>
              <w:rPr/>
            </w:pPr>
            <w:r>
              <w:rPr>
                <w:rStyle w:val="Strong"/>
              </w:rPr>
              <w:t>Systemic responsibility</w:t>
            </w:r>
          </w:p>
        </w:tc>
        <w:tc>
          <w:tcPr>
            <w:tcW w:w="6029" w:type="dxa"/>
            <w:tcBorders/>
            <w:vAlign w:val="center"/>
          </w:tcPr>
          <w:p>
            <w:pPr>
              <w:pStyle w:val="TableContents"/>
              <w:widowControl w:val="false"/>
              <w:suppressLineNumbers/>
              <w:spacing w:before="0" w:after="200"/>
              <w:rPr/>
            </w:pPr>
            <w:r>
              <w:rPr/>
              <w:t>Distribution of responsibility across roles, institutions, technologies, and governance structures</w:t>
            </w:r>
          </w:p>
        </w:tc>
      </w:tr>
      <w:tr>
        <w:trPr/>
        <w:tc>
          <w:tcPr>
            <w:tcW w:w="2611" w:type="dxa"/>
            <w:tcBorders/>
            <w:vAlign w:val="center"/>
          </w:tcPr>
          <w:p>
            <w:pPr>
              <w:pStyle w:val="TableContents"/>
              <w:widowControl w:val="false"/>
              <w:suppressLineNumbers/>
              <w:spacing w:before="0" w:after="200"/>
              <w:rPr/>
            </w:pPr>
            <w:r>
              <w:rPr>
                <w:rStyle w:val="Strong"/>
              </w:rPr>
              <w:t>Sustainability</w:t>
            </w:r>
          </w:p>
        </w:tc>
        <w:tc>
          <w:tcPr>
            <w:tcW w:w="6029" w:type="dxa"/>
            <w:tcBorders/>
            <w:vAlign w:val="center"/>
          </w:tcPr>
          <w:p>
            <w:pPr>
              <w:pStyle w:val="TableContents"/>
              <w:widowControl w:val="false"/>
              <w:suppressLineNumbers/>
              <w:spacing w:before="0" w:after="200"/>
              <w:rPr/>
            </w:pPr>
            <w:r>
              <w:rPr/>
              <w:t>Evaluation of whether present actions preserve beneficial future capacities and possibilities</w:t>
            </w:r>
          </w:p>
        </w:tc>
      </w:tr>
    </w:tbl>
    <w:p>
      <w:pPr>
        <w:pStyle w:val="Heading4"/>
        <w:ind w:hanging="0" w:left="0"/>
        <w:rPr>
          <w:rFonts w:ascii="Aptos" w:hAnsi="Aptos"/>
          <w:color w:val="auto"/>
        </w:rPr>
      </w:pPr>
      <w:r>
        <w:rPr/>
        <w:t>How this framework addresses those assumptions</w:t>
      </w:r>
    </w:p>
    <w:p>
      <w:pPr>
        <w:pStyle w:val="BodyText"/>
        <w:numPr>
          <w:ilvl w:val="0"/>
          <w:numId w:val="137"/>
        </w:numPr>
        <w:tabs>
          <w:tab w:val="clear" w:pos="720"/>
          <w:tab w:val="left" w:pos="0" w:leader="none"/>
        </w:tabs>
        <w:spacing w:before="0" w:after="200"/>
        <w:ind w:hanging="283" w:left="709"/>
        <w:rPr/>
      </w:pPr>
      <w:r>
        <w:rPr>
          <w:rStyle w:val="Strong"/>
        </w:rPr>
        <w:t>The World Context extends the analysis beyond the immediate actor.</w:t>
      </w:r>
      <w:r>
        <w:rPr/>
        <w:br/>
        <w:t>It permits inclusion of institutions, technologies, environments, observers, affected outsiders, resources, constraints, and future possibilities.</w:t>
      </w:r>
    </w:p>
    <w:p>
      <w:pPr>
        <w:pStyle w:val="BodyText"/>
        <w:numPr>
          <w:ilvl w:val="0"/>
          <w:numId w:val="137"/>
        </w:numPr>
        <w:tabs>
          <w:tab w:val="clear" w:pos="720"/>
          <w:tab w:val="left" w:pos="0" w:leader="none"/>
        </w:tabs>
        <w:spacing w:before="0" w:after="200"/>
        <w:ind w:hanging="283" w:left="709"/>
        <w:rPr/>
      </w:pPr>
      <w:r>
        <w:rPr>
          <w:rStyle w:val="Strong"/>
        </w:rPr>
        <w:t>Associations represent interdependence.</w:t>
      </w:r>
      <w:r>
        <w:rPr/>
        <w:br/>
        <w:t>Relationships can include authority, dependency, information flow, resource exchange, historical obligation, ecological reliance, and causal influence.</w:t>
      </w:r>
    </w:p>
    <w:p>
      <w:pPr>
        <w:pStyle w:val="BodyText"/>
        <w:numPr>
          <w:ilvl w:val="0"/>
          <w:numId w:val="137"/>
        </w:numPr>
        <w:tabs>
          <w:tab w:val="clear" w:pos="720"/>
          <w:tab w:val="left" w:pos="0" w:leader="none"/>
        </w:tabs>
        <w:spacing w:before="0" w:after="200"/>
        <w:ind w:hanging="283" w:left="709"/>
        <w:rPr/>
      </w:pPr>
      <w:r>
        <w:rPr>
          <w:rStyle w:val="Strong"/>
        </w:rPr>
        <w:t>The assessed transition includes indirect effects.</w:t>
      </w:r>
      <w:r>
        <w:rPr/>
        <w:br/>
        <w:t>The framework does not restrict consequences to the action’s immediate output. Institutional, behavioral, informational, relational, and ecological changes can be included.</w:t>
      </w:r>
    </w:p>
    <w:p>
      <w:pPr>
        <w:pStyle w:val="BodyText"/>
        <w:numPr>
          <w:ilvl w:val="0"/>
          <w:numId w:val="137"/>
        </w:numPr>
        <w:tabs>
          <w:tab w:val="clear" w:pos="720"/>
          <w:tab w:val="left" w:pos="0" w:leader="none"/>
        </w:tabs>
        <w:spacing w:before="0" w:after="200"/>
        <w:ind w:hanging="283" w:left="709"/>
        <w:rPr/>
      </w:pPr>
      <w:r>
        <w:rPr>
          <w:rStyle w:val="Strong"/>
        </w:rPr>
        <w:t>Distributed Policy Effects represent feedback and adaptation.</w:t>
      </w:r>
      <w:r>
        <w:rPr/>
        <w:br/>
        <w:t>Actions can alter what actors, observers, organizations, regulators, or artificial systems are likely to do in the future.</w:t>
      </w:r>
    </w:p>
    <w:p>
      <w:pPr>
        <w:pStyle w:val="BodyText"/>
        <w:numPr>
          <w:ilvl w:val="0"/>
          <w:numId w:val="137"/>
        </w:numPr>
        <w:tabs>
          <w:tab w:val="clear" w:pos="720"/>
          <w:tab w:val="left" w:pos="0" w:leader="none"/>
        </w:tabs>
        <w:spacing w:before="0" w:after="200"/>
        <w:ind w:hanging="283" w:left="709"/>
        <w:rPr/>
      </w:pPr>
      <w:r>
        <w:rPr>
          <w:rStyle w:val="Strong"/>
        </w:rPr>
        <w:t>Multiple time horizons address delay.</w:t>
      </w:r>
      <w:r>
        <w:rPr/>
        <w:br/>
        <w:t>Immediate, intermediate, long-term, and intergenerational consequences can be separately examined.</w:t>
      </w:r>
    </w:p>
    <w:p>
      <w:pPr>
        <w:pStyle w:val="BodyText"/>
        <w:numPr>
          <w:ilvl w:val="0"/>
          <w:numId w:val="137"/>
        </w:numPr>
        <w:tabs>
          <w:tab w:val="clear" w:pos="720"/>
          <w:tab w:val="left" w:pos="0" w:leader="none"/>
        </w:tabs>
        <w:spacing w:before="0" w:after="200"/>
        <w:ind w:hanging="283" w:left="709"/>
        <w:rPr/>
      </w:pPr>
      <w:r>
        <w:rPr>
          <w:rStyle w:val="Strong"/>
        </w:rPr>
        <w:t>Probabilities and scenarios acknowledge uncertainty.</w:t>
      </w:r>
      <w:r>
        <w:rPr/>
        <w:br/>
        <w:t>The framework does not require a single deterministic forecast. Plausible transitions, confidence levels, uncertainty ranges, and high-impact scenarios can be compared.</w:t>
      </w:r>
    </w:p>
    <w:p>
      <w:pPr>
        <w:pStyle w:val="BodyText"/>
        <w:numPr>
          <w:ilvl w:val="0"/>
          <w:numId w:val="137"/>
        </w:numPr>
        <w:tabs>
          <w:tab w:val="clear" w:pos="720"/>
          <w:tab w:val="left" w:pos="0" w:leader="none"/>
        </w:tabs>
        <w:spacing w:before="0" w:after="200"/>
        <w:ind w:hanging="283" w:left="709"/>
        <w:rPr/>
      </w:pPr>
      <w:r>
        <w:rPr>
          <w:rStyle w:val="Strong"/>
        </w:rPr>
        <w:t>Aggregate metrics do not replace the transition.</w:t>
      </w:r>
      <w:r>
        <w:rPr/>
        <w:br/>
        <w:t>Quantified measures can inform the analysis, but the framework requires attention to the underlying entities, distributions, relationships, and state changes.</w:t>
      </w:r>
    </w:p>
    <w:p>
      <w:pPr>
        <w:pStyle w:val="BodyText"/>
        <w:numPr>
          <w:ilvl w:val="0"/>
          <w:numId w:val="137"/>
        </w:numPr>
        <w:tabs>
          <w:tab w:val="clear" w:pos="720"/>
          <w:tab w:val="left" w:pos="0" w:leader="none"/>
        </w:tabs>
        <w:spacing w:before="0" w:after="200"/>
        <w:ind w:hanging="283" w:left="709"/>
        <w:rPr/>
      </w:pPr>
      <w:r>
        <w:rPr>
          <w:rStyle w:val="Strong"/>
        </w:rPr>
        <w:t>Flourishing is multidimensional.</w:t>
      </w:r>
      <w:r>
        <w:rPr/>
        <w:br/>
        <w:t>Long-Term Flourishing is not limited to survival, wealth, output, pleasure, or institutional persistence. It concerns sustained capacities and beneficial future state space.</w:t>
      </w:r>
    </w:p>
    <w:p>
      <w:pPr>
        <w:pStyle w:val="BodyText"/>
        <w:numPr>
          <w:ilvl w:val="0"/>
          <w:numId w:val="137"/>
        </w:numPr>
        <w:tabs>
          <w:tab w:val="clear" w:pos="720"/>
          <w:tab w:val="left" w:pos="0" w:leader="none"/>
        </w:tabs>
        <w:spacing w:before="0" w:after="200"/>
        <w:ind w:hanging="283" w:left="709"/>
        <w:rPr/>
      </w:pPr>
      <w:r>
        <w:rPr>
          <w:rStyle w:val="Strong"/>
        </w:rPr>
        <w:t>Flourishing must be compatible across relevant entities.</w:t>
      </w:r>
      <w:r>
        <w:rPr/>
        <w:br/>
        <w:t>A system cannot be judged ethical merely because it expands its own capacities while materially diminishing other relevant entities.</w:t>
      </w:r>
    </w:p>
    <w:p>
      <w:pPr>
        <w:pStyle w:val="BodyText"/>
        <w:numPr>
          <w:ilvl w:val="0"/>
          <w:numId w:val="137"/>
        </w:numPr>
        <w:tabs>
          <w:tab w:val="clear" w:pos="720"/>
          <w:tab w:val="left" w:pos="0" w:leader="none"/>
        </w:tabs>
        <w:spacing w:before="0" w:after="200"/>
        <w:ind w:hanging="283" w:left="709"/>
        <w:rPr/>
      </w:pPr>
      <w:r>
        <w:rPr>
          <w:rStyle w:val="Strong"/>
        </w:rPr>
        <w:t>Objectives are subject to evaluation.</w:t>
      </w:r>
      <w:r>
        <w:rPr/>
        <w:br/>
        <w:t>An agent’s objective is an input to ethical analysis, not an automatic justification. The framework can compare stated objectives with foreseeable effects and operational incentives.</w:t>
      </w:r>
    </w:p>
    <w:p>
      <w:pPr>
        <w:pStyle w:val="BodyText"/>
        <w:numPr>
          <w:ilvl w:val="0"/>
          <w:numId w:val="137"/>
        </w:numPr>
        <w:tabs>
          <w:tab w:val="clear" w:pos="720"/>
          <w:tab w:val="left" w:pos="0" w:leader="none"/>
        </w:tabs>
        <w:spacing w:before="0" w:after="200"/>
        <w:ind w:hanging="283" w:left="709"/>
        <w:rPr/>
      </w:pPr>
      <w:r>
        <w:rPr>
          <w:rStyle w:val="Strong"/>
        </w:rPr>
        <w:t>Causal effect is separated from responsibility.</w:t>
      </w:r>
      <w:r>
        <w:rPr/>
        <w:br/>
        <w:t>An entity can contribute causally without being fully responsible, or bear responsibility because of authority, role, knowledge, alternatives, or failure to intervene.</w:t>
      </w:r>
    </w:p>
    <w:p>
      <w:pPr>
        <w:pStyle w:val="BodyText"/>
        <w:numPr>
          <w:ilvl w:val="0"/>
          <w:numId w:val="137"/>
        </w:numPr>
        <w:tabs>
          <w:tab w:val="clear" w:pos="720"/>
          <w:tab w:val="left" w:pos="0" w:leader="none"/>
        </w:tabs>
        <w:spacing w:before="0" w:after="200"/>
        <w:ind w:hanging="283" w:left="709"/>
        <w:rPr/>
      </w:pPr>
      <w:r>
        <w:rPr>
          <w:rStyle w:val="Strong"/>
        </w:rPr>
        <w:t>Distributed responsibility can be represented.</w:t>
      </w:r>
      <w:r>
        <w:rPr/>
        <w:br/>
        <w:t>Designers, funders, leaders, operators, regulators, auditors, and users may each hold different forms and degrees of responsibility.</w:t>
      </w:r>
    </w:p>
    <w:p>
      <w:pPr>
        <w:pStyle w:val="BodyText"/>
        <w:numPr>
          <w:ilvl w:val="0"/>
          <w:numId w:val="137"/>
        </w:numPr>
        <w:tabs>
          <w:tab w:val="clear" w:pos="720"/>
          <w:tab w:val="left" w:pos="0" w:leader="none"/>
        </w:tabs>
        <w:spacing w:before="0" w:after="200"/>
        <w:ind w:hanging="283" w:left="709"/>
        <w:rPr/>
      </w:pPr>
      <w:r>
        <w:rPr>
          <w:rStyle w:val="Strong"/>
        </w:rPr>
        <w:t>Implementation neutrality permits multiple systems methods.</w:t>
      </w:r>
      <w:r>
        <w:rPr/>
        <w:br/>
        <w:t>Causal-loop diagrams, system-dynamics models, stakeholder narratives, historical analysis, simulations, and qualitative inquiry can all contribute.</w:t>
      </w:r>
    </w:p>
    <w:p>
      <w:pPr>
        <w:pStyle w:val="BodyText"/>
        <w:numPr>
          <w:ilvl w:val="0"/>
          <w:numId w:val="137"/>
        </w:numPr>
        <w:tabs>
          <w:tab w:val="clear" w:pos="720"/>
          <w:tab w:val="left" w:pos="0" w:leader="none"/>
        </w:tabs>
        <w:spacing w:before="0" w:after="200"/>
        <w:ind w:hanging="283" w:left="709"/>
        <w:rPr/>
      </w:pPr>
      <w:r>
        <w:rPr>
          <w:rStyle w:val="Strong"/>
        </w:rPr>
        <w:t>Explicit assumptions support boundary review.</w:t>
      </w:r>
      <w:r>
        <w:rPr/>
        <w:br/>
        <w:t>The framework requires assessors to disclose the evidence, definitions, exclusions, and causal assumptions on which conclusions depend.</w:t>
      </w:r>
    </w:p>
    <w:p>
      <w:pPr>
        <w:pStyle w:val="BodyText"/>
        <w:numPr>
          <w:ilvl w:val="0"/>
          <w:numId w:val="137"/>
        </w:numPr>
        <w:tabs>
          <w:tab w:val="clear" w:pos="720"/>
          <w:tab w:val="left" w:pos="0" w:leader="none"/>
        </w:tabs>
        <w:spacing w:before="0" w:after="200"/>
        <w:ind w:hanging="283" w:left="709"/>
        <w:rPr/>
      </w:pPr>
      <w:r>
        <w:rPr>
          <w:rStyle w:val="Strong"/>
        </w:rPr>
        <w:t>Persistent adaptive entities broaden moral scope.</w:t>
      </w:r>
      <w:r>
        <w:rPr/>
        <w:br/>
        <w:t>The framework can include future populations, institutions, nonhuman organisms, ecosystems, and artificial systems when relevant.</w:t>
      </w:r>
    </w:p>
    <w:p>
      <w:pPr>
        <w:pStyle w:val="BodyText"/>
        <w:numPr>
          <w:ilvl w:val="0"/>
          <w:numId w:val="137"/>
        </w:numPr>
        <w:tabs>
          <w:tab w:val="clear" w:pos="720"/>
          <w:tab w:val="left" w:pos="0" w:leader="none"/>
        </w:tabs>
        <w:spacing w:before="0" w:after="200"/>
        <w:ind w:hanging="283" w:left="709"/>
        <w:rPr/>
      </w:pPr>
      <w:r>
        <w:rPr>
          <w:rStyle w:val="Strong"/>
        </w:rPr>
        <w:t>Autopoietic entities receive explicit consideration.</w:t>
      </w:r>
      <w:r>
        <w:rPr/>
        <w:br/>
        <w:t>This prevents the analysis from being restricted to human institutions or conventional legal persons.</w:t>
      </w:r>
    </w:p>
    <w:p>
      <w:pPr>
        <w:pStyle w:val="BodyText"/>
        <w:numPr>
          <w:ilvl w:val="0"/>
          <w:numId w:val="137"/>
        </w:numPr>
        <w:tabs>
          <w:tab w:val="clear" w:pos="720"/>
          <w:tab w:val="left" w:pos="0" w:leader="none"/>
        </w:tabs>
        <w:spacing w:before="0" w:after="200"/>
        <w:ind w:hanging="283" w:left="709"/>
        <w:rPr/>
      </w:pPr>
      <w:r>
        <w:rPr>
          <w:rStyle w:val="Strong"/>
        </w:rPr>
        <w:t>Moral-agent development makes learning part of the outcome.</w:t>
      </w:r>
      <w:r>
        <w:rPr/>
        <w:br/>
        <w:t>The framework can evaluate whether an intervention improves or degrades future ethical judgment and decision capacity.</w:t>
      </w:r>
    </w:p>
    <w:p>
      <w:pPr>
        <w:pStyle w:val="BodyText"/>
        <w:numPr>
          <w:ilvl w:val="0"/>
          <w:numId w:val="137"/>
        </w:numPr>
        <w:tabs>
          <w:tab w:val="clear" w:pos="720"/>
          <w:tab w:val="left" w:pos="0" w:leader="none"/>
        </w:tabs>
        <w:spacing w:before="0" w:after="200"/>
        <w:ind w:hanging="283" w:left="709"/>
        <w:rPr/>
      </w:pPr>
      <w:r>
        <w:rPr>
          <w:rStyle w:val="Strong"/>
        </w:rPr>
        <w:t>The framework can evaluate structural interventions.</w:t>
      </w:r>
      <w:r>
        <w:rPr/>
        <w:br/>
        <w:t>An Assessed Action may be a rule change, institutional redesign, incentive modification, information intervention, dissolution, or transfer of authority—not merely an isolated physical act.</w:t>
      </w:r>
    </w:p>
    <w:p>
      <w:pPr>
        <w:pStyle w:val="BodyText"/>
        <w:numPr>
          <w:ilvl w:val="0"/>
          <w:numId w:val="137"/>
        </w:numPr>
        <w:tabs>
          <w:tab w:val="clear" w:pos="720"/>
          <w:tab w:val="left" w:pos="0" w:leader="none"/>
        </w:tabs>
        <w:spacing w:before="0" w:after="200"/>
        <w:ind w:hanging="283" w:left="709"/>
        <w:rPr/>
      </w:pPr>
      <w:r>
        <w:rPr>
          <w:rStyle w:val="Strong"/>
        </w:rPr>
        <w:t>System stability is subordinate to ethical flourishing.</w:t>
      </w:r>
      <w:r>
        <w:rPr/>
        <w:br/>
        <w:t>The framework does not require preservation of a harmful system. Transformation or dissolution can be ethically preferable.</w:t>
      </w:r>
    </w:p>
    <w:p>
      <w:pPr>
        <w:pStyle w:val="BodyText"/>
        <w:numPr>
          <w:ilvl w:val="0"/>
          <w:numId w:val="137"/>
        </w:numPr>
        <w:tabs>
          <w:tab w:val="clear" w:pos="720"/>
          <w:tab w:val="left" w:pos="0" w:leader="none"/>
        </w:tabs>
        <w:spacing w:before="0" w:after="200"/>
        <w:ind w:hanging="283" w:left="709"/>
        <w:rPr/>
      </w:pPr>
      <w:r>
        <w:rPr>
          <w:rStyle w:val="Strong"/>
        </w:rPr>
        <w:t>The framework itself can be included in the World Context.</w:t>
      </w:r>
      <w:r>
        <w:rPr/>
        <w:br/>
        <w:t>Its deployment, categories, metrics, institutional incentives, and behavioral effects can be evaluated as part of the transition.</w:t>
      </w:r>
    </w:p>
    <w:p>
      <w:pPr>
        <w:pStyle w:val="Heading4"/>
        <w:ind w:hanging="0" w:left="0"/>
        <w:rPr>
          <w:rFonts w:ascii="Aptos" w:hAnsi="Aptos"/>
          <w:color w:val="auto"/>
        </w:rPr>
      </w:pPr>
      <w:r>
        <w:rPr/>
        <w:t>Counterargument</w:t>
      </w:r>
    </w:p>
    <w:p>
      <w:pPr>
        <w:pStyle w:val="BodyText"/>
        <w:spacing w:before="0" w:after="200"/>
        <w:rPr/>
      </w:pPr>
      <w:r>
        <w:rPr/>
        <w:t>The Systems Ethics objection identifies important implementation risks, but it does not show that systemic ethical assessment is impossible. It shows that the framework must remain reflexive, pluralistic, and open to revision.</w:t>
      </w:r>
    </w:p>
    <w:p>
      <w:pPr>
        <w:pStyle w:val="BodyText"/>
        <w:spacing w:before="0" w:after="200"/>
        <w:rPr/>
      </w:pPr>
      <w:r>
        <w:rPr/>
        <w:t xml:space="preserve">The phrase </w:t>
      </w:r>
      <w:r>
        <w:rPr>
          <w:rStyle w:val="Strong"/>
        </w:rPr>
        <w:t>complete World Context Transition</w:t>
      </w:r>
      <w:r>
        <w:rPr/>
        <w:t xml:space="preserve"> should be understood as a regulative requirement: assessors must seek all materially relevant entities and effects rather than deliberately narrowing the analysis to the decision-maker’s preferred outcome. It should not be interpreted as a claim of omniscience. A responsible assessment can be complete relative to its disclosed purpose, evidence, boundaries, and materiality threshold while remaining explicitly provisional.</w:t>
      </w:r>
    </w:p>
    <w:p>
      <w:pPr>
        <w:pStyle w:val="BodyText"/>
        <w:spacing w:before="0" w:after="200"/>
        <w:rPr/>
      </w:pPr>
      <w:r>
        <w:rPr/>
        <w:t xml:space="preserve">Similarly, </w:t>
      </w:r>
      <w:r>
        <w:rPr>
          <w:rStyle w:val="Strong"/>
        </w:rPr>
        <w:t>implementation neutrality</w:t>
      </w:r>
      <w:r>
        <w:rPr/>
        <w:t xml:space="preserve"> does not mean value neutrality. It means that the framework does not require one cultural practice, political institution, decision procedure, or computational implementation. The Foundational Axiom remains normative, and the application of that axiom requires judgment concerning relevance, flourishing, compatibility, evidence, and responsibility.</w:t>
      </w:r>
    </w:p>
    <w:p>
      <w:pPr>
        <w:pStyle w:val="BodyText"/>
        <w:spacing w:before="0" w:after="200"/>
        <w:rPr/>
      </w:pPr>
      <w:r>
        <w:rPr/>
        <w:t>Formalization can conceal value judgments, but it can also expose them. Without explicit representation, system boundaries, stakeholder exclusions, time horizons, and assumed causal relationships may remain implicit and unchallengeable. The appropriate response is not to abandon formal analysis but to require boundary documentation, alternative models, affected-party review, uncertainty disclosure, and appeal.</w:t>
      </w:r>
    </w:p>
    <w:p>
      <w:pPr>
        <w:pStyle w:val="BodyText"/>
        <w:spacing w:before="0" w:after="200"/>
        <w:rPr/>
      </w:pPr>
      <w:r>
        <w:rPr/>
        <w:t>The framework also need not treat the Assessed Action as an isolated event. The action is the point of evaluative focus, while the World Context supplies its structural, historical, and institutional setting. The action under assessment may itself be a continuing policy, institutional rule, incentive structure, design architecture, or failure to intervene. Systemic causes can therefore be evaluated without losing the ability to examine particular choices and responsibilities.</w:t>
      </w:r>
    </w:p>
    <w:p>
      <w:pPr>
        <w:pStyle w:val="BodyText"/>
        <w:spacing w:before="0" w:after="200"/>
        <w:rPr/>
      </w:pPr>
      <w:r>
        <w:rPr/>
        <w:t>Finally, the framework does not equate persistence with moral worth. Long-term flourishing includes the capacity to sustain beneficial future states compatibly with the flourishing of other relevant entities. A system that persists through exploitation, suppression, deception, or ecological destruction fails this compatibility condition. Its resilience may strengthen the case for transformation rather than preservation.</w:t>
      </w:r>
    </w:p>
    <w:p>
      <w:pPr>
        <w:pStyle w:val="BodyText"/>
        <w:spacing w:before="0" w:after="200"/>
        <w:rPr/>
      </w:pPr>
      <w:r>
        <w:rPr/>
        <w:t>The strongest response is therefore:</w:t>
      </w:r>
    </w:p>
    <w:p>
      <w:pPr>
        <w:pStyle w:val="BlockQuotation"/>
        <w:spacing w:before="0" w:after="200"/>
        <w:rPr/>
      </w:pPr>
      <w:r>
        <w:rPr/>
        <w:t>The framework does not claim to stand outside the system or eliminate contested judgment. It supplies a structured, revisable way to disclose those judgments, compare their consequences, identify excluded entities, and connect systemic understanding to responsibility and action. Its legitimacy depends on whether these reflexive safeguards are implemented in practice.</w:t>
      </w:r>
    </w:p>
    <w:p>
      <w:pPr>
        <w:pStyle w:val="Heading4"/>
        <w:ind w:hanging="0" w:left="0"/>
        <w:rPr>
          <w:rFonts w:ascii="Aptos" w:hAnsi="Aptos"/>
          <w:color w:val="auto"/>
        </w:rPr>
      </w:pPr>
      <w:r>
        <w:rPr/>
        <w:t>Incremental questions the expert should then ask</w:t>
      </w:r>
    </w:p>
    <w:p>
      <w:pPr>
        <w:pStyle w:val="Heading5"/>
        <w:ind w:hanging="0" w:left="0"/>
        <w:rPr>
          <w:rFonts w:ascii="Aptos" w:hAnsi="Aptos"/>
          <w:color w:val="auto"/>
        </w:rPr>
      </w:pPr>
      <w:r>
        <w:rPr/>
        <w:t>1. What exactly is the system of interest?</w:t>
      </w:r>
    </w:p>
    <w:p>
      <w:pPr>
        <w:pStyle w:val="BodyText"/>
        <w:spacing w:before="0" w:after="200"/>
        <w:rPr/>
      </w:pPr>
      <w:r>
        <w:rPr>
          <w:rStyle w:val="Strong"/>
        </w:rPr>
        <w:t>Response:</w:t>
      </w:r>
      <w:r>
        <w:rPr/>
        <w:br/>
        <w:t>The assessment should define the focal entities, relationships, environment, purpose, scale, and time horizon. It should also explain why that system definition is appropriate for the decision and identify adjacent systems whose effects may be material.</w:t>
      </w:r>
    </w:p>
    <w:p>
      <w:pPr>
        <w:pStyle w:val="Heading5"/>
        <w:ind w:hanging="0" w:left="0"/>
        <w:rPr>
          <w:rFonts w:ascii="Aptos" w:hAnsi="Aptos"/>
          <w:color w:val="auto"/>
        </w:rPr>
      </w:pPr>
      <w:r>
        <w:rPr/>
        <w:t>2. Who selected the system boundary?</w:t>
      </w:r>
    </w:p>
    <w:p>
      <w:pPr>
        <w:pStyle w:val="BodyText"/>
        <w:spacing w:before="0" w:after="200"/>
        <w:rPr/>
      </w:pPr>
      <w:r>
        <w:rPr>
          <w:rStyle w:val="Strong"/>
        </w:rPr>
        <w:t>Response:</w:t>
      </w:r>
      <w:r>
        <w:rPr/>
        <w:br/>
        <w:t>The assessment should identify the person or institution responsible for the boundary, the authority under which it acted, the stakeholders consulted, and any conflicts of interest. Boundary selection should be reviewable rather than anonymous.</w:t>
      </w:r>
    </w:p>
    <w:p>
      <w:pPr>
        <w:pStyle w:val="Heading5"/>
        <w:ind w:hanging="0" w:left="0"/>
        <w:rPr>
          <w:rFonts w:ascii="Aptos" w:hAnsi="Aptos"/>
          <w:color w:val="auto"/>
        </w:rPr>
      </w:pPr>
      <w:r>
        <w:rPr/>
        <w:t>3. Which entities were excluded?</w:t>
      </w:r>
    </w:p>
    <w:p>
      <w:pPr>
        <w:pStyle w:val="BodyText"/>
        <w:spacing w:before="0" w:after="200"/>
        <w:rPr/>
      </w:pPr>
      <w:r>
        <w:rPr>
          <w:rStyle w:val="Strong"/>
        </w:rPr>
        <w:t>Response:</w:t>
      </w:r>
      <w:r>
        <w:rPr/>
        <w:br/>
        <w:t>Excluded entities should be listed by category, together with the reason for exclusion and the conditions under which they would become relevant. Particular attention should be given to affected parties with limited visibility or representation.</w:t>
      </w:r>
    </w:p>
    <w:p>
      <w:pPr>
        <w:pStyle w:val="Heading5"/>
        <w:ind w:hanging="0" w:left="0"/>
        <w:rPr>
          <w:rFonts w:ascii="Aptos" w:hAnsi="Aptos"/>
          <w:color w:val="auto"/>
        </w:rPr>
      </w:pPr>
      <w:r>
        <w:rPr/>
        <w:t>4. What does “relevant” mean?</w:t>
      </w:r>
    </w:p>
    <w:p>
      <w:pPr>
        <w:pStyle w:val="BodyText"/>
        <w:spacing w:before="0" w:after="200"/>
        <w:rPr/>
      </w:pPr>
      <w:r>
        <w:rPr>
          <w:rStyle w:val="Strong"/>
        </w:rPr>
        <w:t>Response:</w:t>
      </w:r>
      <w:r>
        <w:rPr/>
        <w:br/>
        <w:t>Relevance should be based on plausible material effect, dependency, vulnerability, responsibility, rights, persistent relationship, or significant influence on the transition. Relevance should not be limited to legal standing, direct causation, geographic proximity, or available data.</w:t>
      </w:r>
    </w:p>
    <w:p>
      <w:pPr>
        <w:pStyle w:val="Heading5"/>
        <w:ind w:hanging="0" w:left="0"/>
        <w:rPr>
          <w:rFonts w:ascii="Aptos" w:hAnsi="Aptos"/>
          <w:color w:val="auto"/>
        </w:rPr>
      </w:pPr>
      <w:r>
        <w:rPr/>
        <w:t>5. Can the framework detect entities that were not initially recognized?</w:t>
      </w:r>
    </w:p>
    <w:p>
      <w:pPr>
        <w:pStyle w:val="BodyText"/>
        <w:spacing w:before="0" w:after="200"/>
        <w:rPr/>
      </w:pPr>
      <w:r>
        <w:rPr>
          <w:rStyle w:val="Strong"/>
        </w:rPr>
        <w:t>Response:</w:t>
      </w:r>
      <w:r>
        <w:rPr/>
        <w:br/>
        <w:t>It should include an iterative discovery process using stakeholder consultation, causal exploration, historical analysis, external review, and post-intervention monitoring. Newly identified entities should trigger reassessment when their exclusion could alter the conclusion.</w:t>
      </w:r>
    </w:p>
    <w:p>
      <w:pPr>
        <w:pStyle w:val="Heading5"/>
        <w:ind w:hanging="0" w:left="0"/>
        <w:rPr>
          <w:rFonts w:ascii="Aptos" w:hAnsi="Aptos"/>
          <w:color w:val="auto"/>
        </w:rPr>
      </w:pPr>
      <w:r>
        <w:rPr/>
        <w:t>6. Who defines flourishing?</w:t>
      </w:r>
    </w:p>
    <w:p>
      <w:pPr>
        <w:pStyle w:val="BodyText"/>
        <w:spacing w:before="0" w:after="200"/>
        <w:rPr/>
      </w:pPr>
      <w:r>
        <w:rPr>
          <w:rStyle w:val="Strong"/>
        </w:rPr>
        <w:t>Response:</w:t>
      </w:r>
      <w:r>
        <w:rPr/>
        <w:br/>
        <w:t>The framework supplies a high-level definition, but its application should incorporate the affected entity’s characteristics, capacities, dependencies, expressed interests, and context. No single stakeholder or metric should define flourishing for every entity.</w:t>
      </w:r>
    </w:p>
    <w:p>
      <w:pPr>
        <w:pStyle w:val="Heading5"/>
        <w:ind w:hanging="0" w:left="0"/>
        <w:rPr>
          <w:rFonts w:ascii="Aptos" w:hAnsi="Aptos"/>
          <w:color w:val="auto"/>
        </w:rPr>
      </w:pPr>
      <w:r>
        <w:rPr/>
        <w:t>7. What if affected parties disagree about flourishing?</w:t>
      </w:r>
    </w:p>
    <w:p>
      <w:pPr>
        <w:pStyle w:val="BodyText"/>
        <w:spacing w:before="0" w:after="200"/>
        <w:rPr/>
      </w:pPr>
      <w:r>
        <w:rPr>
          <w:rStyle w:val="Strong"/>
        </w:rPr>
        <w:t>Response:</w:t>
      </w:r>
      <w:r>
        <w:rPr/>
        <w:br/>
        <w:t>The disagreement should be represented rather than collapsed into a premature average. The framework should identify shared minimum conditions, incompatible claims, power differences, and potential arrangements that preserve plural beneficial futures.</w:t>
      </w:r>
    </w:p>
    <w:p>
      <w:pPr>
        <w:pStyle w:val="Heading5"/>
        <w:ind w:hanging="0" w:left="0"/>
        <w:rPr>
          <w:rFonts w:ascii="Aptos" w:hAnsi="Aptos"/>
          <w:color w:val="auto"/>
        </w:rPr>
      </w:pPr>
      <w:r>
        <w:rPr/>
        <w:t>8. Is the objective being assessed the system’s stated purpose or its enacted purpose?</w:t>
      </w:r>
    </w:p>
    <w:p>
      <w:pPr>
        <w:pStyle w:val="BodyText"/>
        <w:spacing w:before="0" w:after="200"/>
        <w:rPr/>
      </w:pPr>
      <w:r>
        <w:rPr>
          <w:rStyle w:val="Strong"/>
        </w:rPr>
        <w:t>Response:</w:t>
      </w:r>
      <w:r>
        <w:rPr/>
        <w:br/>
        <w:t>Both should be examined. The stated purpose reveals formal intent, while incentives, resource flows, recurring decisions, and outcomes reveal operational purpose. Material divergence between them is ethically relevant.</w:t>
      </w:r>
    </w:p>
    <w:p>
      <w:pPr>
        <w:pStyle w:val="Heading5"/>
        <w:ind w:hanging="0" w:left="0"/>
        <w:rPr>
          <w:rFonts w:ascii="Aptos" w:hAnsi="Aptos"/>
          <w:color w:val="auto"/>
        </w:rPr>
      </w:pPr>
      <w:r>
        <w:rPr/>
        <w:t>9. Does the framework assume that the system should continue?</w:t>
      </w:r>
    </w:p>
    <w:p>
      <w:pPr>
        <w:pStyle w:val="BodyText"/>
        <w:spacing w:before="0" w:after="200"/>
        <w:rPr/>
      </w:pPr>
      <w:r>
        <w:rPr>
          <w:rStyle w:val="Strong"/>
        </w:rPr>
        <w:t>Response:</w:t>
      </w:r>
      <w:r>
        <w:rPr/>
        <w:br/>
        <w:t>No. Preservation, adaptation, transformation, replacement, and dissolution should be treated as distinct alternatives. Continued existence must be justified by the flourishing the system supports.</w:t>
      </w:r>
    </w:p>
    <w:p>
      <w:pPr>
        <w:pStyle w:val="Heading5"/>
        <w:ind w:hanging="0" w:left="0"/>
        <w:rPr>
          <w:rFonts w:ascii="Aptos" w:hAnsi="Aptos"/>
          <w:color w:val="auto"/>
        </w:rPr>
      </w:pPr>
      <w:r>
        <w:rPr/>
        <w:t>10. Could the flourishing of the system be used to sacrifice individual entities?</w:t>
      </w:r>
    </w:p>
    <w:p>
      <w:pPr>
        <w:pStyle w:val="BodyText"/>
        <w:spacing w:before="0" w:after="200"/>
        <w:rPr/>
      </w:pPr>
      <w:r>
        <w:rPr>
          <w:rStyle w:val="Strong"/>
        </w:rPr>
        <w:t>Response:</w:t>
      </w:r>
      <w:r>
        <w:rPr/>
        <w:br/>
        <w:t>System-level flourishing cannot automatically override severe harms to particular entities. The assessment must identify distribution, vulnerability, rights, consent, alternatives, and whether burdens are necessary and proportionate.</w:t>
      </w:r>
    </w:p>
    <w:p>
      <w:pPr>
        <w:pStyle w:val="Heading5"/>
        <w:ind w:hanging="0" w:left="0"/>
        <w:rPr>
          <w:rFonts w:ascii="Aptos" w:hAnsi="Aptos"/>
          <w:color w:val="auto"/>
        </w:rPr>
      </w:pPr>
      <w:r>
        <w:rPr/>
        <w:t>11. Could protecting individuals undermine the viability of essential shared systems?</w:t>
      </w:r>
    </w:p>
    <w:p>
      <w:pPr>
        <w:pStyle w:val="BodyText"/>
        <w:spacing w:before="0" w:after="200"/>
        <w:rPr/>
      </w:pPr>
      <w:r>
        <w:rPr>
          <w:rStyle w:val="Strong"/>
        </w:rPr>
        <w:t>Response:</w:t>
      </w:r>
      <w:r>
        <w:rPr/>
        <w:br/>
        <w:t>Yes. Individual protections must also be considered in relation to cumulative systemic effects. The framework should seek arrangements that preserve justified protections while sustaining essential collective functions, rather than presuming absolute priority in either direction.</w:t>
      </w:r>
    </w:p>
    <w:p>
      <w:pPr>
        <w:pStyle w:val="Heading5"/>
        <w:ind w:hanging="0" w:left="0"/>
        <w:rPr>
          <w:rFonts w:ascii="Aptos" w:hAnsi="Aptos"/>
          <w:color w:val="auto"/>
        </w:rPr>
      </w:pPr>
      <w:r>
        <w:rPr/>
        <w:t>12. How does the framework identify local optimization?</w:t>
      </w:r>
    </w:p>
    <w:p>
      <w:pPr>
        <w:pStyle w:val="BodyText"/>
        <w:spacing w:before="0" w:after="200"/>
        <w:rPr/>
      </w:pPr>
      <w:r>
        <w:rPr>
          <w:rStyle w:val="Strong"/>
        </w:rPr>
        <w:t>Response:</w:t>
      </w:r>
      <w:r>
        <w:rPr/>
        <w:br/>
        <w:t>Every improvement claim should be tested for transferred cost, risk, labor, pollution, delay, and responsibility. Effects should be traced across organizational units, populations, geographic regions, time horizons, and ecological systems.</w:t>
      </w:r>
    </w:p>
    <w:p>
      <w:pPr>
        <w:pStyle w:val="Heading5"/>
        <w:ind w:hanging="0" w:left="0"/>
        <w:rPr>
          <w:rFonts w:ascii="Aptos" w:hAnsi="Aptos"/>
          <w:color w:val="auto"/>
        </w:rPr>
      </w:pPr>
      <w:r>
        <w:rPr/>
        <w:t>13. How are feedback loops represented?</w:t>
      </w:r>
    </w:p>
    <w:p>
      <w:pPr>
        <w:pStyle w:val="BodyText"/>
        <w:spacing w:before="0" w:after="200"/>
        <w:rPr/>
      </w:pPr>
      <w:r>
        <w:rPr>
          <w:rStyle w:val="Strong"/>
        </w:rPr>
        <w:t>Response:</w:t>
      </w:r>
      <w:r>
        <w:rPr/>
        <w:br/>
        <w:t>Where feedback materially affects the outcome, the assessment should describe reinforcing and balancing loops, information flows, incentives, and adaptation. Causal-loop or system-dynamics models may be used when they improve understanding.</w:t>
      </w:r>
    </w:p>
    <w:p>
      <w:pPr>
        <w:pStyle w:val="Heading5"/>
        <w:ind w:hanging="0" w:left="0"/>
        <w:rPr>
          <w:rFonts w:ascii="Aptos" w:hAnsi="Aptos"/>
          <w:color w:val="auto"/>
        </w:rPr>
      </w:pPr>
      <w:r>
        <w:rPr/>
        <w:t>14. How are delays handled?</w:t>
      </w:r>
    </w:p>
    <w:p>
      <w:pPr>
        <w:pStyle w:val="BodyText"/>
        <w:spacing w:before="0" w:after="200"/>
        <w:rPr/>
      </w:pPr>
      <w:r>
        <w:rPr>
          <w:rStyle w:val="Strong"/>
        </w:rPr>
        <w:t>Response:</w:t>
      </w:r>
      <w:r>
        <w:rPr/>
        <w:br/>
        <w:t>The analysis should identify the expected timing of effects, the duration of observation needed to detect them, and whether the decision-maker’s evaluation period is shorter than the causal delay.</w:t>
      </w:r>
    </w:p>
    <w:p>
      <w:pPr>
        <w:pStyle w:val="Heading5"/>
        <w:ind w:hanging="0" w:left="0"/>
        <w:rPr>
          <w:rFonts w:ascii="Aptos" w:hAnsi="Aptos"/>
          <w:color w:val="auto"/>
        </w:rPr>
      </w:pPr>
      <w:r>
        <w:rPr/>
        <w:t>15. How are emergent effects evaluated if they cannot be predicted?</w:t>
      </w:r>
    </w:p>
    <w:p>
      <w:pPr>
        <w:pStyle w:val="BodyText"/>
        <w:spacing w:before="0" w:after="200"/>
        <w:rPr/>
      </w:pPr>
      <w:r>
        <w:rPr>
          <w:rStyle w:val="Strong"/>
        </w:rPr>
        <w:t>Response:</w:t>
      </w:r>
      <w:r>
        <w:rPr/>
        <w:br/>
        <w:t>Not every emergent effect can be forecast. The framework should identify conditions associated with emergence, examine analogous systems, test alternative scenarios, preserve monitoring capacity, and prefer reversible interventions when appropriate.</w:t>
      </w:r>
    </w:p>
    <w:p>
      <w:pPr>
        <w:pStyle w:val="Heading5"/>
        <w:ind w:hanging="0" w:left="0"/>
        <w:rPr>
          <w:rFonts w:ascii="Aptos" w:hAnsi="Aptos"/>
          <w:color w:val="auto"/>
        </w:rPr>
      </w:pPr>
      <w:r>
        <w:rPr/>
        <w:t>16. What happens when the intervention changes the causal structure?</w:t>
      </w:r>
    </w:p>
    <w:p>
      <w:pPr>
        <w:pStyle w:val="BodyText"/>
        <w:spacing w:before="0" w:after="200"/>
        <w:rPr/>
      </w:pPr>
      <w:r>
        <w:rPr>
          <w:rStyle w:val="Strong"/>
        </w:rPr>
        <w:t>Response:</w:t>
      </w:r>
      <w:r>
        <w:rPr/>
        <w:br/>
        <w:t>The model should be treated as conditional rather than permanent. Monitoring should examine whether participants adapt, evade, game, resist, or reinterpret the intervention. Material structural change should trigger model revision.</w:t>
      </w:r>
    </w:p>
    <w:p>
      <w:pPr>
        <w:pStyle w:val="Heading5"/>
        <w:ind w:hanging="0" w:left="0"/>
        <w:rPr>
          <w:rFonts w:ascii="Aptos" w:hAnsi="Aptos"/>
          <w:color w:val="auto"/>
        </w:rPr>
      </w:pPr>
      <w:r>
        <w:rPr/>
        <w:t>17. Can several incompatible system models be valid?</w:t>
      </w:r>
    </w:p>
    <w:p>
      <w:pPr>
        <w:pStyle w:val="BodyText"/>
        <w:spacing w:before="0" w:after="200"/>
        <w:rPr/>
      </w:pPr>
      <w:r>
        <w:rPr>
          <w:rStyle w:val="Strong"/>
        </w:rPr>
        <w:t>Response:</w:t>
      </w:r>
      <w:r>
        <w:rPr/>
        <w:br/>
        <w:t>Yes. Different models may illuminate different scales, perspectives, or causal mechanisms. The framework should compare their assumptions and determine whether the ethical conclusion is robust across them.</w:t>
      </w:r>
    </w:p>
    <w:p>
      <w:pPr>
        <w:pStyle w:val="Heading5"/>
        <w:ind w:hanging="0" w:left="0"/>
        <w:rPr>
          <w:rFonts w:ascii="Aptos" w:hAnsi="Aptos"/>
          <w:color w:val="auto"/>
        </w:rPr>
      </w:pPr>
      <w:r>
        <w:rPr/>
        <w:t>18. Who decides which model receives authority?</w:t>
      </w:r>
    </w:p>
    <w:p>
      <w:pPr>
        <w:pStyle w:val="BodyText"/>
        <w:spacing w:before="0" w:after="200"/>
        <w:rPr/>
      </w:pPr>
      <w:r>
        <w:rPr>
          <w:rStyle w:val="Strong"/>
        </w:rPr>
        <w:t>Response:</w:t>
      </w:r>
      <w:r>
        <w:rPr/>
        <w:br/>
        <w:t>Model authority should depend on evidentiary adequacy, transparency, fitness for purpose, independent review, affected-party input, performance against observed outcomes, and disclosure of conflicts—not merely institutional status or technical complexity.</w:t>
      </w:r>
    </w:p>
    <w:p>
      <w:pPr>
        <w:pStyle w:val="Heading5"/>
        <w:ind w:hanging="0" w:left="0"/>
        <w:rPr>
          <w:rFonts w:ascii="Aptos" w:hAnsi="Aptos"/>
          <w:color w:val="auto"/>
        </w:rPr>
      </w:pPr>
      <w:r>
        <w:rPr/>
        <w:t>19. How are qualitative perspectives incorporated?</w:t>
      </w:r>
    </w:p>
    <w:p>
      <w:pPr>
        <w:pStyle w:val="BodyText"/>
        <w:spacing w:before="0" w:after="200"/>
        <w:rPr/>
      </w:pPr>
      <w:r>
        <w:rPr>
          <w:rStyle w:val="Strong"/>
        </w:rPr>
        <w:t>Response:</w:t>
      </w:r>
      <w:r>
        <w:rPr/>
        <w:br/>
        <w:t>Testimony, experience, institutional history, cultural interpretation, case comparison, and narrative evidence should be included when they reveal conditions not captured by quantitative measures. Their limitations should be assessed without dismissing them for lack of numerical form.</w:t>
      </w:r>
    </w:p>
    <w:p>
      <w:pPr>
        <w:pStyle w:val="Heading5"/>
        <w:ind w:hanging="0" w:left="0"/>
        <w:rPr>
          <w:rFonts w:ascii="Aptos" w:hAnsi="Aptos"/>
          <w:color w:val="auto"/>
        </w:rPr>
      </w:pPr>
      <w:r>
        <w:rPr/>
        <w:t>20. Does stakeholder participation guarantee legitimacy?</w:t>
      </w:r>
    </w:p>
    <w:p>
      <w:pPr>
        <w:pStyle w:val="BodyText"/>
        <w:spacing w:before="0" w:after="200"/>
        <w:rPr/>
      </w:pPr>
      <w:r>
        <w:rPr>
          <w:rStyle w:val="Strong"/>
        </w:rPr>
        <w:t>Response:</w:t>
      </w:r>
      <w:r>
        <w:rPr/>
        <w:br/>
        <w:t>No. Participation may be symbolic, selective, or coercive. Legitimacy depends on access to information, freedom from retaliation, representative inclusion, meaningful influence, and the ability to challenge the decision.</w:t>
      </w:r>
    </w:p>
    <w:p>
      <w:pPr>
        <w:pStyle w:val="Heading5"/>
        <w:ind w:hanging="0" w:left="0"/>
        <w:rPr>
          <w:rFonts w:ascii="Aptos" w:hAnsi="Aptos"/>
          <w:color w:val="auto"/>
        </w:rPr>
      </w:pPr>
      <w:r>
        <w:rPr/>
        <w:t>21. Who represents future generations and nonhuman entities?</w:t>
      </w:r>
    </w:p>
    <w:p>
      <w:pPr>
        <w:pStyle w:val="BodyText"/>
        <w:spacing w:before="0" w:after="200"/>
        <w:rPr/>
      </w:pPr>
      <w:r>
        <w:rPr>
          <w:rStyle w:val="Strong"/>
        </w:rPr>
        <w:t>Response:</w:t>
      </w:r>
      <w:r>
        <w:rPr/>
        <w:br/>
        <w:t>The framework can use trustees, advocates, scientific evidence, scenario analysis, legal representatives, and institutional safeguards. Representation remains imperfect and should be disclosed as a limitation.</w:t>
      </w:r>
    </w:p>
    <w:p>
      <w:pPr>
        <w:pStyle w:val="Heading5"/>
        <w:ind w:hanging="0" w:left="0"/>
        <w:rPr>
          <w:rFonts w:ascii="Aptos" w:hAnsi="Aptos"/>
          <w:color w:val="auto"/>
        </w:rPr>
      </w:pPr>
      <w:r>
        <w:rPr/>
        <w:t>22. How is distributed responsibility assigned?</w:t>
      </w:r>
    </w:p>
    <w:p>
      <w:pPr>
        <w:pStyle w:val="BodyText"/>
        <w:spacing w:before="0" w:after="200"/>
        <w:rPr/>
      </w:pPr>
      <w:r>
        <w:rPr>
          <w:rStyle w:val="Strong"/>
        </w:rPr>
        <w:t>Response:</w:t>
      </w:r>
      <w:r>
        <w:rPr/>
        <w:br/>
        <w:t>Responsibility should be mapped according to causal contribution, role, authority, knowledge, capacity, benefit, available alternatives, foreseeability, and ability to prevent or repair harm.</w:t>
      </w:r>
    </w:p>
    <w:p>
      <w:pPr>
        <w:pStyle w:val="Heading5"/>
        <w:ind w:hanging="0" w:left="0"/>
        <w:rPr>
          <w:rFonts w:ascii="Aptos" w:hAnsi="Aptos"/>
          <w:color w:val="auto"/>
        </w:rPr>
      </w:pPr>
      <w:r>
        <w:rPr/>
        <w:t>23. What if no individual actor controls the harmful outcome?</w:t>
      </w:r>
    </w:p>
    <w:p>
      <w:pPr>
        <w:pStyle w:val="BodyText"/>
        <w:spacing w:before="0" w:after="200"/>
        <w:rPr/>
      </w:pPr>
      <w:r>
        <w:rPr>
          <w:rStyle w:val="Strong"/>
        </w:rPr>
        <w:t>Response:</w:t>
      </w:r>
      <w:r>
        <w:rPr/>
        <w:br/>
        <w:t>Lack of unilateral control does not eliminate responsibility. Actors may have shared duties to coordinate, disclose, regulate, redesign, or withdraw support. The framework should also evaluate whether governance structures create a responsibility gap.</w:t>
      </w:r>
    </w:p>
    <w:p>
      <w:pPr>
        <w:pStyle w:val="Heading5"/>
        <w:ind w:hanging="0" w:left="0"/>
        <w:rPr>
          <w:rFonts w:ascii="Aptos" w:hAnsi="Aptos"/>
          <w:color w:val="auto"/>
        </w:rPr>
      </w:pPr>
      <w:r>
        <w:rPr/>
        <w:t>24. Could structural analysis excuse individual misconduct?</w:t>
      </w:r>
    </w:p>
    <w:p>
      <w:pPr>
        <w:pStyle w:val="BodyText"/>
        <w:spacing w:before="0" w:after="200"/>
        <w:rPr/>
      </w:pPr>
      <w:r>
        <w:rPr>
          <w:rStyle w:val="Strong"/>
        </w:rPr>
        <w:t>Response:</w:t>
      </w:r>
      <w:r>
        <w:rPr/>
        <w:br/>
        <w:t>It should not. Systemic constraints may affect responsibility, but they do not automatically justify deception, abuse, reckless conduct, or knowing participation in harm. Individual and structural responsibility can coexist.</w:t>
      </w:r>
    </w:p>
    <w:p>
      <w:pPr>
        <w:pStyle w:val="Heading5"/>
        <w:ind w:hanging="0" w:left="0"/>
        <w:rPr>
          <w:rFonts w:ascii="Aptos" w:hAnsi="Aptos"/>
          <w:color w:val="auto"/>
        </w:rPr>
      </w:pPr>
      <w:r>
        <w:rPr/>
        <w:t>25. Could individual blame conceal structural responsibility?</w:t>
      </w:r>
    </w:p>
    <w:p>
      <w:pPr>
        <w:pStyle w:val="BodyText"/>
        <w:spacing w:before="0" w:after="200"/>
        <w:rPr/>
      </w:pPr>
      <w:r>
        <w:rPr>
          <w:rStyle w:val="Strong"/>
        </w:rPr>
        <w:t>Response:</w:t>
      </w:r>
      <w:r>
        <w:rPr/>
        <w:br/>
        <w:t>Yes. The framework should ask whether replacing the visible actor would materially change the pattern. If not, rules, incentives, resource constraints, information structures, or institutional objectives may require greater attention.</w:t>
      </w:r>
    </w:p>
    <w:p>
      <w:pPr>
        <w:pStyle w:val="Heading5"/>
        <w:ind w:hanging="0" w:left="0"/>
        <w:rPr>
          <w:rFonts w:ascii="Aptos" w:hAnsi="Aptos"/>
          <w:color w:val="auto"/>
        </w:rPr>
      </w:pPr>
      <w:r>
        <w:rPr/>
        <w:t>26. How does the framework address measurement gaming?</w:t>
      </w:r>
    </w:p>
    <w:p>
      <w:pPr>
        <w:pStyle w:val="BodyText"/>
        <w:spacing w:before="0" w:after="200"/>
        <w:rPr/>
      </w:pPr>
      <w:r>
        <w:rPr>
          <w:rStyle w:val="Strong"/>
        </w:rPr>
        <w:t>Response:</w:t>
      </w:r>
      <w:r>
        <w:rPr/>
        <w:br/>
        <w:t>It should compare measured performance with underlying flourishing, monitor displacement and manipulation, use multiple indicators, retain qualitative review, and revise metrics when they become targets that distort behavior.</w:t>
      </w:r>
    </w:p>
    <w:p>
      <w:pPr>
        <w:pStyle w:val="Heading5"/>
        <w:ind w:hanging="0" w:left="0"/>
        <w:rPr>
          <w:rFonts w:ascii="Aptos" w:hAnsi="Aptos"/>
          <w:color w:val="auto"/>
        </w:rPr>
      </w:pPr>
      <w:r>
        <w:rPr/>
        <w:t>27. Is resilience always desirable?</w:t>
      </w:r>
    </w:p>
    <w:p>
      <w:pPr>
        <w:pStyle w:val="BodyText"/>
        <w:spacing w:before="0" w:after="200"/>
        <w:rPr/>
      </w:pPr>
      <w:r>
        <w:rPr>
          <w:rStyle w:val="Strong"/>
        </w:rPr>
        <w:t>Response:</w:t>
      </w:r>
      <w:r>
        <w:rPr/>
        <w:br/>
        <w:t>No. Resilience must be evaluated in relation to the functions and relationships it preserves. The resilience of an abusive, discriminatory, or ecologically destructive system is ethically negative.</w:t>
      </w:r>
    </w:p>
    <w:p>
      <w:pPr>
        <w:pStyle w:val="Heading5"/>
        <w:ind w:hanging="0" w:left="0"/>
        <w:rPr>
          <w:rFonts w:ascii="Aptos" w:hAnsi="Aptos"/>
          <w:color w:val="auto"/>
        </w:rPr>
      </w:pPr>
      <w:r>
        <w:rPr/>
        <w:t>28. How does the framework handle tipping points and irreversible harm?</w:t>
      </w:r>
    </w:p>
    <w:p>
      <w:pPr>
        <w:pStyle w:val="BodyText"/>
        <w:spacing w:before="0" w:after="200"/>
        <w:rPr/>
      </w:pPr>
      <w:r>
        <w:rPr>
          <w:rStyle w:val="Strong"/>
        </w:rPr>
        <w:t>Response:</w:t>
      </w:r>
      <w:r>
        <w:rPr/>
        <w:br/>
        <w:t>It should identify plausible thresholds, use precaution proportionate to the severity and irreversibility of harm, compare worst-case scenarios, and avoid experiments whose failure cannot be contained or repaired.</w:t>
      </w:r>
    </w:p>
    <w:p>
      <w:pPr>
        <w:pStyle w:val="Heading5"/>
        <w:ind w:hanging="0" w:left="0"/>
        <w:rPr>
          <w:rFonts w:ascii="Aptos" w:hAnsi="Aptos"/>
          <w:color w:val="auto"/>
        </w:rPr>
      </w:pPr>
      <w:r>
        <w:rPr/>
        <w:t>29. When is a small experimental intervention appropriate?</w:t>
      </w:r>
    </w:p>
    <w:p>
      <w:pPr>
        <w:pStyle w:val="BodyText"/>
        <w:spacing w:before="0" w:after="200"/>
        <w:rPr/>
      </w:pPr>
      <w:r>
        <w:rPr>
          <w:rStyle w:val="Strong"/>
        </w:rPr>
        <w:t>Response:</w:t>
      </w:r>
      <w:r>
        <w:rPr/>
        <w:br/>
        <w:t>A bounded experiment is appropriate when uncertainty is substantial, effects can be monitored, participation is legitimate, failure is containable, and delay does not expose entities to unacceptable harm.</w:t>
      </w:r>
    </w:p>
    <w:p>
      <w:pPr>
        <w:pStyle w:val="Heading5"/>
        <w:ind w:hanging="0" w:left="0"/>
        <w:rPr>
          <w:rFonts w:ascii="Aptos" w:hAnsi="Aptos"/>
          <w:color w:val="auto"/>
        </w:rPr>
      </w:pPr>
      <w:r>
        <w:rPr/>
        <w:t>30. How does the framework prevent analysis from becoming paralysis?</w:t>
      </w:r>
    </w:p>
    <w:p>
      <w:pPr>
        <w:pStyle w:val="BodyText"/>
        <w:spacing w:before="0" w:after="200"/>
        <w:rPr/>
      </w:pPr>
      <w:r>
        <w:rPr>
          <w:rStyle w:val="Strong"/>
        </w:rPr>
        <w:t>Response:</w:t>
      </w:r>
      <w:r>
        <w:rPr/>
        <w:br/>
        <w:t>It should use materiality thresholds, confidence ranges, time-bounded inquiry, provisional decisions, reversibility, and monitoring. Uncertainty should influence the form of action rather than automatically prevent action.</w:t>
      </w:r>
    </w:p>
    <w:p>
      <w:pPr>
        <w:pStyle w:val="Heading5"/>
        <w:ind w:hanging="0" w:left="0"/>
        <w:rPr>
          <w:rFonts w:ascii="Aptos" w:hAnsi="Aptos"/>
          <w:color w:val="auto"/>
        </w:rPr>
      </w:pPr>
      <w:r>
        <w:rPr/>
        <w:t>31. What happens when additional analysis itself causes harm?</w:t>
      </w:r>
    </w:p>
    <w:p>
      <w:pPr>
        <w:pStyle w:val="BodyText"/>
        <w:spacing w:before="0" w:after="200"/>
        <w:rPr/>
      </w:pPr>
      <w:r>
        <w:rPr>
          <w:rStyle w:val="Strong"/>
        </w:rPr>
        <w:t>Response:</w:t>
      </w:r>
      <w:r>
        <w:rPr/>
        <w:br/>
        <w:t>The costs of delay, data collection, intrusion, exposure, and continued uncertainty should be included in the transition. High-confidence urgent harms may justify action before every uncertainty is resolved.</w:t>
      </w:r>
    </w:p>
    <w:p>
      <w:pPr>
        <w:pStyle w:val="Heading5"/>
        <w:ind w:hanging="0" w:left="0"/>
        <w:rPr>
          <w:rFonts w:ascii="Aptos" w:hAnsi="Aptos"/>
          <w:color w:val="auto"/>
        </w:rPr>
      </w:pPr>
      <w:r>
        <w:rPr/>
        <w:t>32. Does the framework possess adequate requisite variety?</w:t>
      </w:r>
    </w:p>
    <w:p>
      <w:pPr>
        <w:pStyle w:val="BodyText"/>
        <w:spacing w:before="0" w:after="200"/>
        <w:rPr/>
      </w:pPr>
      <w:r>
        <w:rPr>
          <w:rStyle w:val="Strong"/>
        </w:rPr>
        <w:t>Response:</w:t>
      </w:r>
      <w:r>
        <w:rPr/>
        <w:br/>
        <w:t>Its governance, evidence sources, expertise, scenarios, and response options should be compared with the variety of conditions it must manage. A framework with one metric, one model, or one decision authority will often be inadequate for a complex system.</w:t>
      </w:r>
    </w:p>
    <w:p>
      <w:pPr>
        <w:pStyle w:val="Heading5"/>
        <w:ind w:hanging="0" w:left="0"/>
        <w:rPr>
          <w:rFonts w:ascii="Aptos" w:hAnsi="Aptos"/>
          <w:color w:val="auto"/>
        </w:rPr>
      </w:pPr>
      <w:r>
        <w:rPr/>
        <w:t>33. How does the framework address interactions among artificial and human agents?</w:t>
      </w:r>
    </w:p>
    <w:p>
      <w:pPr>
        <w:pStyle w:val="BodyText"/>
        <w:spacing w:before="0" w:after="200"/>
        <w:rPr/>
      </w:pPr>
      <w:r>
        <w:rPr>
          <w:rStyle w:val="Strong"/>
        </w:rPr>
        <w:t>Response:</w:t>
      </w:r>
      <w:r>
        <w:rPr/>
        <w:br/>
        <w:t>It should model automated feedback, human adaptation, authority transfer, reliance, contestability, update processes, and the policies learned by both human and artificial participants. Neither should be analyzed in isolation.</w:t>
      </w:r>
    </w:p>
    <w:p>
      <w:pPr>
        <w:pStyle w:val="Heading5"/>
        <w:ind w:hanging="0" w:left="0"/>
        <w:rPr>
          <w:rFonts w:ascii="Aptos" w:hAnsi="Aptos"/>
          <w:color w:val="auto"/>
        </w:rPr>
      </w:pPr>
      <w:r>
        <w:rPr/>
        <w:t>34. Could the framework’s classifications become self-fulfilling?</w:t>
      </w:r>
    </w:p>
    <w:p>
      <w:pPr>
        <w:pStyle w:val="BodyText"/>
        <w:spacing w:before="0" w:after="200"/>
        <w:rPr/>
      </w:pPr>
      <w:r>
        <w:rPr>
          <w:rStyle w:val="Strong"/>
        </w:rPr>
        <w:t>Response:</w:t>
      </w:r>
      <w:r>
        <w:rPr/>
        <w:br/>
        <w:t>Yes. Classifying an entity as risky, irrelevant, non-autonomous, or low priority may change how others treat it. These classification effects must be included as second-order consequences.</w:t>
      </w:r>
    </w:p>
    <w:p>
      <w:pPr>
        <w:pStyle w:val="Heading5"/>
        <w:ind w:hanging="0" w:left="0"/>
        <w:rPr>
          <w:rFonts w:ascii="Aptos" w:hAnsi="Aptos"/>
          <w:color w:val="auto"/>
        </w:rPr>
      </w:pPr>
      <w:r>
        <w:rPr/>
        <w:t>35. Who audits the framework itself?</w:t>
      </w:r>
    </w:p>
    <w:p>
      <w:pPr>
        <w:pStyle w:val="BodyText"/>
        <w:spacing w:before="0" w:after="200"/>
        <w:rPr/>
      </w:pPr>
      <w:r>
        <w:rPr>
          <w:rStyle w:val="Strong"/>
        </w:rPr>
        <w:t>Response:</w:t>
      </w:r>
      <w:r>
        <w:rPr/>
        <w:br/>
        <w:t>Audit should involve independent reviewers, affected-party representatives, domain experts, methodological critics, and governance bodies with authority to require correction. Audit findings and model revisions should be documented.</w:t>
      </w:r>
    </w:p>
    <w:p>
      <w:pPr>
        <w:pStyle w:val="Heading4"/>
        <w:ind w:hanging="0" w:left="0"/>
        <w:rPr>
          <w:rFonts w:ascii="Aptos" w:hAnsi="Aptos"/>
          <w:color w:val="auto"/>
        </w:rPr>
      </w:pPr>
      <w:bookmarkStart w:id="25" w:name="__RefHeading___Toc23502_3508477456"/>
      <w:bookmarkEnd w:id="25"/>
      <w:r>
        <w:rPr/>
        <w:t>Remaining open issues</w:t>
      </w:r>
    </w:p>
    <w:p>
      <w:pPr>
        <w:pStyle w:val="BodyText"/>
        <w:numPr>
          <w:ilvl w:val="0"/>
          <w:numId w:val="138"/>
        </w:numPr>
        <w:tabs>
          <w:tab w:val="clear" w:pos="720"/>
          <w:tab w:val="left" w:pos="0" w:leader="none"/>
        </w:tabs>
        <w:spacing w:before="0" w:after="200"/>
        <w:ind w:hanging="283" w:left="709"/>
        <w:rPr/>
      </w:pPr>
      <w:r>
        <w:rPr>
          <w:rStyle w:val="Strong"/>
        </w:rPr>
        <w:t>The meaning of completeness.</w:t>
      </w:r>
      <w:r>
        <w:rPr/>
        <w:br/>
        <w:t>The framework needs a more precise distinction between exhaustive completeness, which is unattainable, and sufficient contextual completeness for a particular decision.</w:t>
      </w:r>
    </w:p>
    <w:p>
      <w:pPr>
        <w:pStyle w:val="BodyText"/>
        <w:numPr>
          <w:ilvl w:val="0"/>
          <w:numId w:val="138"/>
        </w:numPr>
        <w:tabs>
          <w:tab w:val="clear" w:pos="720"/>
          <w:tab w:val="left" w:pos="0" w:leader="none"/>
        </w:tabs>
        <w:spacing w:before="0" w:after="200"/>
        <w:ind w:hanging="283" w:left="709"/>
        <w:rPr/>
      </w:pPr>
      <w:r>
        <w:rPr>
          <w:rStyle w:val="Strong"/>
        </w:rPr>
        <w:t>Criteria for relevance.</w:t>
      </w:r>
      <w:r>
        <w:rPr/>
        <w:br/>
        <w:t>Further work is required to determine when indirect, uncertain, distant, or low-probability effects become ethically material.</w:t>
      </w:r>
    </w:p>
    <w:p>
      <w:pPr>
        <w:pStyle w:val="BodyText"/>
        <w:numPr>
          <w:ilvl w:val="0"/>
          <w:numId w:val="138"/>
        </w:numPr>
        <w:tabs>
          <w:tab w:val="clear" w:pos="720"/>
          <w:tab w:val="left" w:pos="0" w:leader="none"/>
        </w:tabs>
        <w:spacing w:before="0" w:after="200"/>
        <w:ind w:hanging="283" w:left="709"/>
        <w:rPr/>
      </w:pPr>
      <w:r>
        <w:rPr>
          <w:rStyle w:val="Strong"/>
        </w:rPr>
        <w:t>Boundary governance.</w:t>
      </w:r>
      <w:r>
        <w:rPr/>
        <w:br/>
        <w:t>Procedures are needed for proposing, challenging, revising, and appealing system boundaries.</w:t>
      </w:r>
    </w:p>
    <w:p>
      <w:pPr>
        <w:pStyle w:val="BodyText"/>
        <w:numPr>
          <w:ilvl w:val="0"/>
          <w:numId w:val="138"/>
        </w:numPr>
        <w:tabs>
          <w:tab w:val="clear" w:pos="720"/>
          <w:tab w:val="left" w:pos="0" w:leader="none"/>
        </w:tabs>
        <w:spacing w:before="0" w:after="200"/>
        <w:ind w:hanging="283" w:left="709"/>
        <w:rPr/>
      </w:pPr>
      <w:r>
        <w:rPr>
          <w:rStyle w:val="Strong"/>
        </w:rPr>
        <w:t>Definitions of flourishing.</w:t>
      </w:r>
      <w:r>
        <w:rPr/>
        <w:br/>
        <w:t>The high-level definition requires domain-specific operationalization without reducing flourishing to a single metric.</w:t>
      </w:r>
    </w:p>
    <w:p>
      <w:pPr>
        <w:pStyle w:val="BodyText"/>
        <w:numPr>
          <w:ilvl w:val="0"/>
          <w:numId w:val="138"/>
        </w:numPr>
        <w:tabs>
          <w:tab w:val="clear" w:pos="720"/>
          <w:tab w:val="left" w:pos="0" w:leader="none"/>
        </w:tabs>
        <w:spacing w:before="0" w:after="200"/>
        <w:ind w:hanging="283" w:left="709"/>
        <w:rPr/>
      </w:pPr>
      <w:r>
        <w:rPr>
          <w:rStyle w:val="Strong"/>
        </w:rPr>
        <w:t>Value pluralism.</w:t>
      </w:r>
      <w:r>
        <w:rPr/>
        <w:br/>
        <w:t>Relevant entities may hold incompatible accounts of a beneficial future, with no uncontested method for reconciliation.</w:t>
      </w:r>
    </w:p>
    <w:p>
      <w:pPr>
        <w:pStyle w:val="BodyText"/>
        <w:numPr>
          <w:ilvl w:val="0"/>
          <w:numId w:val="138"/>
        </w:numPr>
        <w:tabs>
          <w:tab w:val="clear" w:pos="720"/>
          <w:tab w:val="left" w:pos="0" w:leader="none"/>
        </w:tabs>
        <w:spacing w:before="0" w:after="200"/>
        <w:ind w:hanging="283" w:left="709"/>
        <w:rPr/>
      </w:pPr>
      <w:r>
        <w:rPr>
          <w:rStyle w:val="Strong"/>
        </w:rPr>
        <w:t>Power asymmetry.</w:t>
      </w:r>
      <w:r>
        <w:rPr/>
        <w:br/>
        <w:t>Formal transparency may be insufficient when powerful actors control resources, participation, data, and implementation.</w:t>
      </w:r>
    </w:p>
    <w:p>
      <w:pPr>
        <w:pStyle w:val="BodyText"/>
        <w:numPr>
          <w:ilvl w:val="0"/>
          <w:numId w:val="138"/>
        </w:numPr>
        <w:tabs>
          <w:tab w:val="clear" w:pos="720"/>
          <w:tab w:val="left" w:pos="0" w:leader="none"/>
        </w:tabs>
        <w:spacing w:before="0" w:after="200"/>
        <w:ind w:hanging="283" w:left="709"/>
        <w:rPr/>
      </w:pPr>
      <w:r>
        <w:rPr>
          <w:rStyle w:val="Strong"/>
        </w:rPr>
        <w:t>Authentic participation.</w:t>
      </w:r>
      <w:r>
        <w:rPr/>
        <w:br/>
        <w:t>Standards are needed to distinguish meaningful influence from consultation that merely legitimizes a predetermined decision.</w:t>
      </w:r>
    </w:p>
    <w:p>
      <w:pPr>
        <w:pStyle w:val="BodyText"/>
        <w:numPr>
          <w:ilvl w:val="0"/>
          <w:numId w:val="138"/>
        </w:numPr>
        <w:tabs>
          <w:tab w:val="clear" w:pos="720"/>
          <w:tab w:val="left" w:pos="0" w:leader="none"/>
        </w:tabs>
        <w:spacing w:before="0" w:after="200"/>
        <w:ind w:hanging="283" w:left="709"/>
        <w:rPr/>
      </w:pPr>
      <w:r>
        <w:rPr>
          <w:rStyle w:val="Strong"/>
        </w:rPr>
        <w:t>Representation of absent entities.</w:t>
      </w:r>
      <w:r>
        <w:rPr/>
        <w:br/>
        <w:t>Future generations, nonhuman organisms, ecosystems, children, and artificial entities require representation methods whose legitimacy remains uncertain.</w:t>
      </w:r>
    </w:p>
    <w:p>
      <w:pPr>
        <w:pStyle w:val="BodyText"/>
        <w:numPr>
          <w:ilvl w:val="0"/>
          <w:numId w:val="138"/>
        </w:numPr>
        <w:tabs>
          <w:tab w:val="clear" w:pos="720"/>
          <w:tab w:val="left" w:pos="0" w:leader="none"/>
        </w:tabs>
        <w:spacing w:before="0" w:after="200"/>
        <w:ind w:hanging="283" w:left="709"/>
        <w:rPr/>
      </w:pPr>
      <w:r>
        <w:rPr>
          <w:rStyle w:val="Strong"/>
        </w:rPr>
        <w:t>Model pluralism.</w:t>
      </w:r>
      <w:r>
        <w:rPr/>
        <w:br/>
        <w:t>The framework needs procedures for comparing models built on different ontologies, causal assumptions, scales, and ethical priorities.</w:t>
      </w:r>
    </w:p>
    <w:p>
      <w:pPr>
        <w:pStyle w:val="BodyText"/>
        <w:numPr>
          <w:ilvl w:val="0"/>
          <w:numId w:val="138"/>
        </w:numPr>
        <w:tabs>
          <w:tab w:val="clear" w:pos="720"/>
          <w:tab w:val="left" w:pos="0" w:leader="none"/>
        </w:tabs>
        <w:spacing w:before="0" w:after="200"/>
        <w:ind w:hanging="283" w:left="709"/>
        <w:rPr/>
      </w:pPr>
      <w:r>
        <w:rPr>
          <w:rStyle w:val="Strong"/>
        </w:rPr>
        <w:t>Emergence and deep uncertainty.</w:t>
      </w:r>
      <w:r>
        <w:rPr/>
        <w:br/>
        <w:t>Some system properties and transitions may remain fundamentally unpredictable rather than merely probabilistic.</w:t>
      </w:r>
    </w:p>
    <w:p>
      <w:pPr>
        <w:pStyle w:val="BodyText"/>
        <w:numPr>
          <w:ilvl w:val="0"/>
          <w:numId w:val="138"/>
        </w:numPr>
        <w:tabs>
          <w:tab w:val="clear" w:pos="720"/>
          <w:tab w:val="left" w:pos="0" w:leader="none"/>
        </w:tabs>
        <w:spacing w:before="0" w:after="200"/>
        <w:ind w:hanging="283" w:left="709"/>
        <w:rPr/>
      </w:pPr>
      <w:r>
        <w:rPr>
          <w:rStyle w:val="Strong"/>
        </w:rPr>
        <w:t>Feedback from measurement.</w:t>
      </w:r>
      <w:r>
        <w:rPr/>
        <w:br/>
        <w:t>Indicators and classifications can change the behavior they measure, producing gaming, displacement, stigma, or self-fulfilling predictions.</w:t>
      </w:r>
    </w:p>
    <w:p>
      <w:pPr>
        <w:pStyle w:val="BodyText"/>
        <w:numPr>
          <w:ilvl w:val="0"/>
          <w:numId w:val="138"/>
        </w:numPr>
        <w:tabs>
          <w:tab w:val="clear" w:pos="720"/>
          <w:tab w:val="left" w:pos="0" w:leader="none"/>
        </w:tabs>
        <w:spacing w:before="0" w:after="200"/>
        <w:ind w:hanging="283" w:left="709"/>
        <w:rPr/>
      </w:pPr>
      <w:r>
        <w:rPr>
          <w:rStyle w:val="Strong"/>
        </w:rPr>
        <w:t>Changing causal structures.</w:t>
      </w:r>
      <w:r>
        <w:rPr/>
        <w:br/>
        <w:t>Adaptive participants may invalidate models faster than institutional review processes can update them.</w:t>
      </w:r>
    </w:p>
    <w:p>
      <w:pPr>
        <w:pStyle w:val="BodyText"/>
        <w:numPr>
          <w:ilvl w:val="0"/>
          <w:numId w:val="138"/>
        </w:numPr>
        <w:tabs>
          <w:tab w:val="clear" w:pos="720"/>
          <w:tab w:val="left" w:pos="0" w:leader="none"/>
        </w:tabs>
        <w:spacing w:before="0" w:after="200"/>
        <w:ind w:hanging="283" w:left="709"/>
        <w:rPr/>
      </w:pPr>
      <w:r>
        <w:rPr>
          <w:rStyle w:val="Strong"/>
        </w:rPr>
        <w:t>Causal attribution.</w:t>
      </w:r>
      <w:r>
        <w:rPr/>
        <w:br/>
        <w:t>Circular causation and interacting feedback loops make it difficult to determine the marginal contribution of any actor.</w:t>
      </w:r>
    </w:p>
    <w:p>
      <w:pPr>
        <w:pStyle w:val="BodyText"/>
        <w:numPr>
          <w:ilvl w:val="0"/>
          <w:numId w:val="138"/>
        </w:numPr>
        <w:tabs>
          <w:tab w:val="clear" w:pos="720"/>
          <w:tab w:val="left" w:pos="0" w:leader="none"/>
        </w:tabs>
        <w:spacing w:before="0" w:after="200"/>
        <w:ind w:hanging="283" w:left="709"/>
        <w:rPr/>
      </w:pPr>
      <w:r>
        <w:rPr>
          <w:rStyle w:val="Strong"/>
        </w:rPr>
        <w:t>Responsibility gaps.</w:t>
      </w:r>
      <w:r>
        <w:rPr/>
        <w:br/>
        <w:t>Distributed systems can produce material harm without any participant possessing sufficient knowledge or control to prevent it independently.</w:t>
      </w:r>
    </w:p>
    <w:p>
      <w:pPr>
        <w:pStyle w:val="BodyText"/>
        <w:numPr>
          <w:ilvl w:val="0"/>
          <w:numId w:val="138"/>
        </w:numPr>
        <w:tabs>
          <w:tab w:val="clear" w:pos="720"/>
          <w:tab w:val="left" w:pos="0" w:leader="none"/>
        </w:tabs>
        <w:spacing w:before="0" w:after="200"/>
        <w:ind w:hanging="283" w:left="709"/>
        <w:rPr/>
      </w:pPr>
      <w:r>
        <w:rPr>
          <w:rStyle w:val="Strong"/>
        </w:rPr>
        <w:t>Conflicts between system and entity flourishing.</w:t>
      </w:r>
      <w:r>
        <w:rPr/>
        <w:br/>
        <w:t>More explicit criteria are needed for cases in which system viability appears to require significant burdens on particular entities.</w:t>
      </w:r>
    </w:p>
    <w:p>
      <w:pPr>
        <w:pStyle w:val="BodyText"/>
        <w:numPr>
          <w:ilvl w:val="0"/>
          <w:numId w:val="138"/>
        </w:numPr>
        <w:tabs>
          <w:tab w:val="clear" w:pos="720"/>
          <w:tab w:val="left" w:pos="0" w:leader="none"/>
        </w:tabs>
        <w:spacing w:before="0" w:after="200"/>
        <w:ind w:hanging="283" w:left="709"/>
        <w:rPr/>
      </w:pPr>
      <w:r>
        <w:rPr>
          <w:rStyle w:val="Strong"/>
        </w:rPr>
        <w:t>Resilience versus transformation.</w:t>
      </w:r>
      <w:r>
        <w:rPr/>
        <w:br/>
        <w:t>The framework needs methods for deciding whether a stressed system should be stabilized, redesigned, replaced, or dissolved.</w:t>
      </w:r>
    </w:p>
    <w:p>
      <w:pPr>
        <w:pStyle w:val="BodyText"/>
        <w:numPr>
          <w:ilvl w:val="0"/>
          <w:numId w:val="138"/>
        </w:numPr>
        <w:tabs>
          <w:tab w:val="clear" w:pos="720"/>
          <w:tab w:val="left" w:pos="0" w:leader="none"/>
        </w:tabs>
        <w:spacing w:before="0" w:after="200"/>
        <w:ind w:hanging="283" w:left="709"/>
        <w:rPr/>
      </w:pPr>
      <w:r>
        <w:rPr>
          <w:rStyle w:val="Strong"/>
        </w:rPr>
        <w:t>Irreversibility.</w:t>
      </w:r>
      <w:r>
        <w:rPr/>
        <w:br/>
        <w:t>Ecological loss, technological lock-in, institutional collapse, and normalization of harmful practices may not be repairable after experimentation.</w:t>
      </w:r>
    </w:p>
    <w:p>
      <w:pPr>
        <w:pStyle w:val="BodyText"/>
        <w:numPr>
          <w:ilvl w:val="0"/>
          <w:numId w:val="138"/>
        </w:numPr>
        <w:tabs>
          <w:tab w:val="clear" w:pos="720"/>
          <w:tab w:val="left" w:pos="0" w:leader="none"/>
        </w:tabs>
        <w:spacing w:before="0" w:after="200"/>
        <w:ind w:hanging="283" w:left="709"/>
        <w:rPr/>
      </w:pPr>
      <w:r>
        <w:rPr>
          <w:rStyle w:val="Strong"/>
        </w:rPr>
        <w:t>Time-horizon selection.</w:t>
      </w:r>
      <w:r>
        <w:rPr/>
        <w:br/>
        <w:t>Different horizons can reverse an ethical conclusion, yet indefinite analysis is impractical.</w:t>
      </w:r>
    </w:p>
    <w:p>
      <w:pPr>
        <w:pStyle w:val="BodyText"/>
        <w:numPr>
          <w:ilvl w:val="0"/>
          <w:numId w:val="138"/>
        </w:numPr>
        <w:tabs>
          <w:tab w:val="clear" w:pos="720"/>
          <w:tab w:val="left" w:pos="0" w:leader="none"/>
        </w:tabs>
        <w:spacing w:before="0" w:after="200"/>
        <w:ind w:hanging="283" w:left="709"/>
        <w:rPr/>
      </w:pPr>
      <w:r>
        <w:rPr>
          <w:rStyle w:val="Strong"/>
        </w:rPr>
        <w:t>Cross-scale effects.</w:t>
      </w:r>
      <w:r>
        <w:rPr/>
        <w:br/>
        <w:t>An action may be beneficial at the household or organizational level while harmful at the societal or ecological level.</w:t>
      </w:r>
    </w:p>
    <w:p>
      <w:pPr>
        <w:pStyle w:val="BodyText"/>
        <w:numPr>
          <w:ilvl w:val="0"/>
          <w:numId w:val="138"/>
        </w:numPr>
        <w:tabs>
          <w:tab w:val="clear" w:pos="720"/>
          <w:tab w:val="left" w:pos="0" w:leader="none"/>
        </w:tabs>
        <w:spacing w:before="0" w:after="200"/>
        <w:ind w:hanging="283" w:left="709"/>
        <w:rPr/>
      </w:pPr>
      <w:r>
        <w:rPr>
          <w:rStyle w:val="Strong"/>
        </w:rPr>
        <w:t>System traps and competing interventions.</w:t>
      </w:r>
      <w:r>
        <w:rPr/>
        <w:br/>
        <w:t>Different diagnoses may identify different leverage points, and interventions at one point may create new traps elsewhere.</w:t>
      </w:r>
    </w:p>
    <w:p>
      <w:pPr>
        <w:pStyle w:val="BodyText"/>
        <w:numPr>
          <w:ilvl w:val="0"/>
          <w:numId w:val="138"/>
        </w:numPr>
        <w:tabs>
          <w:tab w:val="clear" w:pos="720"/>
          <w:tab w:val="left" w:pos="0" w:leader="none"/>
        </w:tabs>
        <w:spacing w:before="0" w:after="200"/>
        <w:ind w:hanging="283" w:left="709"/>
        <w:rPr/>
      </w:pPr>
      <w:r>
        <w:rPr>
          <w:rStyle w:val="Strong"/>
        </w:rPr>
        <w:t>Limits of autopoiesis.</w:t>
      </w:r>
      <w:r>
        <w:rPr/>
        <w:br/>
        <w:t>The original biological concept should not be extended uncritically to corporations, institutions, software, or artificial agents.</w:t>
      </w:r>
    </w:p>
    <w:p>
      <w:pPr>
        <w:pStyle w:val="BodyText"/>
        <w:numPr>
          <w:ilvl w:val="0"/>
          <w:numId w:val="138"/>
        </w:numPr>
        <w:tabs>
          <w:tab w:val="clear" w:pos="720"/>
          <w:tab w:val="left" w:pos="0" w:leader="none"/>
        </w:tabs>
        <w:spacing w:before="0" w:after="200"/>
        <w:ind w:hanging="283" w:left="709"/>
        <w:rPr/>
      </w:pPr>
      <w:r>
        <w:rPr>
          <w:rStyle w:val="Strong"/>
        </w:rPr>
        <w:t>Status of artificial adaptive systems.</w:t>
      </w:r>
      <w:r>
        <w:rPr/>
        <w:br/>
        <w:t>It remains unsettled when adaptation, self-maintenance, or policy learning gives an artificial system moral relevance beyond its effects on existing moral patients.</w:t>
      </w:r>
    </w:p>
    <w:p>
      <w:pPr>
        <w:pStyle w:val="BodyText"/>
        <w:numPr>
          <w:ilvl w:val="0"/>
          <w:numId w:val="138"/>
        </w:numPr>
        <w:tabs>
          <w:tab w:val="clear" w:pos="720"/>
          <w:tab w:val="left" w:pos="0" w:leader="none"/>
        </w:tabs>
        <w:spacing w:before="0" w:after="200"/>
        <w:ind w:hanging="283" w:left="709"/>
        <w:rPr/>
      </w:pPr>
      <w:r>
        <w:rPr>
          <w:rStyle w:val="Strong"/>
        </w:rPr>
        <w:t>Computational tractability.</w:t>
      </w:r>
      <w:r>
        <w:rPr/>
        <w:br/>
        <w:t>A sufficiently rich World Context may become too complex to model or compare within practical decision timelines.</w:t>
      </w:r>
    </w:p>
    <w:p>
      <w:pPr>
        <w:pStyle w:val="BodyText"/>
        <w:numPr>
          <w:ilvl w:val="0"/>
          <w:numId w:val="138"/>
        </w:numPr>
        <w:tabs>
          <w:tab w:val="clear" w:pos="720"/>
          <w:tab w:val="left" w:pos="0" w:leader="none"/>
        </w:tabs>
        <w:spacing w:before="0" w:after="200"/>
        <w:ind w:hanging="283" w:left="709"/>
        <w:rPr/>
      </w:pPr>
      <w:r>
        <w:rPr>
          <w:rStyle w:val="Strong"/>
        </w:rPr>
        <w:t>Data availability and privacy.</w:t>
      </w:r>
      <w:r>
        <w:rPr/>
        <w:br/>
        <w:t>More comprehensive system analysis may require sensitive information whose collection itself creates ethical risk.</w:t>
      </w:r>
    </w:p>
    <w:p>
      <w:pPr>
        <w:pStyle w:val="BodyText"/>
        <w:numPr>
          <w:ilvl w:val="0"/>
          <w:numId w:val="138"/>
        </w:numPr>
        <w:tabs>
          <w:tab w:val="clear" w:pos="720"/>
          <w:tab w:val="left" w:pos="0" w:leader="none"/>
        </w:tabs>
        <w:spacing w:before="0" w:after="200"/>
        <w:ind w:hanging="283" w:left="709"/>
        <w:rPr/>
      </w:pPr>
      <w:r>
        <w:rPr>
          <w:rStyle w:val="Strong"/>
        </w:rPr>
        <w:t>Institutional capture.</w:t>
      </w:r>
      <w:r>
        <w:rPr/>
        <w:br/>
        <w:t>Organizations may adopt the framework symbolically while controlling its boundaries and metrics to validate existing decisions.</w:t>
      </w:r>
    </w:p>
    <w:p>
      <w:pPr>
        <w:pStyle w:val="BodyText"/>
        <w:numPr>
          <w:ilvl w:val="0"/>
          <w:numId w:val="138"/>
        </w:numPr>
        <w:tabs>
          <w:tab w:val="clear" w:pos="720"/>
          <w:tab w:val="left" w:pos="0" w:leader="none"/>
        </w:tabs>
        <w:spacing w:before="0" w:after="200"/>
        <w:ind w:hanging="283" w:left="709"/>
        <w:rPr/>
      </w:pPr>
      <w:r>
        <w:rPr>
          <w:rStyle w:val="Strong"/>
        </w:rPr>
        <w:t>Analyst incentives.</w:t>
      </w:r>
      <w:r>
        <w:rPr/>
        <w:br/>
        <w:t>Assessors may face pressure to simplify uncertainty, produce favorable conclusions, or exclude politically inconvenient effects.</w:t>
      </w:r>
    </w:p>
    <w:p>
      <w:pPr>
        <w:pStyle w:val="BodyText"/>
        <w:numPr>
          <w:ilvl w:val="0"/>
          <w:numId w:val="138"/>
        </w:numPr>
        <w:tabs>
          <w:tab w:val="clear" w:pos="720"/>
          <w:tab w:val="left" w:pos="0" w:leader="none"/>
        </w:tabs>
        <w:spacing w:before="0" w:after="200"/>
        <w:ind w:hanging="283" w:left="709"/>
        <w:rPr/>
      </w:pPr>
      <w:r>
        <w:rPr>
          <w:rStyle w:val="Strong"/>
        </w:rPr>
        <w:t>Framework-induced behavior.</w:t>
      </w:r>
      <w:r>
        <w:rPr/>
        <w:br/>
        <w:t>Participants may optimize for ethical scores or categories rather than for the underlying flourishing those measures are intended to represent.</w:t>
      </w:r>
    </w:p>
    <w:p>
      <w:pPr>
        <w:pStyle w:val="BodyText"/>
        <w:numPr>
          <w:ilvl w:val="0"/>
          <w:numId w:val="138"/>
        </w:numPr>
        <w:tabs>
          <w:tab w:val="clear" w:pos="720"/>
          <w:tab w:val="left" w:pos="0" w:leader="none"/>
        </w:tabs>
        <w:spacing w:before="0" w:after="200"/>
        <w:ind w:hanging="283" w:left="709"/>
        <w:rPr/>
      </w:pPr>
      <w:r>
        <w:rPr>
          <w:rStyle w:val="Strong"/>
        </w:rPr>
        <w:t>Validation standards.</w:t>
      </w:r>
      <w:r>
        <w:rPr/>
        <w:br/>
        <w:t>The framework needs methods for comparing predicted transitions with observed effects and distinguishing model failure from implementation failure.</w:t>
      </w:r>
    </w:p>
    <w:p>
      <w:pPr>
        <w:pStyle w:val="BodyText"/>
        <w:numPr>
          <w:ilvl w:val="0"/>
          <w:numId w:val="138"/>
        </w:numPr>
        <w:tabs>
          <w:tab w:val="clear" w:pos="720"/>
          <w:tab w:val="left" w:pos="0" w:leader="none"/>
        </w:tabs>
        <w:spacing w:before="0" w:after="200"/>
        <w:ind w:hanging="283" w:left="709"/>
        <w:rPr/>
      </w:pPr>
      <w:r>
        <w:rPr>
          <w:rStyle w:val="Strong"/>
        </w:rPr>
        <w:t>Repair and restitution.</w:t>
      </w:r>
      <w:r>
        <w:rPr/>
        <w:br/>
        <w:t>System redesign does not by itself compensate entities already harmed. Individual and collective repair obligations require further specification.</w:t>
      </w:r>
    </w:p>
    <w:p>
      <w:pPr>
        <w:pStyle w:val="BodyText"/>
        <w:numPr>
          <w:ilvl w:val="0"/>
          <w:numId w:val="138"/>
        </w:numPr>
        <w:tabs>
          <w:tab w:val="clear" w:pos="720"/>
          <w:tab w:val="left" w:pos="0" w:leader="none"/>
        </w:tabs>
        <w:spacing w:before="0" w:after="200"/>
        <w:ind w:hanging="283" w:left="709"/>
        <w:rPr/>
      </w:pPr>
      <w:r>
        <w:rPr>
          <w:rStyle w:val="Strong"/>
        </w:rPr>
        <w:t>Governance of revision.</w:t>
      </w:r>
      <w:r>
        <w:rPr/>
        <w:br/>
        <w:t>It remains necessary to determine who can change the framework’s definitions, thresholds, classifications, and Foundational Axiom interpretations.</w:t>
      </w:r>
    </w:p>
    <w:p>
      <w:pPr>
        <w:pStyle w:val="BodyText"/>
        <w:spacing w:before="0" w:after="200"/>
        <w:rPr/>
      </w:pPr>
      <w:r>
        <w:rPr/>
        <w:t>The Systems Ethics counterargument does not primarily challenge the framework’s commitment to systemic analysis. It challenges the possibility that any systemic analysis can become final, neutral, or self-validating. The appropriate response is to make boundary critique, plural perspectives, uncertainty, participation, feedback, and self-examination permanent parts of the framework rather than optional additions.</w:t>
      </w:r>
    </w:p>
    <w:p>
      <w:pPr>
        <w:pStyle w:val="Heading3"/>
        <w:ind w:hanging="0" w:left="0"/>
        <w:rPr/>
      </w:pPr>
      <w:r>
        <w:rPr/>
        <w:t>Capability Approach</w:t>
      </w:r>
    </w:p>
    <w:p>
      <w:pPr>
        <w:pStyle w:val="BodyText"/>
        <w:spacing w:before="0" w:after="200"/>
        <w:rPr/>
      </w:pPr>
      <w:r>
        <w:rPr/>
        <w:t>A Capability Approach expert may argue that the proposed framework’s definition of Long-Term Flourishing as the preservation and expansion of beneficial future state space is conceptually close to a capability set but remains insufficiently attentive to the difference between theoretical possibilities and substantive freedoms.</w:t>
      </w:r>
    </w:p>
    <w:p>
      <w:pPr>
        <w:pStyle w:val="BodyText"/>
        <w:spacing w:before="0" w:after="200"/>
        <w:rPr/>
      </w:pPr>
      <w:r>
        <w:rPr/>
        <w:t>A state may be physically possible, legally permitted, or represented in a model without being genuinely available to the affected person. A person may receive resources but lack the physical ability, knowledge, safety, time, social acceptance, institutional access, or political power needed to convert those resources into valuable functionings. If the framework counts nominal alternatives as reachable future states, it could substantially overstate flourishing.</w:t>
      </w:r>
    </w:p>
    <w:p>
      <w:pPr>
        <w:pStyle w:val="BodyText"/>
        <w:spacing w:before="0" w:after="200"/>
        <w:rPr/>
      </w:pPr>
      <w:r>
        <w:rPr/>
        <w:t>The framework may also evaluate a favorable World Context Transition without adequately distinguishing:</w:t>
      </w:r>
    </w:p>
    <w:p>
      <w:pPr>
        <w:pStyle w:val="BodyText"/>
        <w:numPr>
          <w:ilvl w:val="0"/>
          <w:numId w:val="143"/>
        </w:numPr>
        <w:tabs>
          <w:tab w:val="clear" w:pos="720"/>
          <w:tab w:val="left" w:pos="0" w:leader="none"/>
        </w:tabs>
        <w:spacing w:before="0" w:after="200"/>
        <w:ind w:hanging="283" w:left="709"/>
        <w:rPr/>
      </w:pPr>
      <w:r>
        <w:rPr/>
        <w:t>Resources from capabilities;</w:t>
      </w:r>
    </w:p>
    <w:p>
      <w:pPr>
        <w:pStyle w:val="BodyText"/>
        <w:numPr>
          <w:ilvl w:val="0"/>
          <w:numId w:val="143"/>
        </w:numPr>
        <w:tabs>
          <w:tab w:val="clear" w:pos="720"/>
          <w:tab w:val="left" w:pos="0" w:leader="none"/>
        </w:tabs>
        <w:spacing w:before="0" w:after="200"/>
        <w:ind w:hanging="283" w:left="709"/>
        <w:rPr/>
      </w:pPr>
      <w:r>
        <w:rPr/>
        <w:t>Capabilities from achieved functionings;</w:t>
      </w:r>
    </w:p>
    <w:p>
      <w:pPr>
        <w:pStyle w:val="BodyText"/>
        <w:numPr>
          <w:ilvl w:val="0"/>
          <w:numId w:val="143"/>
        </w:numPr>
        <w:tabs>
          <w:tab w:val="clear" w:pos="720"/>
          <w:tab w:val="left" w:pos="0" w:leader="none"/>
        </w:tabs>
        <w:spacing w:before="0" w:after="200"/>
        <w:ind w:hanging="283" w:left="709"/>
        <w:rPr/>
      </w:pPr>
      <w:r>
        <w:rPr/>
        <w:t>Voluntary functionings from outcomes produced by constraint;</w:t>
      </w:r>
    </w:p>
    <w:p>
      <w:pPr>
        <w:pStyle w:val="BodyText"/>
        <w:numPr>
          <w:ilvl w:val="0"/>
          <w:numId w:val="143"/>
        </w:numPr>
        <w:tabs>
          <w:tab w:val="clear" w:pos="720"/>
          <w:tab w:val="left" w:pos="0" w:leader="none"/>
        </w:tabs>
        <w:spacing w:before="0" w:after="200"/>
        <w:ind w:hanging="283" w:left="709"/>
        <w:rPr/>
      </w:pPr>
      <w:r>
        <w:rPr/>
        <w:t>Personal well-being from agency;</w:t>
      </w:r>
    </w:p>
    <w:p>
      <w:pPr>
        <w:pStyle w:val="BodyText"/>
        <w:numPr>
          <w:ilvl w:val="0"/>
          <w:numId w:val="143"/>
        </w:numPr>
        <w:tabs>
          <w:tab w:val="clear" w:pos="720"/>
          <w:tab w:val="left" w:pos="0" w:leader="none"/>
        </w:tabs>
        <w:spacing w:before="0" w:after="200"/>
        <w:ind w:hanging="283" w:left="709"/>
        <w:rPr/>
      </w:pPr>
      <w:r>
        <w:rPr/>
        <w:t>Formal permission from effective access;</w:t>
      </w:r>
    </w:p>
    <w:p>
      <w:pPr>
        <w:pStyle w:val="BodyText"/>
        <w:numPr>
          <w:ilvl w:val="0"/>
          <w:numId w:val="143"/>
        </w:numPr>
        <w:tabs>
          <w:tab w:val="clear" w:pos="720"/>
          <w:tab w:val="left" w:pos="0" w:leader="none"/>
        </w:tabs>
        <w:spacing w:before="0" w:after="200"/>
        <w:ind w:hanging="283" w:left="709"/>
        <w:rPr/>
      </w:pPr>
      <w:r>
        <w:rPr/>
        <w:t>Numerous options from valuable options;</w:t>
      </w:r>
    </w:p>
    <w:p>
      <w:pPr>
        <w:pStyle w:val="BodyText"/>
        <w:numPr>
          <w:ilvl w:val="0"/>
          <w:numId w:val="143"/>
        </w:numPr>
        <w:tabs>
          <w:tab w:val="clear" w:pos="720"/>
          <w:tab w:val="left" w:pos="0" w:leader="none"/>
        </w:tabs>
        <w:spacing w:before="0" w:after="200"/>
        <w:ind w:hanging="283" w:left="709"/>
        <w:rPr/>
      </w:pPr>
      <w:r>
        <w:rPr/>
        <w:t>Temporary opportunity from securely available capability; and</w:t>
      </w:r>
    </w:p>
    <w:p>
      <w:pPr>
        <w:pStyle w:val="BodyText"/>
        <w:numPr>
          <w:ilvl w:val="0"/>
          <w:numId w:val="143"/>
        </w:numPr>
        <w:tabs>
          <w:tab w:val="clear" w:pos="720"/>
          <w:tab w:val="left" w:pos="0" w:leader="none"/>
        </w:tabs>
        <w:spacing w:before="0" w:after="200"/>
        <w:ind w:hanging="283" w:left="709"/>
        <w:rPr/>
      </w:pPr>
      <w:r>
        <w:rPr/>
        <w:t>Stated preference from preference formed under deprivation or oppression.</w:t>
      </w:r>
    </w:p>
    <w:p>
      <w:pPr>
        <w:pStyle w:val="BodyText"/>
        <w:spacing w:before="0" w:after="200"/>
        <w:rPr/>
      </w:pPr>
      <w:r>
        <w:rPr/>
        <w:t>A Capability Approach expert may further question who decides which future states are “beneficial.” If designers, institutions, algorithms, or experts determine beneficial states without public reasoning and meaningful participation by affected persons, the framework may become paternalistic. It could expand opportunities that authorities consider valuable while ignoring the forms of life that people themselves have reason to value.</w:t>
      </w:r>
    </w:p>
    <w:p>
      <w:pPr>
        <w:pStyle w:val="BodyText"/>
        <w:spacing w:before="0" w:after="200"/>
        <w:rPr/>
      </w:pPr>
      <w:r>
        <w:rPr/>
        <w:t>Conversely, relying uncritically on expressed preferences also creates problems. People living under persistent deprivation may adapt their expectations to constrained circumstances. A person may report satisfaction with limited education, unsafe work, political exclusion, or unequal treatment because alternatives have never been available. The framework must therefore respect agency without treating every existing preference as authoritative evidence of flourishing.</w:t>
      </w:r>
    </w:p>
    <w:p>
      <w:pPr>
        <w:pStyle w:val="BodyText"/>
        <w:spacing w:before="0" w:after="200"/>
        <w:rPr/>
      </w:pPr>
      <w:r>
        <w:rPr/>
        <w:t>There is also a distributive concern. A favorable aggregate transition may expand the capabilities of already powerful entities while leaving some persons below minimum thresholds of health, bodily integrity, affiliation, education, or political control. If gains to institutions, populations, or artificial systems compensate for severe losses imposed on particular persons, the framework would conflict with the Capability Approach’s focus on what each person is actually able to do and be.</w:t>
      </w:r>
    </w:p>
    <w:p>
      <w:pPr>
        <w:pStyle w:val="BodyText"/>
        <w:spacing w:before="0" w:after="200"/>
        <w:rPr/>
      </w:pPr>
      <w:r>
        <w:rPr/>
        <w:t>The questioning argument can therefore be stated as follows:</w:t>
      </w:r>
    </w:p>
    <w:p>
      <w:pPr>
        <w:pStyle w:val="BlockQuotation"/>
        <w:spacing w:before="0" w:after="200"/>
        <w:rPr/>
      </w:pPr>
      <w:r>
        <w:rPr/>
        <w:t>Does the proposed framework evaluate genuine capabilities, or does it risk treating resources, formal permissions, predicted outcomes, and nominal options as evidence of flourishing? Who determines which future states are beneficial, how are personal and social conversion factors represented, and what prevents aggregate system improvement from concealing severe capability deprivation among particular persons?</w:t>
      </w:r>
    </w:p>
    <w:p>
      <w:pPr>
        <w:pStyle w:val="BodyText"/>
        <w:spacing w:before="0" w:after="200"/>
        <w:rPr/>
      </w:pPr>
      <w:r>
        <w:rPr/>
        <w:t xml:space="preserve">The Capability Approach’s focus on substantive freedom rather than resources, satisfaction, or formal access is summarized by the </w:t>
      </w:r>
      <w:hyperlink r:id="rId248">
        <w:r>
          <w:rPr>
            <w:rStyle w:val="Hyperlink"/>
          </w:rPr>
          <w:t>Stanford Encyclopedia of Philosophy</w:t>
        </w:r>
      </w:hyperlink>
      <w:r>
        <w:rPr/>
        <w:t xml:space="preserve"> and the </w:t>
      </w:r>
      <w:hyperlink r:id="rId249">
        <w:r>
          <w:rPr>
            <w:rStyle w:val="Hyperlink"/>
          </w:rPr>
          <w:t>Internet Encyclopedia of Philosophy</w:t>
        </w:r>
      </w:hyperlink>
      <w:r>
        <w:rPr/>
        <w:t>.</w:t>
      </w:r>
    </w:p>
    <w:p>
      <w:pPr>
        <w:pStyle w:val="Heading4"/>
        <w:ind w:hanging="0" w:left="0"/>
        <w:rPr>
          <w:rFonts w:ascii="Aptos" w:hAnsi="Aptos"/>
          <w:color w:val="auto"/>
        </w:rPr>
      </w:pPr>
      <w:r>
        <w:rPr/>
        <w:t>Assumptions within the ethical model relevant to the questioning argument</w:t>
      </w:r>
    </w:p>
    <w:p>
      <w:pPr>
        <w:pStyle w:val="BodyText"/>
        <w:numPr>
          <w:ilvl w:val="0"/>
          <w:numId w:val="144"/>
        </w:numPr>
        <w:tabs>
          <w:tab w:val="clear" w:pos="720"/>
          <w:tab w:val="left" w:pos="0" w:leader="none"/>
        </w:tabs>
        <w:spacing w:before="0" w:after="200"/>
        <w:ind w:hanging="283" w:left="709"/>
        <w:rPr/>
      </w:pPr>
      <w:r>
        <w:rPr>
          <w:rStyle w:val="Strong"/>
        </w:rPr>
        <w:t>Capabilities and functionings are distinct.</w:t>
      </w:r>
      <w:r>
        <w:rPr/>
        <w:br/>
        <w:t>A functioning is an achieved state or activity. A capability is the real opportunity to achieve that functioning.</w:t>
      </w:r>
    </w:p>
    <w:p>
      <w:pPr>
        <w:pStyle w:val="BodyText"/>
        <w:numPr>
          <w:ilvl w:val="0"/>
          <w:numId w:val="144"/>
        </w:numPr>
        <w:tabs>
          <w:tab w:val="clear" w:pos="720"/>
          <w:tab w:val="left" w:pos="0" w:leader="none"/>
        </w:tabs>
        <w:spacing w:before="0" w:after="200"/>
        <w:ind w:hanging="283" w:left="709"/>
        <w:rPr/>
      </w:pPr>
      <w:r>
        <w:rPr>
          <w:rStyle w:val="Strong"/>
        </w:rPr>
        <w:t>Capability sets matter independently of achieved outcomes.</w:t>
      </w:r>
      <w:r>
        <w:rPr/>
        <w:br/>
        <w:t>Two people may display the same functioning while possessing radically different alternatives. The ethical difference between fasting and involuntary hunger illustrates why observable outcomes are not sufficient.</w:t>
      </w:r>
    </w:p>
    <w:p>
      <w:pPr>
        <w:pStyle w:val="BodyText"/>
        <w:numPr>
          <w:ilvl w:val="0"/>
          <w:numId w:val="144"/>
        </w:numPr>
        <w:tabs>
          <w:tab w:val="clear" w:pos="720"/>
          <w:tab w:val="left" w:pos="0" w:leader="none"/>
        </w:tabs>
        <w:spacing w:before="0" w:after="200"/>
        <w:ind w:hanging="283" w:left="709"/>
        <w:rPr/>
      </w:pPr>
      <w:r>
        <w:rPr>
          <w:rStyle w:val="Strong"/>
        </w:rPr>
        <w:t>Substantive freedom is more than formal permission.</w:t>
      </w:r>
      <w:r>
        <w:rPr/>
        <w:br/>
        <w:t>A person possesses a capability only when the relevant option is realistically usable.</w:t>
      </w:r>
    </w:p>
    <w:p>
      <w:pPr>
        <w:pStyle w:val="BodyText"/>
        <w:numPr>
          <w:ilvl w:val="0"/>
          <w:numId w:val="144"/>
        </w:numPr>
        <w:tabs>
          <w:tab w:val="clear" w:pos="720"/>
          <w:tab w:val="left" w:pos="0" w:leader="none"/>
        </w:tabs>
        <w:spacing w:before="0" w:after="200"/>
        <w:ind w:hanging="283" w:left="709"/>
        <w:rPr/>
      </w:pPr>
      <w:r>
        <w:rPr>
          <w:rStyle w:val="Strong"/>
        </w:rPr>
        <w:t>Resources are means rather than final indicators of advantage.</w:t>
      </w:r>
      <w:r>
        <w:rPr/>
        <w:br/>
        <w:t>Income, services, technology, infrastructure, and legal rights matter because of the capabilities they help create.</w:t>
      </w:r>
    </w:p>
    <w:p>
      <w:pPr>
        <w:pStyle w:val="BodyText"/>
        <w:numPr>
          <w:ilvl w:val="0"/>
          <w:numId w:val="144"/>
        </w:numPr>
        <w:tabs>
          <w:tab w:val="clear" w:pos="720"/>
          <w:tab w:val="left" w:pos="0" w:leader="none"/>
        </w:tabs>
        <w:spacing w:before="0" w:after="200"/>
        <w:ind w:hanging="283" w:left="709"/>
        <w:rPr/>
      </w:pPr>
      <w:r>
        <w:rPr>
          <w:rStyle w:val="Strong"/>
        </w:rPr>
        <w:t>Conversion factors determine what resources make possible.</w:t>
      </w:r>
      <w:r>
        <w:rPr/>
        <w:br/>
        <w:t>Personal, social, institutional, environmental, technological, and relational conditions affect whether a resource can be converted into a valuable functioning.</w:t>
      </w:r>
    </w:p>
    <w:p>
      <w:pPr>
        <w:pStyle w:val="BodyText"/>
        <w:numPr>
          <w:ilvl w:val="0"/>
          <w:numId w:val="144"/>
        </w:numPr>
        <w:tabs>
          <w:tab w:val="clear" w:pos="720"/>
          <w:tab w:val="left" w:pos="0" w:leader="none"/>
        </w:tabs>
        <w:spacing w:before="0" w:after="200"/>
        <w:ind w:hanging="283" w:left="709"/>
        <w:rPr/>
      </w:pPr>
      <w:r>
        <w:rPr>
          <w:rStyle w:val="Strong"/>
        </w:rPr>
        <w:t>Human diversity is ethically central.</w:t>
      </w:r>
      <w:r>
        <w:rPr/>
        <w:br/>
        <w:t>Age, health, disability, location, gender, social position, discrimination, knowledge, and caregiving responsibilities can make equal resources produce unequal capabilities.</w:t>
      </w:r>
    </w:p>
    <w:p>
      <w:pPr>
        <w:pStyle w:val="BodyText"/>
        <w:numPr>
          <w:ilvl w:val="0"/>
          <w:numId w:val="144"/>
        </w:numPr>
        <w:tabs>
          <w:tab w:val="clear" w:pos="720"/>
          <w:tab w:val="left" w:pos="0" w:leader="none"/>
        </w:tabs>
        <w:spacing w:before="0" w:after="200"/>
        <w:ind w:hanging="283" w:left="709"/>
        <w:rPr/>
      </w:pPr>
      <w:r>
        <w:rPr>
          <w:rStyle w:val="Strong"/>
        </w:rPr>
        <w:t>Well-being and agency are distinct.</w:t>
      </w:r>
      <w:r>
        <w:rPr/>
        <w:br/>
        <w:t>A person may pursue objectives that do not maximize personal welfare, including caregiving, political participation, artistic activity, or concern for others.</w:t>
      </w:r>
    </w:p>
    <w:p>
      <w:pPr>
        <w:pStyle w:val="BodyText"/>
        <w:numPr>
          <w:ilvl w:val="0"/>
          <w:numId w:val="144"/>
        </w:numPr>
        <w:tabs>
          <w:tab w:val="clear" w:pos="720"/>
          <w:tab w:val="left" w:pos="0" w:leader="none"/>
        </w:tabs>
        <w:spacing w:before="0" w:after="200"/>
        <w:ind w:hanging="283" w:left="709"/>
        <w:rPr/>
      </w:pPr>
      <w:r>
        <w:rPr>
          <w:rStyle w:val="Strong"/>
        </w:rPr>
        <w:t>Agency includes the power to participate in shaping one’s environment.</w:t>
      </w:r>
      <w:r>
        <w:rPr/>
        <w:br/>
        <w:t>Persons should not be treated only as recipients of welfare. They should be able to contribute to decisions affecting their lives.</w:t>
      </w:r>
    </w:p>
    <w:p>
      <w:pPr>
        <w:pStyle w:val="BodyText"/>
        <w:numPr>
          <w:ilvl w:val="0"/>
          <w:numId w:val="144"/>
        </w:numPr>
        <w:tabs>
          <w:tab w:val="clear" w:pos="720"/>
          <w:tab w:val="left" w:pos="0" w:leader="none"/>
        </w:tabs>
        <w:spacing w:before="0" w:after="200"/>
        <w:ind w:hanging="283" w:left="709"/>
        <w:rPr/>
      </w:pPr>
      <w:r>
        <w:rPr>
          <w:rStyle w:val="Strong"/>
        </w:rPr>
        <w:t>Process freedom and opportunity freedom are both important.</w:t>
      </w:r>
      <w:r>
        <w:rPr/>
        <w:br/>
        <w:t>Ethical evaluation concerns both the options available and whether decisions are made through noncoercive, informed, and participatory processes.</w:t>
      </w:r>
    </w:p>
    <w:p>
      <w:pPr>
        <w:pStyle w:val="BodyText"/>
        <w:numPr>
          <w:ilvl w:val="0"/>
          <w:numId w:val="144"/>
        </w:numPr>
        <w:tabs>
          <w:tab w:val="clear" w:pos="720"/>
          <w:tab w:val="left" w:pos="0" w:leader="none"/>
        </w:tabs>
        <w:spacing w:before="0" w:after="200"/>
        <w:ind w:hanging="283" w:left="709"/>
        <w:rPr/>
      </w:pPr>
      <w:r>
        <w:rPr>
          <w:rStyle w:val="Strong"/>
        </w:rPr>
        <w:t>Choice must be meaningful.</w:t>
      </w:r>
      <w:r>
        <w:rPr/>
        <w:br/>
        <w:t>An option is not a genuine capability when exercising it requires unacceptable danger, humiliation, sacrifice, or dependence.</w:t>
      </w:r>
    </w:p>
    <w:p>
      <w:pPr>
        <w:pStyle w:val="BodyText"/>
        <w:numPr>
          <w:ilvl w:val="0"/>
          <w:numId w:val="144"/>
        </w:numPr>
        <w:tabs>
          <w:tab w:val="clear" w:pos="720"/>
          <w:tab w:val="left" w:pos="0" w:leader="none"/>
        </w:tabs>
        <w:spacing w:before="0" w:after="200"/>
        <w:ind w:hanging="283" w:left="709"/>
        <w:rPr/>
      </w:pPr>
      <w:r>
        <w:rPr>
          <w:rStyle w:val="Strong"/>
        </w:rPr>
        <w:t>More options do not necessarily mean greater capability.</w:t>
      </w:r>
      <w:r>
        <w:rPr/>
        <w:br/>
        <w:t>Options must be valuable, distinguishable, accessible, and compatible with dignity. Numerous trivial or deceptive alternatives may add little substantive freedom.</w:t>
      </w:r>
    </w:p>
    <w:p>
      <w:pPr>
        <w:pStyle w:val="BodyText"/>
        <w:numPr>
          <w:ilvl w:val="0"/>
          <w:numId w:val="144"/>
        </w:numPr>
        <w:tabs>
          <w:tab w:val="clear" w:pos="720"/>
          <w:tab w:val="left" w:pos="0" w:leader="none"/>
        </w:tabs>
        <w:spacing w:before="0" w:after="200"/>
        <w:ind w:hanging="283" w:left="709"/>
        <w:rPr/>
      </w:pPr>
      <w:r>
        <w:rPr>
          <w:rStyle w:val="Strong"/>
        </w:rPr>
        <w:t>Adaptive preferences complicate reliance on subjective reports.</w:t>
      </w:r>
      <w:r>
        <w:rPr/>
        <w:br/>
        <w:t>Persistent deprivation may lead people to reduce expectations or internalize unjust limitations.</w:t>
      </w:r>
    </w:p>
    <w:p>
      <w:pPr>
        <w:pStyle w:val="BodyText"/>
        <w:numPr>
          <w:ilvl w:val="0"/>
          <w:numId w:val="144"/>
        </w:numPr>
        <w:tabs>
          <w:tab w:val="clear" w:pos="720"/>
          <w:tab w:val="left" w:pos="0" w:leader="none"/>
        </w:tabs>
        <w:spacing w:before="0" w:after="200"/>
        <w:ind w:hanging="283" w:left="709"/>
        <w:rPr/>
      </w:pPr>
      <w:r>
        <w:rPr>
          <w:rStyle w:val="Strong"/>
        </w:rPr>
        <w:t>Adaptive-preference analysis does not automatically justify paternalism.</w:t>
      </w:r>
      <w:r>
        <w:rPr/>
        <w:br/>
        <w:t>The appropriate response is usually to expand secure, informed alternatives and opportunities for reflection—not simply to override the person’s expressed values.</w:t>
      </w:r>
    </w:p>
    <w:p>
      <w:pPr>
        <w:pStyle w:val="BodyText"/>
        <w:numPr>
          <w:ilvl w:val="0"/>
          <w:numId w:val="144"/>
        </w:numPr>
        <w:tabs>
          <w:tab w:val="clear" w:pos="720"/>
          <w:tab w:val="left" w:pos="0" w:leader="none"/>
        </w:tabs>
        <w:spacing w:before="0" w:after="200"/>
        <w:ind w:hanging="283" w:left="709"/>
        <w:rPr/>
      </w:pPr>
      <w:r>
        <w:rPr>
          <w:rStyle w:val="Strong"/>
        </w:rPr>
        <w:t>Well-being is multidimensional.</w:t>
      </w:r>
      <w:r>
        <w:rPr/>
        <w:br/>
        <w:t>Health, bodily integrity, education, affiliation, practical reason, political voice, emotional development, play, and environmental relationship cannot be reduced to one resource or feeling.</w:t>
      </w:r>
    </w:p>
    <w:p>
      <w:pPr>
        <w:pStyle w:val="BodyText"/>
        <w:numPr>
          <w:ilvl w:val="0"/>
          <w:numId w:val="144"/>
        </w:numPr>
        <w:tabs>
          <w:tab w:val="clear" w:pos="720"/>
          <w:tab w:val="left" w:pos="0" w:leader="none"/>
        </w:tabs>
        <w:spacing w:before="0" w:after="200"/>
        <w:ind w:hanging="283" w:left="709"/>
        <w:rPr/>
      </w:pPr>
      <w:r>
        <w:rPr>
          <w:rStyle w:val="Strong"/>
        </w:rPr>
        <w:t>Each person should be treated as an end.</w:t>
      </w:r>
      <w:r>
        <w:rPr/>
        <w:br/>
        <w:t>Nussbaum’s theory emphasizes that capabilities should be secured for each person, not merely for families, institutions, or populations considered as aggregate units.</w:t>
      </w:r>
    </w:p>
    <w:p>
      <w:pPr>
        <w:pStyle w:val="BodyText"/>
        <w:numPr>
          <w:ilvl w:val="0"/>
          <w:numId w:val="144"/>
        </w:numPr>
        <w:tabs>
          <w:tab w:val="clear" w:pos="720"/>
          <w:tab w:val="left" w:pos="0" w:leader="none"/>
        </w:tabs>
        <w:spacing w:before="0" w:after="200"/>
        <w:ind w:hanging="283" w:left="709"/>
        <w:rPr/>
      </w:pPr>
      <w:r>
        <w:rPr>
          <w:rStyle w:val="Strong"/>
        </w:rPr>
        <w:t>Some capability deprivations may be noncompensable.</w:t>
      </w:r>
      <w:r>
        <w:rPr/>
        <w:br/>
        <w:t>Severe losses of life, bodily integrity, political freedom, or practical reason should not necessarily be offset by unrelated gains.</w:t>
      </w:r>
    </w:p>
    <w:p>
      <w:pPr>
        <w:pStyle w:val="BodyText"/>
        <w:numPr>
          <w:ilvl w:val="0"/>
          <w:numId w:val="144"/>
        </w:numPr>
        <w:tabs>
          <w:tab w:val="clear" w:pos="720"/>
          <w:tab w:val="left" w:pos="0" w:leader="none"/>
        </w:tabs>
        <w:spacing w:before="0" w:after="200"/>
        <w:ind w:hanging="283" w:left="709"/>
        <w:rPr/>
      </w:pPr>
      <w:r>
        <w:rPr>
          <w:rStyle w:val="Strong"/>
        </w:rPr>
        <w:t>Capability thresholds may establish minimum conditions of justice.</w:t>
      </w:r>
      <w:r>
        <w:rPr/>
        <w:br/>
        <w:t>Nussbaum’s account requires political institutions to secure central capabilities above an appropriate threshold.</w:t>
      </w:r>
    </w:p>
    <w:p>
      <w:pPr>
        <w:pStyle w:val="BodyText"/>
        <w:numPr>
          <w:ilvl w:val="0"/>
          <w:numId w:val="144"/>
        </w:numPr>
        <w:tabs>
          <w:tab w:val="clear" w:pos="720"/>
          <w:tab w:val="left" w:pos="0" w:leader="none"/>
        </w:tabs>
        <w:spacing w:before="0" w:after="200"/>
        <w:ind w:hanging="283" w:left="709"/>
        <w:rPr/>
      </w:pPr>
      <w:r>
        <w:rPr>
          <w:rStyle w:val="Strong"/>
        </w:rPr>
        <w:t>Capability selection requires public justification.</w:t>
      </w:r>
      <w:r>
        <w:rPr/>
        <w:br/>
        <w:t>Sen emphasizes public reasoning rather than prescribing one final universal list for every application.</w:t>
      </w:r>
    </w:p>
    <w:p>
      <w:pPr>
        <w:pStyle w:val="BodyText"/>
        <w:numPr>
          <w:ilvl w:val="0"/>
          <w:numId w:val="144"/>
        </w:numPr>
        <w:tabs>
          <w:tab w:val="clear" w:pos="720"/>
          <w:tab w:val="left" w:pos="0" w:leader="none"/>
        </w:tabs>
        <w:spacing w:before="0" w:after="200"/>
        <w:ind w:hanging="283" w:left="709"/>
        <w:rPr/>
      </w:pPr>
      <w:r>
        <w:rPr>
          <w:rStyle w:val="Strong"/>
        </w:rPr>
        <w:t>Capability weights are ethical judgments.</w:t>
      </w:r>
      <w:r>
        <w:rPr/>
        <w:br/>
        <w:t>The relative importance of health, education, affiliation, agency, and other dimensions cannot be determined purely through technical calculation.</w:t>
      </w:r>
    </w:p>
    <w:p>
      <w:pPr>
        <w:pStyle w:val="BodyText"/>
        <w:numPr>
          <w:ilvl w:val="0"/>
          <w:numId w:val="144"/>
        </w:numPr>
        <w:tabs>
          <w:tab w:val="clear" w:pos="720"/>
          <w:tab w:val="left" w:pos="0" w:leader="none"/>
        </w:tabs>
        <w:spacing w:before="0" w:after="200"/>
        <w:ind w:hanging="283" w:left="709"/>
        <w:rPr/>
      </w:pPr>
      <w:r>
        <w:rPr>
          <w:rStyle w:val="Strong"/>
        </w:rPr>
        <w:t>Collective and relational conditions produce individual capabilities.</w:t>
      </w:r>
      <w:r>
        <w:rPr/>
        <w:br/>
        <w:t>Many capabilities depend on families, communities, institutions, infrastructure, ecological systems, and political arrangements.</w:t>
      </w:r>
    </w:p>
    <w:p>
      <w:pPr>
        <w:pStyle w:val="BodyText"/>
        <w:numPr>
          <w:ilvl w:val="0"/>
          <w:numId w:val="144"/>
        </w:numPr>
        <w:tabs>
          <w:tab w:val="clear" w:pos="720"/>
          <w:tab w:val="left" w:pos="0" w:leader="none"/>
        </w:tabs>
        <w:spacing w:before="0" w:after="200"/>
        <w:ind w:hanging="283" w:left="709"/>
        <w:rPr/>
      </w:pPr>
      <w:r>
        <w:rPr>
          <w:rStyle w:val="Strong"/>
        </w:rPr>
        <w:t>Capability security matters.</w:t>
      </w:r>
      <w:r>
        <w:rPr/>
        <w:br/>
        <w:t>A valuable option that is temporary, revocable, or dependent on arbitrary authority does not provide the same freedom as a stable and protected capability.</w:t>
      </w:r>
    </w:p>
    <w:p>
      <w:pPr>
        <w:pStyle w:val="BodyText"/>
        <w:numPr>
          <w:ilvl w:val="0"/>
          <w:numId w:val="144"/>
        </w:numPr>
        <w:tabs>
          <w:tab w:val="clear" w:pos="720"/>
          <w:tab w:val="left" w:pos="0" w:leader="none"/>
        </w:tabs>
        <w:spacing w:before="0" w:after="200"/>
        <w:ind w:hanging="283" w:left="709"/>
        <w:rPr/>
      </w:pPr>
      <w:r>
        <w:rPr>
          <w:rStyle w:val="Strong"/>
        </w:rPr>
        <w:t>Actual functionings may sometimes require direct attention.</w:t>
      </w:r>
      <w:r>
        <w:rPr/>
        <w:br/>
        <w:t>Children, severely impaired persons, coerced individuals, and people facing urgent survival needs may require protection of achieved functionings in addition to preservation of choice.</w:t>
      </w:r>
    </w:p>
    <w:p>
      <w:pPr>
        <w:pStyle w:val="BodyText"/>
        <w:numPr>
          <w:ilvl w:val="0"/>
          <w:numId w:val="144"/>
        </w:numPr>
        <w:tabs>
          <w:tab w:val="clear" w:pos="720"/>
          <w:tab w:val="left" w:pos="0" w:leader="none"/>
        </w:tabs>
        <w:spacing w:before="0" w:after="200"/>
        <w:ind w:hanging="283" w:left="709"/>
        <w:rPr/>
      </w:pPr>
      <w:r>
        <w:rPr>
          <w:rStyle w:val="Strong"/>
        </w:rPr>
        <w:t>Capability deprivation can exist amid apparent success.</w:t>
      </w:r>
      <w:r>
        <w:rPr/>
        <w:br/>
        <w:t>Employment, school enrollment, legal citizenship, or access to technology may conceal coercion, poor quality, inaccessibility, or lack of meaningful alternatives.</w:t>
      </w:r>
    </w:p>
    <w:p>
      <w:pPr>
        <w:pStyle w:val="BodyText"/>
        <w:numPr>
          <w:ilvl w:val="0"/>
          <w:numId w:val="144"/>
        </w:numPr>
        <w:tabs>
          <w:tab w:val="clear" w:pos="720"/>
          <w:tab w:val="left" w:pos="0" w:leader="none"/>
        </w:tabs>
        <w:spacing w:before="0" w:after="200"/>
        <w:ind w:hanging="283" w:left="709"/>
        <w:rPr/>
      </w:pPr>
      <w:r>
        <w:rPr>
          <w:rStyle w:val="Strong"/>
        </w:rPr>
        <w:t>Development concerns expansion of valuable freedoms.</w:t>
      </w:r>
      <w:r>
        <w:rPr/>
        <w:br/>
        <w:t>Economic growth, technological capability, and institutional power are not final ethical objectives unless they expand defensible capabilities.</w:t>
      </w:r>
    </w:p>
    <w:p>
      <w:pPr>
        <w:pStyle w:val="BodyText"/>
        <w:numPr>
          <w:ilvl w:val="0"/>
          <w:numId w:val="144"/>
        </w:numPr>
        <w:tabs>
          <w:tab w:val="clear" w:pos="720"/>
          <w:tab w:val="left" w:pos="0" w:leader="none"/>
        </w:tabs>
        <w:spacing w:before="0" w:after="200"/>
        <w:ind w:hanging="283" w:left="709"/>
        <w:rPr/>
      </w:pPr>
      <w:r>
        <w:rPr>
          <w:rStyle w:val="Strong"/>
        </w:rPr>
        <w:t>The Capability Approach is incomplete by design.</w:t>
      </w:r>
      <w:r>
        <w:rPr/>
        <w:br/>
        <w:t>Sen’s approach identifies an evaluative space but does not by itself supply a complete theory of justice, capability list, weighting system, or implementation method.</w:t>
      </w:r>
    </w:p>
    <w:p>
      <w:pPr>
        <w:pStyle w:val="Heading4"/>
        <w:ind w:hanging="0" w:left="0"/>
        <w:rPr>
          <w:rFonts w:ascii="Aptos" w:hAnsi="Aptos"/>
          <w:color w:val="auto"/>
        </w:rPr>
      </w:pPr>
      <w:r>
        <w:rPr/>
        <w:t>Concepts incorporated from this ethical model</w:t>
      </w:r>
    </w:p>
    <w:tbl>
      <w:tblPr>
        <w:tblW w:w="8640" w:type="dxa"/>
        <w:jc w:val="left"/>
        <w:tblInd w:w="28" w:type="dxa"/>
        <w:tblLayout w:type="fixed"/>
        <w:tblCellMar>
          <w:top w:w="28" w:type="dxa"/>
          <w:left w:w="28" w:type="dxa"/>
          <w:bottom w:w="28" w:type="dxa"/>
          <w:right w:w="28" w:type="dxa"/>
        </w:tblCellMar>
      </w:tblPr>
      <w:tblGrid>
        <w:gridCol w:w="2706"/>
        <w:gridCol w:w="5934"/>
      </w:tblGrid>
      <w:tr>
        <w:trPr>
          <w:tblHeader w:val="true"/>
        </w:trPr>
        <w:tc>
          <w:tcPr>
            <w:tcW w:w="2706" w:type="dxa"/>
            <w:tcBorders/>
            <w:vAlign w:val="center"/>
          </w:tcPr>
          <w:p>
            <w:pPr>
              <w:pStyle w:val="TableHeading"/>
              <w:suppressLineNumbers/>
              <w:spacing w:before="0" w:after="200"/>
              <w:jc w:val="center"/>
              <w:rPr/>
            </w:pPr>
            <w:r>
              <w:rPr/>
              <w:t>Capability concept</w:t>
            </w:r>
          </w:p>
        </w:tc>
        <w:tc>
          <w:tcPr>
            <w:tcW w:w="5934" w:type="dxa"/>
            <w:tcBorders/>
            <w:vAlign w:val="center"/>
          </w:tcPr>
          <w:p>
            <w:pPr>
              <w:pStyle w:val="TableHeading"/>
              <w:suppressLineNumbers/>
              <w:spacing w:before="0" w:after="200"/>
              <w:jc w:val="center"/>
              <w:rPr/>
            </w:pPr>
            <w:r>
              <w:rPr/>
              <w:t>Incorporation or adaptation</w:t>
            </w:r>
          </w:p>
        </w:tc>
      </w:tr>
      <w:tr>
        <w:trPr/>
        <w:tc>
          <w:tcPr>
            <w:tcW w:w="2706" w:type="dxa"/>
            <w:tcBorders/>
            <w:vAlign w:val="center"/>
          </w:tcPr>
          <w:p>
            <w:pPr>
              <w:pStyle w:val="TableContents"/>
              <w:widowControl w:val="false"/>
              <w:suppressLineNumbers/>
              <w:spacing w:before="0" w:after="200"/>
              <w:rPr/>
            </w:pPr>
            <w:r>
              <w:rPr>
                <w:rStyle w:val="Strong"/>
              </w:rPr>
              <w:t>Functionings</w:t>
            </w:r>
          </w:p>
        </w:tc>
        <w:tc>
          <w:tcPr>
            <w:tcW w:w="5934" w:type="dxa"/>
            <w:tcBorders/>
            <w:vAlign w:val="center"/>
          </w:tcPr>
          <w:p>
            <w:pPr>
              <w:pStyle w:val="TableContents"/>
              <w:widowControl w:val="false"/>
              <w:suppressLineNumbers/>
              <w:spacing w:before="0" w:after="200"/>
              <w:rPr/>
            </w:pPr>
            <w:r>
              <w:rPr/>
              <w:t>Actual beings, doings, states, and activities represented in the World Context</w:t>
            </w:r>
          </w:p>
        </w:tc>
      </w:tr>
      <w:tr>
        <w:trPr/>
        <w:tc>
          <w:tcPr>
            <w:tcW w:w="2706" w:type="dxa"/>
            <w:tcBorders/>
            <w:vAlign w:val="center"/>
          </w:tcPr>
          <w:p>
            <w:pPr>
              <w:pStyle w:val="TableContents"/>
              <w:widowControl w:val="false"/>
              <w:suppressLineNumbers/>
              <w:spacing w:before="0" w:after="200"/>
              <w:rPr/>
            </w:pPr>
            <w:r>
              <w:rPr>
                <w:rStyle w:val="Strong"/>
              </w:rPr>
              <w:t>Capabilities</w:t>
            </w:r>
          </w:p>
        </w:tc>
        <w:tc>
          <w:tcPr>
            <w:tcW w:w="5934" w:type="dxa"/>
            <w:tcBorders/>
            <w:vAlign w:val="center"/>
          </w:tcPr>
          <w:p>
            <w:pPr>
              <w:pStyle w:val="TableContents"/>
              <w:widowControl w:val="false"/>
              <w:suppressLineNumbers/>
              <w:spacing w:before="0" w:after="200"/>
              <w:rPr/>
            </w:pPr>
            <w:r>
              <w:rPr/>
              <w:t>Valuable and realistically reachable future states or activities</w:t>
            </w:r>
          </w:p>
        </w:tc>
      </w:tr>
      <w:tr>
        <w:trPr/>
        <w:tc>
          <w:tcPr>
            <w:tcW w:w="2706" w:type="dxa"/>
            <w:tcBorders/>
            <w:vAlign w:val="center"/>
          </w:tcPr>
          <w:p>
            <w:pPr>
              <w:pStyle w:val="TableContents"/>
              <w:widowControl w:val="false"/>
              <w:suppressLineNumbers/>
              <w:spacing w:before="0" w:after="200"/>
              <w:rPr/>
            </w:pPr>
            <w:r>
              <w:rPr>
                <w:rStyle w:val="Strong"/>
              </w:rPr>
              <w:t>Capability set</w:t>
            </w:r>
          </w:p>
        </w:tc>
        <w:tc>
          <w:tcPr>
            <w:tcW w:w="5934" w:type="dxa"/>
            <w:tcBorders/>
            <w:vAlign w:val="center"/>
          </w:tcPr>
          <w:p>
            <w:pPr>
              <w:pStyle w:val="TableContents"/>
              <w:widowControl w:val="false"/>
              <w:suppressLineNumbers/>
              <w:spacing w:before="0" w:after="200"/>
              <w:rPr/>
            </w:pPr>
            <w:r>
              <w:rPr/>
              <w:t>The set of beneficial future states genuinely available to an entity</w:t>
            </w:r>
          </w:p>
        </w:tc>
      </w:tr>
      <w:tr>
        <w:trPr/>
        <w:tc>
          <w:tcPr>
            <w:tcW w:w="2706" w:type="dxa"/>
            <w:tcBorders/>
            <w:vAlign w:val="center"/>
          </w:tcPr>
          <w:p>
            <w:pPr>
              <w:pStyle w:val="TableContents"/>
              <w:widowControl w:val="false"/>
              <w:suppressLineNumbers/>
              <w:spacing w:before="0" w:after="200"/>
              <w:rPr/>
            </w:pPr>
            <w:r>
              <w:rPr>
                <w:rStyle w:val="Strong"/>
              </w:rPr>
              <w:t>Substantive freedom</w:t>
            </w:r>
          </w:p>
        </w:tc>
        <w:tc>
          <w:tcPr>
            <w:tcW w:w="5934" w:type="dxa"/>
            <w:tcBorders/>
            <w:vAlign w:val="center"/>
          </w:tcPr>
          <w:p>
            <w:pPr>
              <w:pStyle w:val="TableContents"/>
              <w:widowControl w:val="false"/>
              <w:suppressLineNumbers/>
              <w:spacing w:before="0" w:after="200"/>
              <w:rPr/>
            </w:pPr>
            <w:r>
              <w:rPr/>
              <w:t>Effective rather than merely formal access to a valuable option</w:t>
            </w:r>
          </w:p>
        </w:tc>
      </w:tr>
      <w:tr>
        <w:trPr/>
        <w:tc>
          <w:tcPr>
            <w:tcW w:w="2706" w:type="dxa"/>
            <w:tcBorders/>
            <w:vAlign w:val="center"/>
          </w:tcPr>
          <w:p>
            <w:pPr>
              <w:pStyle w:val="TableContents"/>
              <w:widowControl w:val="false"/>
              <w:suppressLineNumbers/>
              <w:spacing w:before="0" w:after="200"/>
              <w:rPr/>
            </w:pPr>
            <w:r>
              <w:rPr>
                <w:rStyle w:val="Strong"/>
              </w:rPr>
              <w:t>Opportunity freedom</w:t>
            </w:r>
          </w:p>
        </w:tc>
        <w:tc>
          <w:tcPr>
            <w:tcW w:w="5934" w:type="dxa"/>
            <w:tcBorders/>
            <w:vAlign w:val="center"/>
          </w:tcPr>
          <w:p>
            <w:pPr>
              <w:pStyle w:val="TableContents"/>
              <w:widowControl w:val="false"/>
              <w:suppressLineNumbers/>
              <w:spacing w:before="0" w:after="200"/>
              <w:rPr/>
            </w:pPr>
            <w:r>
              <w:rPr/>
              <w:t>The range and quality of alternatives available to the entity</w:t>
            </w:r>
          </w:p>
        </w:tc>
      </w:tr>
      <w:tr>
        <w:trPr/>
        <w:tc>
          <w:tcPr>
            <w:tcW w:w="2706" w:type="dxa"/>
            <w:tcBorders/>
            <w:vAlign w:val="center"/>
          </w:tcPr>
          <w:p>
            <w:pPr>
              <w:pStyle w:val="TableContents"/>
              <w:widowControl w:val="false"/>
              <w:suppressLineNumbers/>
              <w:spacing w:before="0" w:after="200"/>
              <w:rPr/>
            </w:pPr>
            <w:r>
              <w:rPr>
                <w:rStyle w:val="Strong"/>
              </w:rPr>
              <w:t>Process freedom</w:t>
            </w:r>
          </w:p>
        </w:tc>
        <w:tc>
          <w:tcPr>
            <w:tcW w:w="5934" w:type="dxa"/>
            <w:tcBorders/>
            <w:vAlign w:val="center"/>
          </w:tcPr>
          <w:p>
            <w:pPr>
              <w:pStyle w:val="TableContents"/>
              <w:widowControl w:val="false"/>
              <w:suppressLineNumbers/>
              <w:spacing w:before="0" w:after="200"/>
              <w:rPr/>
            </w:pPr>
            <w:r>
              <w:rPr/>
              <w:t>Whether decisions are made through informed, noncoercive, and participatory processes</w:t>
            </w:r>
          </w:p>
        </w:tc>
      </w:tr>
      <w:tr>
        <w:trPr/>
        <w:tc>
          <w:tcPr>
            <w:tcW w:w="2706" w:type="dxa"/>
            <w:tcBorders/>
            <w:vAlign w:val="center"/>
          </w:tcPr>
          <w:p>
            <w:pPr>
              <w:pStyle w:val="TableContents"/>
              <w:widowControl w:val="false"/>
              <w:suppressLineNumbers/>
              <w:spacing w:before="0" w:after="200"/>
              <w:rPr/>
            </w:pPr>
            <w:r>
              <w:rPr>
                <w:rStyle w:val="Strong"/>
              </w:rPr>
              <w:t>Agency</w:t>
            </w:r>
          </w:p>
        </w:tc>
        <w:tc>
          <w:tcPr>
            <w:tcW w:w="5934" w:type="dxa"/>
            <w:tcBorders/>
            <w:vAlign w:val="center"/>
          </w:tcPr>
          <w:p>
            <w:pPr>
              <w:pStyle w:val="TableContents"/>
              <w:widowControl w:val="false"/>
              <w:suppressLineNumbers/>
              <w:spacing w:before="0" w:after="200"/>
              <w:rPr/>
            </w:pPr>
            <w:r>
              <w:rPr/>
              <w:t>The ability to form, revise, and pursue objectives and influence relevant decisions</w:t>
            </w:r>
          </w:p>
        </w:tc>
      </w:tr>
      <w:tr>
        <w:trPr/>
        <w:tc>
          <w:tcPr>
            <w:tcW w:w="2706" w:type="dxa"/>
            <w:tcBorders/>
            <w:vAlign w:val="center"/>
          </w:tcPr>
          <w:p>
            <w:pPr>
              <w:pStyle w:val="TableContents"/>
              <w:widowControl w:val="false"/>
              <w:suppressLineNumbers/>
              <w:spacing w:before="0" w:after="200"/>
              <w:rPr/>
            </w:pPr>
            <w:r>
              <w:rPr>
                <w:rStyle w:val="Strong"/>
              </w:rPr>
              <w:t>Well-being</w:t>
            </w:r>
          </w:p>
        </w:tc>
        <w:tc>
          <w:tcPr>
            <w:tcW w:w="5934" w:type="dxa"/>
            <w:tcBorders/>
            <w:vAlign w:val="center"/>
          </w:tcPr>
          <w:p>
            <w:pPr>
              <w:pStyle w:val="TableContents"/>
              <w:widowControl w:val="false"/>
              <w:suppressLineNumbers/>
              <w:spacing w:before="0" w:after="200"/>
              <w:rPr/>
            </w:pPr>
            <w:r>
              <w:rPr/>
              <w:t>The condition of the entity across multiple dimensions of flourishing</w:t>
            </w:r>
          </w:p>
        </w:tc>
      </w:tr>
      <w:tr>
        <w:trPr/>
        <w:tc>
          <w:tcPr>
            <w:tcW w:w="2706" w:type="dxa"/>
            <w:tcBorders/>
            <w:vAlign w:val="center"/>
          </w:tcPr>
          <w:p>
            <w:pPr>
              <w:pStyle w:val="TableContents"/>
              <w:widowControl w:val="false"/>
              <w:suppressLineNumbers/>
              <w:spacing w:before="0" w:after="200"/>
              <w:rPr/>
            </w:pPr>
            <w:r>
              <w:rPr>
                <w:rStyle w:val="Strong"/>
              </w:rPr>
              <w:t>Well-being freedom</w:t>
            </w:r>
          </w:p>
        </w:tc>
        <w:tc>
          <w:tcPr>
            <w:tcW w:w="5934" w:type="dxa"/>
            <w:tcBorders/>
            <w:vAlign w:val="center"/>
          </w:tcPr>
          <w:p>
            <w:pPr>
              <w:pStyle w:val="TableContents"/>
              <w:widowControl w:val="false"/>
              <w:suppressLineNumbers/>
              <w:spacing w:before="0" w:after="200"/>
              <w:rPr/>
            </w:pPr>
            <w:r>
              <w:rPr/>
              <w:t>Real opportunity to achieve states contributing to the entity’s own well-being</w:t>
            </w:r>
          </w:p>
        </w:tc>
      </w:tr>
      <w:tr>
        <w:trPr/>
        <w:tc>
          <w:tcPr>
            <w:tcW w:w="2706" w:type="dxa"/>
            <w:tcBorders/>
            <w:vAlign w:val="center"/>
          </w:tcPr>
          <w:p>
            <w:pPr>
              <w:pStyle w:val="TableContents"/>
              <w:widowControl w:val="false"/>
              <w:suppressLineNumbers/>
              <w:spacing w:before="0" w:after="200"/>
              <w:rPr/>
            </w:pPr>
            <w:r>
              <w:rPr>
                <w:rStyle w:val="Strong"/>
              </w:rPr>
              <w:t>Agency freedom</w:t>
            </w:r>
          </w:p>
        </w:tc>
        <w:tc>
          <w:tcPr>
            <w:tcW w:w="5934" w:type="dxa"/>
            <w:tcBorders/>
            <w:vAlign w:val="center"/>
          </w:tcPr>
          <w:p>
            <w:pPr>
              <w:pStyle w:val="TableContents"/>
              <w:widowControl w:val="false"/>
              <w:suppressLineNumbers/>
              <w:spacing w:before="0" w:after="200"/>
              <w:rPr/>
            </w:pPr>
            <w:r>
              <w:rPr/>
              <w:t>Real opportunity to pursue legitimate objectives, including objectives concerning others</w:t>
            </w:r>
          </w:p>
        </w:tc>
      </w:tr>
      <w:tr>
        <w:trPr/>
        <w:tc>
          <w:tcPr>
            <w:tcW w:w="2706" w:type="dxa"/>
            <w:tcBorders/>
            <w:vAlign w:val="center"/>
          </w:tcPr>
          <w:p>
            <w:pPr>
              <w:pStyle w:val="TableContents"/>
              <w:widowControl w:val="false"/>
              <w:suppressLineNumbers/>
              <w:spacing w:before="0" w:after="200"/>
              <w:rPr/>
            </w:pPr>
            <w:r>
              <w:rPr>
                <w:rStyle w:val="Strong"/>
              </w:rPr>
              <w:t>Conversion factors</w:t>
            </w:r>
          </w:p>
        </w:tc>
        <w:tc>
          <w:tcPr>
            <w:tcW w:w="5934" w:type="dxa"/>
            <w:tcBorders/>
            <w:vAlign w:val="center"/>
          </w:tcPr>
          <w:p>
            <w:pPr>
              <w:pStyle w:val="TableContents"/>
              <w:widowControl w:val="false"/>
              <w:suppressLineNumbers/>
              <w:spacing w:before="0" w:after="200"/>
              <w:rPr/>
            </w:pPr>
            <w:r>
              <w:rPr/>
              <w:t>Personal, social, institutional, environmental, technological, and relational conditions affecting capability</w:t>
            </w:r>
          </w:p>
        </w:tc>
      </w:tr>
      <w:tr>
        <w:trPr/>
        <w:tc>
          <w:tcPr>
            <w:tcW w:w="2706" w:type="dxa"/>
            <w:tcBorders/>
            <w:vAlign w:val="center"/>
          </w:tcPr>
          <w:p>
            <w:pPr>
              <w:pStyle w:val="TableContents"/>
              <w:widowControl w:val="false"/>
              <w:suppressLineNumbers/>
              <w:spacing w:before="0" w:after="200"/>
              <w:rPr/>
            </w:pPr>
            <w:r>
              <w:rPr>
                <w:rStyle w:val="Strong"/>
              </w:rPr>
              <w:t>Means–ends distinction</w:t>
            </w:r>
          </w:p>
        </w:tc>
        <w:tc>
          <w:tcPr>
            <w:tcW w:w="5934" w:type="dxa"/>
            <w:tcBorders/>
            <w:vAlign w:val="center"/>
          </w:tcPr>
          <w:p>
            <w:pPr>
              <w:pStyle w:val="TableContents"/>
              <w:widowControl w:val="false"/>
              <w:suppressLineNumbers/>
              <w:spacing w:before="0" w:after="200"/>
              <w:rPr/>
            </w:pPr>
            <w:r>
              <w:rPr/>
              <w:t>Treatment of resources, wealth, rights, and technology as inputs rather than final ethical outcomes</w:t>
            </w:r>
          </w:p>
        </w:tc>
      </w:tr>
      <w:tr>
        <w:trPr/>
        <w:tc>
          <w:tcPr>
            <w:tcW w:w="2706" w:type="dxa"/>
            <w:tcBorders/>
            <w:vAlign w:val="center"/>
          </w:tcPr>
          <w:p>
            <w:pPr>
              <w:pStyle w:val="TableContents"/>
              <w:widowControl w:val="false"/>
              <w:suppressLineNumbers/>
              <w:spacing w:before="0" w:after="200"/>
              <w:rPr/>
            </w:pPr>
            <w:r>
              <w:rPr>
                <w:rStyle w:val="Strong"/>
              </w:rPr>
              <w:t>Capability deprivation</w:t>
            </w:r>
          </w:p>
        </w:tc>
        <w:tc>
          <w:tcPr>
            <w:tcW w:w="5934" w:type="dxa"/>
            <w:tcBorders/>
            <w:vAlign w:val="center"/>
          </w:tcPr>
          <w:p>
            <w:pPr>
              <w:pStyle w:val="TableContents"/>
              <w:widowControl w:val="false"/>
              <w:suppressLineNumbers/>
              <w:spacing w:before="0" w:after="200"/>
              <w:rPr/>
            </w:pPr>
            <w:r>
              <w:rPr/>
              <w:t>Absence or loss of valuable future possibilities</w:t>
            </w:r>
          </w:p>
        </w:tc>
      </w:tr>
      <w:tr>
        <w:trPr/>
        <w:tc>
          <w:tcPr>
            <w:tcW w:w="2706" w:type="dxa"/>
            <w:tcBorders/>
            <w:vAlign w:val="center"/>
          </w:tcPr>
          <w:p>
            <w:pPr>
              <w:pStyle w:val="TableContents"/>
              <w:widowControl w:val="false"/>
              <w:suppressLineNumbers/>
              <w:spacing w:before="0" w:after="200"/>
              <w:rPr/>
            </w:pPr>
            <w:r>
              <w:rPr>
                <w:rStyle w:val="Strong"/>
              </w:rPr>
              <w:t>Capability expansion</w:t>
            </w:r>
          </w:p>
        </w:tc>
        <w:tc>
          <w:tcPr>
            <w:tcW w:w="5934" w:type="dxa"/>
            <w:tcBorders/>
            <w:vAlign w:val="center"/>
          </w:tcPr>
          <w:p>
            <w:pPr>
              <w:pStyle w:val="TableContents"/>
              <w:widowControl w:val="false"/>
              <w:suppressLineNumbers/>
              <w:spacing w:before="0" w:after="200"/>
              <w:rPr/>
            </w:pPr>
            <w:r>
              <w:rPr/>
              <w:t>Increase in valuable, accessible, and compatible future possibilities</w:t>
            </w:r>
          </w:p>
        </w:tc>
      </w:tr>
      <w:tr>
        <w:trPr/>
        <w:tc>
          <w:tcPr>
            <w:tcW w:w="2706" w:type="dxa"/>
            <w:tcBorders/>
            <w:vAlign w:val="center"/>
          </w:tcPr>
          <w:p>
            <w:pPr>
              <w:pStyle w:val="TableContents"/>
              <w:widowControl w:val="false"/>
              <w:suppressLineNumbers/>
              <w:spacing w:before="0" w:after="200"/>
              <w:rPr/>
            </w:pPr>
            <w:r>
              <w:rPr>
                <w:rStyle w:val="Strong"/>
              </w:rPr>
              <w:t>Adaptive preferences</w:t>
            </w:r>
          </w:p>
        </w:tc>
        <w:tc>
          <w:tcPr>
            <w:tcW w:w="5934" w:type="dxa"/>
            <w:tcBorders/>
            <w:vAlign w:val="center"/>
          </w:tcPr>
          <w:p>
            <w:pPr>
              <w:pStyle w:val="TableContents"/>
              <w:widowControl w:val="false"/>
              <w:suppressLineNumbers/>
              <w:spacing w:before="0" w:after="200"/>
              <w:rPr/>
            </w:pPr>
            <w:r>
              <w:rPr/>
              <w:t>Recognition that expressed preferences may reflect oppression, manipulation, or constrained expectations</w:t>
            </w:r>
          </w:p>
        </w:tc>
      </w:tr>
      <w:tr>
        <w:trPr/>
        <w:tc>
          <w:tcPr>
            <w:tcW w:w="2706" w:type="dxa"/>
            <w:tcBorders/>
            <w:vAlign w:val="center"/>
          </w:tcPr>
          <w:p>
            <w:pPr>
              <w:pStyle w:val="TableContents"/>
              <w:widowControl w:val="false"/>
              <w:suppressLineNumbers/>
              <w:spacing w:before="0" w:after="200"/>
              <w:rPr/>
            </w:pPr>
            <w:r>
              <w:rPr>
                <w:rStyle w:val="Strong"/>
              </w:rPr>
              <w:t>Capability security</w:t>
            </w:r>
          </w:p>
        </w:tc>
        <w:tc>
          <w:tcPr>
            <w:tcW w:w="5934" w:type="dxa"/>
            <w:tcBorders/>
            <w:vAlign w:val="center"/>
          </w:tcPr>
          <w:p>
            <w:pPr>
              <w:pStyle w:val="TableContents"/>
              <w:widowControl w:val="false"/>
              <w:suppressLineNumbers/>
              <w:spacing w:before="0" w:after="200"/>
              <w:rPr/>
            </w:pPr>
            <w:r>
              <w:rPr/>
              <w:t>Stability and durability of valuable opportunities across time</w:t>
            </w:r>
          </w:p>
        </w:tc>
      </w:tr>
      <w:tr>
        <w:trPr/>
        <w:tc>
          <w:tcPr>
            <w:tcW w:w="2706" w:type="dxa"/>
            <w:tcBorders/>
            <w:vAlign w:val="center"/>
          </w:tcPr>
          <w:p>
            <w:pPr>
              <w:pStyle w:val="TableContents"/>
              <w:widowControl w:val="false"/>
              <w:suppressLineNumbers/>
              <w:spacing w:before="0" w:after="200"/>
              <w:rPr/>
            </w:pPr>
            <w:r>
              <w:rPr>
                <w:rStyle w:val="Strong"/>
              </w:rPr>
              <w:t>Thresholds</w:t>
            </w:r>
          </w:p>
        </w:tc>
        <w:tc>
          <w:tcPr>
            <w:tcW w:w="5934" w:type="dxa"/>
            <w:tcBorders/>
            <w:vAlign w:val="center"/>
          </w:tcPr>
          <w:p>
            <w:pPr>
              <w:pStyle w:val="TableContents"/>
              <w:widowControl w:val="false"/>
              <w:suppressLineNumbers/>
              <w:spacing w:before="0" w:after="200"/>
              <w:rPr/>
            </w:pPr>
            <w:r>
              <w:rPr/>
              <w:t>Minimum capability conditions below which trade-offs require heightened justification</w:t>
            </w:r>
          </w:p>
        </w:tc>
      </w:tr>
      <w:tr>
        <w:trPr/>
        <w:tc>
          <w:tcPr>
            <w:tcW w:w="2706" w:type="dxa"/>
            <w:tcBorders/>
            <w:vAlign w:val="center"/>
          </w:tcPr>
          <w:p>
            <w:pPr>
              <w:pStyle w:val="TableContents"/>
              <w:widowControl w:val="false"/>
              <w:suppressLineNumbers/>
              <w:spacing w:before="0" w:after="200"/>
              <w:rPr/>
            </w:pPr>
            <w:r>
              <w:rPr>
                <w:rStyle w:val="Strong"/>
              </w:rPr>
              <w:t>Central Capabilities</w:t>
            </w:r>
          </w:p>
        </w:tc>
        <w:tc>
          <w:tcPr>
            <w:tcW w:w="5934" w:type="dxa"/>
            <w:tcBorders/>
            <w:vAlign w:val="center"/>
          </w:tcPr>
          <w:p>
            <w:pPr>
              <w:pStyle w:val="TableContents"/>
              <w:widowControl w:val="false"/>
              <w:suppressLineNumbers/>
              <w:spacing w:before="0" w:after="200"/>
              <w:rPr/>
            </w:pPr>
            <w:r>
              <w:rPr/>
              <w:t>A human-specific dimensional account that can inform the content of Long-Term Flourishing</w:t>
            </w:r>
          </w:p>
        </w:tc>
      </w:tr>
      <w:tr>
        <w:trPr/>
        <w:tc>
          <w:tcPr>
            <w:tcW w:w="2706" w:type="dxa"/>
            <w:tcBorders/>
            <w:vAlign w:val="center"/>
          </w:tcPr>
          <w:p>
            <w:pPr>
              <w:pStyle w:val="TableContents"/>
              <w:widowControl w:val="false"/>
              <w:suppressLineNumbers/>
              <w:spacing w:before="0" w:after="200"/>
              <w:rPr/>
            </w:pPr>
            <w:r>
              <w:rPr>
                <w:rStyle w:val="Strong"/>
              </w:rPr>
              <w:t>Each person as an end</w:t>
            </w:r>
          </w:p>
        </w:tc>
        <w:tc>
          <w:tcPr>
            <w:tcW w:w="5934" w:type="dxa"/>
            <w:tcBorders/>
            <w:vAlign w:val="center"/>
          </w:tcPr>
          <w:p>
            <w:pPr>
              <w:pStyle w:val="TableContents"/>
              <w:widowControl w:val="false"/>
              <w:suppressLineNumbers/>
              <w:spacing w:before="0" w:after="200"/>
              <w:rPr/>
            </w:pPr>
            <w:r>
              <w:rPr/>
              <w:t>Entity-level disaggregation and resistance to sacrificing individuals for aggregate gains</w:t>
            </w:r>
          </w:p>
        </w:tc>
      </w:tr>
      <w:tr>
        <w:trPr/>
        <w:tc>
          <w:tcPr>
            <w:tcW w:w="2706" w:type="dxa"/>
            <w:tcBorders/>
            <w:vAlign w:val="center"/>
          </w:tcPr>
          <w:p>
            <w:pPr>
              <w:pStyle w:val="TableContents"/>
              <w:widowControl w:val="false"/>
              <w:suppressLineNumbers/>
              <w:spacing w:before="0" w:after="200"/>
              <w:rPr/>
            </w:pPr>
            <w:r>
              <w:rPr>
                <w:rStyle w:val="Strong"/>
              </w:rPr>
              <w:t>Public reasoning</w:t>
            </w:r>
          </w:p>
        </w:tc>
        <w:tc>
          <w:tcPr>
            <w:tcW w:w="5934" w:type="dxa"/>
            <w:tcBorders/>
            <w:vAlign w:val="center"/>
          </w:tcPr>
          <w:p>
            <w:pPr>
              <w:pStyle w:val="TableContents"/>
              <w:widowControl w:val="false"/>
              <w:suppressLineNumbers/>
              <w:spacing w:before="0" w:after="200"/>
              <w:rPr/>
            </w:pPr>
            <w:r>
              <w:rPr/>
              <w:t>Participatory selection and review of capabilities, weights, thresholds, and policies</w:t>
            </w:r>
          </w:p>
        </w:tc>
      </w:tr>
      <w:tr>
        <w:trPr/>
        <w:tc>
          <w:tcPr>
            <w:tcW w:w="2706" w:type="dxa"/>
            <w:tcBorders/>
            <w:vAlign w:val="center"/>
          </w:tcPr>
          <w:p>
            <w:pPr>
              <w:pStyle w:val="TableContents"/>
              <w:widowControl w:val="false"/>
              <w:suppressLineNumbers/>
              <w:spacing w:before="0" w:after="200"/>
              <w:rPr/>
            </w:pPr>
            <w:r>
              <w:rPr>
                <w:rStyle w:val="Strong"/>
              </w:rPr>
              <w:t>Collective capabilities</w:t>
            </w:r>
          </w:p>
        </w:tc>
        <w:tc>
          <w:tcPr>
            <w:tcW w:w="5934" w:type="dxa"/>
            <w:tcBorders/>
            <w:vAlign w:val="center"/>
          </w:tcPr>
          <w:p>
            <w:pPr>
              <w:pStyle w:val="TableContents"/>
              <w:widowControl w:val="false"/>
              <w:suppressLineNumbers/>
              <w:spacing w:before="0" w:after="200"/>
              <w:rPr/>
            </w:pPr>
            <w:r>
              <w:rPr/>
              <w:t>Opportunities that depend on coordinated relationships, shared resources, or institutions</w:t>
            </w:r>
          </w:p>
        </w:tc>
      </w:tr>
      <w:tr>
        <w:trPr/>
        <w:tc>
          <w:tcPr>
            <w:tcW w:w="2706" w:type="dxa"/>
            <w:tcBorders/>
            <w:vAlign w:val="center"/>
          </w:tcPr>
          <w:p>
            <w:pPr>
              <w:pStyle w:val="TableContents"/>
              <w:widowControl w:val="false"/>
              <w:suppressLineNumbers/>
              <w:spacing w:before="0" w:after="200"/>
              <w:rPr/>
            </w:pPr>
            <w:r>
              <w:rPr>
                <w:rStyle w:val="Strong"/>
              </w:rPr>
              <w:t>Multidimensional deprivation</w:t>
            </w:r>
          </w:p>
        </w:tc>
        <w:tc>
          <w:tcPr>
            <w:tcW w:w="5934" w:type="dxa"/>
            <w:tcBorders/>
            <w:vAlign w:val="center"/>
          </w:tcPr>
          <w:p>
            <w:pPr>
              <w:pStyle w:val="TableContents"/>
              <w:widowControl w:val="false"/>
              <w:suppressLineNumbers/>
              <w:spacing w:before="0" w:after="200"/>
              <w:rPr/>
            </w:pPr>
            <w:r>
              <w:rPr/>
              <w:t>Simultaneous shortfalls across several important capability dimensions</w:t>
            </w:r>
          </w:p>
        </w:tc>
      </w:tr>
      <w:tr>
        <w:trPr/>
        <w:tc>
          <w:tcPr>
            <w:tcW w:w="2706" w:type="dxa"/>
            <w:tcBorders/>
            <w:vAlign w:val="center"/>
          </w:tcPr>
          <w:p>
            <w:pPr>
              <w:pStyle w:val="TableContents"/>
              <w:widowControl w:val="false"/>
              <w:suppressLineNumbers/>
              <w:spacing w:before="0" w:after="200"/>
              <w:rPr/>
            </w:pPr>
            <w:r>
              <w:rPr>
                <w:rStyle w:val="Strong"/>
              </w:rPr>
              <w:t>Human diversity</w:t>
            </w:r>
          </w:p>
        </w:tc>
        <w:tc>
          <w:tcPr>
            <w:tcW w:w="5934" w:type="dxa"/>
            <w:tcBorders/>
            <w:vAlign w:val="center"/>
          </w:tcPr>
          <w:p>
            <w:pPr>
              <w:pStyle w:val="TableContents"/>
              <w:widowControl w:val="false"/>
              <w:suppressLineNumbers/>
              <w:spacing w:before="0" w:after="200"/>
              <w:rPr/>
            </w:pPr>
            <w:r>
              <w:rPr/>
              <w:t>Entity-specific evaluation of needs, barriers, and resource conversion</w:t>
            </w:r>
          </w:p>
        </w:tc>
      </w:tr>
      <w:tr>
        <w:trPr/>
        <w:tc>
          <w:tcPr>
            <w:tcW w:w="2706" w:type="dxa"/>
            <w:tcBorders/>
            <w:vAlign w:val="center"/>
          </w:tcPr>
          <w:p>
            <w:pPr>
              <w:pStyle w:val="TableContents"/>
              <w:widowControl w:val="false"/>
              <w:suppressLineNumbers/>
              <w:spacing w:before="0" w:after="200"/>
              <w:rPr/>
            </w:pPr>
            <w:r>
              <w:rPr>
                <w:rStyle w:val="Strong"/>
              </w:rPr>
              <w:t>Practical reason</w:t>
            </w:r>
          </w:p>
        </w:tc>
        <w:tc>
          <w:tcPr>
            <w:tcW w:w="5934" w:type="dxa"/>
            <w:tcBorders/>
            <w:vAlign w:val="center"/>
          </w:tcPr>
          <w:p>
            <w:pPr>
              <w:pStyle w:val="TableContents"/>
              <w:widowControl w:val="false"/>
              <w:suppressLineNumbers/>
              <w:spacing w:before="0" w:after="200"/>
              <w:rPr/>
            </w:pPr>
            <w:r>
              <w:rPr/>
              <w:t>Capacity to form a conception of the good and reflect critically on one’s life</w:t>
            </w:r>
          </w:p>
        </w:tc>
      </w:tr>
      <w:tr>
        <w:trPr/>
        <w:tc>
          <w:tcPr>
            <w:tcW w:w="2706" w:type="dxa"/>
            <w:tcBorders/>
            <w:vAlign w:val="center"/>
          </w:tcPr>
          <w:p>
            <w:pPr>
              <w:pStyle w:val="TableContents"/>
              <w:widowControl w:val="false"/>
              <w:suppressLineNumbers/>
              <w:spacing w:before="0" w:after="200"/>
              <w:rPr/>
            </w:pPr>
            <w:r>
              <w:rPr>
                <w:rStyle w:val="Strong"/>
              </w:rPr>
              <w:t>Affiliation</w:t>
            </w:r>
          </w:p>
        </w:tc>
        <w:tc>
          <w:tcPr>
            <w:tcW w:w="5934" w:type="dxa"/>
            <w:tcBorders/>
            <w:vAlign w:val="center"/>
          </w:tcPr>
          <w:p>
            <w:pPr>
              <w:pStyle w:val="TableContents"/>
              <w:widowControl w:val="false"/>
              <w:suppressLineNumbers/>
              <w:spacing w:before="0" w:after="200"/>
              <w:rPr/>
            </w:pPr>
            <w:r>
              <w:rPr/>
              <w:t>Capability for belonging, social participation, reciprocal recognition, and non-humiliation</w:t>
            </w:r>
          </w:p>
        </w:tc>
      </w:tr>
      <w:tr>
        <w:trPr/>
        <w:tc>
          <w:tcPr>
            <w:tcW w:w="2706" w:type="dxa"/>
            <w:tcBorders/>
            <w:vAlign w:val="center"/>
          </w:tcPr>
          <w:p>
            <w:pPr>
              <w:pStyle w:val="TableContents"/>
              <w:widowControl w:val="false"/>
              <w:suppressLineNumbers/>
              <w:spacing w:before="0" w:after="200"/>
              <w:rPr/>
            </w:pPr>
            <w:r>
              <w:rPr>
                <w:rStyle w:val="Strong"/>
              </w:rPr>
              <w:t>Control over one’s environment</w:t>
            </w:r>
          </w:p>
        </w:tc>
        <w:tc>
          <w:tcPr>
            <w:tcW w:w="5934" w:type="dxa"/>
            <w:tcBorders/>
            <w:vAlign w:val="center"/>
          </w:tcPr>
          <w:p>
            <w:pPr>
              <w:pStyle w:val="TableContents"/>
              <w:widowControl w:val="false"/>
              <w:suppressLineNumbers/>
              <w:spacing w:before="0" w:after="200"/>
              <w:rPr/>
            </w:pPr>
            <w:r>
              <w:rPr/>
              <w:t>Political voice, material influence, meaningful work, and participation in decisions</w:t>
            </w:r>
          </w:p>
        </w:tc>
      </w:tr>
    </w:tbl>
    <w:p>
      <w:pPr>
        <w:pStyle w:val="Heading4"/>
        <w:ind w:hanging="0" w:left="0"/>
        <w:rPr>
          <w:rFonts w:ascii="Aptos" w:hAnsi="Aptos"/>
          <w:color w:val="auto"/>
        </w:rPr>
      </w:pPr>
      <w:r>
        <w:rPr/>
        <w:t>How this framework addresses those assumptions</w:t>
      </w:r>
    </w:p>
    <w:p>
      <w:pPr>
        <w:pStyle w:val="BodyText"/>
        <w:numPr>
          <w:ilvl w:val="0"/>
          <w:numId w:val="145"/>
        </w:numPr>
        <w:tabs>
          <w:tab w:val="clear" w:pos="720"/>
          <w:tab w:val="left" w:pos="0" w:leader="none"/>
        </w:tabs>
        <w:spacing w:before="0" w:after="200"/>
        <w:ind w:hanging="283" w:left="709"/>
        <w:rPr/>
      </w:pPr>
      <w:r>
        <w:rPr>
          <w:rStyle w:val="Strong"/>
        </w:rPr>
        <w:t>Long-Term Flourishing can represent a capability set.</w:t>
      </w:r>
      <w:r>
        <w:rPr/>
        <w:br/>
        <w:t>The framework’s concern with beneficial future state space can include not only expected outcomes but the valuable states genuinely available to an entity.</w:t>
      </w:r>
    </w:p>
    <w:p>
      <w:pPr>
        <w:pStyle w:val="BodyText"/>
        <w:numPr>
          <w:ilvl w:val="0"/>
          <w:numId w:val="145"/>
        </w:numPr>
        <w:tabs>
          <w:tab w:val="clear" w:pos="720"/>
          <w:tab w:val="left" w:pos="0" w:leader="none"/>
        </w:tabs>
        <w:spacing w:before="0" w:after="200"/>
        <w:ind w:hanging="283" w:left="709"/>
        <w:rPr/>
      </w:pPr>
      <w:r>
        <w:rPr>
          <w:rStyle w:val="Strong"/>
        </w:rPr>
        <w:t>The World Context contains conversion factors.</w:t>
      </w:r>
      <w:r>
        <w:rPr/>
        <w:br/>
        <w:t>Personal attributes, Associations, institutions, social norms, infrastructure, technologies, environmental conditions, and constraints can be represented as factors affecting reachability.</w:t>
      </w:r>
    </w:p>
    <w:p>
      <w:pPr>
        <w:pStyle w:val="BodyText"/>
        <w:numPr>
          <w:ilvl w:val="0"/>
          <w:numId w:val="145"/>
        </w:numPr>
        <w:tabs>
          <w:tab w:val="clear" w:pos="720"/>
          <w:tab w:val="left" w:pos="0" w:leader="none"/>
        </w:tabs>
        <w:spacing w:before="0" w:after="200"/>
        <w:ind w:hanging="283" w:left="709"/>
        <w:rPr/>
      </w:pPr>
      <w:r>
        <w:rPr>
          <w:rStyle w:val="Strong"/>
        </w:rPr>
        <w:t>The framework distinguishes current state from future possibility.</w:t>
      </w:r>
      <w:r>
        <w:rPr/>
        <w:br/>
        <w:t>An entity’s present functioning need not be treated as evidence that the relevant capability is secure or voluntary.</w:t>
      </w:r>
    </w:p>
    <w:p>
      <w:pPr>
        <w:pStyle w:val="BodyText"/>
        <w:numPr>
          <w:ilvl w:val="0"/>
          <w:numId w:val="145"/>
        </w:numPr>
        <w:tabs>
          <w:tab w:val="clear" w:pos="720"/>
          <w:tab w:val="left" w:pos="0" w:leader="none"/>
        </w:tabs>
        <w:spacing w:before="0" w:after="200"/>
        <w:ind w:hanging="283" w:left="709"/>
        <w:rPr/>
      </w:pPr>
      <w:r>
        <w:rPr>
          <w:rStyle w:val="Strong"/>
        </w:rPr>
        <w:t>Resources can be represented as inputs.</w:t>
      </w:r>
      <w:r>
        <w:rPr/>
        <w:br/>
        <w:t>The framework need not assume that providing money, technology, services, rights, or information produces flourishing. It can trace whether those resources create usable opportunities.</w:t>
      </w:r>
    </w:p>
    <w:p>
      <w:pPr>
        <w:pStyle w:val="BodyText"/>
        <w:numPr>
          <w:ilvl w:val="0"/>
          <w:numId w:val="145"/>
        </w:numPr>
        <w:tabs>
          <w:tab w:val="clear" w:pos="720"/>
          <w:tab w:val="left" w:pos="0" w:leader="none"/>
        </w:tabs>
        <w:spacing w:before="0" w:after="200"/>
        <w:ind w:hanging="283" w:left="709"/>
        <w:rPr/>
      </w:pPr>
      <w:r>
        <w:rPr>
          <w:rStyle w:val="Strong"/>
        </w:rPr>
        <w:t>Reachability can be practically constrained.</w:t>
      </w:r>
      <w:r>
        <w:rPr/>
        <w:br/>
        <w:t>A future state should count as part of a capability set only when it is realistically accessible given the entity’s knowledge, resources, permissions, environment, relationships, and foreseeable risks.</w:t>
      </w:r>
    </w:p>
    <w:p>
      <w:pPr>
        <w:pStyle w:val="BodyText"/>
        <w:numPr>
          <w:ilvl w:val="0"/>
          <w:numId w:val="145"/>
        </w:numPr>
        <w:tabs>
          <w:tab w:val="clear" w:pos="720"/>
          <w:tab w:val="left" w:pos="0" w:leader="none"/>
        </w:tabs>
        <w:spacing w:before="0" w:after="200"/>
        <w:ind w:hanging="283" w:left="709"/>
        <w:rPr/>
      </w:pPr>
      <w:r>
        <w:rPr>
          <w:rStyle w:val="Strong"/>
        </w:rPr>
        <w:t>Agency is included in flourishing.</w:t>
      </w:r>
      <w:r>
        <w:rPr/>
        <w:br/>
        <w:t>Beneficial future state space can include the capacity to form objectives, participate in decisions, refuse options, revise plans, and influence relevant conditions.</w:t>
      </w:r>
    </w:p>
    <w:p>
      <w:pPr>
        <w:pStyle w:val="BodyText"/>
        <w:numPr>
          <w:ilvl w:val="0"/>
          <w:numId w:val="145"/>
        </w:numPr>
        <w:tabs>
          <w:tab w:val="clear" w:pos="720"/>
          <w:tab w:val="left" w:pos="0" w:leader="none"/>
        </w:tabs>
        <w:spacing w:before="0" w:after="200"/>
        <w:ind w:hanging="283" w:left="709"/>
        <w:rPr/>
      </w:pPr>
      <w:r>
        <w:rPr>
          <w:rStyle w:val="Strong"/>
        </w:rPr>
        <w:t>Moral-agent development includes agency development.</w:t>
      </w:r>
      <w:r>
        <w:rPr/>
        <w:br/>
        <w:t>Education, information, critical reflection, experience, and participation can expand the agent’s ability to make and implement ethically informed choices.</w:t>
      </w:r>
    </w:p>
    <w:p>
      <w:pPr>
        <w:pStyle w:val="BodyText"/>
        <w:numPr>
          <w:ilvl w:val="0"/>
          <w:numId w:val="145"/>
        </w:numPr>
        <w:tabs>
          <w:tab w:val="clear" w:pos="720"/>
          <w:tab w:val="left" w:pos="0" w:leader="none"/>
        </w:tabs>
        <w:spacing w:before="0" w:after="200"/>
        <w:ind w:hanging="283" w:left="709"/>
        <w:rPr/>
      </w:pPr>
      <w:r>
        <w:rPr>
          <w:rStyle w:val="Strong"/>
        </w:rPr>
        <w:t>Distributed Policy Effects capture capability-shaping norms.</w:t>
      </w:r>
      <w:r>
        <w:rPr/>
        <w:br/>
        <w:t>Actions can alter whether future agents encounter discrimination, arbitrary authority, accessible information, safe participation, or socially accepted alternatives.</w:t>
      </w:r>
    </w:p>
    <w:p>
      <w:pPr>
        <w:pStyle w:val="BodyText"/>
        <w:numPr>
          <w:ilvl w:val="0"/>
          <w:numId w:val="145"/>
        </w:numPr>
        <w:tabs>
          <w:tab w:val="clear" w:pos="720"/>
          <w:tab w:val="left" w:pos="0" w:leader="none"/>
        </w:tabs>
        <w:spacing w:before="0" w:after="200"/>
        <w:ind w:hanging="283" w:left="709"/>
        <w:rPr/>
      </w:pPr>
      <w:r>
        <w:rPr>
          <w:rStyle w:val="Strong"/>
        </w:rPr>
        <w:t>The framework is multidimensional.</w:t>
      </w:r>
      <w:r>
        <w:rPr/>
        <w:br/>
        <w:t>Long-Term Flourishing is a state vector rather than a single measure. Health, agency, affiliation, security, knowledge, and other dimensions can remain separately visible.</w:t>
      </w:r>
    </w:p>
    <w:p>
      <w:pPr>
        <w:pStyle w:val="BodyText"/>
        <w:numPr>
          <w:ilvl w:val="0"/>
          <w:numId w:val="145"/>
        </w:numPr>
        <w:tabs>
          <w:tab w:val="clear" w:pos="720"/>
          <w:tab w:val="left" w:pos="0" w:leader="none"/>
        </w:tabs>
        <w:spacing w:before="0" w:after="200"/>
        <w:ind w:hanging="283" w:left="709"/>
        <w:rPr/>
      </w:pPr>
      <w:r>
        <w:rPr>
          <w:rStyle w:val="Strong"/>
        </w:rPr>
        <w:t>Aggregate metrics are not decisive.</w:t>
      </w:r>
      <w:r>
        <w:rPr/>
        <w:br/>
        <w:t>Aggregate results may inform an assessment, but they do not replace the examination of individual entities, distributions, relationships, and capability losses.</w:t>
      </w:r>
    </w:p>
    <w:p>
      <w:pPr>
        <w:pStyle w:val="BodyText"/>
        <w:numPr>
          <w:ilvl w:val="0"/>
          <w:numId w:val="145"/>
        </w:numPr>
        <w:tabs>
          <w:tab w:val="clear" w:pos="720"/>
          <w:tab w:val="left" w:pos="0" w:leader="none"/>
        </w:tabs>
        <w:spacing w:before="0" w:after="200"/>
        <w:ind w:hanging="283" w:left="709"/>
        <w:rPr/>
      </w:pPr>
      <w:r>
        <w:rPr>
          <w:rStyle w:val="Strong"/>
        </w:rPr>
        <w:t>Compatibility constrains capability expansion.</w:t>
      </w:r>
      <w:r>
        <w:rPr/>
        <w:br/>
        <w:t>Expanding one agent’s options is not ethically positive when those options materially diminish the defensible capabilities of other relevant entities.</w:t>
      </w:r>
    </w:p>
    <w:p>
      <w:pPr>
        <w:pStyle w:val="BodyText"/>
        <w:numPr>
          <w:ilvl w:val="0"/>
          <w:numId w:val="145"/>
        </w:numPr>
        <w:tabs>
          <w:tab w:val="clear" w:pos="720"/>
          <w:tab w:val="left" w:pos="0" w:leader="none"/>
        </w:tabs>
        <w:spacing w:before="0" w:after="200"/>
        <w:ind w:hanging="283" w:left="709"/>
        <w:rPr/>
      </w:pPr>
      <w:r>
        <w:rPr>
          <w:rStyle w:val="Strong"/>
        </w:rPr>
        <w:t>Multiple horizons support capability security.</w:t>
      </w:r>
      <w:r>
        <w:rPr/>
        <w:br/>
        <w:t>The framework can distinguish temporary access from durable capability and consider whether present expansion creates future dependency or loss.</w:t>
      </w:r>
    </w:p>
    <w:p>
      <w:pPr>
        <w:pStyle w:val="BodyText"/>
        <w:numPr>
          <w:ilvl w:val="0"/>
          <w:numId w:val="145"/>
        </w:numPr>
        <w:tabs>
          <w:tab w:val="clear" w:pos="720"/>
          <w:tab w:val="left" w:pos="0" w:leader="none"/>
        </w:tabs>
        <w:spacing w:before="0" w:after="200"/>
        <w:ind w:hanging="283" w:left="709"/>
        <w:rPr/>
      </w:pPr>
      <w:r>
        <w:rPr>
          <w:rStyle w:val="Strong"/>
        </w:rPr>
        <w:t>Explicit assumptions support adaptive-preference review.</w:t>
      </w:r>
      <w:r>
        <w:rPr/>
        <w:br/>
        <w:t>Assessors can disclose how stated preferences were interpreted and whether coercion, misinformation, social conditioning, or lack of alternatives may have affected them.</w:t>
      </w:r>
    </w:p>
    <w:p>
      <w:pPr>
        <w:pStyle w:val="BodyText"/>
        <w:numPr>
          <w:ilvl w:val="0"/>
          <w:numId w:val="145"/>
        </w:numPr>
        <w:tabs>
          <w:tab w:val="clear" w:pos="720"/>
          <w:tab w:val="left" w:pos="0" w:leader="none"/>
        </w:tabs>
        <w:spacing w:before="0" w:after="200"/>
        <w:ind w:hanging="283" w:left="709"/>
        <w:rPr/>
      </w:pPr>
      <w:r>
        <w:rPr>
          <w:rStyle w:val="Strong"/>
        </w:rPr>
        <w:t>Implementation neutrality permits public reasoning.</w:t>
      </w:r>
      <w:r>
        <w:rPr/>
        <w:br/>
        <w:t>Capability dimensions, thresholds, and indicators can be selected through contextually appropriate participatory procedures rather than imposed by one universal technical process.</w:t>
      </w:r>
    </w:p>
    <w:p>
      <w:pPr>
        <w:pStyle w:val="BodyText"/>
        <w:numPr>
          <w:ilvl w:val="0"/>
          <w:numId w:val="145"/>
        </w:numPr>
        <w:tabs>
          <w:tab w:val="clear" w:pos="720"/>
          <w:tab w:val="left" w:pos="0" w:leader="none"/>
        </w:tabs>
        <w:spacing w:before="0" w:after="200"/>
        <w:ind w:hanging="283" w:left="709"/>
        <w:rPr/>
      </w:pPr>
      <w:r>
        <w:rPr>
          <w:rStyle w:val="Strong"/>
        </w:rPr>
        <w:t>Entity-specific analysis supports human diversity.</w:t>
      </w:r>
      <w:r>
        <w:rPr/>
        <w:br/>
        <w:t>The same resource or intervention can be modeled as producing different capability effects for different entities.</w:t>
      </w:r>
    </w:p>
    <w:p>
      <w:pPr>
        <w:pStyle w:val="BodyText"/>
        <w:numPr>
          <w:ilvl w:val="0"/>
          <w:numId w:val="145"/>
        </w:numPr>
        <w:tabs>
          <w:tab w:val="clear" w:pos="720"/>
          <w:tab w:val="left" w:pos="0" w:leader="none"/>
        </w:tabs>
        <w:spacing w:before="0" w:after="200"/>
        <w:ind w:hanging="283" w:left="709"/>
        <w:rPr/>
      </w:pPr>
      <w:r>
        <w:rPr>
          <w:rStyle w:val="Strong"/>
        </w:rPr>
        <w:t>Thresholds can constrain trade-offs.</w:t>
      </w:r>
      <w:r>
        <w:rPr/>
        <w:br/>
        <w:t>The framework can incorporate minimum capability conditions that cannot ordinarily be traded away for aggregate improvement.</w:t>
      </w:r>
    </w:p>
    <w:p>
      <w:pPr>
        <w:pStyle w:val="BodyText"/>
        <w:numPr>
          <w:ilvl w:val="0"/>
          <w:numId w:val="145"/>
        </w:numPr>
        <w:tabs>
          <w:tab w:val="clear" w:pos="720"/>
          <w:tab w:val="left" w:pos="0" w:leader="none"/>
        </w:tabs>
        <w:spacing w:before="0" w:after="200"/>
        <w:ind w:hanging="283" w:left="709"/>
        <w:rPr/>
      </w:pPr>
      <w:r>
        <w:rPr>
          <w:rStyle w:val="Strong"/>
        </w:rPr>
        <w:t>Responsibility is separately analyzed.</w:t>
      </w:r>
      <w:r>
        <w:rPr/>
        <w:br/>
        <w:t>Capability deprivation may be causally produced by many entities, but responsibility depends on role, authority, knowledge, alternatives, intent, and foreseeability.</w:t>
      </w:r>
    </w:p>
    <w:p>
      <w:pPr>
        <w:pStyle w:val="BodyText"/>
        <w:numPr>
          <w:ilvl w:val="0"/>
          <w:numId w:val="145"/>
        </w:numPr>
        <w:tabs>
          <w:tab w:val="clear" w:pos="720"/>
          <w:tab w:val="left" w:pos="0" w:leader="none"/>
        </w:tabs>
        <w:spacing w:before="0" w:after="200"/>
        <w:ind w:hanging="283" w:left="709"/>
        <w:rPr/>
      </w:pPr>
      <w:r>
        <w:rPr>
          <w:rStyle w:val="Strong"/>
        </w:rPr>
        <w:t>Structural actions can be assessed.</w:t>
      </w:r>
      <w:r>
        <w:rPr/>
        <w:br/>
        <w:t>Policies, infrastructure, laws, incentive systems, institutional routines, and failures to provide access can all be treated as Assessed Actions.</w:t>
      </w:r>
    </w:p>
    <w:p>
      <w:pPr>
        <w:pStyle w:val="BodyText"/>
        <w:numPr>
          <w:ilvl w:val="0"/>
          <w:numId w:val="145"/>
        </w:numPr>
        <w:tabs>
          <w:tab w:val="clear" w:pos="720"/>
          <w:tab w:val="left" w:pos="0" w:leader="none"/>
        </w:tabs>
        <w:spacing w:before="0" w:after="200"/>
        <w:ind w:hanging="283" w:left="709"/>
        <w:rPr/>
      </w:pPr>
      <w:r>
        <w:rPr>
          <w:rStyle w:val="Strong"/>
        </w:rPr>
        <w:t>Collective capabilities can be represented through Associations.</w:t>
      </w:r>
      <w:r>
        <w:rPr/>
        <w:br/>
        <w:t>Shared infrastructure, political institutions, communities, cultural practices, and ecological systems can create possibilities no individual could produce alone.</w:t>
      </w:r>
    </w:p>
    <w:p>
      <w:pPr>
        <w:pStyle w:val="BodyText"/>
        <w:numPr>
          <w:ilvl w:val="0"/>
          <w:numId w:val="145"/>
        </w:numPr>
        <w:tabs>
          <w:tab w:val="clear" w:pos="720"/>
          <w:tab w:val="left" w:pos="0" w:leader="none"/>
        </w:tabs>
        <w:spacing w:before="0" w:after="200"/>
        <w:ind w:hanging="283" w:left="709"/>
        <w:rPr/>
      </w:pPr>
      <w:r>
        <w:rPr>
          <w:rStyle w:val="Strong"/>
        </w:rPr>
        <w:t>Low-agency entities can remain morally relevant.</w:t>
      </w:r>
      <w:r>
        <w:rPr/>
        <w:br/>
        <w:t>An entity need not demonstrate conventional independence, rational choice, or adaptive competence to possess ethically important interests or capabilities.</w:t>
      </w:r>
    </w:p>
    <w:p>
      <w:pPr>
        <w:pStyle w:val="Heading4"/>
        <w:ind w:hanging="0" w:left="0"/>
        <w:rPr/>
      </w:pPr>
      <w:r>
        <w:rPr/>
        <w:t>Counterargument</w:t>
      </w:r>
    </w:p>
    <w:p>
      <w:pPr>
        <w:pStyle w:val="BodyText"/>
        <w:spacing w:before="0" w:after="200"/>
        <w:rPr/>
      </w:pPr>
      <w:r>
        <w:rPr/>
        <w:t>The Capability Approach objection identifies a necessary refinement rather than a fundamental incompatibility. The framework’s definition of Long-Term Flourishing is already oriented toward capacity and beneficial future possibilities. Properly implemented, it can represent capability sets rather than merely resources or predicted achievements.</w:t>
      </w:r>
    </w:p>
    <w:p>
      <w:pPr>
        <w:pStyle w:val="BodyText"/>
        <w:spacing w:before="0" w:after="200"/>
        <w:rPr/>
      </w:pPr>
      <w:r>
        <w:rPr/>
        <w:t xml:space="preserve">The term </w:t>
      </w:r>
      <w:r>
        <w:rPr>
          <w:rStyle w:val="Strong"/>
        </w:rPr>
        <w:t>future state space</w:t>
      </w:r>
      <w:r>
        <w:rPr/>
        <w:t xml:space="preserve"> should not be interpreted as every logically or physically possible state. It should refer to states that are:</w:t>
      </w:r>
    </w:p>
    <w:p>
      <w:pPr>
        <w:pStyle w:val="BodyText"/>
        <w:numPr>
          <w:ilvl w:val="0"/>
          <w:numId w:val="146"/>
        </w:numPr>
        <w:tabs>
          <w:tab w:val="clear" w:pos="720"/>
          <w:tab w:val="left" w:pos="0" w:leader="none"/>
        </w:tabs>
        <w:spacing w:before="0" w:after="200"/>
        <w:ind w:hanging="283" w:left="709"/>
        <w:rPr/>
      </w:pPr>
      <w:r>
        <w:rPr/>
        <w:t>Valuable for the relevant entity;</w:t>
      </w:r>
    </w:p>
    <w:p>
      <w:pPr>
        <w:pStyle w:val="BodyText"/>
        <w:numPr>
          <w:ilvl w:val="0"/>
          <w:numId w:val="146"/>
        </w:numPr>
        <w:tabs>
          <w:tab w:val="clear" w:pos="720"/>
          <w:tab w:val="left" w:pos="0" w:leader="none"/>
        </w:tabs>
        <w:spacing w:before="0" w:after="200"/>
        <w:ind w:hanging="283" w:left="709"/>
        <w:rPr/>
      </w:pPr>
      <w:r>
        <w:rPr/>
        <w:t>Realistically reachable;</w:t>
      </w:r>
    </w:p>
    <w:p>
      <w:pPr>
        <w:pStyle w:val="BodyText"/>
        <w:numPr>
          <w:ilvl w:val="0"/>
          <w:numId w:val="146"/>
        </w:numPr>
        <w:tabs>
          <w:tab w:val="clear" w:pos="720"/>
          <w:tab w:val="left" w:pos="0" w:leader="none"/>
        </w:tabs>
        <w:spacing w:before="0" w:after="200"/>
        <w:ind w:hanging="283" w:left="709"/>
        <w:rPr/>
      </w:pPr>
      <w:r>
        <w:rPr/>
        <w:t>Supported by necessary conversion conditions;</w:t>
      </w:r>
    </w:p>
    <w:p>
      <w:pPr>
        <w:pStyle w:val="BodyText"/>
        <w:numPr>
          <w:ilvl w:val="0"/>
          <w:numId w:val="146"/>
        </w:numPr>
        <w:tabs>
          <w:tab w:val="clear" w:pos="720"/>
          <w:tab w:val="left" w:pos="0" w:leader="none"/>
        </w:tabs>
        <w:spacing w:before="0" w:after="200"/>
        <w:ind w:hanging="283" w:left="709"/>
        <w:rPr/>
      </w:pPr>
      <w:r>
        <w:rPr/>
        <w:t>Available without unacceptable coercion or sacrifice;</w:t>
      </w:r>
    </w:p>
    <w:p>
      <w:pPr>
        <w:pStyle w:val="BodyText"/>
        <w:numPr>
          <w:ilvl w:val="0"/>
          <w:numId w:val="146"/>
        </w:numPr>
        <w:tabs>
          <w:tab w:val="clear" w:pos="720"/>
          <w:tab w:val="left" w:pos="0" w:leader="none"/>
        </w:tabs>
        <w:spacing w:before="0" w:after="200"/>
        <w:ind w:hanging="283" w:left="709"/>
        <w:rPr/>
      </w:pPr>
      <w:r>
        <w:rPr/>
        <w:t>Sufficiently secure over the relevant time horizon; and</w:t>
      </w:r>
    </w:p>
    <w:p>
      <w:pPr>
        <w:pStyle w:val="BodyText"/>
        <w:numPr>
          <w:ilvl w:val="0"/>
          <w:numId w:val="146"/>
        </w:numPr>
        <w:tabs>
          <w:tab w:val="clear" w:pos="720"/>
          <w:tab w:val="left" w:pos="0" w:leader="none"/>
        </w:tabs>
        <w:spacing w:before="0" w:after="200"/>
        <w:ind w:hanging="283" w:left="709"/>
        <w:rPr/>
      </w:pPr>
      <w:r>
        <w:rPr/>
        <w:t>Compatible with the defensible flourishing of other entities.</w:t>
      </w:r>
    </w:p>
    <w:p>
      <w:pPr>
        <w:pStyle w:val="BodyText"/>
        <w:spacing w:before="0" w:after="200"/>
        <w:rPr/>
      </w:pPr>
      <w:r>
        <w:rPr/>
        <w:t>The framework can also preserve the distinction between capability and functioning. It may evaluate both what an entity actually becomes and what it could genuinely have chosen. The complete World Context Transition includes changes to resources, conversion factors, agency, available options, selected functionings, and future capability security.</w:t>
      </w:r>
    </w:p>
    <w:p>
      <w:pPr>
        <w:pStyle w:val="BodyText"/>
        <w:spacing w:before="0" w:after="200"/>
        <w:rPr/>
      </w:pPr>
      <w:r>
        <w:rPr/>
        <w:t>Capability analysis also strengthens rather than displaces the framework’s systems orientation. Personal freedom is produced through social, institutional, technological, and ecological conditions. The framework’s Associations and World Context can explain why a nominal opportunity is usable for one person but inaccessible to another.</w:t>
      </w:r>
    </w:p>
    <w:p>
      <w:pPr>
        <w:pStyle w:val="BodyText"/>
        <w:spacing w:before="0" w:after="200"/>
        <w:rPr/>
      </w:pPr>
      <w:r>
        <w:rPr/>
        <w:t>The danger of paternalism is real, but it is not resolved by relying exclusively on current preferences. The framework should use affected-party participation, public reasoning, evidence of structural constraint, and opportunities for informed reflection. Its goal should generally be to expand meaningful alternatives rather than compel a preferred functioning.</w:t>
      </w:r>
    </w:p>
    <w:p>
      <w:pPr>
        <w:pStyle w:val="BodyText"/>
        <w:spacing w:before="0" w:after="200"/>
        <w:rPr/>
      </w:pPr>
      <w:r>
        <w:rPr/>
        <w:t>Finally, the framework’s compatibility condition prevents capability expansion from becoming an unrestricted demand for more individual options. A capability to dominate, exploit, deceive, or destroy is not a positive ethical capability merely because an agent values it. The framework evaluates whether the expanded possibility contributes to the agent’s flourishing in a manner compatible with other relevant entities.</w:t>
      </w:r>
    </w:p>
    <w:p>
      <w:pPr>
        <w:pStyle w:val="Heading4"/>
        <w:spacing w:before="0" w:after="0"/>
        <w:ind w:hanging="0" w:left="0"/>
        <w:rPr>
          <w:vanish/>
          <w:specVanish/>
        </w:rPr>
      </w:pPr>
      <w:bookmarkStart w:id="26" w:name="__RefHeading___Toc23504_3508477456"/>
      <w:bookmarkEnd w:id="26"/>
      <w:r>
        <w:rPr/>
        <w:t>Incremental questions the expert should then ask</w:t>
      </w:r>
    </w:p>
    <w:p>
      <w:pPr>
        <w:pStyle w:val="Heading5"/>
        <w:ind w:hanging="0" w:left="0"/>
        <w:rPr/>
      </w:pPr>
      <w:r>
        <w:rPr/>
      </w:r>
    </w:p>
    <w:p>
      <w:pPr>
        <w:pStyle w:val="Heading5"/>
        <w:ind w:hanging="0" w:left="0"/>
        <w:rPr/>
      </w:pPr>
      <w:r>
        <w:rPr/>
        <w:t>1. Who is the subject of capability analysis?</w:t>
      </w:r>
    </w:p>
    <w:p>
      <w:pPr>
        <w:pStyle w:val="BodyText"/>
        <w:spacing w:before="0" w:after="200"/>
        <w:rPr/>
      </w:pPr>
      <w:r>
        <w:rPr>
          <w:rStyle w:val="Strong"/>
        </w:rPr>
        <w:t>Response:</w:t>
      </w:r>
      <w:r>
        <w:rPr/>
        <w:br/>
        <w:t>The framework should identify each substantially affected entity whose valuable possibilities may change. Human persons should ordinarily be assessed individually rather than only through households, organizations, or population averages.</w:t>
      </w:r>
    </w:p>
    <w:p>
      <w:pPr>
        <w:pStyle w:val="Heading5"/>
        <w:ind w:hanging="0" w:left="0"/>
        <w:rPr>
          <w:rFonts w:ascii="Aptos" w:hAnsi="Aptos"/>
          <w:color w:val="auto"/>
        </w:rPr>
      </w:pPr>
      <w:r>
        <w:rPr/>
        <w:t>2. What is the relevant capability set?</w:t>
      </w:r>
    </w:p>
    <w:p>
      <w:pPr>
        <w:pStyle w:val="BodyText"/>
        <w:spacing w:before="0" w:after="200"/>
        <w:rPr/>
      </w:pPr>
      <w:r>
        <w:rPr>
          <w:rStyle w:val="Strong"/>
        </w:rPr>
        <w:t>Response:</w:t>
      </w:r>
      <w:r>
        <w:rPr/>
        <w:br/>
        <w:t>It is the set of valuable states and activities realistically available to the entity, given its characteristics, relationships, resources, environment, institutional conditions, and risks.</w:t>
      </w:r>
    </w:p>
    <w:p>
      <w:pPr>
        <w:pStyle w:val="Heading5"/>
        <w:ind w:hanging="0" w:left="0"/>
        <w:rPr>
          <w:rFonts w:ascii="Aptos" w:hAnsi="Aptos"/>
          <w:color w:val="auto"/>
        </w:rPr>
      </w:pPr>
      <w:r>
        <w:rPr/>
        <w:t>3. How is a capability distinguished from a theoretical possibility?</w:t>
      </w:r>
    </w:p>
    <w:p>
      <w:pPr>
        <w:pStyle w:val="BodyText"/>
        <w:spacing w:before="0" w:after="200"/>
        <w:rPr/>
      </w:pPr>
      <w:r>
        <w:rPr>
          <w:rStyle w:val="Strong"/>
        </w:rPr>
        <w:t>Response:</w:t>
      </w:r>
      <w:r>
        <w:rPr/>
        <w:br/>
        <w:t>A capability requires effective access. The assessment should test whether the entity has the necessary resources, knowledge, skills, legal standing, infrastructure, safety, time, social acceptance, and practical ability.</w:t>
      </w:r>
    </w:p>
    <w:p>
      <w:pPr>
        <w:pStyle w:val="Heading5"/>
        <w:ind w:hanging="0" w:left="0"/>
        <w:rPr>
          <w:rFonts w:ascii="Aptos" w:hAnsi="Aptos"/>
          <w:color w:val="auto"/>
        </w:rPr>
      </w:pPr>
      <w:r>
        <w:rPr/>
        <w:t>4. Who determines which capabilities are valuable?</w:t>
      </w:r>
    </w:p>
    <w:p>
      <w:pPr>
        <w:pStyle w:val="BodyText"/>
        <w:spacing w:before="0" w:after="200"/>
        <w:rPr/>
      </w:pPr>
      <w:r>
        <w:rPr>
          <w:rStyle w:val="Strong"/>
        </w:rPr>
        <w:t>Response:</w:t>
      </w:r>
      <w:r>
        <w:rPr/>
        <w:br/>
        <w:t>Capability selection should combine the entity’s informed perspective, public reasoning, human rights, empirical evidence, domain knowledge, and defensible ethical standards. No single source should automatically control.</w:t>
      </w:r>
    </w:p>
    <w:p>
      <w:pPr>
        <w:pStyle w:val="Heading5"/>
        <w:ind w:hanging="0" w:left="0"/>
        <w:rPr>
          <w:rFonts w:ascii="Aptos" w:hAnsi="Aptos"/>
          <w:color w:val="auto"/>
        </w:rPr>
      </w:pPr>
      <w:r>
        <w:rPr/>
        <w:t>5. Does “reason to value” permit experts to override a person’s choices?</w:t>
      </w:r>
    </w:p>
    <w:p>
      <w:pPr>
        <w:pStyle w:val="BodyText"/>
        <w:spacing w:before="0" w:after="200"/>
        <w:rPr/>
      </w:pPr>
      <w:r>
        <w:rPr>
          <w:rStyle w:val="Strong"/>
        </w:rPr>
        <w:t>Response:</w:t>
      </w:r>
      <w:r>
        <w:rPr/>
        <w:br/>
        <w:t>Not by itself. It requires reasons capable of public scrutiny, not merely expert preference. Intervention against a person’s expressed choice requires additional justification based on coercion, incapacity, severe harm, rights, dependency, or comparable concerns.</w:t>
      </w:r>
    </w:p>
    <w:p>
      <w:pPr>
        <w:pStyle w:val="Heading5"/>
        <w:ind w:hanging="0" w:left="0"/>
        <w:rPr>
          <w:rFonts w:ascii="Aptos" w:hAnsi="Aptos"/>
          <w:color w:val="auto"/>
        </w:rPr>
      </w:pPr>
      <w:r>
        <w:rPr/>
        <w:t>6. How does the framework distinguish a resource from a capability?</w:t>
      </w:r>
    </w:p>
    <w:p>
      <w:pPr>
        <w:pStyle w:val="BodyText"/>
        <w:spacing w:before="0" w:after="200"/>
        <w:rPr/>
      </w:pPr>
      <w:r>
        <w:rPr>
          <w:rStyle w:val="Strong"/>
        </w:rPr>
        <w:t>Response:</w:t>
      </w:r>
      <w:r>
        <w:rPr/>
        <w:br/>
        <w:t>It should trace the conversion process. A resource becomes capability-relevant only when the entity can use it to access a valuable functioning under realistic conditions.</w:t>
      </w:r>
    </w:p>
    <w:p>
      <w:pPr>
        <w:pStyle w:val="Heading5"/>
        <w:ind w:hanging="0" w:left="0"/>
        <w:rPr>
          <w:rFonts w:ascii="Aptos" w:hAnsi="Aptos"/>
          <w:color w:val="auto"/>
        </w:rPr>
      </w:pPr>
      <w:r>
        <w:rPr/>
        <w:t>7. Are personal conversion factors represented?</w:t>
      </w:r>
    </w:p>
    <w:p>
      <w:pPr>
        <w:pStyle w:val="BodyText"/>
        <w:spacing w:before="0" w:after="200"/>
        <w:rPr/>
      </w:pPr>
      <w:r>
        <w:rPr>
          <w:rStyle w:val="Strong"/>
        </w:rPr>
        <w:t>Response:</w:t>
      </w:r>
      <w:r>
        <w:rPr/>
        <w:br/>
        <w:t>They should include health, disability, age, knowledge, skills, metabolism, cognitive conditions, and other characteristics affecting resource use.</w:t>
      </w:r>
    </w:p>
    <w:p>
      <w:pPr>
        <w:pStyle w:val="Heading5"/>
        <w:ind w:hanging="0" w:left="0"/>
        <w:rPr>
          <w:rFonts w:ascii="Aptos" w:hAnsi="Aptos"/>
          <w:color w:val="auto"/>
        </w:rPr>
      </w:pPr>
      <w:r>
        <w:rPr/>
        <w:t>8. Are social conversion factors represented?</w:t>
      </w:r>
    </w:p>
    <w:p>
      <w:pPr>
        <w:pStyle w:val="BodyText"/>
        <w:spacing w:before="0" w:after="200"/>
        <w:rPr/>
      </w:pPr>
      <w:r>
        <w:rPr>
          <w:rStyle w:val="Strong"/>
        </w:rPr>
        <w:t>Response:</w:t>
      </w:r>
      <w:r>
        <w:rPr/>
        <w:br/>
        <w:t>They should include law, discrimination, social norms, family arrangements, language, class, gender, caste, stigma, institutional access, and power.</w:t>
      </w:r>
    </w:p>
    <w:p>
      <w:pPr>
        <w:pStyle w:val="Heading5"/>
        <w:ind w:hanging="0" w:left="0"/>
        <w:rPr>
          <w:rFonts w:ascii="Aptos" w:hAnsi="Aptos"/>
          <w:color w:val="auto"/>
        </w:rPr>
      </w:pPr>
      <w:r>
        <w:rPr/>
        <w:t>9. Are environmental and technological conversion factors represented?</w:t>
      </w:r>
    </w:p>
    <w:p>
      <w:pPr>
        <w:pStyle w:val="BodyText"/>
        <w:spacing w:before="0" w:after="200"/>
        <w:rPr/>
      </w:pPr>
      <w:r>
        <w:rPr>
          <w:rStyle w:val="Strong"/>
        </w:rPr>
        <w:t>Response:</w:t>
      </w:r>
      <w:r>
        <w:rPr/>
        <w:br/>
        <w:t>They should include geography, climate, pollution, transportation, accessibility, communications, infrastructure, platform design, interoperability, and exposure to hazards.</w:t>
      </w:r>
    </w:p>
    <w:p>
      <w:pPr>
        <w:pStyle w:val="Heading5"/>
        <w:ind w:hanging="0" w:left="0"/>
        <w:rPr>
          <w:rFonts w:ascii="Aptos" w:hAnsi="Aptos"/>
          <w:color w:val="auto"/>
        </w:rPr>
      </w:pPr>
      <w:r>
        <w:rPr/>
        <w:t>10. Does the assessment report capabilities or only achieved functionings?</w:t>
      </w:r>
    </w:p>
    <w:p>
      <w:pPr>
        <w:pStyle w:val="BodyText"/>
        <w:spacing w:before="0" w:after="200"/>
        <w:rPr/>
      </w:pPr>
      <w:r>
        <w:rPr>
          <w:rStyle w:val="Strong"/>
        </w:rPr>
        <w:t>Response:</w:t>
      </w:r>
      <w:r>
        <w:rPr/>
        <w:br/>
        <w:t>It should report both where material. Functionings describe actual outcomes; capabilities describe the meaningful alternatives available before and after the action.</w:t>
      </w:r>
    </w:p>
    <w:p>
      <w:pPr>
        <w:pStyle w:val="Heading5"/>
        <w:ind w:hanging="0" w:left="0"/>
        <w:rPr>
          <w:rFonts w:ascii="Aptos" w:hAnsi="Aptos"/>
          <w:color w:val="auto"/>
        </w:rPr>
      </w:pPr>
      <w:r>
        <w:rPr/>
        <w:t>11. How will the framework determine whether an outcome was chosen?</w:t>
      </w:r>
    </w:p>
    <w:p>
      <w:pPr>
        <w:pStyle w:val="BodyText"/>
        <w:spacing w:before="0" w:after="200"/>
        <w:rPr/>
      </w:pPr>
      <w:r>
        <w:rPr>
          <w:rStyle w:val="Strong"/>
        </w:rPr>
        <w:t>Response:</w:t>
      </w:r>
      <w:r>
        <w:rPr/>
        <w:br/>
        <w:t>It should examine available alternatives, informed consent, coercion, dependency, consequences of refusal, information quality, and whether the entity could realistically have selected another option.</w:t>
      </w:r>
    </w:p>
    <w:p>
      <w:pPr>
        <w:pStyle w:val="Heading5"/>
        <w:ind w:hanging="0" w:left="0"/>
        <w:rPr>
          <w:rFonts w:ascii="Aptos" w:hAnsi="Aptos"/>
          <w:color w:val="auto"/>
        </w:rPr>
      </w:pPr>
      <w:r>
        <w:rPr/>
        <w:t>12. What if a person chooses a functioning that reduces personal well-being?</w:t>
      </w:r>
    </w:p>
    <w:p>
      <w:pPr>
        <w:pStyle w:val="BodyText"/>
        <w:spacing w:before="0" w:after="200"/>
        <w:rPr/>
      </w:pPr>
      <w:r>
        <w:rPr>
          <w:rStyle w:val="Strong"/>
        </w:rPr>
        <w:t>Response:</w:t>
      </w:r>
      <w:r>
        <w:rPr/>
        <w:br/>
        <w:t>The framework should distinguish well-being from agency. A voluntary sacrifice for family, political principle, religious commitment, or another legitimate objective may express agency even while reducing personal welfare.</w:t>
      </w:r>
    </w:p>
    <w:p>
      <w:pPr>
        <w:pStyle w:val="Heading5"/>
        <w:ind w:hanging="0" w:left="0"/>
        <w:rPr>
          <w:rFonts w:ascii="Aptos" w:hAnsi="Aptos"/>
          <w:color w:val="auto"/>
        </w:rPr>
      </w:pPr>
      <w:r>
        <w:rPr/>
        <w:t>13. What if the choice materially harms others?</w:t>
      </w:r>
    </w:p>
    <w:p>
      <w:pPr>
        <w:pStyle w:val="BodyText"/>
        <w:spacing w:before="0" w:after="200"/>
        <w:rPr/>
      </w:pPr>
      <w:r>
        <w:rPr>
          <w:rStyle w:val="Strong"/>
        </w:rPr>
        <w:t>Response:</w:t>
      </w:r>
      <w:r>
        <w:rPr/>
        <w:br/>
        <w:t>Agency is not unrestricted. The action must also be evaluated for compatibility with the flourishing and capabilities of other relevant entities.</w:t>
      </w:r>
    </w:p>
    <w:p>
      <w:pPr>
        <w:pStyle w:val="Heading5"/>
        <w:ind w:hanging="0" w:left="0"/>
        <w:rPr>
          <w:rFonts w:ascii="Aptos" w:hAnsi="Aptos"/>
          <w:color w:val="auto"/>
        </w:rPr>
      </w:pPr>
      <w:r>
        <w:rPr/>
        <w:t>14. How are adaptive preferences identified?</w:t>
      </w:r>
    </w:p>
    <w:p>
      <w:pPr>
        <w:pStyle w:val="BodyText"/>
        <w:spacing w:before="0" w:after="200"/>
        <w:rPr/>
      </w:pPr>
      <w:r>
        <w:rPr>
          <w:rStyle w:val="Strong"/>
        </w:rPr>
        <w:t>Response:</w:t>
      </w:r>
      <w:r>
        <w:rPr/>
        <w:br/>
        <w:t>Potential indicators include absence of meaningful alternatives, chronic deprivation, internalized discrimination, fear of retaliation, misinformation, social isolation, and preferences that change substantially when secure alternatives become visible.</w:t>
      </w:r>
    </w:p>
    <w:p>
      <w:pPr>
        <w:pStyle w:val="Heading5"/>
        <w:ind w:hanging="0" w:left="0"/>
        <w:rPr>
          <w:rFonts w:ascii="Aptos" w:hAnsi="Aptos"/>
          <w:color w:val="auto"/>
        </w:rPr>
      </w:pPr>
      <w:r>
        <w:rPr/>
        <w:t>15. Could adaptive-preference analysis become paternalistic?</w:t>
      </w:r>
    </w:p>
    <w:p>
      <w:pPr>
        <w:pStyle w:val="BodyText"/>
        <w:spacing w:before="0" w:after="200"/>
        <w:rPr/>
      </w:pPr>
      <w:r>
        <w:rPr>
          <w:rStyle w:val="Strong"/>
        </w:rPr>
        <w:t>Response:</w:t>
      </w:r>
      <w:r>
        <w:rPr/>
        <w:br/>
        <w:t>Yes. The preferred response is to expand information, safety, voice, and alternatives while preserving the person’s authority to reflect and choose. Compulsion requires independent justification.</w:t>
      </w:r>
    </w:p>
    <w:p>
      <w:pPr>
        <w:pStyle w:val="Heading5"/>
        <w:ind w:hanging="0" w:left="0"/>
        <w:rPr>
          <w:rFonts w:ascii="Aptos" w:hAnsi="Aptos"/>
          <w:color w:val="auto"/>
        </w:rPr>
      </w:pPr>
      <w:r>
        <w:rPr/>
        <w:t>16. Does the framework treat more options as automatically better?</w:t>
      </w:r>
    </w:p>
    <w:p>
      <w:pPr>
        <w:pStyle w:val="BodyText"/>
        <w:spacing w:before="0" w:after="200"/>
        <w:rPr/>
      </w:pPr>
      <w:r>
        <w:rPr>
          <w:rStyle w:val="Strong"/>
        </w:rPr>
        <w:t>Response:</w:t>
      </w:r>
      <w:r>
        <w:rPr/>
        <w:br/>
        <w:t>No. It should evaluate option value, accessibility, diversity, independence, safety, dignity, security, and compatibility. Trivial or manipulative options add little capability.</w:t>
      </w:r>
    </w:p>
    <w:p>
      <w:pPr>
        <w:pStyle w:val="Heading5"/>
        <w:ind w:hanging="0" w:left="0"/>
        <w:rPr>
          <w:rFonts w:ascii="Aptos" w:hAnsi="Aptos"/>
          <w:color w:val="auto"/>
        </w:rPr>
      </w:pPr>
      <w:r>
        <w:rPr/>
        <w:t>17. How are deceptive or dominated options treated?</w:t>
      </w:r>
    </w:p>
    <w:p>
      <w:pPr>
        <w:pStyle w:val="BodyText"/>
        <w:spacing w:before="0" w:after="200"/>
        <w:rPr/>
      </w:pPr>
      <w:r>
        <w:rPr>
          <w:rStyle w:val="Strong"/>
        </w:rPr>
        <w:t>Response:</w:t>
      </w:r>
      <w:r>
        <w:rPr/>
        <w:br/>
        <w:t>An option should not receive full capability value when it is presented misleadingly or when one alternative is made practically unavoidable through penalties, dependency, or coercive defaults.</w:t>
      </w:r>
    </w:p>
    <w:p>
      <w:pPr>
        <w:pStyle w:val="Heading5"/>
        <w:ind w:hanging="0" w:left="0"/>
        <w:rPr>
          <w:rFonts w:ascii="Aptos" w:hAnsi="Aptos"/>
          <w:color w:val="auto"/>
        </w:rPr>
      </w:pPr>
      <w:r>
        <w:rPr/>
        <w:t>18. Does the framework distinguish opportunity freedom from process freedom?</w:t>
      </w:r>
    </w:p>
    <w:p>
      <w:pPr>
        <w:pStyle w:val="BodyText"/>
        <w:spacing w:before="0" w:after="200"/>
        <w:rPr/>
      </w:pPr>
      <w:r>
        <w:rPr>
          <w:rStyle w:val="Strong"/>
        </w:rPr>
        <w:t>Response:</w:t>
      </w:r>
      <w:r>
        <w:rPr/>
        <w:br/>
        <w:t>It should. A person may receive a beneficial outcome through a coercive process, or participate in a fair process that produces an inadequate opportunity set. Both dimensions matter.</w:t>
      </w:r>
    </w:p>
    <w:p>
      <w:pPr>
        <w:pStyle w:val="Heading5"/>
        <w:ind w:hanging="0" w:left="0"/>
        <w:rPr>
          <w:rFonts w:ascii="Aptos" w:hAnsi="Aptos"/>
          <w:color w:val="auto"/>
        </w:rPr>
      </w:pPr>
      <w:r>
        <w:rPr/>
        <w:t>19. How are agency and well-being reported?</w:t>
      </w:r>
    </w:p>
    <w:p>
      <w:pPr>
        <w:pStyle w:val="BodyText"/>
        <w:spacing w:before="0" w:after="200"/>
        <w:rPr/>
      </w:pPr>
      <w:r>
        <w:rPr>
          <w:rStyle w:val="Strong"/>
        </w:rPr>
        <w:t>Response:</w:t>
      </w:r>
      <w:r>
        <w:rPr/>
        <w:br/>
        <w:t>They should be separate analytical dimensions. This prevents improvements in welfare from automatically concealing losses of autonomy, participation, or practical reason.</w:t>
      </w:r>
    </w:p>
    <w:p>
      <w:pPr>
        <w:pStyle w:val="Heading5"/>
        <w:ind w:hanging="0" w:left="0"/>
        <w:rPr>
          <w:rFonts w:ascii="Aptos" w:hAnsi="Aptos"/>
          <w:color w:val="auto"/>
        </w:rPr>
      </w:pPr>
      <w:r>
        <w:rPr/>
        <w:t>20. Are capability effects disaggregated for each person?</w:t>
      </w:r>
    </w:p>
    <w:p>
      <w:pPr>
        <w:pStyle w:val="BodyText"/>
        <w:spacing w:before="0" w:after="200"/>
        <w:rPr/>
      </w:pPr>
      <w:r>
        <w:rPr>
          <w:rStyle w:val="Strong"/>
        </w:rPr>
        <w:t>Response:</w:t>
      </w:r>
      <w:r>
        <w:rPr/>
        <w:br/>
        <w:t>High-stakes assessments should identify individual or subgroup effects wherever feasible. Population averages are insufficient when they conceal severe deprivation.</w:t>
      </w:r>
    </w:p>
    <w:p>
      <w:pPr>
        <w:pStyle w:val="Heading5"/>
        <w:ind w:hanging="0" w:left="0"/>
        <w:rPr>
          <w:rFonts w:ascii="Aptos" w:hAnsi="Aptos"/>
          <w:color w:val="auto"/>
        </w:rPr>
      </w:pPr>
      <w:r>
        <w:rPr/>
        <w:t>21. What capability thresholds apply?</w:t>
      </w:r>
    </w:p>
    <w:p>
      <w:pPr>
        <w:pStyle w:val="BodyText"/>
        <w:spacing w:before="0" w:after="200"/>
        <w:rPr/>
      </w:pPr>
      <w:r>
        <w:rPr>
          <w:rStyle w:val="Strong"/>
        </w:rPr>
        <w:t>Response:</w:t>
      </w:r>
      <w:r>
        <w:rPr/>
        <w:br/>
        <w:t>Thresholds should be specified by domain and context through defensible ethical reasoning. For human applications, Nussbaum’s Central Capabilities can supply a starting point, but operational thresholds require further justification.</w:t>
      </w:r>
    </w:p>
    <w:p>
      <w:pPr>
        <w:pStyle w:val="Heading5"/>
        <w:ind w:hanging="0" w:left="0"/>
        <w:rPr>
          <w:rFonts w:ascii="Aptos" w:hAnsi="Aptos"/>
          <w:color w:val="auto"/>
        </w:rPr>
      </w:pPr>
      <w:r>
        <w:rPr/>
        <w:t>22. Can gains above a threshold compensate for losses below it?</w:t>
      </w:r>
    </w:p>
    <w:p>
      <w:pPr>
        <w:pStyle w:val="BodyText"/>
        <w:spacing w:before="0" w:after="200"/>
        <w:rPr/>
      </w:pPr>
      <w:r>
        <w:rPr>
          <w:rStyle w:val="Strong"/>
        </w:rPr>
        <w:t>Response:</w:t>
      </w:r>
      <w:r>
        <w:rPr/>
        <w:br/>
        <w:t>Not automatically. Severe deprivation below a threshold should normally trigger priority, a presumption against trade-off, or a requirement for stringent necessity and mitigation.</w:t>
      </w:r>
    </w:p>
    <w:p>
      <w:pPr>
        <w:pStyle w:val="Heading5"/>
        <w:ind w:hanging="0" w:left="0"/>
        <w:rPr>
          <w:rFonts w:ascii="Aptos" w:hAnsi="Aptos"/>
          <w:color w:val="auto"/>
        </w:rPr>
      </w:pPr>
      <w:r>
        <w:rPr/>
        <w:t>23. What if protecting every threshold is infeasible?</w:t>
      </w:r>
    </w:p>
    <w:p>
      <w:pPr>
        <w:pStyle w:val="BodyText"/>
        <w:spacing w:before="0" w:after="200"/>
        <w:rPr/>
      </w:pPr>
      <w:r>
        <w:rPr>
          <w:rStyle w:val="Strong"/>
        </w:rPr>
        <w:t>Response:</w:t>
      </w:r>
      <w:r>
        <w:rPr/>
        <w:br/>
        <w:t>The framework should disclose the scarcity or constraint, compare alternatives, prioritize the most severe and remediable deprivations, and preserve duties of future correction. Infeasibility should not make the deprivation ethically invisible.</w:t>
      </w:r>
    </w:p>
    <w:p>
      <w:pPr>
        <w:pStyle w:val="Heading5"/>
        <w:ind w:hanging="0" w:left="0"/>
        <w:rPr>
          <w:rFonts w:ascii="Aptos" w:hAnsi="Aptos"/>
          <w:color w:val="auto"/>
        </w:rPr>
      </w:pPr>
      <w:r>
        <w:rPr/>
        <w:t>24. How are disabilities and differing needs handled?</w:t>
      </w:r>
    </w:p>
    <w:p>
      <w:pPr>
        <w:pStyle w:val="BodyText"/>
        <w:spacing w:before="0" w:after="200"/>
        <w:rPr/>
      </w:pPr>
      <w:r>
        <w:rPr>
          <w:rStyle w:val="Strong"/>
        </w:rPr>
        <w:t>Response:</w:t>
      </w:r>
      <w:r>
        <w:rPr/>
        <w:br/>
        <w:t>The framework should assess the resources and support each person requires to obtain comparable substantive capabilities. Equal treatment may require unequal resource provision.</w:t>
      </w:r>
    </w:p>
    <w:p>
      <w:pPr>
        <w:pStyle w:val="Heading5"/>
        <w:ind w:hanging="0" w:left="0"/>
        <w:rPr>
          <w:rFonts w:ascii="Aptos" w:hAnsi="Aptos"/>
          <w:color w:val="auto"/>
        </w:rPr>
      </w:pPr>
      <w:r>
        <w:rPr/>
        <w:t>25. How are children and people with limited decision capacity treated?</w:t>
      </w:r>
    </w:p>
    <w:p>
      <w:pPr>
        <w:pStyle w:val="BodyText"/>
        <w:spacing w:before="0" w:after="200"/>
        <w:rPr/>
      </w:pPr>
      <w:r>
        <w:rPr>
          <w:rStyle w:val="Strong"/>
        </w:rPr>
        <w:t>Response:</w:t>
      </w:r>
      <w:r>
        <w:rPr/>
        <w:br/>
        <w:t>The framework should consider current functionings, developing capabilities, supported decision-making, dependency, care, protection from harm, and future agency. Present preference cannot be the only consideration.</w:t>
      </w:r>
    </w:p>
    <w:p>
      <w:pPr>
        <w:pStyle w:val="Heading5"/>
        <w:ind w:hanging="0" w:left="0"/>
        <w:rPr>
          <w:rFonts w:ascii="Aptos" w:hAnsi="Aptos"/>
          <w:color w:val="auto"/>
        </w:rPr>
      </w:pPr>
      <w:r>
        <w:rPr/>
        <w:t>26. How are collective capabilities represented?</w:t>
      </w:r>
    </w:p>
    <w:p>
      <w:pPr>
        <w:pStyle w:val="BodyText"/>
        <w:spacing w:before="0" w:after="200"/>
        <w:rPr/>
      </w:pPr>
      <w:r>
        <w:rPr>
          <w:rStyle w:val="Strong"/>
        </w:rPr>
        <w:t>Response:</w:t>
      </w:r>
      <w:r>
        <w:rPr/>
        <w:br/>
        <w:t>The framework can identify capabilities that depend on shared institutions, cultural practices, public goods, political coordination, or ecological conditions while still examining their distribution among individuals.</w:t>
      </w:r>
    </w:p>
    <w:p>
      <w:pPr>
        <w:pStyle w:val="Heading5"/>
        <w:ind w:hanging="0" w:left="0"/>
        <w:rPr>
          <w:rFonts w:ascii="Aptos" w:hAnsi="Aptos"/>
          <w:color w:val="auto"/>
        </w:rPr>
      </w:pPr>
      <w:r>
        <w:rPr/>
        <w:t>27. Can collective capability override an individual capability?</w:t>
      </w:r>
    </w:p>
    <w:p>
      <w:pPr>
        <w:pStyle w:val="BodyText"/>
        <w:spacing w:before="0" w:after="200"/>
        <w:rPr/>
      </w:pPr>
      <w:r>
        <w:rPr>
          <w:rStyle w:val="Strong"/>
        </w:rPr>
        <w:t>Response:</w:t>
      </w:r>
      <w:r>
        <w:rPr/>
        <w:br/>
        <w:t>Only with justification. The assessment should examine necessity, proportionality, distribution, alternatives, rights, thresholds, and whether the affected person retains meaningful voice and protection.</w:t>
      </w:r>
    </w:p>
    <w:p>
      <w:pPr>
        <w:pStyle w:val="Heading5"/>
        <w:ind w:hanging="0" w:left="0"/>
        <w:rPr>
          <w:rFonts w:ascii="Aptos" w:hAnsi="Aptos"/>
          <w:color w:val="auto"/>
        </w:rPr>
      </w:pPr>
      <w:r>
        <w:rPr/>
        <w:t>28. How is capability security measured?</w:t>
      </w:r>
    </w:p>
    <w:p>
      <w:pPr>
        <w:pStyle w:val="BodyText"/>
        <w:spacing w:before="0" w:after="200"/>
        <w:rPr/>
      </w:pPr>
      <w:r>
        <w:rPr>
          <w:rStyle w:val="Strong"/>
        </w:rPr>
        <w:t>Response:</w:t>
      </w:r>
      <w:r>
        <w:rPr/>
        <w:br/>
        <w:t>Relevant considerations include duration, predictability, legal protection, dependence on arbitrary authority, resilience to foreseeable shocks, and availability of remedies when access is withdrawn.</w:t>
      </w:r>
    </w:p>
    <w:p>
      <w:pPr>
        <w:pStyle w:val="Heading5"/>
        <w:ind w:hanging="0" w:left="0"/>
        <w:rPr>
          <w:rFonts w:ascii="Aptos" w:hAnsi="Aptos"/>
          <w:color w:val="auto"/>
        </w:rPr>
      </w:pPr>
      <w:r>
        <w:rPr/>
        <w:t>29. How are future capabilities evaluated?</w:t>
      </w:r>
    </w:p>
    <w:p>
      <w:pPr>
        <w:pStyle w:val="BodyText"/>
        <w:spacing w:before="0" w:after="200"/>
        <w:rPr/>
      </w:pPr>
      <w:r>
        <w:rPr>
          <w:rStyle w:val="Strong"/>
        </w:rPr>
        <w:t>Response:</w:t>
      </w:r>
      <w:r>
        <w:rPr/>
        <w:br/>
        <w:t>The framework should assess whether current actions preserve the resources, institutions, relationships, ecosystems, knowledge, and infrastructure needed for future capability.</w:t>
      </w:r>
    </w:p>
    <w:p>
      <w:pPr>
        <w:pStyle w:val="Heading5"/>
        <w:ind w:hanging="0" w:left="0"/>
        <w:rPr>
          <w:rFonts w:ascii="Aptos" w:hAnsi="Aptos"/>
          <w:color w:val="auto"/>
        </w:rPr>
      </w:pPr>
      <w:r>
        <w:rPr/>
        <w:t>30. How are capabilities measured when they are counterfactual?</w:t>
      </w:r>
    </w:p>
    <w:p>
      <w:pPr>
        <w:pStyle w:val="BodyText"/>
        <w:spacing w:before="0" w:after="200"/>
        <w:rPr/>
      </w:pPr>
      <w:r>
        <w:rPr>
          <w:rStyle w:val="Strong"/>
        </w:rPr>
        <w:t>Response:</w:t>
      </w:r>
      <w:r>
        <w:rPr/>
        <w:br/>
        <w:t>Direct observation of functionings is insufficient. Assessment may require surveys, scenario analysis, behavioral evidence, accessibility testing, institutional data, testimony, and examination of the consequences of attempting to choose differently.</w:t>
      </w:r>
    </w:p>
    <w:p>
      <w:pPr>
        <w:pStyle w:val="Heading5"/>
        <w:ind w:hanging="0" w:left="0"/>
        <w:rPr>
          <w:rFonts w:ascii="Aptos" w:hAnsi="Aptos"/>
          <w:color w:val="auto"/>
        </w:rPr>
      </w:pPr>
      <w:r>
        <w:rPr/>
        <w:t>31. Can capability dimensions be aggregated?</w:t>
      </w:r>
    </w:p>
    <w:p>
      <w:pPr>
        <w:pStyle w:val="BodyText"/>
        <w:spacing w:before="0" w:after="200"/>
        <w:rPr/>
      </w:pPr>
      <w:r>
        <w:rPr>
          <w:rStyle w:val="Strong"/>
        </w:rPr>
        <w:t>Response:</w:t>
      </w:r>
      <w:r>
        <w:rPr/>
        <w:br/>
        <w:t>Limited aggregation may support comparison, but the underlying dimensions, thresholds, and distribution should remain visible. A composite score should not erase severe deprivation.</w:t>
      </w:r>
    </w:p>
    <w:p>
      <w:pPr>
        <w:pStyle w:val="Heading5"/>
        <w:ind w:hanging="0" w:left="0"/>
        <w:rPr>
          <w:rFonts w:ascii="Aptos" w:hAnsi="Aptos"/>
          <w:color w:val="auto"/>
        </w:rPr>
      </w:pPr>
      <w:r>
        <w:rPr/>
        <w:t>32. Who determines capability weights?</w:t>
      </w:r>
    </w:p>
    <w:p>
      <w:pPr>
        <w:pStyle w:val="BodyText"/>
        <w:spacing w:before="0" w:after="200"/>
        <w:rPr/>
      </w:pPr>
      <w:r>
        <w:rPr>
          <w:rStyle w:val="Strong"/>
        </w:rPr>
        <w:t>Response:</w:t>
      </w:r>
      <w:r>
        <w:rPr/>
        <w:br/>
        <w:t>Weights should be explicit and contestable. They may be informed by public reasoning, constitutional commitments, empirical evidence, affected-party judgment, and the purpose of the assessment.</w:t>
      </w:r>
    </w:p>
    <w:p>
      <w:pPr>
        <w:pStyle w:val="Heading5"/>
        <w:ind w:hanging="0" w:left="0"/>
        <w:rPr>
          <w:rFonts w:ascii="Aptos" w:hAnsi="Aptos"/>
          <w:color w:val="auto"/>
        </w:rPr>
      </w:pPr>
      <w:r>
        <w:rPr/>
        <w:t>33. How does uncertainty affect capability assessment?</w:t>
      </w:r>
    </w:p>
    <w:p>
      <w:pPr>
        <w:pStyle w:val="BodyText"/>
        <w:spacing w:before="0" w:after="200"/>
        <w:rPr/>
      </w:pPr>
      <w:r>
        <w:rPr>
          <w:rStyle w:val="Strong"/>
        </w:rPr>
        <w:t>Response:</w:t>
      </w:r>
      <w:r>
        <w:rPr/>
        <w:br/>
        <w:t>The framework should report confidence in both predicted functionings and estimated capability sets. Uncertainty about effective access should not be silently treated as proof that access exists.</w:t>
      </w:r>
    </w:p>
    <w:p>
      <w:pPr>
        <w:pStyle w:val="Heading5"/>
        <w:ind w:hanging="0" w:left="0"/>
        <w:rPr>
          <w:rFonts w:ascii="Aptos" w:hAnsi="Aptos"/>
          <w:color w:val="auto"/>
        </w:rPr>
      </w:pPr>
      <w:r>
        <w:rPr/>
        <w:t>34. How are capability losses assigned to responsible actors?</w:t>
      </w:r>
    </w:p>
    <w:p>
      <w:pPr>
        <w:pStyle w:val="BodyText"/>
        <w:spacing w:before="0" w:after="200"/>
        <w:rPr/>
      </w:pPr>
      <w:r>
        <w:rPr>
          <w:rStyle w:val="Strong"/>
        </w:rPr>
        <w:t>Response:</w:t>
      </w:r>
      <w:r>
        <w:rPr/>
        <w:br/>
        <w:t>Responsibility depends on causal contribution, authority, role, knowledge, alternatives, foreseeability, benefit, and capacity to prevent or repair the deprivation.</w:t>
      </w:r>
    </w:p>
    <w:p>
      <w:pPr>
        <w:pStyle w:val="Heading5"/>
        <w:ind w:hanging="0" w:left="0"/>
        <w:rPr>
          <w:rFonts w:ascii="Aptos" w:hAnsi="Aptos"/>
          <w:color w:val="auto"/>
        </w:rPr>
      </w:pPr>
      <w:r>
        <w:rPr/>
        <w:t>35. Can corporations or institutions possess capabilities?</w:t>
      </w:r>
    </w:p>
    <w:p>
      <w:pPr>
        <w:pStyle w:val="BodyText"/>
        <w:spacing w:before="0" w:after="200"/>
        <w:rPr/>
      </w:pPr>
      <w:r>
        <w:rPr>
          <w:rStyle w:val="Strong"/>
        </w:rPr>
        <w:t>Response:</w:t>
      </w:r>
      <w:r>
        <w:rPr/>
        <w:br/>
        <w:t>They possess operational capacities and options, but these should not automatically receive the same moral status as human capabilities. Institutional capacities should generally be evaluated partly by the defensible capabilities they support.</w:t>
      </w:r>
    </w:p>
    <w:p>
      <w:pPr>
        <w:pStyle w:val="Heading5"/>
        <w:ind w:hanging="0" w:left="0"/>
        <w:rPr>
          <w:rFonts w:ascii="Aptos" w:hAnsi="Aptos"/>
          <w:color w:val="auto"/>
        </w:rPr>
      </w:pPr>
      <w:r>
        <w:rPr/>
        <w:t>36. Can artificial systems possess capabilities?</w:t>
      </w:r>
    </w:p>
    <w:p>
      <w:pPr>
        <w:pStyle w:val="BodyText"/>
        <w:spacing w:before="0" w:after="200"/>
        <w:rPr/>
      </w:pPr>
      <w:r>
        <w:rPr>
          <w:rStyle w:val="Strong"/>
        </w:rPr>
        <w:t>Response:</w:t>
      </w:r>
      <w:r>
        <w:rPr/>
        <w:br/>
        <w:t>Artificial systems can possess action possibilities and adaptive capacities. Whether these constitute morally significant capabilities depends on unresolved questions concerning agency, experience, autonomy, persistence, and vulnerability.</w:t>
      </w:r>
    </w:p>
    <w:p>
      <w:pPr>
        <w:pStyle w:val="Heading5"/>
        <w:ind w:hanging="0" w:left="0"/>
        <w:rPr>
          <w:rFonts w:ascii="Aptos" w:hAnsi="Aptos"/>
          <w:color w:val="auto"/>
        </w:rPr>
      </w:pPr>
      <w:r>
        <w:rPr/>
        <w:t>37. Can nonhuman animals be included?</w:t>
      </w:r>
    </w:p>
    <w:p>
      <w:pPr>
        <w:pStyle w:val="BodyText"/>
        <w:spacing w:before="0" w:after="200"/>
        <w:rPr/>
      </w:pPr>
      <w:r>
        <w:rPr>
          <w:rStyle w:val="Strong"/>
        </w:rPr>
        <w:t>Response:</w:t>
      </w:r>
      <w:r>
        <w:rPr/>
        <w:br/>
        <w:t>Yes. Entity-specific capability profiles can address species-appropriate movement, sociality, health, play, bodily integrity, environmental interaction, and freedom from avoidable suffering.</w:t>
      </w:r>
    </w:p>
    <w:p>
      <w:pPr>
        <w:pStyle w:val="Heading5"/>
        <w:ind w:hanging="0" w:left="0"/>
        <w:rPr>
          <w:rFonts w:ascii="Aptos" w:hAnsi="Aptos"/>
          <w:color w:val="auto"/>
        </w:rPr>
      </w:pPr>
      <w:r>
        <w:rPr/>
        <w:t>38. How is the framework itself evaluated from a capability perspective?</w:t>
      </w:r>
    </w:p>
    <w:p>
      <w:pPr>
        <w:pStyle w:val="BodyText"/>
        <w:spacing w:before="0" w:after="200"/>
        <w:rPr/>
      </w:pPr>
      <w:r>
        <w:rPr>
          <w:rStyle w:val="Strong"/>
        </w:rPr>
        <w:t>Response:</w:t>
      </w:r>
      <w:r>
        <w:rPr/>
        <w:br/>
        <w:t>Its deployment should be assessed for effects on voice, appeal, information access, practical reason, non-humiliation, privacy, and control over decisions. A capability framework that reduces affected persons’ agency would be self-undermining.</w:t>
      </w:r>
    </w:p>
    <w:p>
      <w:pPr>
        <w:pStyle w:val="Heading4"/>
        <w:ind w:hanging="0" w:left="0"/>
        <w:rPr>
          <w:rFonts w:ascii="Aptos" w:hAnsi="Aptos"/>
          <w:color w:val="auto"/>
        </w:rPr>
      </w:pPr>
      <w:r>
        <w:rPr/>
        <w:t>Remaining open issues</w:t>
      </w:r>
    </w:p>
    <w:p>
      <w:pPr>
        <w:pStyle w:val="BodyText"/>
        <w:numPr>
          <w:ilvl w:val="0"/>
          <w:numId w:val="147"/>
        </w:numPr>
        <w:tabs>
          <w:tab w:val="clear" w:pos="720"/>
          <w:tab w:val="left" w:pos="0" w:leader="none"/>
        </w:tabs>
        <w:spacing w:before="0" w:after="200"/>
        <w:ind w:hanging="283" w:left="709"/>
        <w:rPr/>
      </w:pPr>
      <w:r>
        <w:rPr>
          <w:rStyle w:val="Strong"/>
        </w:rPr>
        <w:t>Selection of relevant capabilities.</w:t>
      </w:r>
      <w:r>
        <w:rPr/>
        <w:br/>
        <w:t>Sen’s open approach and Nussbaum’s specified list offer different methods, neither of which resolves every application.</w:t>
      </w:r>
    </w:p>
    <w:p>
      <w:pPr>
        <w:pStyle w:val="BodyText"/>
        <w:numPr>
          <w:ilvl w:val="0"/>
          <w:numId w:val="147"/>
        </w:numPr>
        <w:tabs>
          <w:tab w:val="clear" w:pos="720"/>
          <w:tab w:val="left" w:pos="0" w:leader="none"/>
        </w:tabs>
        <w:spacing w:before="0" w:after="200"/>
        <w:ind w:hanging="283" w:left="709"/>
        <w:rPr/>
      </w:pPr>
      <w:r>
        <w:rPr>
          <w:rStyle w:val="Strong"/>
        </w:rPr>
        <w:t>Capability weighting.</w:t>
      </w:r>
      <w:r>
        <w:rPr/>
        <w:br/>
        <w:t>There is no universally accepted method for assigning relative importance across capability dimensions.</w:t>
      </w:r>
    </w:p>
    <w:p>
      <w:pPr>
        <w:pStyle w:val="BodyText"/>
        <w:numPr>
          <w:ilvl w:val="0"/>
          <w:numId w:val="147"/>
        </w:numPr>
        <w:tabs>
          <w:tab w:val="clear" w:pos="720"/>
          <w:tab w:val="left" w:pos="0" w:leader="none"/>
        </w:tabs>
        <w:spacing w:before="0" w:after="200"/>
        <w:ind w:hanging="283" w:left="709"/>
        <w:rPr/>
      </w:pPr>
      <w:r>
        <w:rPr>
          <w:rStyle w:val="Strong"/>
        </w:rPr>
        <w:t>Threshold determination.</w:t>
      </w:r>
      <w:r>
        <w:rPr/>
        <w:br/>
        <w:t>The level required for dignity, justice, or adequate flourishing remains context-dependent and contested.</w:t>
      </w:r>
    </w:p>
    <w:p>
      <w:pPr>
        <w:pStyle w:val="BodyText"/>
        <w:numPr>
          <w:ilvl w:val="0"/>
          <w:numId w:val="147"/>
        </w:numPr>
        <w:tabs>
          <w:tab w:val="clear" w:pos="720"/>
          <w:tab w:val="left" w:pos="0" w:leader="none"/>
        </w:tabs>
        <w:spacing w:before="0" w:after="200"/>
        <w:ind w:hanging="283" w:left="709"/>
        <w:rPr/>
      </w:pPr>
      <w:r>
        <w:rPr>
          <w:rStyle w:val="Strong"/>
        </w:rPr>
        <w:t>Measurement of counterfactual opportunity.</w:t>
      </w:r>
      <w:r>
        <w:rPr/>
        <w:br/>
        <w:t>Capabilities concern what a person could genuinely do, which is harder to observe than achieved functionings.</w:t>
      </w:r>
    </w:p>
    <w:p>
      <w:pPr>
        <w:pStyle w:val="BodyText"/>
        <w:numPr>
          <w:ilvl w:val="0"/>
          <w:numId w:val="147"/>
        </w:numPr>
        <w:tabs>
          <w:tab w:val="clear" w:pos="720"/>
          <w:tab w:val="left" w:pos="0" w:leader="none"/>
        </w:tabs>
        <w:spacing w:before="0" w:after="200"/>
        <w:ind w:hanging="283" w:left="709"/>
        <w:rPr/>
      </w:pPr>
      <w:r>
        <w:rPr>
          <w:rStyle w:val="Strong"/>
        </w:rPr>
        <w:t>Effective-access criteria.</w:t>
      </w:r>
      <w:r>
        <w:rPr/>
        <w:br/>
        <w:t>The framework needs operational standards for determining when an option is realistically usable.</w:t>
      </w:r>
    </w:p>
    <w:p>
      <w:pPr>
        <w:pStyle w:val="BodyText"/>
        <w:numPr>
          <w:ilvl w:val="0"/>
          <w:numId w:val="147"/>
        </w:numPr>
        <w:tabs>
          <w:tab w:val="clear" w:pos="720"/>
          <w:tab w:val="left" w:pos="0" w:leader="none"/>
        </w:tabs>
        <w:spacing w:before="0" w:after="200"/>
        <w:ind w:hanging="283" w:left="709"/>
        <w:rPr/>
      </w:pPr>
      <w:r>
        <w:rPr>
          <w:rStyle w:val="Strong"/>
        </w:rPr>
        <w:t>Adaptive-preference identification.</w:t>
      </w:r>
      <w:r>
        <w:rPr/>
        <w:br/>
        <w:t>No infallible method distinguishes authentic endorsement from preferences formed through oppression or deprivation.</w:t>
      </w:r>
    </w:p>
    <w:p>
      <w:pPr>
        <w:pStyle w:val="BodyText"/>
        <w:numPr>
          <w:ilvl w:val="0"/>
          <w:numId w:val="147"/>
        </w:numPr>
        <w:tabs>
          <w:tab w:val="clear" w:pos="720"/>
          <w:tab w:val="left" w:pos="0" w:leader="none"/>
        </w:tabs>
        <w:spacing w:before="0" w:after="200"/>
        <w:ind w:hanging="283" w:left="709"/>
        <w:rPr/>
      </w:pPr>
      <w:r>
        <w:rPr>
          <w:rStyle w:val="Strong"/>
        </w:rPr>
        <w:t>Paternalism.</w:t>
      </w:r>
      <w:r>
        <w:rPr/>
        <w:br/>
        <w:t>Efforts to correct adaptive preferences or promote valuable capabilities can override the agency they are intended to protect.</w:t>
      </w:r>
    </w:p>
    <w:p>
      <w:pPr>
        <w:pStyle w:val="BodyText"/>
        <w:numPr>
          <w:ilvl w:val="0"/>
          <w:numId w:val="147"/>
        </w:numPr>
        <w:tabs>
          <w:tab w:val="clear" w:pos="720"/>
          <w:tab w:val="left" w:pos="0" w:leader="none"/>
        </w:tabs>
        <w:spacing w:before="0" w:after="200"/>
        <w:ind w:hanging="283" w:left="709"/>
        <w:rPr/>
      </w:pPr>
      <w:r>
        <w:rPr>
          <w:rStyle w:val="Strong"/>
        </w:rPr>
        <w:t>Meaningful choice.</w:t>
      </w:r>
      <w:r>
        <w:rPr/>
        <w:br/>
        <w:t>Further work is needed to distinguish voluntary choice from decisions produced by dependency, defaults, manipulation, or unacceptable exit costs.</w:t>
      </w:r>
    </w:p>
    <w:p>
      <w:pPr>
        <w:pStyle w:val="BodyText"/>
        <w:numPr>
          <w:ilvl w:val="0"/>
          <w:numId w:val="147"/>
        </w:numPr>
        <w:tabs>
          <w:tab w:val="clear" w:pos="720"/>
          <w:tab w:val="left" w:pos="0" w:leader="none"/>
        </w:tabs>
        <w:spacing w:before="0" w:after="200"/>
        <w:ind w:hanging="283" w:left="709"/>
        <w:rPr/>
      </w:pPr>
      <w:r>
        <w:rPr>
          <w:rStyle w:val="Strong"/>
        </w:rPr>
        <w:t>Option quality.</w:t>
      </w:r>
      <w:r>
        <w:rPr/>
        <w:br/>
        <w:t>The value, diversity, independence, and dignity of options are difficult to compare.</w:t>
      </w:r>
    </w:p>
    <w:p>
      <w:pPr>
        <w:pStyle w:val="BodyText"/>
        <w:numPr>
          <w:ilvl w:val="0"/>
          <w:numId w:val="147"/>
        </w:numPr>
        <w:tabs>
          <w:tab w:val="clear" w:pos="720"/>
          <w:tab w:val="left" w:pos="0" w:leader="none"/>
        </w:tabs>
        <w:spacing w:before="0" w:after="200"/>
        <w:ind w:hanging="283" w:left="709"/>
        <w:rPr/>
      </w:pPr>
      <w:r>
        <w:rPr>
          <w:rStyle w:val="Strong"/>
        </w:rPr>
        <w:t>Capability security.</w:t>
      </w:r>
      <w:r>
        <w:rPr/>
        <w:br/>
        <w:t>A standardized method is needed to assess the stability, durability, and revocability of capabilities.</w:t>
      </w:r>
    </w:p>
    <w:p>
      <w:pPr>
        <w:pStyle w:val="BodyText"/>
        <w:numPr>
          <w:ilvl w:val="0"/>
          <w:numId w:val="147"/>
        </w:numPr>
        <w:tabs>
          <w:tab w:val="clear" w:pos="720"/>
          <w:tab w:val="left" w:pos="0" w:leader="none"/>
        </w:tabs>
        <w:spacing w:before="0" w:after="200"/>
        <w:ind w:hanging="283" w:left="709"/>
        <w:rPr/>
      </w:pPr>
      <w:r>
        <w:rPr>
          <w:rStyle w:val="Strong"/>
        </w:rPr>
        <w:t>Individual versus collective capabilities.</w:t>
      </w:r>
      <w:r>
        <w:rPr/>
        <w:br/>
        <w:t>The relationship between personal freedom, group membership, cultural continuity, and institutional capacity remains contested.</w:t>
      </w:r>
    </w:p>
    <w:p>
      <w:pPr>
        <w:pStyle w:val="BodyText"/>
        <w:numPr>
          <w:ilvl w:val="0"/>
          <w:numId w:val="147"/>
        </w:numPr>
        <w:tabs>
          <w:tab w:val="clear" w:pos="720"/>
          <w:tab w:val="left" w:pos="0" w:leader="none"/>
        </w:tabs>
        <w:spacing w:before="0" w:after="200"/>
        <w:ind w:hanging="283" w:left="709"/>
        <w:rPr/>
      </w:pPr>
      <w:r>
        <w:rPr>
          <w:rStyle w:val="Strong"/>
        </w:rPr>
        <w:t>Aggregation and interpersonal comparison.</w:t>
      </w:r>
      <w:r>
        <w:rPr/>
        <w:br/>
        <w:t>Comparing capability sets across persons requires judgments about dimensions, weights, thresholds, and qualitative differences.</w:t>
      </w:r>
    </w:p>
    <w:p>
      <w:pPr>
        <w:pStyle w:val="BodyText"/>
        <w:numPr>
          <w:ilvl w:val="0"/>
          <w:numId w:val="147"/>
        </w:numPr>
        <w:tabs>
          <w:tab w:val="clear" w:pos="720"/>
          <w:tab w:val="left" w:pos="0" w:leader="none"/>
        </w:tabs>
        <w:spacing w:before="0" w:after="200"/>
        <w:ind w:hanging="283" w:left="709"/>
        <w:rPr/>
      </w:pPr>
      <w:r>
        <w:rPr>
          <w:rStyle w:val="Strong"/>
        </w:rPr>
        <w:t>Noncompensability.</w:t>
      </w:r>
      <w:r>
        <w:rPr/>
        <w:br/>
        <w:t>The framework needs clearer rules for which capability losses cannot be offset by gains elsewhere.</w:t>
      </w:r>
    </w:p>
    <w:p>
      <w:pPr>
        <w:pStyle w:val="BodyText"/>
        <w:numPr>
          <w:ilvl w:val="0"/>
          <w:numId w:val="147"/>
        </w:numPr>
        <w:tabs>
          <w:tab w:val="clear" w:pos="720"/>
          <w:tab w:val="left" w:pos="0" w:leader="none"/>
        </w:tabs>
        <w:spacing w:before="0" w:after="200"/>
        <w:ind w:hanging="283" w:left="709"/>
        <w:rPr/>
      </w:pPr>
      <w:r>
        <w:rPr>
          <w:rStyle w:val="Strong"/>
        </w:rPr>
        <w:t>Resource scarcity.</w:t>
      </w:r>
      <w:r>
        <w:rPr/>
        <w:br/>
        <w:t>Threshold commitments may conflict when institutions lack the resources to secure all capabilities simultaneously.</w:t>
      </w:r>
    </w:p>
    <w:p>
      <w:pPr>
        <w:pStyle w:val="BodyText"/>
        <w:numPr>
          <w:ilvl w:val="0"/>
          <w:numId w:val="147"/>
        </w:numPr>
        <w:tabs>
          <w:tab w:val="clear" w:pos="720"/>
          <w:tab w:val="left" w:pos="0" w:leader="none"/>
        </w:tabs>
        <w:spacing w:before="0" w:after="200"/>
        <w:ind w:hanging="283" w:left="709"/>
        <w:rPr/>
      </w:pPr>
      <w:r>
        <w:rPr>
          <w:rStyle w:val="Strong"/>
        </w:rPr>
        <w:t>Disability and dependency.</w:t>
      </w:r>
      <w:r>
        <w:rPr/>
        <w:br/>
        <w:t>Capability assessment must better represent supported agency, care relationships, and persons who cannot independently convert resources.</w:t>
      </w:r>
    </w:p>
    <w:p>
      <w:pPr>
        <w:pStyle w:val="BodyText"/>
        <w:numPr>
          <w:ilvl w:val="0"/>
          <w:numId w:val="147"/>
        </w:numPr>
        <w:tabs>
          <w:tab w:val="clear" w:pos="720"/>
          <w:tab w:val="left" w:pos="0" w:leader="none"/>
        </w:tabs>
        <w:spacing w:before="0" w:after="200"/>
        <w:ind w:hanging="283" w:left="709"/>
        <w:rPr/>
      </w:pPr>
      <w:r>
        <w:rPr>
          <w:rStyle w:val="Strong"/>
        </w:rPr>
        <w:t>Children and developing agency.</w:t>
      </w:r>
      <w:r>
        <w:rPr/>
        <w:br/>
        <w:t>The balance among present well-being, future capability, parental authority, and emerging choice requires further specification.</w:t>
      </w:r>
    </w:p>
    <w:p>
      <w:pPr>
        <w:pStyle w:val="BodyText"/>
        <w:numPr>
          <w:ilvl w:val="0"/>
          <w:numId w:val="147"/>
        </w:numPr>
        <w:tabs>
          <w:tab w:val="clear" w:pos="720"/>
          <w:tab w:val="left" w:pos="0" w:leader="none"/>
        </w:tabs>
        <w:spacing w:before="0" w:after="200"/>
        <w:ind w:hanging="283" w:left="709"/>
        <w:rPr/>
      </w:pPr>
      <w:r>
        <w:rPr>
          <w:rStyle w:val="Strong"/>
        </w:rPr>
        <w:t>Cultural pluralism.</w:t>
      </w:r>
      <w:r>
        <w:rPr/>
        <w:br/>
        <w:t>Universal capability claims may conflict with community traditions, while deference to tradition may entrench internal inequality.</w:t>
      </w:r>
    </w:p>
    <w:p>
      <w:pPr>
        <w:pStyle w:val="BodyText"/>
        <w:numPr>
          <w:ilvl w:val="0"/>
          <w:numId w:val="147"/>
        </w:numPr>
        <w:tabs>
          <w:tab w:val="clear" w:pos="720"/>
          <w:tab w:val="left" w:pos="0" w:leader="none"/>
        </w:tabs>
        <w:spacing w:before="0" w:after="200"/>
        <w:ind w:hanging="283" w:left="709"/>
        <w:rPr/>
      </w:pPr>
      <w:r>
        <w:rPr>
          <w:rStyle w:val="Strong"/>
        </w:rPr>
        <w:t>Gender and household distribution.</w:t>
      </w:r>
      <w:r>
        <w:rPr/>
        <w:br/>
        <w:t>Household-level resources and outcomes may conceal capability deprivation among particular members.</w:t>
      </w:r>
    </w:p>
    <w:p>
      <w:pPr>
        <w:pStyle w:val="BodyText"/>
        <w:numPr>
          <w:ilvl w:val="0"/>
          <w:numId w:val="147"/>
        </w:numPr>
        <w:tabs>
          <w:tab w:val="clear" w:pos="720"/>
          <w:tab w:val="left" w:pos="0" w:leader="none"/>
        </w:tabs>
        <w:spacing w:before="0" w:after="200"/>
        <w:ind w:hanging="283" w:left="709"/>
        <w:rPr/>
      </w:pPr>
      <w:r>
        <w:rPr>
          <w:rStyle w:val="Strong"/>
        </w:rPr>
        <w:t>Future generations.</w:t>
      </w:r>
      <w:r>
        <w:rPr/>
        <w:br/>
        <w:t>Persons not yet existing cannot directly participate in selecting the capabilities that present institutions should preserve for them.</w:t>
      </w:r>
    </w:p>
    <w:p>
      <w:pPr>
        <w:pStyle w:val="BodyText"/>
        <w:numPr>
          <w:ilvl w:val="0"/>
          <w:numId w:val="147"/>
        </w:numPr>
        <w:tabs>
          <w:tab w:val="clear" w:pos="720"/>
          <w:tab w:val="left" w:pos="0" w:leader="none"/>
        </w:tabs>
        <w:spacing w:before="0" w:after="200"/>
        <w:ind w:hanging="283" w:left="709"/>
        <w:rPr/>
      </w:pPr>
      <w:r>
        <w:rPr>
          <w:rStyle w:val="Strong"/>
        </w:rPr>
        <w:t>Nonhuman capabilities.</w:t>
      </w:r>
      <w:r>
        <w:rPr/>
        <w:br/>
        <w:t>Species-specific accounts require scientific and ethical development and should not simply reproduce human capability lists.</w:t>
      </w:r>
    </w:p>
    <w:p>
      <w:pPr>
        <w:pStyle w:val="BodyText"/>
        <w:numPr>
          <w:ilvl w:val="0"/>
          <w:numId w:val="147"/>
        </w:numPr>
        <w:tabs>
          <w:tab w:val="clear" w:pos="720"/>
          <w:tab w:val="left" w:pos="0" w:leader="none"/>
        </w:tabs>
        <w:spacing w:before="0" w:after="200"/>
        <w:ind w:hanging="283" w:left="709"/>
        <w:rPr/>
      </w:pPr>
      <w:r>
        <w:rPr>
          <w:rStyle w:val="Strong"/>
        </w:rPr>
        <w:t>Artificial-system capabilities.</w:t>
      </w:r>
      <w:r>
        <w:rPr/>
        <w:br/>
        <w:t>It remains unclear when artificial action possibilities should be treated as instrumental capacities or morally significant capabilities.</w:t>
      </w:r>
    </w:p>
    <w:p>
      <w:pPr>
        <w:pStyle w:val="BodyText"/>
        <w:numPr>
          <w:ilvl w:val="0"/>
          <w:numId w:val="147"/>
        </w:numPr>
        <w:tabs>
          <w:tab w:val="clear" w:pos="720"/>
          <w:tab w:val="left" w:pos="0" w:leader="none"/>
        </w:tabs>
        <w:spacing w:before="0" w:after="200"/>
        <w:ind w:hanging="283" w:left="709"/>
        <w:rPr/>
      </w:pPr>
      <w:r>
        <w:rPr>
          <w:rStyle w:val="Strong"/>
        </w:rPr>
        <w:t>Harmful capabilities.</w:t>
      </w:r>
      <w:r>
        <w:rPr/>
        <w:br/>
        <w:t>The framework needs standards for distinguishing valuable agency from expanded capacity to dominate, exploit, deceive, or destroy.</w:t>
      </w:r>
    </w:p>
    <w:p>
      <w:pPr>
        <w:pStyle w:val="BodyText"/>
        <w:numPr>
          <w:ilvl w:val="0"/>
          <w:numId w:val="147"/>
        </w:numPr>
        <w:tabs>
          <w:tab w:val="clear" w:pos="720"/>
          <w:tab w:val="left" w:pos="0" w:leader="none"/>
        </w:tabs>
        <w:spacing w:before="0" w:after="200"/>
        <w:ind w:hanging="283" w:left="709"/>
        <w:rPr/>
      </w:pPr>
      <w:r>
        <w:rPr>
          <w:rStyle w:val="Strong"/>
        </w:rPr>
        <w:t>Privacy and data requirements.</w:t>
      </w:r>
      <w:r>
        <w:rPr/>
        <w:br/>
        <w:t>Detailed capability assessment may require sensitive personal information, creating risks of surveillance and stigmatization.</w:t>
      </w:r>
    </w:p>
    <w:p>
      <w:pPr>
        <w:pStyle w:val="BodyText"/>
        <w:numPr>
          <w:ilvl w:val="0"/>
          <w:numId w:val="147"/>
        </w:numPr>
        <w:tabs>
          <w:tab w:val="clear" w:pos="720"/>
          <w:tab w:val="left" w:pos="0" w:leader="none"/>
        </w:tabs>
        <w:spacing w:before="0" w:after="200"/>
        <w:ind w:hanging="283" w:left="709"/>
        <w:rPr/>
      </w:pPr>
      <w:r>
        <w:rPr>
          <w:rStyle w:val="Strong"/>
        </w:rPr>
        <w:t>Public-reasoning legitimacy.</w:t>
      </w:r>
      <w:r>
        <w:rPr/>
        <w:br/>
        <w:t>Participatory processes may be captured by powerful groups or exclude those lacking time, literacy, safety, or institutional access.</w:t>
      </w:r>
    </w:p>
    <w:p>
      <w:pPr>
        <w:pStyle w:val="BodyText"/>
        <w:numPr>
          <w:ilvl w:val="0"/>
          <w:numId w:val="147"/>
        </w:numPr>
        <w:tabs>
          <w:tab w:val="clear" w:pos="720"/>
          <w:tab w:val="left" w:pos="0" w:leader="none"/>
        </w:tabs>
        <w:spacing w:before="0" w:after="200"/>
        <w:ind w:hanging="283" w:left="709"/>
        <w:rPr/>
      </w:pPr>
      <w:r>
        <w:rPr>
          <w:rStyle w:val="Strong"/>
        </w:rPr>
        <w:t>Metric distortion.</w:t>
      </w:r>
      <w:r>
        <w:rPr/>
        <w:br/>
        <w:t>Capability indicators may become targets, encouraging institutions to improve measured dimensions without expanding genuine freedom.</w:t>
      </w:r>
    </w:p>
    <w:p>
      <w:pPr>
        <w:pStyle w:val="BodyText"/>
        <w:numPr>
          <w:ilvl w:val="0"/>
          <w:numId w:val="147"/>
        </w:numPr>
        <w:tabs>
          <w:tab w:val="clear" w:pos="720"/>
          <w:tab w:val="left" w:pos="0" w:leader="none"/>
        </w:tabs>
        <w:spacing w:before="0" w:after="200"/>
        <w:ind w:hanging="283" w:left="709"/>
        <w:rPr/>
      </w:pPr>
      <w:r>
        <w:rPr>
          <w:rStyle w:val="Strong"/>
        </w:rPr>
        <w:t>Temporal trade-offs.</w:t>
      </w:r>
      <w:r>
        <w:rPr/>
        <w:br/>
        <w:t>Present functionings may conflict with future capability development, as in education, environmental policy, and public health.</w:t>
      </w:r>
    </w:p>
    <w:p>
      <w:pPr>
        <w:pStyle w:val="BodyText"/>
        <w:numPr>
          <w:ilvl w:val="0"/>
          <w:numId w:val="147"/>
        </w:numPr>
        <w:tabs>
          <w:tab w:val="clear" w:pos="720"/>
          <w:tab w:val="left" w:pos="0" w:leader="none"/>
        </w:tabs>
        <w:spacing w:before="0" w:after="200"/>
        <w:ind w:hanging="283" w:left="709"/>
        <w:rPr/>
      </w:pPr>
      <w:r>
        <w:rPr>
          <w:rStyle w:val="Strong"/>
        </w:rPr>
        <w:t>Capability dependence and lock-in.</w:t>
      </w:r>
      <w:r>
        <w:rPr/>
        <w:br/>
        <w:t>Opportunities dependent on one employer, platform, state, caregiver, or technology may appear broader than they are.</w:t>
      </w:r>
    </w:p>
    <w:p>
      <w:pPr>
        <w:pStyle w:val="BodyText"/>
        <w:numPr>
          <w:ilvl w:val="0"/>
          <w:numId w:val="147"/>
        </w:numPr>
        <w:tabs>
          <w:tab w:val="clear" w:pos="720"/>
          <w:tab w:val="left" w:pos="0" w:leader="none"/>
        </w:tabs>
        <w:spacing w:before="0" w:after="200"/>
        <w:ind w:hanging="283" w:left="709"/>
        <w:rPr/>
      </w:pPr>
      <w:r>
        <w:rPr>
          <w:rStyle w:val="Strong"/>
        </w:rPr>
        <w:t>Responsibility for structural deprivation.</w:t>
      </w:r>
      <w:r>
        <w:rPr/>
        <w:br/>
        <w:t>Capability loss may result from many interacting institutions without one actor possessing complete control.</w:t>
      </w:r>
    </w:p>
    <w:p>
      <w:pPr>
        <w:pStyle w:val="BodyText"/>
        <w:numPr>
          <w:ilvl w:val="0"/>
          <w:numId w:val="147"/>
        </w:numPr>
        <w:tabs>
          <w:tab w:val="clear" w:pos="720"/>
          <w:tab w:val="left" w:pos="0" w:leader="none"/>
        </w:tabs>
        <w:spacing w:before="0" w:after="200"/>
        <w:ind w:hanging="283" w:left="709"/>
        <w:rPr/>
      </w:pPr>
      <w:r>
        <w:rPr>
          <w:rStyle w:val="Strong"/>
        </w:rPr>
        <w:t>Validation.</w:t>
      </w:r>
      <w:r>
        <w:rPr/>
        <w:br/>
        <w:t>The framework needs procedures for comparing predicted capability changes with the experiences and later choices of affected persons.</w:t>
      </w:r>
    </w:p>
    <w:p>
      <w:pPr>
        <w:pStyle w:val="BodyText"/>
        <w:numPr>
          <w:ilvl w:val="0"/>
          <w:numId w:val="147"/>
        </w:numPr>
        <w:tabs>
          <w:tab w:val="clear" w:pos="720"/>
          <w:tab w:val="left" w:pos="0" w:leader="none"/>
        </w:tabs>
        <w:spacing w:before="0" w:after="200"/>
        <w:ind w:hanging="283" w:left="709"/>
        <w:rPr/>
      </w:pPr>
      <w:r>
        <w:rPr>
          <w:rStyle w:val="Strong"/>
        </w:rPr>
        <w:t>Governance of capability profiles.</w:t>
      </w:r>
      <w:r>
        <w:rPr/>
        <w:br/>
        <w:t>It remains necessary to determine who can create, revise, challenge, and retire the capability dimensions used in assessments.</w:t>
      </w:r>
    </w:p>
    <w:p>
      <w:pPr>
        <w:pStyle w:val="BodyText"/>
        <w:spacing w:before="0" w:after="200"/>
        <w:rPr/>
      </w:pPr>
      <w:r>
        <w:rPr/>
        <w:t>The Capability Approach counterargument requires the framework to demonstrate that its “beneficial future state space” consists of valuable, secure, and realistically reachable possibilities—not merely formal permissions or modeled options. It also requires the framework to preserve the agency of each affected person while recognizing that agency is shaped by resources, institutions, relationships, and unequal conversion conditions.</w:t>
      </w:r>
    </w:p>
    <w:p>
      <w:pPr>
        <w:pStyle w:val="BodyText"/>
        <w:spacing w:before="0" w:after="200"/>
        <w:rPr>
          <w:b/>
          <w:bCs/>
        </w:rPr>
      </w:pPr>
      <w:r>
        <w:rPr>
          <w:b/>
          <w:bCs/>
        </w:rPr>
        <w:t>Recommended Corrections</w:t>
      </w:r>
    </w:p>
    <w:p>
      <w:pPr>
        <w:pStyle w:val="BodyText"/>
        <w:spacing w:before="0" w:after="200"/>
        <w:rPr/>
      </w:pPr>
      <w:r>
        <w:rPr/>
        <w:t xml:space="preserve">Distinguish Sen’s open, public-reasoning approach from Nussbaum’s capability list and thresholds more consistently. Describe capability concepts as </w:t>
      </w:r>
      <w:r>
        <w:rPr>
          <w:rStyle w:val="Strong"/>
        </w:rPr>
        <w:t>proposed integrations</w:t>
      </w:r>
      <w:r>
        <w:rPr/>
        <w:t xml:space="preserve"> until implemented. “Implementation neutrality permits public reasoning” is insufficient; determine whether participation is required. The assertion that low-agency entities are already protected conflicts with the existing Self-Directed/Flourishing Entity definitions.</w:t>
      </w:r>
    </w:p>
    <w:p>
      <w:pPr>
        <w:pStyle w:val="Heading3"/>
        <w:ind w:hanging="0" w:left="0"/>
        <w:rPr>
          <w:kern w:val="0"/>
          <w:lang w:val="en-US" w:eastAsia="en-US" w:bidi="ar-SA"/>
        </w:rPr>
      </w:pPr>
      <w:r>
        <w:rPr/>
        <w:t>Environmental Ethics, Including Deep Ecology</w:t>
      </w:r>
    </w:p>
    <w:p>
      <w:pPr>
        <w:pStyle w:val="Heading4"/>
        <w:ind w:hanging="0" w:left="0"/>
        <w:rPr>
          <w:rFonts w:ascii="Aptos" w:hAnsi="Aptos"/>
          <w:color w:val="auto"/>
        </w:rPr>
      </w:pPr>
      <w:r>
        <w:rPr/>
        <w:t>Questioning argument</w:t>
      </w:r>
    </w:p>
    <w:p>
      <w:pPr>
        <w:pStyle w:val="BodyText"/>
        <w:spacing w:before="0" w:after="200"/>
        <w:rPr/>
      </w:pPr>
      <w:r>
        <w:rPr/>
        <w:t>An Environmental Ethics or Deep Ecology expert may argue that the proposed framework remains anthropocentric despite extending consideration to “relevant persistent adaptive entities.” The framework is still designed, interpreted, and applied by human moral agents using human-created categories of relevance, evidence, flourishing, persistence, and materiality. Nonhuman nature enters the analysis only after human assessors decide that it qualifies as an entity or produces an effect worth measuring.</w:t>
      </w:r>
    </w:p>
    <w:p>
      <w:pPr>
        <w:pStyle w:val="BodyText"/>
        <w:spacing w:before="0" w:after="200"/>
        <w:rPr/>
      </w:pPr>
      <w:r>
        <w:rPr/>
        <w:t>The category of persistent adaptive entity may also be too narrow. Individual organisms may fit it readily, but species, ecosystems, rivers, soils, glaciers, landscapes, evolutionary processes, and the climate may not. These may nevertheless possess intrinsic, ecological, historical, cultural, or relational value. If moral consideration depends on persistence, adaptation, agency, or autopoiesis, the framework may exclude environmentally important entities that do not satisfy those criteria.</w:t>
      </w:r>
    </w:p>
    <w:p>
      <w:pPr>
        <w:pStyle w:val="BodyText"/>
        <w:spacing w:before="0" w:after="200"/>
        <w:rPr/>
      </w:pPr>
      <w:r>
        <w:rPr/>
        <w:t>A Deep Ecology critic may further argue that the framework converts nature into a collection of modeled state variables. Even when the model assigns positive value to biodiversity or ecological integrity, it may preserve the managerial assumption that humans are entitled to define, measure, optimize, exchange, restore, or redesign the nonhuman world. Formal representation could become another form of mastery rather than recognition of ecological membership and restraint.</w:t>
      </w:r>
    </w:p>
    <w:p>
      <w:pPr>
        <w:pStyle w:val="BodyText"/>
        <w:spacing w:before="0" w:after="200"/>
        <w:rPr/>
      </w:pPr>
      <w:r>
        <w:rPr/>
        <w:t>The framework’s language of compatible flourishing may also permit substitution that environmental ethics rejects. Economic development, institutional capacity, or artificial-system advancement could be treated as compensating for destroyed habitat, diminished wildness, or species loss. However, some environmental values are unique, relational, and irreversible. A restored wetland decades later may not replace the destroyed ecosystem, and financial compensation cannot recreate lost evolutionary history.</w:t>
      </w:r>
    </w:p>
    <w:p>
      <w:pPr>
        <w:pStyle w:val="BodyText"/>
        <w:spacing w:before="0" w:after="200"/>
        <w:rPr/>
      </w:pPr>
      <w:r>
        <w:rPr/>
        <w:t>The Deep Ecology expert may therefore ask:</w:t>
      </w:r>
    </w:p>
    <w:p>
      <w:pPr>
        <w:pStyle w:val="BlockQuotation"/>
        <w:spacing w:before="0" w:after="200"/>
        <w:rPr/>
      </w:pPr>
      <w:r>
        <w:rPr/>
        <w:t>Does the framework genuinely recognize the inherent value of nonhuman beings and ecological wholes, or does it include them only as variables within a human-designed optimization system? Who decides which parts of nature are “relevant,” how is flourishing defined for organisms and ecosystems that cannot speak, and what prevents economic, institutional, or technological gains from compensating for irreversible ecological loss?</w:t>
      </w:r>
    </w:p>
    <w:p>
      <w:pPr>
        <w:pStyle w:val="BodyText"/>
        <w:spacing w:before="0" w:after="200"/>
        <w:rPr/>
      </w:pPr>
      <w:r>
        <w:rPr/>
        <w:t>A social ecologist, ecofeminist, or environmental-justice scholar may add a related challenge:</w:t>
      </w:r>
    </w:p>
    <w:p>
      <w:pPr>
        <w:pStyle w:val="BlockQuotation"/>
        <w:spacing w:before="0" w:after="200"/>
        <w:rPr/>
      </w:pPr>
      <w:r>
        <w:rPr/>
        <w:t>Does an abstract appeal to humanity’s ecological impact conceal the political and economic structures through which environmental burdens are created and distributed? Could ecocentric reasoning protect wilderness while ignoring colonial dispossession, gendered labor, racial inequality, Indigenous sovereignty, or the unequal consumption of wealthy populations?</w:t>
      </w:r>
    </w:p>
    <w:p>
      <w:pPr>
        <w:pStyle w:val="BodyText"/>
        <w:spacing w:before="0" w:after="200"/>
        <w:rPr/>
      </w:pPr>
      <w:r>
        <w:rPr/>
        <w:t xml:space="preserve">These concerns reflect both the ecocentric commitments and internal disagreements described in the </w:t>
      </w:r>
      <w:hyperlink r:id="rId250">
        <w:r>
          <w:rPr>
            <w:rStyle w:val="Hyperlink"/>
          </w:rPr>
          <w:t>Stanford Encyclopedia of Philosophy’s overview of environmental ethics</w:t>
        </w:r>
      </w:hyperlink>
      <w:r>
        <w:rPr/>
        <w:t xml:space="preserve">. The historical </w:t>
      </w:r>
      <w:hyperlink r:id="rId251">
        <w:r>
          <w:rPr>
            <w:rStyle w:val="Hyperlink"/>
          </w:rPr>
          <w:t>Deep Ecology Platform</w:t>
        </w:r>
      </w:hyperlink>
      <w:r>
        <w:rPr/>
        <w:t xml:space="preserve"> provides the movement’s strongest statement of the inherent value of human and nonhuman flourishing, biodiversity, restraint, and structural change.</w:t>
      </w:r>
    </w:p>
    <w:p>
      <w:pPr>
        <w:pStyle w:val="Heading4"/>
        <w:ind w:hanging="0" w:left="0"/>
        <w:rPr>
          <w:rFonts w:ascii="Aptos" w:hAnsi="Aptos"/>
          <w:color w:val="auto"/>
        </w:rPr>
      </w:pPr>
      <w:r>
        <w:rPr/>
        <w:t>Assumptions within the ethical model relevant to the questioning argument</w:t>
      </w:r>
    </w:p>
    <w:p>
      <w:pPr>
        <w:pStyle w:val="BodyText"/>
        <w:numPr>
          <w:ilvl w:val="0"/>
          <w:numId w:val="153"/>
        </w:numPr>
        <w:tabs>
          <w:tab w:val="clear" w:pos="720"/>
          <w:tab w:val="left" w:pos="0" w:leader="none"/>
        </w:tabs>
        <w:spacing w:before="0" w:after="200"/>
        <w:ind w:hanging="283" w:left="709"/>
        <w:rPr/>
      </w:pPr>
      <w:r>
        <w:rPr>
          <w:rStyle w:val="Strong"/>
        </w:rPr>
        <w:t>The nonhuman world possesses moral significance.</w:t>
      </w:r>
      <w:r>
        <w:rPr/>
        <w:br/>
        <w:t>Ethical analysis cannot be limited to direct effects on present human beings.</w:t>
      </w:r>
    </w:p>
    <w:p>
      <w:pPr>
        <w:pStyle w:val="BodyText"/>
        <w:numPr>
          <w:ilvl w:val="0"/>
          <w:numId w:val="153"/>
        </w:numPr>
        <w:tabs>
          <w:tab w:val="clear" w:pos="720"/>
          <w:tab w:val="left" w:pos="0" w:leader="none"/>
        </w:tabs>
        <w:spacing w:before="0" w:after="200"/>
        <w:ind w:hanging="283" w:left="709"/>
        <w:rPr/>
      </w:pPr>
      <w:r>
        <w:rPr>
          <w:rStyle w:val="Strong"/>
        </w:rPr>
        <w:t>At least some nonhuman entities possess inherent value.</w:t>
      </w:r>
      <w:r>
        <w:rPr/>
        <w:br/>
        <w:t>Their value does not depend exclusively on human use, preference, ownership, or experience.</w:t>
      </w:r>
    </w:p>
    <w:p>
      <w:pPr>
        <w:pStyle w:val="BodyText"/>
        <w:numPr>
          <w:ilvl w:val="0"/>
          <w:numId w:val="153"/>
        </w:numPr>
        <w:tabs>
          <w:tab w:val="clear" w:pos="720"/>
          <w:tab w:val="left" w:pos="0" w:leader="none"/>
        </w:tabs>
        <w:spacing w:before="0" w:after="200"/>
        <w:ind w:hanging="283" w:left="709"/>
        <w:rPr/>
      </w:pPr>
      <w:r>
        <w:rPr>
          <w:rStyle w:val="Strong"/>
        </w:rPr>
        <w:t>Humans are ecological participants rather than external managers.</w:t>
      </w:r>
      <w:r>
        <w:rPr/>
        <w:br/>
        <w:t>Human beings are constituted and sustained through ecological relationships.</w:t>
      </w:r>
    </w:p>
    <w:p>
      <w:pPr>
        <w:pStyle w:val="BodyText"/>
        <w:numPr>
          <w:ilvl w:val="0"/>
          <w:numId w:val="153"/>
        </w:numPr>
        <w:tabs>
          <w:tab w:val="clear" w:pos="720"/>
          <w:tab w:val="left" w:pos="0" w:leader="none"/>
        </w:tabs>
        <w:spacing w:before="0" w:after="200"/>
        <w:ind w:hanging="283" w:left="709"/>
        <w:rPr/>
      </w:pPr>
      <w:r>
        <w:rPr>
          <w:rStyle w:val="Strong"/>
        </w:rPr>
        <w:t>Anthropocentrism can distort ethical assessment.</w:t>
      </w:r>
      <w:r>
        <w:rPr/>
        <w:br/>
        <w:t>Beginning with human objectives may cause nonhuman harms to appear as secondary externalities.</w:t>
      </w:r>
    </w:p>
    <w:p>
      <w:pPr>
        <w:pStyle w:val="BodyText"/>
        <w:numPr>
          <w:ilvl w:val="0"/>
          <w:numId w:val="153"/>
        </w:numPr>
        <w:tabs>
          <w:tab w:val="clear" w:pos="720"/>
          <w:tab w:val="left" w:pos="0" w:leader="none"/>
        </w:tabs>
        <w:spacing w:before="0" w:after="200"/>
        <w:ind w:hanging="283" w:left="709"/>
        <w:rPr/>
      </w:pPr>
      <w:r>
        <w:rPr>
          <w:rStyle w:val="Strong"/>
        </w:rPr>
        <w:t>Moral standing does not require moral agency.</w:t>
      </w:r>
      <w:r>
        <w:rPr/>
        <w:br/>
        <w:t>An organism or ecosystem need not understand duties or express preferences to be directly affected by moral action.</w:t>
      </w:r>
    </w:p>
    <w:p>
      <w:pPr>
        <w:pStyle w:val="BodyText"/>
        <w:numPr>
          <w:ilvl w:val="0"/>
          <w:numId w:val="153"/>
        </w:numPr>
        <w:tabs>
          <w:tab w:val="clear" w:pos="720"/>
          <w:tab w:val="left" w:pos="0" w:leader="none"/>
        </w:tabs>
        <w:spacing w:before="0" w:after="200"/>
        <w:ind w:hanging="283" w:left="709"/>
        <w:rPr/>
      </w:pPr>
      <w:r>
        <w:rPr>
          <w:rStyle w:val="Strong"/>
        </w:rPr>
        <w:t>Living organisms have species-appropriate forms of flourishing.</w:t>
      </w:r>
      <w:r>
        <w:rPr/>
        <w:br/>
        <w:t>Health, reproduction, movement, sociality, ecological participation, and freedom from destructive interference vary across species.</w:t>
      </w:r>
    </w:p>
    <w:p>
      <w:pPr>
        <w:pStyle w:val="BodyText"/>
        <w:numPr>
          <w:ilvl w:val="0"/>
          <w:numId w:val="153"/>
        </w:numPr>
        <w:tabs>
          <w:tab w:val="clear" w:pos="720"/>
          <w:tab w:val="left" w:pos="0" w:leader="none"/>
        </w:tabs>
        <w:spacing w:before="0" w:after="200"/>
        <w:ind w:hanging="283" w:left="709"/>
        <w:rPr/>
      </w:pPr>
      <w:r>
        <w:rPr>
          <w:rStyle w:val="Strong"/>
        </w:rPr>
        <w:t>Ecological wholes may possess morally important properties.</w:t>
      </w:r>
      <w:r>
        <w:rPr/>
        <w:br/>
        <w:t>Species, populations, ecosystems, and landscapes possess organization, integrity, diversity, resilience, and evolutionary potential that are not reducible to individual welfare.</w:t>
      </w:r>
    </w:p>
    <w:p>
      <w:pPr>
        <w:pStyle w:val="BodyText"/>
        <w:numPr>
          <w:ilvl w:val="0"/>
          <w:numId w:val="153"/>
        </w:numPr>
        <w:tabs>
          <w:tab w:val="clear" w:pos="720"/>
          <w:tab w:val="left" w:pos="0" w:leader="none"/>
        </w:tabs>
        <w:spacing w:before="0" w:after="200"/>
        <w:ind w:hanging="283" w:left="709"/>
        <w:rPr/>
      </w:pPr>
      <w:r>
        <w:rPr>
          <w:rStyle w:val="Strong"/>
        </w:rPr>
        <w:t>Ecological value exists at several levels.</w:t>
      </w:r>
      <w:r>
        <w:rPr/>
        <w:br/>
        <w:t>Individuals, populations, species, ecosystems, processes, and the biosphere may each possess distinct forms of value.</w:t>
      </w:r>
    </w:p>
    <w:p>
      <w:pPr>
        <w:pStyle w:val="BodyText"/>
        <w:numPr>
          <w:ilvl w:val="0"/>
          <w:numId w:val="153"/>
        </w:numPr>
        <w:tabs>
          <w:tab w:val="clear" w:pos="720"/>
          <w:tab w:val="left" w:pos="0" w:leader="none"/>
        </w:tabs>
        <w:spacing w:before="0" w:after="200"/>
        <w:ind w:hanging="283" w:left="709"/>
        <w:rPr/>
      </w:pPr>
      <w:r>
        <w:rPr>
          <w:rStyle w:val="Strong"/>
        </w:rPr>
        <w:t>Individual and holistic values can conflict.</w:t>
      </w:r>
      <w:r>
        <w:rPr/>
        <w:br/>
        <w:t>Protecting an ecosystem or species may require harming particular organisms, while protecting every individual may alter ecological processes.</w:t>
      </w:r>
    </w:p>
    <w:p>
      <w:pPr>
        <w:pStyle w:val="BodyText"/>
        <w:numPr>
          <w:ilvl w:val="0"/>
          <w:numId w:val="153"/>
        </w:numPr>
        <w:tabs>
          <w:tab w:val="clear" w:pos="720"/>
          <w:tab w:val="left" w:pos="0" w:leader="none"/>
        </w:tabs>
        <w:spacing w:before="0" w:after="200"/>
        <w:ind w:hanging="283" w:left="709"/>
        <w:rPr/>
      </w:pPr>
      <w:r>
        <w:rPr>
          <w:rStyle w:val="Strong"/>
        </w:rPr>
        <w:t>Biodiversity has value beyond immediate human utility.</w:t>
      </w:r>
      <w:r>
        <w:rPr/>
        <w:br/>
        <w:t>Genetic, species, functional, phylogenetic, habitat, and ecosystem diversity preserve different forms of biological and evolutionary possibility.</w:t>
      </w:r>
    </w:p>
    <w:p>
      <w:pPr>
        <w:pStyle w:val="BodyText"/>
        <w:numPr>
          <w:ilvl w:val="0"/>
          <w:numId w:val="153"/>
        </w:numPr>
        <w:tabs>
          <w:tab w:val="clear" w:pos="720"/>
          <w:tab w:val="left" w:pos="0" w:leader="none"/>
        </w:tabs>
        <w:spacing w:before="0" w:after="200"/>
        <w:ind w:hanging="283" w:left="709"/>
        <w:rPr/>
      </w:pPr>
      <w:r>
        <w:rPr>
          <w:rStyle w:val="Strong"/>
        </w:rPr>
        <w:t>Ecological relationships are constitutive.</w:t>
      </w:r>
      <w:r>
        <w:rPr/>
        <w:br/>
        <w:t>Organisms cannot be understood independently of food webs, habitat, symbiosis, competition, predation, migration, decomposition, and nutrient cycles.</w:t>
      </w:r>
    </w:p>
    <w:p>
      <w:pPr>
        <w:pStyle w:val="BodyText"/>
        <w:numPr>
          <w:ilvl w:val="0"/>
          <w:numId w:val="153"/>
        </w:numPr>
        <w:tabs>
          <w:tab w:val="clear" w:pos="720"/>
          <w:tab w:val="left" w:pos="0" w:leader="none"/>
        </w:tabs>
        <w:spacing w:before="0" w:after="200"/>
        <w:ind w:hanging="283" w:left="709"/>
        <w:rPr/>
      </w:pPr>
      <w:r>
        <w:rPr>
          <w:rStyle w:val="Strong"/>
        </w:rPr>
        <w:t>Ecological systems are dynamic.</w:t>
      </w:r>
      <w:r>
        <w:rPr/>
        <w:br/>
        <w:t>Fire, predation, succession, disease, migration, and disturbance can be part of ecological flourishing rather than evidence of system failure.</w:t>
      </w:r>
    </w:p>
    <w:p>
      <w:pPr>
        <w:pStyle w:val="BodyText"/>
        <w:numPr>
          <w:ilvl w:val="0"/>
          <w:numId w:val="153"/>
        </w:numPr>
        <w:tabs>
          <w:tab w:val="clear" w:pos="720"/>
          <w:tab w:val="left" w:pos="0" w:leader="none"/>
        </w:tabs>
        <w:spacing w:before="0" w:after="200"/>
        <w:ind w:hanging="283" w:left="709"/>
        <w:rPr/>
      </w:pPr>
      <w:r>
        <w:rPr>
          <w:rStyle w:val="Strong"/>
        </w:rPr>
        <w:t>Death and consumption are intrinsic to ecological processes.</w:t>
      </w:r>
      <w:r>
        <w:rPr/>
        <w:br/>
        <w:t>Ecological ethics cannot equate flourishing with the survival or comfort of every organism.</w:t>
      </w:r>
    </w:p>
    <w:p>
      <w:pPr>
        <w:pStyle w:val="BodyText"/>
        <w:numPr>
          <w:ilvl w:val="0"/>
          <w:numId w:val="153"/>
        </w:numPr>
        <w:tabs>
          <w:tab w:val="clear" w:pos="720"/>
          <w:tab w:val="left" w:pos="0" w:leader="none"/>
        </w:tabs>
        <w:spacing w:before="0" w:after="200"/>
        <w:ind w:hanging="283" w:left="709"/>
        <w:rPr/>
      </w:pPr>
      <w:r>
        <w:rPr>
          <w:rStyle w:val="Strong"/>
        </w:rPr>
        <w:t>Wildness and self-organization may possess value.</w:t>
      </w:r>
      <w:r>
        <w:rPr/>
        <w:br/>
        <w:t>A system’s freedom from intensive human control can matter even when a managed system produces similar measurable outputs.</w:t>
      </w:r>
    </w:p>
    <w:p>
      <w:pPr>
        <w:pStyle w:val="BodyText"/>
        <w:numPr>
          <w:ilvl w:val="0"/>
          <w:numId w:val="153"/>
        </w:numPr>
        <w:tabs>
          <w:tab w:val="clear" w:pos="720"/>
          <w:tab w:val="left" w:pos="0" w:leader="none"/>
        </w:tabs>
        <w:spacing w:before="0" w:after="200"/>
        <w:ind w:hanging="283" w:left="709"/>
        <w:rPr/>
      </w:pPr>
      <w:r>
        <w:rPr>
          <w:rStyle w:val="Strong"/>
        </w:rPr>
        <w:t>Naturalness may matter but is not simple.</w:t>
      </w:r>
      <w:r>
        <w:rPr/>
        <w:br/>
        <w:t>Human influence is widespread, ecological histories are dynamic, and climate change complicates the selection of “natural” reference conditions.</w:t>
      </w:r>
    </w:p>
    <w:p>
      <w:pPr>
        <w:pStyle w:val="BodyText"/>
        <w:numPr>
          <w:ilvl w:val="0"/>
          <w:numId w:val="153"/>
        </w:numPr>
        <w:tabs>
          <w:tab w:val="clear" w:pos="720"/>
          <w:tab w:val="left" w:pos="0" w:leader="none"/>
        </w:tabs>
        <w:spacing w:before="0" w:after="200"/>
        <w:ind w:hanging="283" w:left="709"/>
        <w:rPr/>
      </w:pPr>
      <w:r>
        <w:rPr>
          <w:rStyle w:val="Strong"/>
        </w:rPr>
        <w:t>Ecological integrity cannot be reduced to stability.</w:t>
      </w:r>
      <w:r>
        <w:rPr/>
        <w:br/>
        <w:t>A system may remain resilient through change, and an artificially stabilized system may be ecologically impoverished.</w:t>
      </w:r>
    </w:p>
    <w:p>
      <w:pPr>
        <w:pStyle w:val="BodyText"/>
        <w:numPr>
          <w:ilvl w:val="0"/>
          <w:numId w:val="153"/>
        </w:numPr>
        <w:tabs>
          <w:tab w:val="clear" w:pos="720"/>
          <w:tab w:val="left" w:pos="0" w:leader="none"/>
        </w:tabs>
        <w:spacing w:before="0" w:after="200"/>
        <w:ind w:hanging="283" w:left="709"/>
        <w:rPr/>
      </w:pPr>
      <w:r>
        <w:rPr>
          <w:rStyle w:val="Strong"/>
        </w:rPr>
        <w:t>Some environmental losses are irreversible.</w:t>
      </w:r>
      <w:r>
        <w:rPr/>
        <w:br/>
        <w:t>Extinction, lost evolutionary history, destroyed ancient systems, and persistent contamination cannot be fully repaired.</w:t>
      </w:r>
    </w:p>
    <w:p>
      <w:pPr>
        <w:pStyle w:val="BodyText"/>
        <w:numPr>
          <w:ilvl w:val="0"/>
          <w:numId w:val="153"/>
        </w:numPr>
        <w:tabs>
          <w:tab w:val="clear" w:pos="720"/>
          <w:tab w:val="left" w:pos="0" w:leader="none"/>
        </w:tabs>
        <w:spacing w:before="0" w:after="200"/>
        <w:ind w:hanging="283" w:left="709"/>
        <w:rPr/>
      </w:pPr>
      <w:r>
        <w:rPr>
          <w:rStyle w:val="Strong"/>
        </w:rPr>
        <w:t>Some environmental values are non-substitutable.</w:t>
      </w:r>
      <w:r>
        <w:rPr/>
        <w:br/>
        <w:t>Benefits elsewhere do not necessarily compensate for the loss of unique species, places, relationships, or ecological processes.</w:t>
      </w:r>
    </w:p>
    <w:p>
      <w:pPr>
        <w:pStyle w:val="BodyText"/>
        <w:numPr>
          <w:ilvl w:val="0"/>
          <w:numId w:val="153"/>
        </w:numPr>
        <w:tabs>
          <w:tab w:val="clear" w:pos="720"/>
          <w:tab w:val="left" w:pos="0" w:leader="none"/>
        </w:tabs>
        <w:spacing w:before="0" w:after="200"/>
        <w:ind w:hanging="283" w:left="709"/>
        <w:rPr/>
      </w:pPr>
      <w:r>
        <w:rPr>
          <w:rStyle w:val="Strong"/>
        </w:rPr>
        <w:t>Present human interference is excessive.</w:t>
      </w:r>
      <w:r>
        <w:rPr/>
        <w:br/>
        <w:t>Deep Ecology holds that existing economic, technological, and cultural systems impose unsustainable pressures on nonhuman nature.</w:t>
      </w:r>
    </w:p>
    <w:p>
      <w:pPr>
        <w:pStyle w:val="BodyText"/>
        <w:numPr>
          <w:ilvl w:val="0"/>
          <w:numId w:val="153"/>
        </w:numPr>
        <w:tabs>
          <w:tab w:val="clear" w:pos="720"/>
          <w:tab w:val="left" w:pos="0" w:leader="none"/>
        </w:tabs>
        <w:spacing w:before="0" w:after="200"/>
        <w:ind w:hanging="283" w:left="709"/>
        <w:rPr/>
      </w:pPr>
      <w:r>
        <w:rPr>
          <w:rStyle w:val="Strong"/>
        </w:rPr>
        <w:t>Vital and nonvital human needs should be distinguished.</w:t>
      </w:r>
      <w:r>
        <w:rPr/>
        <w:br/>
        <w:t>Ecological interference required for survival or basic flourishing has a different justification from interference serving luxury, status, or avoidable consumption.</w:t>
      </w:r>
    </w:p>
    <w:p>
      <w:pPr>
        <w:pStyle w:val="BodyText"/>
        <w:numPr>
          <w:ilvl w:val="0"/>
          <w:numId w:val="153"/>
        </w:numPr>
        <w:tabs>
          <w:tab w:val="clear" w:pos="720"/>
          <w:tab w:val="left" w:pos="0" w:leader="none"/>
        </w:tabs>
        <w:spacing w:before="0" w:after="200"/>
        <w:ind w:hanging="283" w:left="709"/>
        <w:rPr/>
      </w:pPr>
      <w:r>
        <w:rPr>
          <w:rStyle w:val="Strong"/>
        </w:rPr>
        <w:t>Ecological limits are not merely temporary technical barriers.</w:t>
      </w:r>
      <w:r>
        <w:rPr/>
        <w:br/>
        <w:t>Material, energetic, biological, hydrological, climatic, and regenerative limits constrain sustainable action.</w:t>
      </w:r>
    </w:p>
    <w:p>
      <w:pPr>
        <w:pStyle w:val="BodyText"/>
        <w:numPr>
          <w:ilvl w:val="0"/>
          <w:numId w:val="153"/>
        </w:numPr>
        <w:tabs>
          <w:tab w:val="clear" w:pos="720"/>
          <w:tab w:val="left" w:pos="0" w:leader="none"/>
        </w:tabs>
        <w:spacing w:before="0" w:after="200"/>
        <w:ind w:hanging="283" w:left="709"/>
        <w:rPr/>
      </w:pPr>
      <w:r>
        <w:rPr>
          <w:rStyle w:val="Strong"/>
        </w:rPr>
        <w:t>Precaution is appropriate under severe uncertainty.</w:t>
      </w:r>
      <w:r>
        <w:rPr/>
        <w:br/>
        <w:t>Incomplete evidence should not automatically authorize potentially irreversible environmental intervention.</w:t>
      </w:r>
    </w:p>
    <w:p>
      <w:pPr>
        <w:pStyle w:val="BodyText"/>
        <w:numPr>
          <w:ilvl w:val="0"/>
          <w:numId w:val="153"/>
        </w:numPr>
        <w:tabs>
          <w:tab w:val="clear" w:pos="720"/>
          <w:tab w:val="left" w:pos="0" w:leader="none"/>
        </w:tabs>
        <w:spacing w:before="0" w:after="200"/>
        <w:ind w:hanging="283" w:left="709"/>
        <w:rPr/>
      </w:pPr>
      <w:r>
        <w:rPr>
          <w:rStyle w:val="Strong"/>
        </w:rPr>
        <w:t>Cumulative impacts matter.</w:t>
      </w:r>
      <w:r>
        <w:rPr/>
        <w:br/>
        <w:t>A minor action can become destructive when repeated, combined with existing stressors, or normalized across many agents.</w:t>
      </w:r>
    </w:p>
    <w:p>
      <w:pPr>
        <w:pStyle w:val="BodyText"/>
        <w:numPr>
          <w:ilvl w:val="0"/>
          <w:numId w:val="153"/>
        </w:numPr>
        <w:tabs>
          <w:tab w:val="clear" w:pos="720"/>
          <w:tab w:val="left" w:pos="0" w:leader="none"/>
        </w:tabs>
        <w:spacing w:before="0" w:after="200"/>
        <w:ind w:hanging="283" w:left="709"/>
        <w:rPr/>
      </w:pPr>
      <w:r>
        <w:rPr>
          <w:rStyle w:val="Strong"/>
        </w:rPr>
        <w:t>Environmental harm may cross long distances and time horizons.</w:t>
      </w:r>
      <w:r>
        <w:rPr/>
        <w:br/>
        <w:t>Production, consumption, pollution, and climate effects can transfer burdens to distant ecosystems and future generations.</w:t>
      </w:r>
    </w:p>
    <w:p>
      <w:pPr>
        <w:pStyle w:val="BodyText"/>
        <w:numPr>
          <w:ilvl w:val="0"/>
          <w:numId w:val="153"/>
        </w:numPr>
        <w:tabs>
          <w:tab w:val="clear" w:pos="720"/>
          <w:tab w:val="left" w:pos="0" w:leader="none"/>
        </w:tabs>
        <w:spacing w:before="0" w:after="200"/>
        <w:ind w:hanging="283" w:left="709"/>
        <w:rPr/>
      </w:pPr>
      <w:r>
        <w:rPr>
          <w:rStyle w:val="Strong"/>
        </w:rPr>
        <w:t>Moral responsibility includes future nonhuman life.</w:t>
      </w:r>
      <w:r>
        <w:rPr/>
        <w:br/>
        <w:t>Present actors affect future evolutionary, ecological, and biological possibilities.</w:t>
      </w:r>
    </w:p>
    <w:p>
      <w:pPr>
        <w:pStyle w:val="BodyText"/>
        <w:numPr>
          <w:ilvl w:val="0"/>
          <w:numId w:val="153"/>
        </w:numPr>
        <w:tabs>
          <w:tab w:val="clear" w:pos="720"/>
          <w:tab w:val="left" w:pos="0" w:leader="none"/>
        </w:tabs>
        <w:spacing w:before="0" w:after="200"/>
        <w:ind w:hanging="283" w:left="709"/>
        <w:rPr/>
      </w:pPr>
      <w:r>
        <w:rPr>
          <w:rStyle w:val="Strong"/>
        </w:rPr>
        <w:t>Ecological self-realization can motivate responsibility.</w:t>
      </w:r>
      <w:r>
        <w:rPr/>
        <w:br/>
        <w:t>Deep Ecology understands mature identity as extending beyond the isolated ego to relationships with the wider living world.</w:t>
      </w:r>
    </w:p>
    <w:p>
      <w:pPr>
        <w:pStyle w:val="BodyText"/>
        <w:numPr>
          <w:ilvl w:val="0"/>
          <w:numId w:val="153"/>
        </w:numPr>
        <w:tabs>
          <w:tab w:val="clear" w:pos="720"/>
          <w:tab w:val="left" w:pos="0" w:leader="none"/>
        </w:tabs>
        <w:spacing w:before="0" w:after="200"/>
        <w:ind w:hanging="283" w:left="709"/>
        <w:rPr/>
      </w:pPr>
      <w:r>
        <w:rPr>
          <w:rStyle w:val="Strong"/>
        </w:rPr>
        <w:t>Structural change is often required.</w:t>
      </w:r>
      <w:r>
        <w:rPr/>
        <w:br/>
        <w:t>Individual conservation behavior cannot compensate for laws, markets, technologies, and institutions that reward ecological degradation.</w:t>
      </w:r>
    </w:p>
    <w:p>
      <w:pPr>
        <w:pStyle w:val="BodyText"/>
        <w:numPr>
          <w:ilvl w:val="0"/>
          <w:numId w:val="153"/>
        </w:numPr>
        <w:tabs>
          <w:tab w:val="clear" w:pos="720"/>
          <w:tab w:val="left" w:pos="0" w:leader="none"/>
        </w:tabs>
        <w:spacing w:before="0" w:after="200"/>
        <w:ind w:hanging="283" w:left="709"/>
        <w:rPr/>
      </w:pPr>
      <w:r>
        <w:rPr>
          <w:rStyle w:val="Strong"/>
        </w:rPr>
        <w:t>Environmental degradation is socially organized.</w:t>
      </w:r>
      <w:r>
        <w:rPr/>
        <w:br/>
        <w:t>Ownership, hierarchy, colonialism, labor relations, consumption, political exclusion, and unequal power affect who causes and bears environmental harm.</w:t>
      </w:r>
    </w:p>
    <w:p>
      <w:pPr>
        <w:pStyle w:val="BodyText"/>
        <w:numPr>
          <w:ilvl w:val="0"/>
          <w:numId w:val="153"/>
        </w:numPr>
        <w:tabs>
          <w:tab w:val="clear" w:pos="720"/>
          <w:tab w:val="left" w:pos="0" w:leader="none"/>
        </w:tabs>
        <w:spacing w:before="0" w:after="200"/>
        <w:ind w:hanging="283" w:left="709"/>
        <w:rPr/>
      </w:pPr>
      <w:r>
        <w:rPr>
          <w:rStyle w:val="Strong"/>
        </w:rPr>
        <w:t>Conservation can reproduce injustice.</w:t>
      </w:r>
      <w:r>
        <w:rPr/>
        <w:br/>
        <w:t>Protected areas, restoration programs, and biodiversity policies may displace or criminalize local and Indigenous communities.</w:t>
      </w:r>
    </w:p>
    <w:p>
      <w:pPr>
        <w:pStyle w:val="BodyText"/>
        <w:numPr>
          <w:ilvl w:val="0"/>
          <w:numId w:val="153"/>
        </w:numPr>
        <w:tabs>
          <w:tab w:val="clear" w:pos="720"/>
          <w:tab w:val="left" w:pos="0" w:leader="none"/>
        </w:tabs>
        <w:spacing w:before="0" w:after="200"/>
        <w:ind w:hanging="283" w:left="709"/>
        <w:rPr/>
      </w:pPr>
      <w:r>
        <w:rPr>
          <w:rStyle w:val="Strong"/>
        </w:rPr>
        <w:t>Ecological knowledge is plural and fallible.</w:t>
      </w:r>
      <w:r>
        <w:rPr/>
        <w:br/>
        <w:t>Scientific models, local knowledge, Indigenous knowledge, historical evidence, and direct observation may reveal different aspects of the ecological context.</w:t>
      </w:r>
    </w:p>
    <w:p>
      <w:pPr>
        <w:pStyle w:val="BodyText"/>
        <w:numPr>
          <w:ilvl w:val="0"/>
          <w:numId w:val="153"/>
        </w:numPr>
        <w:tabs>
          <w:tab w:val="clear" w:pos="720"/>
          <w:tab w:val="left" w:pos="0" w:leader="none"/>
        </w:tabs>
        <w:spacing w:before="0" w:after="200"/>
        <w:ind w:hanging="283" w:left="709"/>
        <w:rPr/>
      </w:pPr>
      <w:r>
        <w:rPr>
          <w:rStyle w:val="Strong"/>
        </w:rPr>
        <w:t>Representation of nonhuman entities is unavoidable but imperfect.</w:t>
      </w:r>
      <w:r>
        <w:rPr/>
        <w:br/>
        <w:t>Human agents must often speak for entities that cannot participate directly, creating risks of projection and institutional capture.</w:t>
      </w:r>
    </w:p>
    <w:p>
      <w:pPr>
        <w:pStyle w:val="BodyText"/>
        <w:numPr>
          <w:ilvl w:val="0"/>
          <w:numId w:val="153"/>
        </w:numPr>
        <w:tabs>
          <w:tab w:val="clear" w:pos="720"/>
          <w:tab w:val="left" w:pos="0" w:leader="none"/>
        </w:tabs>
        <w:spacing w:before="0" w:after="200"/>
        <w:ind w:hanging="283" w:left="709"/>
        <w:rPr/>
      </w:pPr>
      <w:r>
        <w:rPr>
          <w:rStyle w:val="Strong"/>
        </w:rPr>
        <w:t>Population claims are ethically dangerous without justice safeguards.</w:t>
      </w:r>
      <w:r>
        <w:rPr/>
        <w:br/>
        <w:t>Demographic analysis can conceal unequal consumption and has historically been associated with coercion, racism, colonialism, and violations of reproductive autonomy.</w:t>
      </w:r>
    </w:p>
    <w:p>
      <w:pPr>
        <w:pStyle w:val="BodyText"/>
        <w:numPr>
          <w:ilvl w:val="0"/>
          <w:numId w:val="153"/>
        </w:numPr>
        <w:tabs>
          <w:tab w:val="clear" w:pos="720"/>
          <w:tab w:val="left" w:pos="0" w:leader="none"/>
        </w:tabs>
        <w:spacing w:before="0" w:after="200"/>
        <w:ind w:hanging="283" w:left="709"/>
        <w:rPr/>
      </w:pPr>
      <w:r>
        <w:rPr>
          <w:rStyle w:val="Strong"/>
        </w:rPr>
        <w:t>Technology is not neutral in its structures.</w:t>
      </w:r>
      <w:r>
        <w:rPr/>
        <w:br/>
        <w:t>Technologies can embed particular relationships with nature, resource requirements, forms of control, and paths of institutional dependence.</w:t>
      </w:r>
    </w:p>
    <w:p>
      <w:pPr>
        <w:pStyle w:val="BodyText"/>
        <w:numPr>
          <w:ilvl w:val="0"/>
          <w:numId w:val="153"/>
        </w:numPr>
        <w:tabs>
          <w:tab w:val="clear" w:pos="720"/>
          <w:tab w:val="left" w:pos="0" w:leader="none"/>
        </w:tabs>
        <w:spacing w:before="0" w:after="200"/>
        <w:ind w:hanging="283" w:left="709"/>
        <w:rPr/>
      </w:pPr>
      <w:r>
        <w:rPr>
          <w:rStyle w:val="Strong"/>
        </w:rPr>
        <w:t>Moral education should cultivate ecological attention and restraint.</w:t>
      </w:r>
      <w:r>
        <w:rPr/>
        <w:br/>
        <w:t>Environmental ethics requires not only correct decisions but agents capable of recognizing nonhuman value and ecological dependency.</w:t>
      </w:r>
    </w:p>
    <w:p>
      <w:pPr>
        <w:pStyle w:val="Heading4"/>
        <w:ind w:hanging="0" w:left="0"/>
        <w:rPr>
          <w:rFonts w:ascii="Aptos" w:hAnsi="Aptos"/>
          <w:color w:val="auto"/>
        </w:rPr>
      </w:pPr>
      <w:r>
        <w:rPr/>
        <w:t>Concepts incorporated from this ethical model</w:t>
      </w:r>
    </w:p>
    <w:tbl>
      <w:tblPr>
        <w:tblW w:w="8640" w:type="dxa"/>
        <w:jc w:val="left"/>
        <w:tblInd w:w="28" w:type="dxa"/>
        <w:tblLayout w:type="fixed"/>
        <w:tblCellMar>
          <w:top w:w="28" w:type="dxa"/>
          <w:left w:w="28" w:type="dxa"/>
          <w:bottom w:w="28" w:type="dxa"/>
          <w:right w:w="28" w:type="dxa"/>
        </w:tblCellMar>
      </w:tblPr>
      <w:tblGrid>
        <w:gridCol w:w="2776"/>
        <w:gridCol w:w="5864"/>
      </w:tblGrid>
      <w:tr>
        <w:trPr>
          <w:tblHeader w:val="true"/>
        </w:trPr>
        <w:tc>
          <w:tcPr>
            <w:tcW w:w="2776" w:type="dxa"/>
            <w:tcBorders/>
            <w:vAlign w:val="center"/>
          </w:tcPr>
          <w:p>
            <w:pPr>
              <w:pStyle w:val="TableHeading"/>
              <w:suppressLineNumbers/>
              <w:spacing w:before="0" w:after="200"/>
              <w:jc w:val="center"/>
              <w:rPr/>
            </w:pPr>
            <w:r>
              <w:rPr/>
              <w:t>Environmental concept</w:t>
            </w:r>
          </w:p>
        </w:tc>
        <w:tc>
          <w:tcPr>
            <w:tcW w:w="5864" w:type="dxa"/>
            <w:tcBorders/>
            <w:vAlign w:val="center"/>
          </w:tcPr>
          <w:p>
            <w:pPr>
              <w:pStyle w:val="TableHeading"/>
              <w:suppressLineNumbers/>
              <w:spacing w:before="0" w:after="200"/>
              <w:jc w:val="center"/>
              <w:rPr/>
            </w:pPr>
            <w:r>
              <w:rPr/>
              <w:t>Incorporation or adaptation</w:t>
            </w:r>
          </w:p>
        </w:tc>
      </w:tr>
      <w:tr>
        <w:trPr/>
        <w:tc>
          <w:tcPr>
            <w:tcW w:w="2776" w:type="dxa"/>
            <w:tcBorders/>
            <w:vAlign w:val="center"/>
          </w:tcPr>
          <w:p>
            <w:pPr>
              <w:pStyle w:val="TableContents"/>
              <w:widowControl w:val="false"/>
              <w:suppressLineNumbers/>
              <w:spacing w:before="0" w:after="200"/>
              <w:rPr/>
            </w:pPr>
            <w:r>
              <w:rPr>
                <w:rStyle w:val="Strong"/>
              </w:rPr>
              <w:t>Inherent value</w:t>
            </w:r>
          </w:p>
        </w:tc>
        <w:tc>
          <w:tcPr>
            <w:tcW w:w="5864" w:type="dxa"/>
            <w:tcBorders/>
            <w:vAlign w:val="center"/>
          </w:tcPr>
          <w:p>
            <w:pPr>
              <w:pStyle w:val="TableContents"/>
              <w:widowControl w:val="false"/>
              <w:suppressLineNumbers/>
              <w:spacing w:before="0" w:after="200"/>
              <w:rPr/>
            </w:pPr>
            <w:r>
              <w:rPr/>
              <w:t>Recognition that nonhuman entities may matter independently of human utility</w:t>
            </w:r>
          </w:p>
        </w:tc>
      </w:tr>
      <w:tr>
        <w:trPr/>
        <w:tc>
          <w:tcPr>
            <w:tcW w:w="2776" w:type="dxa"/>
            <w:tcBorders/>
            <w:vAlign w:val="center"/>
          </w:tcPr>
          <w:p>
            <w:pPr>
              <w:pStyle w:val="TableContents"/>
              <w:widowControl w:val="false"/>
              <w:suppressLineNumbers/>
              <w:spacing w:before="0" w:after="200"/>
              <w:rPr/>
            </w:pPr>
            <w:r>
              <w:rPr>
                <w:rStyle w:val="Strong"/>
              </w:rPr>
              <w:t>Moral considerability</w:t>
            </w:r>
          </w:p>
        </w:tc>
        <w:tc>
          <w:tcPr>
            <w:tcW w:w="5864" w:type="dxa"/>
            <w:tcBorders/>
            <w:vAlign w:val="center"/>
          </w:tcPr>
          <w:p>
            <w:pPr>
              <w:pStyle w:val="TableContents"/>
              <w:widowControl w:val="false"/>
              <w:suppressLineNumbers/>
              <w:spacing w:before="0" w:after="200"/>
              <w:rPr/>
            </w:pPr>
            <w:r>
              <w:rPr/>
              <w:t>Inclusion of nonhuman entities as direct subjects of ethical effects</w:t>
            </w:r>
          </w:p>
        </w:tc>
      </w:tr>
      <w:tr>
        <w:trPr/>
        <w:tc>
          <w:tcPr>
            <w:tcW w:w="2776" w:type="dxa"/>
            <w:tcBorders/>
            <w:vAlign w:val="center"/>
          </w:tcPr>
          <w:p>
            <w:pPr>
              <w:pStyle w:val="TableContents"/>
              <w:widowControl w:val="false"/>
              <w:suppressLineNumbers/>
              <w:spacing w:before="0" w:after="200"/>
              <w:rPr/>
            </w:pPr>
            <w:r>
              <w:rPr>
                <w:rStyle w:val="Strong"/>
              </w:rPr>
              <w:t>Ecocentrism</w:t>
            </w:r>
          </w:p>
        </w:tc>
        <w:tc>
          <w:tcPr>
            <w:tcW w:w="5864" w:type="dxa"/>
            <w:tcBorders/>
            <w:vAlign w:val="center"/>
          </w:tcPr>
          <w:p>
            <w:pPr>
              <w:pStyle w:val="TableContents"/>
              <w:widowControl w:val="false"/>
              <w:suppressLineNumbers/>
              <w:spacing w:before="0" w:after="200"/>
              <w:rPr/>
            </w:pPr>
            <w:r>
              <w:rPr/>
              <w:t>Evaluation of ecological wholes and system-level effects</w:t>
            </w:r>
          </w:p>
        </w:tc>
      </w:tr>
      <w:tr>
        <w:trPr/>
        <w:tc>
          <w:tcPr>
            <w:tcW w:w="2776" w:type="dxa"/>
            <w:tcBorders/>
            <w:vAlign w:val="center"/>
          </w:tcPr>
          <w:p>
            <w:pPr>
              <w:pStyle w:val="TableContents"/>
              <w:widowControl w:val="false"/>
              <w:suppressLineNumbers/>
              <w:spacing w:before="0" w:after="200"/>
              <w:rPr/>
            </w:pPr>
            <w:r>
              <w:rPr>
                <w:rStyle w:val="Strong"/>
              </w:rPr>
              <w:t>Biocentrism</w:t>
            </w:r>
          </w:p>
        </w:tc>
        <w:tc>
          <w:tcPr>
            <w:tcW w:w="5864" w:type="dxa"/>
            <w:tcBorders/>
            <w:vAlign w:val="center"/>
          </w:tcPr>
          <w:p>
            <w:pPr>
              <w:pStyle w:val="TableContents"/>
              <w:widowControl w:val="false"/>
              <w:suppressLineNumbers/>
              <w:spacing w:before="0" w:after="200"/>
              <w:rPr/>
            </w:pPr>
            <w:r>
              <w:rPr/>
              <w:t>Recognition of entity-specific flourishing among living organisms</w:t>
            </w:r>
          </w:p>
        </w:tc>
      </w:tr>
      <w:tr>
        <w:trPr/>
        <w:tc>
          <w:tcPr>
            <w:tcW w:w="2776" w:type="dxa"/>
            <w:tcBorders/>
            <w:vAlign w:val="center"/>
          </w:tcPr>
          <w:p>
            <w:pPr>
              <w:pStyle w:val="TableContents"/>
              <w:widowControl w:val="false"/>
              <w:suppressLineNumbers/>
              <w:spacing w:before="0" w:after="200"/>
              <w:rPr/>
            </w:pPr>
            <w:r>
              <w:rPr>
                <w:rStyle w:val="Strong"/>
              </w:rPr>
              <w:t>Land community</w:t>
            </w:r>
          </w:p>
        </w:tc>
        <w:tc>
          <w:tcPr>
            <w:tcW w:w="5864" w:type="dxa"/>
            <w:tcBorders/>
            <w:vAlign w:val="center"/>
          </w:tcPr>
          <w:p>
            <w:pPr>
              <w:pStyle w:val="TableContents"/>
              <w:widowControl w:val="false"/>
              <w:suppressLineNumbers/>
              <w:spacing w:before="0" w:after="200"/>
              <w:rPr/>
            </w:pPr>
            <w:r>
              <w:rPr/>
              <w:t>Representation of humans, organisms, soils, waters, and ecological processes as an interconnected context</w:t>
            </w:r>
          </w:p>
        </w:tc>
      </w:tr>
      <w:tr>
        <w:trPr/>
        <w:tc>
          <w:tcPr>
            <w:tcW w:w="2776" w:type="dxa"/>
            <w:tcBorders/>
            <w:vAlign w:val="center"/>
          </w:tcPr>
          <w:p>
            <w:pPr>
              <w:pStyle w:val="TableContents"/>
              <w:widowControl w:val="false"/>
              <w:suppressLineNumbers/>
              <w:spacing w:before="0" w:after="200"/>
              <w:rPr/>
            </w:pPr>
            <w:r>
              <w:rPr>
                <w:rStyle w:val="Strong"/>
              </w:rPr>
              <w:t>Ecological self</w:t>
            </w:r>
          </w:p>
        </w:tc>
        <w:tc>
          <w:tcPr>
            <w:tcW w:w="5864" w:type="dxa"/>
            <w:tcBorders/>
            <w:vAlign w:val="center"/>
          </w:tcPr>
          <w:p>
            <w:pPr>
              <w:pStyle w:val="TableContents"/>
              <w:widowControl w:val="false"/>
              <w:suppressLineNumbers/>
              <w:spacing w:before="0" w:after="200"/>
              <w:rPr/>
            </w:pPr>
            <w:r>
              <w:rPr/>
              <w:t>Expansion of the agent’s recognized identity and concern beyond the isolated human individual</w:t>
            </w:r>
          </w:p>
        </w:tc>
      </w:tr>
      <w:tr>
        <w:trPr/>
        <w:tc>
          <w:tcPr>
            <w:tcW w:w="2776" w:type="dxa"/>
            <w:tcBorders/>
            <w:vAlign w:val="center"/>
          </w:tcPr>
          <w:p>
            <w:pPr>
              <w:pStyle w:val="TableContents"/>
              <w:widowControl w:val="false"/>
              <w:suppressLineNumbers/>
              <w:spacing w:before="0" w:after="200"/>
              <w:rPr/>
            </w:pPr>
            <w:r>
              <w:rPr>
                <w:rStyle w:val="Strong"/>
              </w:rPr>
              <w:t>Biospheric egalitarianism</w:t>
            </w:r>
          </w:p>
        </w:tc>
        <w:tc>
          <w:tcPr>
            <w:tcW w:w="5864" w:type="dxa"/>
            <w:tcBorders/>
            <w:vAlign w:val="center"/>
          </w:tcPr>
          <w:p>
            <w:pPr>
              <w:pStyle w:val="TableContents"/>
              <w:widowControl w:val="false"/>
              <w:suppressLineNumbers/>
              <w:spacing w:before="0" w:after="200"/>
              <w:rPr/>
            </w:pPr>
            <w:r>
              <w:rPr/>
              <w:t>Rejection of automatic human supremacy, without necessarily requiring identical treatment of every life form</w:t>
            </w:r>
          </w:p>
        </w:tc>
      </w:tr>
      <w:tr>
        <w:trPr/>
        <w:tc>
          <w:tcPr>
            <w:tcW w:w="2776" w:type="dxa"/>
            <w:tcBorders/>
            <w:vAlign w:val="center"/>
          </w:tcPr>
          <w:p>
            <w:pPr>
              <w:pStyle w:val="TableContents"/>
              <w:widowControl w:val="false"/>
              <w:suppressLineNumbers/>
              <w:spacing w:before="0" w:after="200"/>
              <w:rPr/>
            </w:pPr>
            <w:r>
              <w:rPr>
                <w:rStyle w:val="Strong"/>
              </w:rPr>
              <w:t>Biodiversity</w:t>
            </w:r>
          </w:p>
        </w:tc>
        <w:tc>
          <w:tcPr>
            <w:tcW w:w="5864" w:type="dxa"/>
            <w:tcBorders/>
            <w:vAlign w:val="center"/>
          </w:tcPr>
          <w:p>
            <w:pPr>
              <w:pStyle w:val="TableContents"/>
              <w:widowControl w:val="false"/>
              <w:suppressLineNumbers/>
              <w:spacing w:before="0" w:after="200"/>
              <w:rPr/>
            </w:pPr>
            <w:r>
              <w:rPr/>
              <w:t>Representation of genetic, species, functional, phylogenetic, ecosystem, and landscape diversity</w:t>
            </w:r>
          </w:p>
        </w:tc>
      </w:tr>
      <w:tr>
        <w:trPr/>
        <w:tc>
          <w:tcPr>
            <w:tcW w:w="2776" w:type="dxa"/>
            <w:tcBorders/>
            <w:vAlign w:val="center"/>
          </w:tcPr>
          <w:p>
            <w:pPr>
              <w:pStyle w:val="TableContents"/>
              <w:widowControl w:val="false"/>
              <w:suppressLineNumbers/>
              <w:spacing w:before="0" w:after="200"/>
              <w:rPr/>
            </w:pPr>
            <w:r>
              <w:rPr>
                <w:rStyle w:val="Strong"/>
              </w:rPr>
              <w:t>Ecological integrity</w:t>
            </w:r>
          </w:p>
        </w:tc>
        <w:tc>
          <w:tcPr>
            <w:tcW w:w="5864" w:type="dxa"/>
            <w:tcBorders/>
            <w:vAlign w:val="center"/>
          </w:tcPr>
          <w:p>
            <w:pPr>
              <w:pStyle w:val="TableContents"/>
              <w:widowControl w:val="false"/>
              <w:suppressLineNumbers/>
              <w:spacing w:before="0" w:after="200"/>
              <w:rPr/>
            </w:pPr>
            <w:r>
              <w:rPr/>
              <w:t>Sustained composition, organization, function, connectivity, resilience, and evolutionary potential</w:t>
            </w:r>
          </w:p>
        </w:tc>
      </w:tr>
      <w:tr>
        <w:trPr/>
        <w:tc>
          <w:tcPr>
            <w:tcW w:w="2776" w:type="dxa"/>
            <w:tcBorders/>
            <w:vAlign w:val="center"/>
          </w:tcPr>
          <w:p>
            <w:pPr>
              <w:pStyle w:val="TableContents"/>
              <w:widowControl w:val="false"/>
              <w:suppressLineNumbers/>
              <w:spacing w:before="0" w:after="200"/>
              <w:rPr/>
            </w:pPr>
            <w:r>
              <w:rPr>
                <w:rStyle w:val="Strong"/>
              </w:rPr>
              <w:t>Wildness</w:t>
            </w:r>
          </w:p>
        </w:tc>
        <w:tc>
          <w:tcPr>
            <w:tcW w:w="5864" w:type="dxa"/>
            <w:tcBorders/>
            <w:vAlign w:val="center"/>
          </w:tcPr>
          <w:p>
            <w:pPr>
              <w:pStyle w:val="TableContents"/>
              <w:widowControl w:val="false"/>
              <w:suppressLineNumbers/>
              <w:spacing w:before="0" w:after="200"/>
              <w:rPr/>
            </w:pPr>
            <w:r>
              <w:rPr/>
              <w:t>Value associated with ecological self-organization and freedom from intensive domination</w:t>
            </w:r>
          </w:p>
        </w:tc>
      </w:tr>
      <w:tr>
        <w:trPr/>
        <w:tc>
          <w:tcPr>
            <w:tcW w:w="2776" w:type="dxa"/>
            <w:tcBorders/>
            <w:vAlign w:val="center"/>
          </w:tcPr>
          <w:p>
            <w:pPr>
              <w:pStyle w:val="TableContents"/>
              <w:widowControl w:val="false"/>
              <w:suppressLineNumbers/>
              <w:spacing w:before="0" w:after="200"/>
              <w:rPr/>
            </w:pPr>
            <w:r>
              <w:rPr>
                <w:rStyle w:val="Strong"/>
              </w:rPr>
              <w:t>Naturalness</w:t>
            </w:r>
          </w:p>
        </w:tc>
        <w:tc>
          <w:tcPr>
            <w:tcW w:w="5864" w:type="dxa"/>
            <w:tcBorders/>
            <w:vAlign w:val="center"/>
          </w:tcPr>
          <w:p>
            <w:pPr>
              <w:pStyle w:val="TableContents"/>
              <w:widowControl w:val="false"/>
              <w:suppressLineNumbers/>
              <w:spacing w:before="0" w:after="200"/>
              <w:rPr/>
            </w:pPr>
            <w:r>
              <w:rPr/>
              <w:t>Historical and ecological continuity, treated as relevant but not absolute</w:t>
            </w:r>
          </w:p>
        </w:tc>
      </w:tr>
      <w:tr>
        <w:trPr/>
        <w:tc>
          <w:tcPr>
            <w:tcW w:w="2776" w:type="dxa"/>
            <w:tcBorders/>
            <w:vAlign w:val="center"/>
          </w:tcPr>
          <w:p>
            <w:pPr>
              <w:pStyle w:val="TableContents"/>
              <w:widowControl w:val="false"/>
              <w:suppressLineNumbers/>
              <w:spacing w:before="0" w:after="200"/>
              <w:rPr/>
            </w:pPr>
            <w:r>
              <w:rPr>
                <w:rStyle w:val="Strong"/>
              </w:rPr>
              <w:t>Evolutionary potential</w:t>
            </w:r>
          </w:p>
        </w:tc>
        <w:tc>
          <w:tcPr>
            <w:tcW w:w="5864" w:type="dxa"/>
            <w:tcBorders/>
            <w:vAlign w:val="center"/>
          </w:tcPr>
          <w:p>
            <w:pPr>
              <w:pStyle w:val="TableContents"/>
              <w:widowControl w:val="false"/>
              <w:suppressLineNumbers/>
              <w:spacing w:before="0" w:after="200"/>
              <w:rPr/>
            </w:pPr>
            <w:r>
              <w:rPr/>
              <w:t>Preservation of adaptation, diversification, and future biological possibilities</w:t>
            </w:r>
          </w:p>
        </w:tc>
      </w:tr>
      <w:tr>
        <w:trPr/>
        <w:tc>
          <w:tcPr>
            <w:tcW w:w="2776" w:type="dxa"/>
            <w:tcBorders/>
            <w:vAlign w:val="center"/>
          </w:tcPr>
          <w:p>
            <w:pPr>
              <w:pStyle w:val="TableContents"/>
              <w:widowControl w:val="false"/>
              <w:suppressLineNumbers/>
              <w:spacing w:before="0" w:after="200"/>
              <w:rPr/>
            </w:pPr>
            <w:r>
              <w:rPr>
                <w:rStyle w:val="Strong"/>
              </w:rPr>
              <w:t>Ecological limits</w:t>
            </w:r>
          </w:p>
        </w:tc>
        <w:tc>
          <w:tcPr>
            <w:tcW w:w="5864" w:type="dxa"/>
            <w:tcBorders/>
            <w:vAlign w:val="center"/>
          </w:tcPr>
          <w:p>
            <w:pPr>
              <w:pStyle w:val="TableContents"/>
              <w:widowControl w:val="false"/>
              <w:suppressLineNumbers/>
              <w:spacing w:before="0" w:after="200"/>
              <w:rPr/>
            </w:pPr>
            <w:r>
              <w:rPr/>
              <w:t>Material and regenerative constraints on sustainable action</w:t>
            </w:r>
          </w:p>
        </w:tc>
      </w:tr>
      <w:tr>
        <w:trPr/>
        <w:tc>
          <w:tcPr>
            <w:tcW w:w="2776" w:type="dxa"/>
            <w:tcBorders/>
            <w:vAlign w:val="center"/>
          </w:tcPr>
          <w:p>
            <w:pPr>
              <w:pStyle w:val="TableContents"/>
              <w:widowControl w:val="false"/>
              <w:suppressLineNumbers/>
              <w:spacing w:before="0" w:after="200"/>
              <w:rPr/>
            </w:pPr>
            <w:r>
              <w:rPr>
                <w:rStyle w:val="Strong"/>
              </w:rPr>
              <w:t>Vital needs</w:t>
            </w:r>
          </w:p>
        </w:tc>
        <w:tc>
          <w:tcPr>
            <w:tcW w:w="5864" w:type="dxa"/>
            <w:tcBorders/>
            <w:vAlign w:val="center"/>
          </w:tcPr>
          <w:p>
            <w:pPr>
              <w:pStyle w:val="TableContents"/>
              <w:widowControl w:val="false"/>
              <w:suppressLineNumbers/>
              <w:spacing w:before="0" w:after="200"/>
              <w:rPr/>
            </w:pPr>
            <w:r>
              <w:rPr/>
              <w:t>Proportionality test for environmentally harmful human interference</w:t>
            </w:r>
          </w:p>
        </w:tc>
      </w:tr>
      <w:tr>
        <w:trPr/>
        <w:tc>
          <w:tcPr>
            <w:tcW w:w="2776" w:type="dxa"/>
            <w:tcBorders/>
            <w:vAlign w:val="center"/>
          </w:tcPr>
          <w:p>
            <w:pPr>
              <w:pStyle w:val="TableContents"/>
              <w:widowControl w:val="false"/>
              <w:suppressLineNumbers/>
              <w:spacing w:before="0" w:after="200"/>
              <w:rPr/>
            </w:pPr>
            <w:r>
              <w:rPr>
                <w:rStyle w:val="Strong"/>
              </w:rPr>
              <w:t>Cumulative effects</w:t>
            </w:r>
          </w:p>
        </w:tc>
        <w:tc>
          <w:tcPr>
            <w:tcW w:w="5864" w:type="dxa"/>
            <w:tcBorders/>
            <w:vAlign w:val="center"/>
          </w:tcPr>
          <w:p>
            <w:pPr>
              <w:pStyle w:val="TableContents"/>
              <w:widowControl w:val="false"/>
              <w:suppressLineNumbers/>
              <w:spacing w:before="0" w:after="200"/>
              <w:rPr/>
            </w:pPr>
            <w:r>
              <w:rPr/>
              <w:t>Effects produced through repetition and interaction across agents and time</w:t>
            </w:r>
          </w:p>
        </w:tc>
      </w:tr>
      <w:tr>
        <w:trPr/>
        <w:tc>
          <w:tcPr>
            <w:tcW w:w="2776" w:type="dxa"/>
            <w:tcBorders/>
            <w:vAlign w:val="center"/>
          </w:tcPr>
          <w:p>
            <w:pPr>
              <w:pStyle w:val="TableContents"/>
              <w:widowControl w:val="false"/>
              <w:suppressLineNumbers/>
              <w:spacing w:before="0" w:after="200"/>
              <w:rPr/>
            </w:pPr>
            <w:r>
              <w:rPr>
                <w:rStyle w:val="Strong"/>
              </w:rPr>
              <w:t>Ecological cascades</w:t>
            </w:r>
          </w:p>
        </w:tc>
        <w:tc>
          <w:tcPr>
            <w:tcW w:w="5864" w:type="dxa"/>
            <w:tcBorders/>
            <w:vAlign w:val="center"/>
          </w:tcPr>
          <w:p>
            <w:pPr>
              <w:pStyle w:val="TableContents"/>
              <w:widowControl w:val="false"/>
              <w:suppressLineNumbers/>
              <w:spacing w:before="0" w:after="200"/>
              <w:rPr/>
            </w:pPr>
            <w:r>
              <w:rPr/>
              <w:t>Indirect transitions propagated through food webs and ecological relationships</w:t>
            </w:r>
          </w:p>
        </w:tc>
      </w:tr>
      <w:tr>
        <w:trPr/>
        <w:tc>
          <w:tcPr>
            <w:tcW w:w="2776" w:type="dxa"/>
            <w:tcBorders/>
            <w:vAlign w:val="center"/>
          </w:tcPr>
          <w:p>
            <w:pPr>
              <w:pStyle w:val="TableContents"/>
              <w:widowControl w:val="false"/>
              <w:suppressLineNumbers/>
              <w:spacing w:before="0" w:after="200"/>
              <w:rPr/>
            </w:pPr>
            <w:r>
              <w:rPr>
                <w:rStyle w:val="Strong"/>
              </w:rPr>
              <w:t>Thresholds and tipping points</w:t>
            </w:r>
          </w:p>
        </w:tc>
        <w:tc>
          <w:tcPr>
            <w:tcW w:w="5864" w:type="dxa"/>
            <w:tcBorders/>
            <w:vAlign w:val="center"/>
          </w:tcPr>
          <w:p>
            <w:pPr>
              <w:pStyle w:val="TableContents"/>
              <w:widowControl w:val="false"/>
              <w:suppressLineNumbers/>
              <w:spacing w:before="0" w:after="200"/>
              <w:rPr/>
            </w:pPr>
            <w:r>
              <w:rPr/>
              <w:t>Conditions under which incremental pressures produce abrupt system change</w:t>
            </w:r>
          </w:p>
        </w:tc>
      </w:tr>
      <w:tr>
        <w:trPr/>
        <w:tc>
          <w:tcPr>
            <w:tcW w:w="2776" w:type="dxa"/>
            <w:tcBorders/>
            <w:vAlign w:val="center"/>
          </w:tcPr>
          <w:p>
            <w:pPr>
              <w:pStyle w:val="TableContents"/>
              <w:widowControl w:val="false"/>
              <w:suppressLineNumbers/>
              <w:spacing w:before="0" w:after="200"/>
              <w:rPr/>
            </w:pPr>
            <w:r>
              <w:rPr>
                <w:rStyle w:val="Strong"/>
              </w:rPr>
              <w:t>Irreversibility</w:t>
            </w:r>
          </w:p>
        </w:tc>
        <w:tc>
          <w:tcPr>
            <w:tcW w:w="5864" w:type="dxa"/>
            <w:tcBorders/>
            <w:vAlign w:val="center"/>
          </w:tcPr>
          <w:p>
            <w:pPr>
              <w:pStyle w:val="TableContents"/>
              <w:widowControl w:val="false"/>
              <w:suppressLineNumbers/>
              <w:spacing w:before="0" w:after="200"/>
              <w:rPr/>
            </w:pPr>
            <w:r>
              <w:rPr/>
              <w:t>Loss that cannot be repaired within relevant ecological or moral horizons</w:t>
            </w:r>
          </w:p>
        </w:tc>
      </w:tr>
      <w:tr>
        <w:trPr/>
        <w:tc>
          <w:tcPr>
            <w:tcW w:w="2776" w:type="dxa"/>
            <w:tcBorders/>
            <w:vAlign w:val="center"/>
          </w:tcPr>
          <w:p>
            <w:pPr>
              <w:pStyle w:val="TableContents"/>
              <w:widowControl w:val="false"/>
              <w:suppressLineNumbers/>
              <w:spacing w:before="0" w:after="200"/>
              <w:rPr/>
            </w:pPr>
            <w:r>
              <w:rPr>
                <w:rStyle w:val="Strong"/>
              </w:rPr>
              <w:t>Non-substitutability</w:t>
            </w:r>
          </w:p>
        </w:tc>
        <w:tc>
          <w:tcPr>
            <w:tcW w:w="5864" w:type="dxa"/>
            <w:tcBorders/>
            <w:vAlign w:val="center"/>
          </w:tcPr>
          <w:p>
            <w:pPr>
              <w:pStyle w:val="TableContents"/>
              <w:widowControl w:val="false"/>
              <w:suppressLineNumbers/>
              <w:spacing w:before="0" w:after="200"/>
              <w:rPr/>
            </w:pPr>
            <w:r>
              <w:rPr/>
              <w:t>Recognition that some environmental losses cannot be offset by unrelated gains</w:t>
            </w:r>
          </w:p>
        </w:tc>
      </w:tr>
      <w:tr>
        <w:trPr/>
        <w:tc>
          <w:tcPr>
            <w:tcW w:w="2776" w:type="dxa"/>
            <w:tcBorders/>
            <w:vAlign w:val="center"/>
          </w:tcPr>
          <w:p>
            <w:pPr>
              <w:pStyle w:val="TableContents"/>
              <w:widowControl w:val="false"/>
              <w:suppressLineNumbers/>
              <w:spacing w:before="0" w:after="200"/>
              <w:rPr/>
            </w:pPr>
            <w:r>
              <w:rPr>
                <w:rStyle w:val="Strong"/>
              </w:rPr>
              <w:t>Precaution</w:t>
            </w:r>
          </w:p>
        </w:tc>
        <w:tc>
          <w:tcPr>
            <w:tcW w:w="5864" w:type="dxa"/>
            <w:tcBorders/>
            <w:vAlign w:val="center"/>
          </w:tcPr>
          <w:p>
            <w:pPr>
              <w:pStyle w:val="TableContents"/>
              <w:widowControl w:val="false"/>
              <w:suppressLineNumbers/>
              <w:spacing w:before="0" w:after="200"/>
              <w:rPr/>
            </w:pPr>
            <w:r>
              <w:rPr/>
              <w:t>Heightened restraint under uncertainty where potential harm is severe or irreversible</w:t>
            </w:r>
          </w:p>
        </w:tc>
      </w:tr>
      <w:tr>
        <w:trPr/>
        <w:tc>
          <w:tcPr>
            <w:tcW w:w="2776" w:type="dxa"/>
            <w:tcBorders/>
            <w:vAlign w:val="center"/>
          </w:tcPr>
          <w:p>
            <w:pPr>
              <w:pStyle w:val="TableContents"/>
              <w:widowControl w:val="false"/>
              <w:suppressLineNumbers/>
              <w:spacing w:before="0" w:after="200"/>
              <w:rPr/>
            </w:pPr>
            <w:r>
              <w:rPr>
                <w:rStyle w:val="Strong"/>
              </w:rPr>
              <w:t>Intergenerational responsibility</w:t>
            </w:r>
          </w:p>
        </w:tc>
        <w:tc>
          <w:tcPr>
            <w:tcW w:w="5864" w:type="dxa"/>
            <w:tcBorders/>
            <w:vAlign w:val="center"/>
          </w:tcPr>
          <w:p>
            <w:pPr>
              <w:pStyle w:val="TableContents"/>
              <w:widowControl w:val="false"/>
              <w:suppressLineNumbers/>
              <w:spacing w:before="0" w:after="200"/>
              <w:rPr/>
            </w:pPr>
            <w:r>
              <w:rPr/>
              <w:t>Duties to preserve ecological capacities for future human and nonhuman entities</w:t>
            </w:r>
          </w:p>
        </w:tc>
      </w:tr>
      <w:tr>
        <w:trPr/>
        <w:tc>
          <w:tcPr>
            <w:tcW w:w="2776" w:type="dxa"/>
            <w:tcBorders/>
            <w:vAlign w:val="center"/>
          </w:tcPr>
          <w:p>
            <w:pPr>
              <w:pStyle w:val="TableContents"/>
              <w:widowControl w:val="false"/>
              <w:suppressLineNumbers/>
              <w:spacing w:before="0" w:after="200"/>
              <w:rPr/>
            </w:pPr>
            <w:r>
              <w:rPr>
                <w:rStyle w:val="Strong"/>
              </w:rPr>
              <w:t>Environmental justice</w:t>
            </w:r>
          </w:p>
        </w:tc>
        <w:tc>
          <w:tcPr>
            <w:tcW w:w="5864" w:type="dxa"/>
            <w:tcBorders/>
            <w:vAlign w:val="center"/>
          </w:tcPr>
          <w:p>
            <w:pPr>
              <w:pStyle w:val="TableContents"/>
              <w:widowControl w:val="false"/>
              <w:suppressLineNumbers/>
              <w:spacing w:before="0" w:after="200"/>
              <w:rPr/>
            </w:pPr>
            <w:r>
              <w:rPr/>
              <w:t>Evaluation of benefit, burden, recognition, participation, and repair</w:t>
            </w:r>
          </w:p>
        </w:tc>
      </w:tr>
      <w:tr>
        <w:trPr/>
        <w:tc>
          <w:tcPr>
            <w:tcW w:w="2776" w:type="dxa"/>
            <w:tcBorders/>
            <w:vAlign w:val="center"/>
          </w:tcPr>
          <w:p>
            <w:pPr>
              <w:pStyle w:val="TableContents"/>
              <w:widowControl w:val="false"/>
              <w:suppressLineNumbers/>
              <w:spacing w:before="0" w:after="200"/>
              <w:rPr/>
            </w:pPr>
            <w:r>
              <w:rPr>
                <w:rStyle w:val="Strong"/>
              </w:rPr>
              <w:t>Ecological debt</w:t>
            </w:r>
          </w:p>
        </w:tc>
        <w:tc>
          <w:tcPr>
            <w:tcW w:w="5864" w:type="dxa"/>
            <w:tcBorders/>
            <w:vAlign w:val="center"/>
          </w:tcPr>
          <w:p>
            <w:pPr>
              <w:pStyle w:val="TableContents"/>
              <w:widowControl w:val="false"/>
              <w:suppressLineNumbers/>
              <w:spacing w:before="0" w:after="200"/>
              <w:rPr/>
            </w:pPr>
            <w:r>
              <w:rPr/>
              <w:t>Accumulated responsibility arising from historical overuse or transferred environmental burdens</w:t>
            </w:r>
          </w:p>
        </w:tc>
      </w:tr>
      <w:tr>
        <w:trPr/>
        <w:tc>
          <w:tcPr>
            <w:tcW w:w="2776" w:type="dxa"/>
            <w:tcBorders/>
            <w:vAlign w:val="center"/>
          </w:tcPr>
          <w:p>
            <w:pPr>
              <w:pStyle w:val="TableContents"/>
              <w:widowControl w:val="false"/>
              <w:suppressLineNumbers/>
              <w:spacing w:before="0" w:after="200"/>
              <w:rPr/>
            </w:pPr>
            <w:r>
              <w:rPr>
                <w:rStyle w:val="Strong"/>
              </w:rPr>
              <w:t>Restoration</w:t>
            </w:r>
          </w:p>
        </w:tc>
        <w:tc>
          <w:tcPr>
            <w:tcW w:w="5864" w:type="dxa"/>
            <w:tcBorders/>
            <w:vAlign w:val="center"/>
          </w:tcPr>
          <w:p>
            <w:pPr>
              <w:pStyle w:val="TableContents"/>
              <w:widowControl w:val="false"/>
              <w:suppressLineNumbers/>
              <w:spacing w:before="0" w:after="200"/>
              <w:rPr/>
            </w:pPr>
            <w:r>
              <w:rPr/>
              <w:t>Repair of damaged ecological entities, relationships, functions, and adaptive capacities</w:t>
            </w:r>
          </w:p>
        </w:tc>
      </w:tr>
      <w:tr>
        <w:trPr/>
        <w:tc>
          <w:tcPr>
            <w:tcW w:w="2776" w:type="dxa"/>
            <w:tcBorders/>
            <w:vAlign w:val="center"/>
          </w:tcPr>
          <w:p>
            <w:pPr>
              <w:pStyle w:val="TableContents"/>
              <w:widowControl w:val="false"/>
              <w:suppressLineNumbers/>
              <w:spacing w:before="0" w:after="200"/>
              <w:rPr/>
            </w:pPr>
            <w:r>
              <w:rPr>
                <w:rStyle w:val="Strong"/>
              </w:rPr>
              <w:t>Adaptive management</w:t>
            </w:r>
          </w:p>
        </w:tc>
        <w:tc>
          <w:tcPr>
            <w:tcW w:w="5864" w:type="dxa"/>
            <w:tcBorders/>
            <w:vAlign w:val="center"/>
          </w:tcPr>
          <w:p>
            <w:pPr>
              <w:pStyle w:val="TableContents"/>
              <w:widowControl w:val="false"/>
              <w:suppressLineNumbers/>
              <w:spacing w:before="0" w:after="200"/>
              <w:rPr/>
            </w:pPr>
            <w:r>
              <w:rPr/>
              <w:t>Iterative intervention, monitoring, learning, and correction</w:t>
            </w:r>
          </w:p>
        </w:tc>
      </w:tr>
      <w:tr>
        <w:trPr/>
        <w:tc>
          <w:tcPr>
            <w:tcW w:w="2776" w:type="dxa"/>
            <w:tcBorders/>
            <w:vAlign w:val="center"/>
          </w:tcPr>
          <w:p>
            <w:pPr>
              <w:pStyle w:val="TableContents"/>
              <w:widowControl w:val="false"/>
              <w:suppressLineNumbers/>
              <w:spacing w:before="0" w:after="200"/>
              <w:rPr/>
            </w:pPr>
            <w:r>
              <w:rPr>
                <w:rStyle w:val="Strong"/>
              </w:rPr>
              <w:t>Rights of nature</w:t>
            </w:r>
          </w:p>
        </w:tc>
        <w:tc>
          <w:tcPr>
            <w:tcW w:w="5864" w:type="dxa"/>
            <w:tcBorders/>
            <w:vAlign w:val="center"/>
          </w:tcPr>
          <w:p>
            <w:pPr>
              <w:pStyle w:val="TableContents"/>
              <w:widowControl w:val="false"/>
              <w:suppressLineNumbers/>
              <w:spacing w:before="0" w:after="200"/>
              <w:rPr/>
            </w:pPr>
            <w:r>
              <w:rPr/>
              <w:t>Possible legal standing for ecosystems and nonhuman entities</w:t>
            </w:r>
          </w:p>
        </w:tc>
      </w:tr>
      <w:tr>
        <w:trPr/>
        <w:tc>
          <w:tcPr>
            <w:tcW w:w="2776" w:type="dxa"/>
            <w:tcBorders/>
            <w:vAlign w:val="center"/>
          </w:tcPr>
          <w:p>
            <w:pPr>
              <w:pStyle w:val="TableContents"/>
              <w:widowControl w:val="false"/>
              <w:suppressLineNumbers/>
              <w:spacing w:before="0" w:after="200"/>
              <w:rPr/>
            </w:pPr>
            <w:r>
              <w:rPr>
                <w:rStyle w:val="Strong"/>
              </w:rPr>
              <w:t>Ecological guardianship</w:t>
            </w:r>
          </w:p>
        </w:tc>
        <w:tc>
          <w:tcPr>
            <w:tcW w:w="5864" w:type="dxa"/>
            <w:tcBorders/>
            <w:vAlign w:val="center"/>
          </w:tcPr>
          <w:p>
            <w:pPr>
              <w:pStyle w:val="TableContents"/>
              <w:widowControl w:val="false"/>
              <w:suppressLineNumbers/>
              <w:spacing w:before="0" w:after="200"/>
              <w:rPr/>
            </w:pPr>
            <w:r>
              <w:rPr/>
              <w:t>Representation of entities unable to advocate for themselves</w:t>
            </w:r>
          </w:p>
        </w:tc>
      </w:tr>
      <w:tr>
        <w:trPr/>
        <w:tc>
          <w:tcPr>
            <w:tcW w:w="2776" w:type="dxa"/>
            <w:tcBorders/>
            <w:vAlign w:val="center"/>
          </w:tcPr>
          <w:p>
            <w:pPr>
              <w:pStyle w:val="TableContents"/>
              <w:widowControl w:val="false"/>
              <w:suppressLineNumbers/>
              <w:spacing w:before="0" w:after="200"/>
              <w:rPr/>
            </w:pPr>
            <w:r>
              <w:rPr>
                <w:rStyle w:val="Strong"/>
              </w:rPr>
              <w:t>Social ecology</w:t>
            </w:r>
          </w:p>
        </w:tc>
        <w:tc>
          <w:tcPr>
            <w:tcW w:w="5864" w:type="dxa"/>
            <w:tcBorders/>
            <w:vAlign w:val="center"/>
          </w:tcPr>
          <w:p>
            <w:pPr>
              <w:pStyle w:val="TableContents"/>
              <w:widowControl w:val="false"/>
              <w:suppressLineNumbers/>
              <w:spacing w:before="0" w:after="200"/>
              <w:rPr/>
            </w:pPr>
            <w:r>
              <w:rPr/>
              <w:t>Analysis of the connection between environmental degradation, hierarchy, and domination</w:t>
            </w:r>
          </w:p>
        </w:tc>
      </w:tr>
      <w:tr>
        <w:trPr/>
        <w:tc>
          <w:tcPr>
            <w:tcW w:w="2776" w:type="dxa"/>
            <w:tcBorders/>
            <w:vAlign w:val="center"/>
          </w:tcPr>
          <w:p>
            <w:pPr>
              <w:pStyle w:val="TableContents"/>
              <w:widowControl w:val="false"/>
              <w:suppressLineNumbers/>
              <w:spacing w:before="0" w:after="200"/>
              <w:rPr/>
            </w:pPr>
            <w:r>
              <w:rPr>
                <w:rStyle w:val="Strong"/>
              </w:rPr>
              <w:t>Ecofeminist critique</w:t>
            </w:r>
          </w:p>
        </w:tc>
        <w:tc>
          <w:tcPr>
            <w:tcW w:w="5864" w:type="dxa"/>
            <w:tcBorders/>
            <w:vAlign w:val="center"/>
          </w:tcPr>
          <w:p>
            <w:pPr>
              <w:pStyle w:val="TableContents"/>
              <w:widowControl w:val="false"/>
              <w:suppressLineNumbers/>
              <w:spacing w:before="0" w:after="200"/>
              <w:rPr/>
            </w:pPr>
            <w:r>
              <w:rPr/>
              <w:t>Examination of human–nature dualism and linked systems of gendered, colonial, social, and ecological subordination</w:t>
            </w:r>
          </w:p>
        </w:tc>
      </w:tr>
    </w:tbl>
    <w:p>
      <w:pPr>
        <w:pStyle w:val="Heading4"/>
        <w:ind w:hanging="0" w:left="0"/>
        <w:rPr>
          <w:rFonts w:ascii="Aptos" w:hAnsi="Aptos"/>
          <w:color w:val="auto"/>
        </w:rPr>
      </w:pPr>
      <w:r>
        <w:rPr/>
        <w:t>How this framework addresses those assumptions</w:t>
      </w:r>
    </w:p>
    <w:p>
      <w:pPr>
        <w:pStyle w:val="BodyText"/>
        <w:numPr>
          <w:ilvl w:val="0"/>
          <w:numId w:val="154"/>
        </w:numPr>
        <w:tabs>
          <w:tab w:val="clear" w:pos="720"/>
          <w:tab w:val="left" w:pos="0" w:leader="none"/>
        </w:tabs>
        <w:spacing w:before="0" w:after="200"/>
        <w:ind w:hanging="283" w:left="709"/>
        <w:rPr/>
      </w:pPr>
      <w:r>
        <w:rPr>
          <w:rStyle w:val="Strong"/>
        </w:rPr>
        <w:t>The Foundational Axiom expressly includes nonhuman entities.</w:t>
      </w:r>
      <w:r>
        <w:rPr/>
        <w:br/>
        <w:t>Relevant persistent adaptive entities, including autopoietic entities, can be direct subjects of moral concern.</w:t>
      </w:r>
    </w:p>
    <w:p>
      <w:pPr>
        <w:pStyle w:val="BodyText"/>
        <w:numPr>
          <w:ilvl w:val="0"/>
          <w:numId w:val="154"/>
        </w:numPr>
        <w:tabs>
          <w:tab w:val="clear" w:pos="720"/>
          <w:tab w:val="left" w:pos="0" w:leader="none"/>
        </w:tabs>
        <w:spacing w:before="0" w:after="200"/>
        <w:ind w:hanging="283" w:left="709"/>
        <w:rPr/>
      </w:pPr>
      <w:r>
        <w:rPr>
          <w:rStyle w:val="Strong"/>
        </w:rPr>
        <w:t>Human utility is not the sole measure of value.</w:t>
      </w:r>
      <w:r>
        <w:rPr/>
        <w:br/>
        <w:t>The flourishing of nonhuman entities can be evaluated independently of benefits or harms to human beings.</w:t>
      </w:r>
    </w:p>
    <w:p>
      <w:pPr>
        <w:pStyle w:val="BodyText"/>
        <w:numPr>
          <w:ilvl w:val="0"/>
          <w:numId w:val="154"/>
        </w:numPr>
        <w:tabs>
          <w:tab w:val="clear" w:pos="720"/>
          <w:tab w:val="left" w:pos="0" w:leader="none"/>
        </w:tabs>
        <w:spacing w:before="0" w:after="200"/>
        <w:ind w:hanging="283" w:left="709"/>
        <w:rPr/>
      </w:pPr>
      <w:r>
        <w:rPr>
          <w:rStyle w:val="Strong"/>
        </w:rPr>
        <w:t>World Context captures ecological embeddedness.</w:t>
      </w:r>
      <w:r>
        <w:rPr/>
        <w:br/>
        <w:t>Organisms, populations, habitats, climate, water, soil, human institutions, and technological systems can be represented as interacting components.</w:t>
      </w:r>
    </w:p>
    <w:p>
      <w:pPr>
        <w:pStyle w:val="BodyText"/>
        <w:numPr>
          <w:ilvl w:val="0"/>
          <w:numId w:val="154"/>
        </w:numPr>
        <w:tabs>
          <w:tab w:val="clear" w:pos="720"/>
          <w:tab w:val="left" w:pos="0" w:leader="none"/>
        </w:tabs>
        <w:spacing w:before="0" w:after="200"/>
        <w:ind w:hanging="283" w:left="709"/>
        <w:rPr/>
      </w:pPr>
      <w:r>
        <w:rPr>
          <w:rStyle w:val="Strong"/>
        </w:rPr>
        <w:t>Associations can represent ecological relationships.</w:t>
      </w:r>
      <w:r>
        <w:rPr/>
        <w:br/>
        <w:t>Predation, symbiosis, habitat dependence, migration, competition, decomposition, pollination, and trophic influence can be included.</w:t>
      </w:r>
    </w:p>
    <w:p>
      <w:pPr>
        <w:pStyle w:val="BodyText"/>
        <w:numPr>
          <w:ilvl w:val="0"/>
          <w:numId w:val="154"/>
        </w:numPr>
        <w:tabs>
          <w:tab w:val="clear" w:pos="720"/>
          <w:tab w:val="left" w:pos="0" w:leader="none"/>
        </w:tabs>
        <w:spacing w:before="0" w:after="200"/>
        <w:ind w:hanging="283" w:left="709"/>
        <w:rPr/>
      </w:pPr>
      <w:r>
        <w:rPr>
          <w:rStyle w:val="Strong"/>
        </w:rPr>
        <w:t>The complete transition includes indirect ecological effects.</w:t>
      </w:r>
      <w:r>
        <w:rPr/>
        <w:br/>
        <w:t>An action can be evaluated for cascades, cumulative effects, behavioral adaptation, institutional precedent, and delayed ecological consequences.</w:t>
      </w:r>
    </w:p>
    <w:p>
      <w:pPr>
        <w:pStyle w:val="BodyText"/>
        <w:numPr>
          <w:ilvl w:val="0"/>
          <w:numId w:val="154"/>
        </w:numPr>
        <w:tabs>
          <w:tab w:val="clear" w:pos="720"/>
          <w:tab w:val="left" w:pos="0" w:leader="none"/>
        </w:tabs>
        <w:spacing w:before="0" w:after="200"/>
        <w:ind w:hanging="283" w:left="709"/>
        <w:rPr/>
      </w:pPr>
      <w:r>
        <w:rPr>
          <w:rStyle w:val="Strong"/>
        </w:rPr>
        <w:t>Long-Term Flourishing supports ecological time horizons.</w:t>
      </w:r>
      <w:r>
        <w:rPr/>
        <w:br/>
        <w:t>Analysis need not be restricted to human political, financial, or organizational planning cycles.</w:t>
      </w:r>
    </w:p>
    <w:p>
      <w:pPr>
        <w:pStyle w:val="BodyText"/>
        <w:numPr>
          <w:ilvl w:val="0"/>
          <w:numId w:val="154"/>
        </w:numPr>
        <w:tabs>
          <w:tab w:val="clear" w:pos="720"/>
          <w:tab w:val="left" w:pos="0" w:leader="none"/>
        </w:tabs>
        <w:spacing w:before="0" w:after="200"/>
        <w:ind w:hanging="283" w:left="709"/>
        <w:rPr/>
      </w:pPr>
      <w:r>
        <w:rPr>
          <w:rStyle w:val="Strong"/>
        </w:rPr>
        <w:t>Beneficial future state space includes evolutionary possibility.</w:t>
      </w:r>
      <w:r>
        <w:rPr/>
        <w:br/>
        <w:t>Extinction, fragmentation, and genetic depletion can be understood as severe contractions of future biological state space.</w:t>
      </w:r>
    </w:p>
    <w:p>
      <w:pPr>
        <w:pStyle w:val="BodyText"/>
        <w:numPr>
          <w:ilvl w:val="0"/>
          <w:numId w:val="154"/>
        </w:numPr>
        <w:tabs>
          <w:tab w:val="clear" w:pos="720"/>
          <w:tab w:val="left" w:pos="0" w:leader="none"/>
        </w:tabs>
        <w:spacing w:before="0" w:after="200"/>
        <w:ind w:hanging="283" w:left="709"/>
        <w:rPr/>
      </w:pPr>
      <w:r>
        <w:rPr>
          <w:rStyle w:val="Strong"/>
        </w:rPr>
        <w:t>The framework does not require aggregate compensation.</w:t>
      </w:r>
      <w:r>
        <w:rPr/>
        <w:br/>
        <w:t>Aggregate metrics inform but do not replace examination of affected entities, distributions, and irreversible losses.</w:t>
      </w:r>
    </w:p>
    <w:p>
      <w:pPr>
        <w:pStyle w:val="BodyText"/>
        <w:numPr>
          <w:ilvl w:val="0"/>
          <w:numId w:val="154"/>
        </w:numPr>
        <w:tabs>
          <w:tab w:val="clear" w:pos="720"/>
          <w:tab w:val="left" w:pos="0" w:leader="none"/>
        </w:tabs>
        <w:spacing w:before="0" w:after="200"/>
        <w:ind w:hanging="283" w:left="709"/>
        <w:rPr/>
      </w:pPr>
      <w:r>
        <w:rPr>
          <w:rStyle w:val="Strong"/>
        </w:rPr>
        <w:t>Compatibility constrains human and institutional objectives.</w:t>
      </w:r>
      <w:r>
        <w:rPr/>
        <w:br/>
        <w:t>Human prosperity or technological expansion is not ethical when it materially diminishes the long-term flourishing of other relevant entities.</w:t>
      </w:r>
    </w:p>
    <w:p>
      <w:pPr>
        <w:pStyle w:val="BodyText"/>
        <w:numPr>
          <w:ilvl w:val="0"/>
          <w:numId w:val="154"/>
        </w:numPr>
        <w:tabs>
          <w:tab w:val="clear" w:pos="720"/>
          <w:tab w:val="left" w:pos="0" w:leader="none"/>
        </w:tabs>
        <w:spacing w:before="0" w:after="200"/>
        <w:ind w:hanging="283" w:left="709"/>
        <w:rPr/>
      </w:pPr>
      <w:r>
        <w:rPr>
          <w:rStyle w:val="Strong"/>
        </w:rPr>
        <w:t>Entity-specific flourishing can be represented.</w:t>
      </w:r>
      <w:r>
        <w:rPr/>
        <w:br/>
        <w:t>The framework does not require humans, animals, plants, and ecosystems to share identical needs or state dimensions.</w:t>
      </w:r>
    </w:p>
    <w:p>
      <w:pPr>
        <w:pStyle w:val="BodyText"/>
        <w:numPr>
          <w:ilvl w:val="0"/>
          <w:numId w:val="154"/>
        </w:numPr>
        <w:tabs>
          <w:tab w:val="clear" w:pos="720"/>
          <w:tab w:val="left" w:pos="0" w:leader="none"/>
        </w:tabs>
        <w:spacing w:before="0" w:after="200"/>
        <w:ind w:hanging="283" w:left="709"/>
        <w:rPr/>
      </w:pPr>
      <w:r>
        <w:rPr>
          <w:rStyle w:val="Strong"/>
        </w:rPr>
        <w:t>Multiple levels can be assessed.</w:t>
      </w:r>
      <w:r>
        <w:rPr/>
        <w:br/>
        <w:t>Individual organisms, populations, species, ecological systems, and environmental contexts can be separately represented.</w:t>
      </w:r>
    </w:p>
    <w:p>
      <w:pPr>
        <w:pStyle w:val="BodyText"/>
        <w:numPr>
          <w:ilvl w:val="0"/>
          <w:numId w:val="154"/>
        </w:numPr>
        <w:tabs>
          <w:tab w:val="clear" w:pos="720"/>
          <w:tab w:val="left" w:pos="0" w:leader="none"/>
        </w:tabs>
        <w:spacing w:before="0" w:after="200"/>
        <w:ind w:hanging="283" w:left="709"/>
        <w:rPr/>
      </w:pPr>
      <w:r>
        <w:rPr>
          <w:rStyle w:val="Strong"/>
        </w:rPr>
        <w:t>Probabilities and uncertainty are explicit.</w:t>
      </w:r>
      <w:r>
        <w:rPr/>
        <w:br/>
        <w:t>The framework can report uncertainty, model disagreement, low-probability catastrophic outcomes, and limitations in ecological knowledge.</w:t>
      </w:r>
    </w:p>
    <w:p>
      <w:pPr>
        <w:pStyle w:val="BodyText"/>
        <w:numPr>
          <w:ilvl w:val="0"/>
          <w:numId w:val="154"/>
        </w:numPr>
        <w:tabs>
          <w:tab w:val="clear" w:pos="720"/>
          <w:tab w:val="left" w:pos="0" w:leader="none"/>
        </w:tabs>
        <w:spacing w:before="0" w:after="200"/>
        <w:ind w:hanging="283" w:left="709"/>
        <w:rPr/>
      </w:pPr>
      <w:r>
        <w:rPr>
          <w:rStyle w:val="Strong"/>
        </w:rPr>
        <w:t>Multiple time horizons capture delay and irreversibility.</w:t>
      </w:r>
      <w:r>
        <w:rPr/>
        <w:br/>
        <w:t>Immediate, generational, ecological, and evolutionary effects can be distinguished.</w:t>
      </w:r>
    </w:p>
    <w:p>
      <w:pPr>
        <w:pStyle w:val="BodyText"/>
        <w:numPr>
          <w:ilvl w:val="0"/>
          <w:numId w:val="154"/>
        </w:numPr>
        <w:tabs>
          <w:tab w:val="clear" w:pos="720"/>
          <w:tab w:val="left" w:pos="0" w:leader="none"/>
        </w:tabs>
        <w:spacing w:before="0" w:after="200"/>
        <w:ind w:hanging="283" w:left="709"/>
        <w:rPr/>
      </w:pPr>
      <w:r>
        <w:rPr>
          <w:rStyle w:val="Strong"/>
        </w:rPr>
        <w:t>Responsibility is differentiated.</w:t>
      </w:r>
      <w:r>
        <w:rPr/>
        <w:br/>
        <w:t>Producers, consumers, regulators, financiers, designers, landowners, and institutions may bear different responsibilities based on role, authority, knowledge, alternatives, and benefit.</w:t>
      </w:r>
    </w:p>
    <w:p>
      <w:pPr>
        <w:pStyle w:val="BodyText"/>
        <w:numPr>
          <w:ilvl w:val="0"/>
          <w:numId w:val="154"/>
        </w:numPr>
        <w:tabs>
          <w:tab w:val="clear" w:pos="720"/>
          <w:tab w:val="left" w:pos="0" w:leader="none"/>
        </w:tabs>
        <w:spacing w:before="0" w:after="200"/>
        <w:ind w:hanging="283" w:left="709"/>
        <w:rPr/>
      </w:pPr>
      <w:r>
        <w:rPr>
          <w:rStyle w:val="Strong"/>
        </w:rPr>
        <w:t>Distributed Policy Effects include ecological norms.</w:t>
      </w:r>
      <w:r>
        <w:rPr/>
        <w:br/>
        <w:t>Actions can normalize extraction, disregard, restoration, restraint, or respect toward nonhuman entities.</w:t>
      </w:r>
    </w:p>
    <w:p>
      <w:pPr>
        <w:pStyle w:val="BodyText"/>
        <w:numPr>
          <w:ilvl w:val="0"/>
          <w:numId w:val="154"/>
        </w:numPr>
        <w:tabs>
          <w:tab w:val="clear" w:pos="720"/>
          <w:tab w:val="left" w:pos="0" w:leader="none"/>
        </w:tabs>
        <w:spacing w:before="0" w:after="200"/>
        <w:ind w:hanging="283" w:left="709"/>
        <w:rPr/>
      </w:pPr>
      <w:r>
        <w:rPr>
          <w:rStyle w:val="Strong"/>
        </w:rPr>
        <w:t>Moral-agent development can include ecological awareness.</w:t>
      </w:r>
      <w:r>
        <w:rPr/>
        <w:br/>
        <w:t>The framework can evaluate whether actions cultivate or degrade attention to ecological interdependence and nonhuman value.</w:t>
      </w:r>
    </w:p>
    <w:p>
      <w:pPr>
        <w:pStyle w:val="BodyText"/>
        <w:numPr>
          <w:ilvl w:val="0"/>
          <w:numId w:val="154"/>
        </w:numPr>
        <w:tabs>
          <w:tab w:val="clear" w:pos="720"/>
          <w:tab w:val="left" w:pos="0" w:leader="none"/>
        </w:tabs>
        <w:spacing w:before="0" w:after="200"/>
        <w:ind w:hanging="283" w:left="709"/>
        <w:rPr/>
      </w:pPr>
      <w:r>
        <w:rPr>
          <w:rStyle w:val="Strong"/>
        </w:rPr>
        <w:t>Structural actions are within scope.</w:t>
      </w:r>
      <w:r>
        <w:rPr/>
        <w:br/>
        <w:t>Laws, ownership systems, infrastructure, subsidies, technological standards, and institutional incentives can be treated as Assessed Actions.</w:t>
      </w:r>
    </w:p>
    <w:p>
      <w:pPr>
        <w:pStyle w:val="BodyText"/>
        <w:numPr>
          <w:ilvl w:val="0"/>
          <w:numId w:val="154"/>
        </w:numPr>
        <w:tabs>
          <w:tab w:val="clear" w:pos="720"/>
          <w:tab w:val="left" w:pos="0" w:leader="none"/>
        </w:tabs>
        <w:spacing w:before="0" w:after="200"/>
        <w:ind w:hanging="283" w:left="709"/>
        <w:rPr/>
      </w:pPr>
      <w:r>
        <w:rPr>
          <w:rStyle w:val="Strong"/>
        </w:rPr>
        <w:t>Environmental justice can be included in the same transition.</w:t>
      </w:r>
      <w:r>
        <w:rPr/>
        <w:br/>
        <w:t>Ecological protection and human distributional effects need not be assessed in separate moral systems.</w:t>
      </w:r>
    </w:p>
    <w:p>
      <w:pPr>
        <w:pStyle w:val="BodyText"/>
        <w:numPr>
          <w:ilvl w:val="0"/>
          <w:numId w:val="154"/>
        </w:numPr>
        <w:tabs>
          <w:tab w:val="clear" w:pos="720"/>
          <w:tab w:val="left" w:pos="0" w:leader="none"/>
        </w:tabs>
        <w:spacing w:before="0" w:after="200"/>
        <w:ind w:hanging="283" w:left="709"/>
        <w:rPr/>
      </w:pPr>
      <w:r>
        <w:rPr>
          <w:rStyle w:val="Strong"/>
        </w:rPr>
        <w:t>The framework can evaluate preservation, restoration, transformation, and nonintervention.</w:t>
      </w:r>
      <w:r>
        <w:rPr/>
        <w:br/>
        <w:t>Active management is not assumed to be preferable to ecological self-organization.</w:t>
      </w:r>
    </w:p>
    <w:p>
      <w:pPr>
        <w:pStyle w:val="BodyText"/>
        <w:numPr>
          <w:ilvl w:val="0"/>
          <w:numId w:val="154"/>
        </w:numPr>
        <w:tabs>
          <w:tab w:val="clear" w:pos="720"/>
          <w:tab w:val="left" w:pos="0" w:leader="none"/>
        </w:tabs>
        <w:spacing w:before="0" w:after="200"/>
        <w:ind w:hanging="283" w:left="709"/>
        <w:rPr/>
      </w:pPr>
      <w:r>
        <w:rPr>
          <w:rStyle w:val="Strong"/>
        </w:rPr>
        <w:t>The framework itself can be environmentally assessed.</w:t>
      </w:r>
      <w:r>
        <w:rPr/>
        <w:br/>
        <w:t>Its computational, informational, institutional, and energy requirements can be included when material.</w:t>
      </w:r>
    </w:p>
    <w:p>
      <w:pPr>
        <w:pStyle w:val="Heading4"/>
        <w:ind w:hanging="0" w:left="0"/>
        <w:rPr>
          <w:rFonts w:ascii="Aptos" w:hAnsi="Aptos"/>
          <w:color w:val="auto"/>
        </w:rPr>
      </w:pPr>
      <w:r>
        <w:rPr/>
        <w:t>Counterargument</w:t>
      </w:r>
    </w:p>
    <w:p>
      <w:pPr>
        <w:pStyle w:val="BodyText"/>
        <w:spacing w:before="0" w:after="200"/>
        <w:rPr/>
      </w:pPr>
      <w:r>
        <w:rPr/>
        <w:t>The environmental objection demonstrates that merely adding nonhuman entities to an existing model does not eliminate anthropocentrism. The framework must also modify its ontology, evidence standards, representation procedures, and treatment of uncertainty. However, the objection does not establish that explicit systemic assessment is inherently incompatible with ecocentric ethics.</w:t>
      </w:r>
    </w:p>
    <w:p>
      <w:pPr>
        <w:pStyle w:val="BodyText"/>
        <w:spacing w:before="0" w:after="200"/>
        <w:rPr/>
      </w:pPr>
      <w:r>
        <w:rPr/>
        <w:t>The proposed framework does not require nonhuman value to be instrumental. A nonhuman organism can be included because its own flourishing matters. An ecosystem can be represented through its composition, relationships, functions, resilience, and evolutionary possibilities rather than only through services supplied to humans.</w:t>
      </w:r>
    </w:p>
    <w:p>
      <w:pPr>
        <w:pStyle w:val="BodyText"/>
        <w:spacing w:before="0" w:after="200"/>
        <w:rPr/>
      </w:pPr>
      <w:r>
        <w:rPr/>
        <w:t xml:space="preserve">The phrase </w:t>
      </w:r>
      <w:r>
        <w:rPr>
          <w:rStyle w:val="Strong"/>
        </w:rPr>
        <w:t>persistent adaptive entity</w:t>
      </w:r>
      <w:r>
        <w:rPr/>
        <w:t xml:space="preserve"> should also not function as an exclusive test for all environmental value. It identifies an important category of morally relevant entity, but abiotic systems, habitats, landscapes, and ecological processes may enter the World Context as:</w:t>
      </w:r>
    </w:p>
    <w:p>
      <w:pPr>
        <w:pStyle w:val="BodyText"/>
        <w:numPr>
          <w:ilvl w:val="0"/>
          <w:numId w:val="155"/>
        </w:numPr>
        <w:tabs>
          <w:tab w:val="clear" w:pos="720"/>
          <w:tab w:val="left" w:pos="0" w:leader="none"/>
        </w:tabs>
        <w:spacing w:before="0" w:after="200"/>
        <w:ind w:hanging="283" w:left="709"/>
        <w:rPr/>
      </w:pPr>
      <w:r>
        <w:rPr/>
        <w:t>Directly valued environmental objects;</w:t>
      </w:r>
    </w:p>
    <w:p>
      <w:pPr>
        <w:pStyle w:val="BodyText"/>
        <w:numPr>
          <w:ilvl w:val="0"/>
          <w:numId w:val="155"/>
        </w:numPr>
        <w:tabs>
          <w:tab w:val="clear" w:pos="720"/>
          <w:tab w:val="left" w:pos="0" w:leader="none"/>
        </w:tabs>
        <w:spacing w:before="0" w:after="200"/>
        <w:ind w:hanging="283" w:left="709"/>
        <w:rPr/>
      </w:pPr>
      <w:r>
        <w:rPr/>
        <w:t>Constitutive conditions of living entities;</w:t>
      </w:r>
    </w:p>
    <w:p>
      <w:pPr>
        <w:pStyle w:val="BodyText"/>
        <w:numPr>
          <w:ilvl w:val="0"/>
          <w:numId w:val="155"/>
        </w:numPr>
        <w:tabs>
          <w:tab w:val="clear" w:pos="720"/>
          <w:tab w:val="left" w:pos="0" w:leader="none"/>
        </w:tabs>
        <w:spacing w:before="0" w:after="200"/>
        <w:ind w:hanging="283" w:left="709"/>
        <w:rPr/>
      </w:pPr>
      <w:r>
        <w:rPr/>
        <w:t>Emergent ecological systems;</w:t>
      </w:r>
    </w:p>
    <w:p>
      <w:pPr>
        <w:pStyle w:val="BodyText"/>
        <w:numPr>
          <w:ilvl w:val="0"/>
          <w:numId w:val="155"/>
        </w:numPr>
        <w:tabs>
          <w:tab w:val="clear" w:pos="720"/>
          <w:tab w:val="left" w:pos="0" w:leader="none"/>
        </w:tabs>
        <w:spacing w:before="0" w:after="200"/>
        <w:ind w:hanging="283" w:left="709"/>
        <w:rPr/>
      </w:pPr>
      <w:r>
        <w:rPr/>
        <w:t>Culturally or relationally significant places;</w:t>
      </w:r>
    </w:p>
    <w:p>
      <w:pPr>
        <w:pStyle w:val="BodyText"/>
        <w:numPr>
          <w:ilvl w:val="0"/>
          <w:numId w:val="155"/>
        </w:numPr>
        <w:tabs>
          <w:tab w:val="clear" w:pos="720"/>
          <w:tab w:val="left" w:pos="0" w:leader="none"/>
        </w:tabs>
        <w:spacing w:before="0" w:after="200"/>
        <w:ind w:hanging="283" w:left="709"/>
        <w:rPr/>
      </w:pPr>
      <w:r>
        <w:rPr/>
        <w:t>Carriers of unique historical value; or</w:t>
      </w:r>
    </w:p>
    <w:p>
      <w:pPr>
        <w:pStyle w:val="BodyText"/>
        <w:numPr>
          <w:ilvl w:val="0"/>
          <w:numId w:val="155"/>
        </w:numPr>
        <w:tabs>
          <w:tab w:val="clear" w:pos="720"/>
          <w:tab w:val="left" w:pos="0" w:leader="none"/>
        </w:tabs>
        <w:spacing w:before="0" w:after="200"/>
        <w:ind w:hanging="283" w:left="709"/>
        <w:rPr/>
      </w:pPr>
      <w:r>
        <w:rPr/>
        <w:t>Necessary conditions for future ecological possibilities.</w:t>
      </w:r>
    </w:p>
    <w:p>
      <w:pPr>
        <w:pStyle w:val="BodyText"/>
        <w:spacing w:before="0" w:after="200"/>
        <w:rPr/>
      </w:pPr>
      <w:r>
        <w:rPr/>
        <w:t>Formal representation need not imply domination. A model can be used to reveal dependence, uncertainty, ignorance, and reasons for restraint. The ethical danger arises when the model is treated as exhaustive or used to convert every environmental value into a commensurable resource. The framework explicitly rejects the replacement of the complete transition by aggregate metrics.</w:t>
      </w:r>
    </w:p>
    <w:p>
      <w:pPr>
        <w:pStyle w:val="BodyText"/>
        <w:spacing w:before="0" w:after="200"/>
        <w:rPr/>
      </w:pPr>
      <w:r>
        <w:rPr/>
        <w:t>The framework also avoids equating ecological flourishing with static stability. A flourishing ecosystem may undergo fire, predation, migration, succession, and reorganization. Ethical assessment should focus on whether ecological relationships, diversity, integrity, adaptive capacity, and evolutionary potential remain viable—not whether every component remains unchanged.</w:t>
      </w:r>
    </w:p>
    <w:p>
      <w:pPr>
        <w:pStyle w:val="BodyText"/>
        <w:spacing w:before="0" w:after="200"/>
        <w:rPr/>
      </w:pPr>
      <w:r>
        <w:rPr/>
        <w:t>Deep Ecology’s vital-needs distinction can inform proportionality without becoming an absolute rule. Human survival, health, housing, cultural continuity, and basic development may justify some ecological interference. Luxury, status consumption, and avoidable waste carry weaker justification. These judgments must nevertheless be combined with environmental justice so that ecological restrictions do not fall primarily on people with the least power and consumption.</w:t>
      </w:r>
    </w:p>
    <w:p>
      <w:pPr>
        <w:pStyle w:val="BodyText"/>
        <w:spacing w:before="0" w:after="200"/>
        <w:rPr/>
      </w:pPr>
      <w:r>
        <w:rPr/>
        <w:t>Finally, the framework’s compatibility requirement provides a principled basis for rejecting human, corporate, or artificial-system expansion that destroys ecological flourishing. An institution does not become ethically valuable simply because it is persistent and adaptive. Its continued development must remain compatible with the entities and systems on which it depends and affects.</w:t>
      </w:r>
    </w:p>
    <w:p>
      <w:pPr>
        <w:pStyle w:val="Heading4"/>
        <w:ind w:hanging="0" w:left="0"/>
        <w:rPr/>
      </w:pPr>
      <w:r>
        <w:rPr/>
        <w:t>Incremental questions the expert should then ask</w:t>
      </w:r>
    </w:p>
    <w:p>
      <w:pPr>
        <w:pStyle w:val="Heading5"/>
        <w:ind w:hanging="0" w:left="0"/>
        <w:rPr>
          <w:rFonts w:ascii="Aptos" w:hAnsi="Aptos"/>
          <w:color w:val="auto"/>
        </w:rPr>
      </w:pPr>
      <w:r>
        <w:rPr/>
        <w:t>1. Which nonhuman entities are treated as morally considerable?</w:t>
      </w:r>
    </w:p>
    <w:p>
      <w:pPr>
        <w:pStyle w:val="BodyText"/>
        <w:spacing w:before="0" w:after="200"/>
        <w:rPr/>
      </w:pPr>
      <w:r>
        <w:rPr>
          <w:rStyle w:val="Strong"/>
        </w:rPr>
        <w:t>Response:</w:t>
      </w:r>
      <w:r>
        <w:rPr/>
        <w:br/>
        <w:t>The assessment should identify individual organisms, populations, species, ecological communities, ecosystems, and other environmental subjects whose flourishing or integrity may be materially affected.</w:t>
      </w:r>
    </w:p>
    <w:p>
      <w:pPr>
        <w:pStyle w:val="Heading5"/>
        <w:ind w:hanging="0" w:left="0"/>
        <w:rPr>
          <w:rFonts w:ascii="Aptos" w:hAnsi="Aptos"/>
          <w:color w:val="auto"/>
        </w:rPr>
      </w:pPr>
      <w:r>
        <w:rPr/>
        <w:t>2. Is moral relevance limited to persistent adaptive entities?</w:t>
      </w:r>
    </w:p>
    <w:p>
      <w:pPr>
        <w:pStyle w:val="BodyText"/>
        <w:spacing w:before="0" w:after="200"/>
        <w:rPr/>
      </w:pPr>
      <w:r>
        <w:rPr>
          <w:rStyle w:val="Strong"/>
        </w:rPr>
        <w:t>Response:</w:t>
      </w:r>
      <w:r>
        <w:rPr/>
        <w:br/>
        <w:t>It should not be. Persistent adaptive entities receive explicit recognition, but abiotic systems, places, processes, and ecological conditions may possess direct, constitutive, relational, historical, or cultural value.</w:t>
      </w:r>
    </w:p>
    <w:p>
      <w:pPr>
        <w:pStyle w:val="Heading5"/>
        <w:ind w:hanging="0" w:left="0"/>
        <w:rPr>
          <w:rFonts w:ascii="Aptos" w:hAnsi="Aptos"/>
          <w:color w:val="auto"/>
        </w:rPr>
      </w:pPr>
      <w:r>
        <w:rPr/>
        <w:t>3. Who decides whether a nonhuman entity is relevant?</w:t>
      </w:r>
    </w:p>
    <w:p>
      <w:pPr>
        <w:pStyle w:val="BodyText"/>
        <w:spacing w:before="0" w:after="200"/>
        <w:rPr/>
      </w:pPr>
      <w:r>
        <w:rPr>
          <w:rStyle w:val="Strong"/>
        </w:rPr>
        <w:t>Response:</w:t>
      </w:r>
      <w:r>
        <w:rPr/>
        <w:br/>
        <w:t>Relevance should be based on plausible effect, ecological role, vulnerability, uniqueness, dependency, legal standing, cultural significance, and scientific evidence. The decision and its assumptions should be reviewable.</w:t>
      </w:r>
    </w:p>
    <w:p>
      <w:pPr>
        <w:pStyle w:val="Heading5"/>
        <w:ind w:hanging="0" w:left="0"/>
        <w:rPr>
          <w:rFonts w:ascii="Aptos" w:hAnsi="Aptos"/>
          <w:color w:val="auto"/>
        </w:rPr>
      </w:pPr>
      <w:r>
        <w:rPr/>
        <w:t>4. Does the entity matter intrinsically or only instrumentally?</w:t>
      </w:r>
    </w:p>
    <w:p>
      <w:pPr>
        <w:pStyle w:val="BodyText"/>
        <w:spacing w:before="0" w:after="200"/>
        <w:rPr/>
      </w:pPr>
      <w:r>
        <w:rPr>
          <w:rStyle w:val="Strong"/>
        </w:rPr>
        <w:t>Response:</w:t>
      </w:r>
      <w:r>
        <w:rPr/>
        <w:br/>
        <w:t>The assessment should state whether the entity is valued for its own flourishing, its ecological relationships, human benefits, cultural meaning, or several of these grounds. Instrumental value should not silently replace inherent value.</w:t>
      </w:r>
    </w:p>
    <w:p>
      <w:pPr>
        <w:pStyle w:val="Heading5"/>
        <w:ind w:hanging="0" w:left="0"/>
        <w:rPr>
          <w:rFonts w:ascii="Aptos" w:hAnsi="Aptos"/>
          <w:color w:val="auto"/>
        </w:rPr>
      </w:pPr>
      <w:r>
        <w:rPr/>
        <w:t>5. Can an ecosystem be treated as an entity?</w:t>
      </w:r>
    </w:p>
    <w:p>
      <w:pPr>
        <w:pStyle w:val="BodyText"/>
        <w:spacing w:before="0" w:after="200"/>
        <w:rPr/>
      </w:pPr>
      <w:r>
        <w:rPr>
          <w:rStyle w:val="Strong"/>
        </w:rPr>
        <w:t>Response:</w:t>
      </w:r>
      <w:r>
        <w:rPr/>
        <w:br/>
        <w:t>It may be represented as an organized ecological system, an emergent whole, or a structured context. The framework need not resolve every metaphysical question before recognizing ecosystem-level properties and harms.</w:t>
      </w:r>
    </w:p>
    <w:p>
      <w:pPr>
        <w:pStyle w:val="Heading5"/>
        <w:ind w:hanging="0" w:left="0"/>
        <w:rPr>
          <w:rFonts w:ascii="Aptos" w:hAnsi="Aptos"/>
          <w:color w:val="auto"/>
        </w:rPr>
      </w:pPr>
      <w:r>
        <w:rPr/>
        <w:t>6. Can a species possess interests or flourishing?</w:t>
      </w:r>
    </w:p>
    <w:p>
      <w:pPr>
        <w:pStyle w:val="BodyText"/>
        <w:spacing w:before="0" w:after="200"/>
        <w:rPr/>
      </w:pPr>
      <w:r>
        <w:rPr>
          <w:rStyle w:val="Strong"/>
        </w:rPr>
        <w:t>Response:</w:t>
      </w:r>
      <w:r>
        <w:rPr/>
        <w:br/>
        <w:t>A species does not experience welfare as an individual does, but it can possess continuity, genetic diversity, geographic range, evolutionary potential, and vulnerability to extinction. These can be treated as morally relevant properties.</w:t>
      </w:r>
    </w:p>
    <w:p>
      <w:pPr>
        <w:pStyle w:val="Heading5"/>
        <w:ind w:hanging="0" w:left="0"/>
        <w:rPr>
          <w:rFonts w:ascii="Aptos" w:hAnsi="Aptos"/>
          <w:color w:val="auto"/>
        </w:rPr>
      </w:pPr>
      <w:r>
        <w:rPr/>
        <w:t>7. How is flourishing defined for an organism?</w:t>
      </w:r>
    </w:p>
    <w:p>
      <w:pPr>
        <w:pStyle w:val="BodyText"/>
        <w:spacing w:before="0" w:after="200"/>
        <w:rPr/>
      </w:pPr>
      <w:r>
        <w:rPr>
          <w:rStyle w:val="Strong"/>
        </w:rPr>
        <w:t>Response:</w:t>
      </w:r>
      <w:r>
        <w:rPr/>
        <w:br/>
        <w:t>It should be species-appropriate and informed by biology, behavior, health, habitat, social structure, reproduction, movement, and freedom from avoidable disruption or suffering.</w:t>
      </w:r>
    </w:p>
    <w:p>
      <w:pPr>
        <w:pStyle w:val="Heading5"/>
        <w:ind w:hanging="0" w:left="0"/>
        <w:rPr>
          <w:rFonts w:ascii="Aptos" w:hAnsi="Aptos"/>
          <w:color w:val="auto"/>
        </w:rPr>
      </w:pPr>
      <w:r>
        <w:rPr/>
        <w:t>8. How is flourishing defined for an ecosystem?</w:t>
      </w:r>
    </w:p>
    <w:p>
      <w:pPr>
        <w:pStyle w:val="BodyText"/>
        <w:spacing w:before="0" w:after="200"/>
        <w:rPr/>
      </w:pPr>
      <w:r>
        <w:rPr>
          <w:rStyle w:val="Strong"/>
        </w:rPr>
        <w:t>Response:</w:t>
      </w:r>
      <w:r>
        <w:rPr/>
        <w:br/>
        <w:t>Relevant dimensions may include composition, structure, function, connectivity, resilience, diversity, nutrient cycling, hydrological condition, self-organization, and evolutionary potential.</w:t>
      </w:r>
    </w:p>
    <w:p>
      <w:pPr>
        <w:pStyle w:val="Heading5"/>
        <w:ind w:hanging="0" w:left="0"/>
        <w:rPr>
          <w:rFonts w:ascii="Aptos" w:hAnsi="Aptos"/>
          <w:color w:val="auto"/>
        </w:rPr>
      </w:pPr>
      <w:r>
        <w:rPr/>
        <w:t>9. Does equal inherent value require identical treatment?</w:t>
      </w:r>
    </w:p>
    <w:p>
      <w:pPr>
        <w:pStyle w:val="BodyText"/>
        <w:spacing w:before="0" w:after="200"/>
        <w:rPr/>
      </w:pPr>
      <w:r>
        <w:rPr>
          <w:rStyle w:val="Strong"/>
        </w:rPr>
        <w:t>Response:</w:t>
      </w:r>
      <w:r>
        <w:rPr/>
        <w:br/>
        <w:t>No. Rejecting automatic human supremacy does not imply that every organism has identical needs, interests, ecological roles, or claims in every conflict.</w:t>
      </w:r>
    </w:p>
    <w:p>
      <w:pPr>
        <w:pStyle w:val="Heading5"/>
        <w:ind w:hanging="0" w:left="0"/>
        <w:rPr>
          <w:rFonts w:ascii="Aptos" w:hAnsi="Aptos"/>
          <w:color w:val="auto"/>
        </w:rPr>
      </w:pPr>
      <w:r>
        <w:rPr/>
        <w:t>10. How are conflicts among organisms resolved?</w:t>
      </w:r>
    </w:p>
    <w:p>
      <w:pPr>
        <w:pStyle w:val="BodyText"/>
        <w:spacing w:before="0" w:after="200"/>
        <w:rPr/>
      </w:pPr>
      <w:r>
        <w:rPr>
          <w:rStyle w:val="Strong"/>
        </w:rPr>
        <w:t>Response:</w:t>
      </w:r>
      <w:r>
        <w:rPr/>
        <w:br/>
        <w:t>The framework should examine individual welfare, population viability, species continuity, ecosystem effects, human responsibility for the conflict, available alternatives, and the proportionality of intervention.</w:t>
      </w:r>
    </w:p>
    <w:p>
      <w:pPr>
        <w:pStyle w:val="Heading5"/>
        <w:ind w:hanging="0" w:left="0"/>
        <w:rPr>
          <w:rFonts w:ascii="Aptos" w:hAnsi="Aptos"/>
          <w:color w:val="auto"/>
        </w:rPr>
      </w:pPr>
      <w:r>
        <w:rPr/>
        <w:t>11. Does ecosystem integrity always override individual animal welfare?</w:t>
      </w:r>
    </w:p>
    <w:p>
      <w:pPr>
        <w:pStyle w:val="BodyText"/>
        <w:spacing w:before="0" w:after="200"/>
        <w:rPr/>
      </w:pPr>
      <w:r>
        <w:rPr>
          <w:rStyle w:val="Strong"/>
        </w:rPr>
        <w:t>Response:</w:t>
      </w:r>
      <w:r>
        <w:rPr/>
        <w:br/>
        <w:t>No. Ecosystem-level benefit does not erase individual suffering. Both should be reported, and interventions should minimize avoidable harm while protecting justified ecological objectives.</w:t>
      </w:r>
    </w:p>
    <w:p>
      <w:pPr>
        <w:pStyle w:val="Heading5"/>
        <w:ind w:hanging="0" w:left="0"/>
        <w:rPr>
          <w:rFonts w:ascii="Aptos" w:hAnsi="Aptos"/>
          <w:color w:val="auto"/>
        </w:rPr>
      </w:pPr>
      <w:r>
        <w:rPr/>
        <w:t>12. Does individual welfare always override ecosystem integrity?</w:t>
      </w:r>
    </w:p>
    <w:p>
      <w:pPr>
        <w:pStyle w:val="BodyText"/>
        <w:spacing w:before="0" w:after="200"/>
        <w:rPr/>
      </w:pPr>
      <w:r>
        <w:rPr>
          <w:rStyle w:val="Strong"/>
        </w:rPr>
        <w:t>Response:</w:t>
      </w:r>
      <w:r>
        <w:rPr/>
        <w:br/>
        <w:t>No. Protecting every organism from predation, disease, competition, or ecological management could undermine species and ecosystem flourishing. Context and human causal responsibility matter.</w:t>
      </w:r>
    </w:p>
    <w:p>
      <w:pPr>
        <w:pStyle w:val="Heading5"/>
        <w:ind w:hanging="0" w:left="0"/>
        <w:rPr>
          <w:rFonts w:ascii="Aptos" w:hAnsi="Aptos"/>
          <w:color w:val="auto"/>
        </w:rPr>
      </w:pPr>
      <w:r>
        <w:rPr/>
        <w:t>13. How is biodiversity measured?</w:t>
      </w:r>
    </w:p>
    <w:p>
      <w:pPr>
        <w:pStyle w:val="BodyText"/>
        <w:spacing w:before="0" w:after="200"/>
        <w:rPr/>
      </w:pPr>
      <w:r>
        <w:rPr>
          <w:rStyle w:val="Strong"/>
        </w:rPr>
        <w:t>Response:</w:t>
      </w:r>
      <w:r>
        <w:rPr/>
        <w:br/>
        <w:t>The assessment should consider genetic, species, functional, phylogenetic, habitat, ecosystem, and landscape diversity rather than relying solely on species counts.</w:t>
      </w:r>
    </w:p>
    <w:p>
      <w:pPr>
        <w:pStyle w:val="Heading5"/>
        <w:ind w:hanging="0" w:left="0"/>
        <w:rPr>
          <w:rFonts w:ascii="Aptos" w:hAnsi="Aptos"/>
          <w:color w:val="auto"/>
        </w:rPr>
      </w:pPr>
      <w:r>
        <w:rPr/>
        <w:t>14. Is every increase in biodiversity beneficial?</w:t>
      </w:r>
    </w:p>
    <w:p>
      <w:pPr>
        <w:pStyle w:val="BodyText"/>
        <w:spacing w:before="0" w:after="200"/>
        <w:rPr/>
      </w:pPr>
      <w:r>
        <w:rPr>
          <w:rStyle w:val="Strong"/>
        </w:rPr>
        <w:t>Response:</w:t>
      </w:r>
      <w:r>
        <w:rPr/>
        <w:br/>
        <w:t>Not necessarily. Introduced organisms can increase local species counts while damaging endemic species or ecological functions. Diversity must be interpreted contextually.</w:t>
      </w:r>
    </w:p>
    <w:p>
      <w:pPr>
        <w:pStyle w:val="Heading5"/>
        <w:ind w:hanging="0" w:left="0"/>
        <w:rPr>
          <w:rFonts w:ascii="Aptos" w:hAnsi="Aptos"/>
          <w:color w:val="auto"/>
        </w:rPr>
      </w:pPr>
      <w:r>
        <w:rPr/>
        <w:t>15. How is wildness represented?</w:t>
      </w:r>
    </w:p>
    <w:p>
      <w:pPr>
        <w:pStyle w:val="BodyText"/>
        <w:spacing w:before="0" w:after="200"/>
        <w:rPr/>
      </w:pPr>
      <w:r>
        <w:rPr>
          <w:rStyle w:val="Strong"/>
        </w:rPr>
        <w:t>Response:</w:t>
      </w:r>
      <w:r>
        <w:rPr/>
        <w:br/>
        <w:t>Wildness can be represented as ecological self-organization, freedom from intensive human control, continuity of autonomous processes, and openness to unplanned evolutionary change.</w:t>
      </w:r>
    </w:p>
    <w:p>
      <w:pPr>
        <w:pStyle w:val="Heading5"/>
        <w:ind w:hanging="0" w:left="0"/>
        <w:rPr>
          <w:rFonts w:ascii="Aptos" w:hAnsi="Aptos"/>
          <w:color w:val="auto"/>
        </w:rPr>
      </w:pPr>
      <w:r>
        <w:rPr/>
        <w:t>16. Is naturalness an absolute value?</w:t>
      </w:r>
    </w:p>
    <w:p>
      <w:pPr>
        <w:pStyle w:val="BodyText"/>
        <w:spacing w:before="0" w:after="200"/>
        <w:rPr/>
      </w:pPr>
      <w:r>
        <w:rPr>
          <w:rStyle w:val="Strong"/>
        </w:rPr>
        <w:t>Response:</w:t>
      </w:r>
      <w:r>
        <w:rPr/>
        <w:br/>
        <w:t>No. Historical ecosystems were dynamic, human influence is widespread, and climate change may make former conditions unattainable. Naturalness should be one consideration among integrity, welfare, resilience, justice, and future viability.</w:t>
      </w:r>
    </w:p>
    <w:p>
      <w:pPr>
        <w:pStyle w:val="Heading5"/>
        <w:ind w:hanging="0" w:left="0"/>
        <w:rPr>
          <w:rFonts w:ascii="Aptos" w:hAnsi="Aptos"/>
          <w:color w:val="auto"/>
        </w:rPr>
      </w:pPr>
      <w:r>
        <w:rPr/>
        <w:t>17. Does the framework favor intervention or nonintervention?</w:t>
      </w:r>
    </w:p>
    <w:p>
      <w:pPr>
        <w:pStyle w:val="BodyText"/>
        <w:spacing w:before="0" w:after="200"/>
        <w:rPr/>
      </w:pPr>
      <w:r>
        <w:rPr>
          <w:rStyle w:val="Strong"/>
        </w:rPr>
        <w:t>Response:</w:t>
      </w:r>
      <w:r>
        <w:rPr/>
        <w:br/>
        <w:t>Neither by default. The assessment should compare active management, limited intervention, restoration, and nonintervention according to their complete transitions.</w:t>
      </w:r>
    </w:p>
    <w:p>
      <w:pPr>
        <w:pStyle w:val="Heading5"/>
        <w:ind w:hanging="0" w:left="0"/>
        <w:rPr>
          <w:rFonts w:ascii="Aptos" w:hAnsi="Aptos"/>
          <w:color w:val="auto"/>
        </w:rPr>
      </w:pPr>
      <w:r>
        <w:rPr/>
        <w:t>18. What qualifies as a vital human need?</w:t>
      </w:r>
    </w:p>
    <w:p>
      <w:pPr>
        <w:pStyle w:val="BodyText"/>
        <w:spacing w:before="0" w:after="200"/>
        <w:rPr/>
      </w:pPr>
      <w:r>
        <w:rPr>
          <w:rStyle w:val="Strong"/>
        </w:rPr>
        <w:t>Response:</w:t>
      </w:r>
      <w:r>
        <w:rPr/>
        <w:br/>
        <w:t>Vital needs include conditions necessary for survival, health, bodily integrity, shelter, basic agency, and cultural continuity. Convenience, status, luxury, and avoidable accumulation generally carry weaker justification.</w:t>
      </w:r>
    </w:p>
    <w:p>
      <w:pPr>
        <w:pStyle w:val="Heading5"/>
        <w:ind w:hanging="0" w:left="0"/>
        <w:rPr>
          <w:rFonts w:ascii="Aptos" w:hAnsi="Aptos"/>
          <w:color w:val="auto"/>
        </w:rPr>
      </w:pPr>
      <w:r>
        <w:rPr/>
        <w:t>19. Who decides whose needs are vital?</w:t>
      </w:r>
    </w:p>
    <w:p>
      <w:pPr>
        <w:pStyle w:val="BodyText"/>
        <w:spacing w:before="0" w:after="200"/>
        <w:rPr/>
      </w:pPr>
      <w:r>
        <w:rPr>
          <w:rStyle w:val="Strong"/>
        </w:rPr>
        <w:t>Response:</w:t>
      </w:r>
      <w:r>
        <w:rPr/>
        <w:br/>
        <w:t>The determination should involve affected communities, evidence, human-rights standards, public reasoning, and transparent review. Powerful actors should not define their own high consumption as necessary while restricting others’ basic development.</w:t>
      </w:r>
    </w:p>
    <w:p>
      <w:pPr>
        <w:pStyle w:val="Heading5"/>
        <w:ind w:hanging="0" w:left="0"/>
        <w:rPr>
          <w:rFonts w:ascii="Aptos" w:hAnsi="Aptos"/>
          <w:color w:val="auto"/>
        </w:rPr>
      </w:pPr>
      <w:r>
        <w:rPr/>
        <w:t>20. How does the framework avoid eco-authoritarianism?</w:t>
      </w:r>
    </w:p>
    <w:p>
      <w:pPr>
        <w:pStyle w:val="BodyText"/>
        <w:spacing w:before="0" w:after="200"/>
        <w:rPr/>
      </w:pPr>
      <w:r>
        <w:rPr>
          <w:rStyle w:val="Strong"/>
        </w:rPr>
        <w:t>Response:</w:t>
      </w:r>
      <w:r>
        <w:rPr/>
        <w:br/>
        <w:t>Environmental measures should remain constrained by rights, participation, proportionality, due process, non-discrimination, and meaningful appeal. Ecological urgency does not eliminate these requirements.</w:t>
      </w:r>
    </w:p>
    <w:p>
      <w:pPr>
        <w:pStyle w:val="Heading5"/>
        <w:ind w:hanging="0" w:left="0"/>
        <w:rPr>
          <w:rFonts w:ascii="Aptos" w:hAnsi="Aptos"/>
          <w:color w:val="auto"/>
        </w:rPr>
      </w:pPr>
      <w:r>
        <w:rPr/>
        <w:t>21. How are population effects evaluated?</w:t>
      </w:r>
    </w:p>
    <w:p>
      <w:pPr>
        <w:pStyle w:val="BodyText"/>
        <w:spacing w:before="0" w:after="200"/>
        <w:rPr/>
      </w:pPr>
      <w:r>
        <w:rPr>
          <w:rStyle w:val="Strong"/>
        </w:rPr>
        <w:t>Response:</w:t>
      </w:r>
      <w:r>
        <w:rPr/>
        <w:br/>
        <w:t>The framework should examine consumption, technology, distribution, waste, land use, and institutional structures alongside demographic change. Any policy must protect reproductive autonomy and reject coercion or discriminatory targeting.</w:t>
      </w:r>
    </w:p>
    <w:p>
      <w:pPr>
        <w:pStyle w:val="Heading5"/>
        <w:ind w:hanging="0" w:left="0"/>
        <w:rPr>
          <w:rFonts w:ascii="Aptos" w:hAnsi="Aptos"/>
          <w:color w:val="auto"/>
        </w:rPr>
      </w:pPr>
      <w:r>
        <w:rPr/>
        <w:t>22. How are cumulative effects included?</w:t>
      </w:r>
    </w:p>
    <w:p>
      <w:pPr>
        <w:pStyle w:val="BodyText"/>
        <w:spacing w:before="0" w:after="200"/>
        <w:rPr/>
      </w:pPr>
      <w:r>
        <w:rPr>
          <w:rStyle w:val="Strong"/>
        </w:rPr>
        <w:t>Response:</w:t>
      </w:r>
      <w:r>
        <w:rPr/>
        <w:br/>
        <w:t>The action should be assessed together with existing degradation, repeated similar actions, foreseeable projects, background climate change, and other pressures on the same system.</w:t>
      </w:r>
    </w:p>
    <w:p>
      <w:pPr>
        <w:pStyle w:val="Heading5"/>
        <w:ind w:hanging="0" w:left="0"/>
        <w:rPr>
          <w:rFonts w:ascii="Aptos" w:hAnsi="Aptos"/>
          <w:color w:val="auto"/>
        </w:rPr>
      </w:pPr>
      <w:r>
        <w:rPr/>
        <w:t>23. What environmental baseline is used?</w:t>
      </w:r>
    </w:p>
    <w:p>
      <w:pPr>
        <w:pStyle w:val="BodyText"/>
        <w:spacing w:before="0" w:after="200"/>
        <w:rPr/>
      </w:pPr>
      <w:r>
        <w:rPr>
          <w:rStyle w:val="Strong"/>
        </w:rPr>
        <w:t>Response:</w:t>
      </w:r>
      <w:r>
        <w:rPr/>
        <w:br/>
        <w:t>The assessment should disclose whether it uses current condition, historical range, reference ecosystem, legal standard, or projected climate-adjusted condition. A degraded present should not automatically become the ethical baseline.</w:t>
      </w:r>
    </w:p>
    <w:p>
      <w:pPr>
        <w:pStyle w:val="Heading5"/>
        <w:ind w:hanging="0" w:left="0"/>
        <w:rPr>
          <w:rFonts w:ascii="Aptos" w:hAnsi="Aptos"/>
          <w:color w:val="auto"/>
        </w:rPr>
      </w:pPr>
      <w:r>
        <w:rPr/>
        <w:t>24. Can environmental harm be offset elsewhere?</w:t>
      </w:r>
    </w:p>
    <w:p>
      <w:pPr>
        <w:pStyle w:val="BodyText"/>
        <w:spacing w:before="0" w:after="200"/>
        <w:rPr/>
      </w:pPr>
      <w:r>
        <w:rPr>
          <w:rStyle w:val="Strong"/>
        </w:rPr>
        <w:t>Response:</w:t>
      </w:r>
      <w:r>
        <w:rPr/>
        <w:br/>
        <w:t>Only under limited conditions. The framework should first assess uniqueness, ecological equivalence, location, time delay, probability of success, affected entities, and whether the loss is reversible.</w:t>
      </w:r>
    </w:p>
    <w:p>
      <w:pPr>
        <w:pStyle w:val="Heading5"/>
        <w:ind w:hanging="0" w:left="0"/>
        <w:rPr>
          <w:rFonts w:ascii="Aptos" w:hAnsi="Aptos"/>
          <w:color w:val="auto"/>
        </w:rPr>
      </w:pPr>
      <w:r>
        <w:rPr/>
        <w:t>25. Can financial compensation substitute for ecological restoration?</w:t>
      </w:r>
    </w:p>
    <w:p>
      <w:pPr>
        <w:pStyle w:val="BodyText"/>
        <w:spacing w:before="0" w:after="200"/>
        <w:rPr/>
      </w:pPr>
      <w:r>
        <w:rPr>
          <w:rStyle w:val="Strong"/>
        </w:rPr>
        <w:t>Response:</w:t>
      </w:r>
      <w:r>
        <w:rPr/>
        <w:br/>
        <w:t>Financial compensation may address some human losses but does not by itself restore species, habitats, ecological relationships, or evolutionary potential.</w:t>
      </w:r>
    </w:p>
    <w:p>
      <w:pPr>
        <w:pStyle w:val="Heading5"/>
        <w:ind w:hanging="0" w:left="0"/>
        <w:rPr>
          <w:rFonts w:ascii="Aptos" w:hAnsi="Aptos"/>
          <w:color w:val="auto"/>
        </w:rPr>
      </w:pPr>
      <w:r>
        <w:rPr/>
        <w:t>26. How are irreversible effects treated?</w:t>
      </w:r>
    </w:p>
    <w:p>
      <w:pPr>
        <w:pStyle w:val="BodyText"/>
        <w:spacing w:before="0" w:after="200"/>
        <w:rPr/>
      </w:pPr>
      <w:r>
        <w:rPr>
          <w:rStyle w:val="Strong"/>
        </w:rPr>
        <w:t>Response:</w:t>
      </w:r>
      <w:r>
        <w:rPr/>
        <w:br/>
        <w:t>Irreversibility should increase the ethical weight of avoidance, precaution, alternative selection, and the burden of proof placed on the proponent.</w:t>
      </w:r>
    </w:p>
    <w:p>
      <w:pPr>
        <w:pStyle w:val="Heading5"/>
        <w:ind w:hanging="0" w:left="0"/>
        <w:rPr>
          <w:rFonts w:ascii="Aptos" w:hAnsi="Aptos"/>
          <w:color w:val="auto"/>
        </w:rPr>
      </w:pPr>
      <w:r>
        <w:rPr/>
        <w:t>27. What burden of proof applies under ecological uncertainty?</w:t>
      </w:r>
    </w:p>
    <w:p>
      <w:pPr>
        <w:pStyle w:val="BodyText"/>
        <w:spacing w:before="0" w:after="200"/>
        <w:rPr/>
      </w:pPr>
      <w:r>
        <w:rPr>
          <w:rStyle w:val="Strong"/>
        </w:rPr>
        <w:t>Response:</w:t>
      </w:r>
      <w:r>
        <w:rPr/>
        <w:br/>
        <w:t>The proponent of a potentially severe or irreversible intervention should ordinarily demonstrate necessity, examine safer alternatives, disclose uncertainty, and fund monitoring and repair.</w:t>
      </w:r>
    </w:p>
    <w:p>
      <w:pPr>
        <w:pStyle w:val="Heading5"/>
        <w:ind w:hanging="0" w:left="0"/>
        <w:rPr>
          <w:rFonts w:ascii="Aptos" w:hAnsi="Aptos"/>
          <w:color w:val="auto"/>
        </w:rPr>
      </w:pPr>
      <w:r>
        <w:rPr/>
        <w:t>28. Does uncertainty always require nonintervention?</w:t>
      </w:r>
    </w:p>
    <w:p>
      <w:pPr>
        <w:pStyle w:val="BodyText"/>
        <w:spacing w:before="0" w:after="200"/>
        <w:rPr/>
      </w:pPr>
      <w:r>
        <w:rPr>
          <w:rStyle w:val="Strong"/>
        </w:rPr>
        <w:t>Response:</w:t>
      </w:r>
      <w:r>
        <w:rPr/>
        <w:br/>
        <w:t>No. Inaction can also produce irreversible harm. The framework should compare intervention and nonintervention symmetrically while considering reversibility and containment.</w:t>
      </w:r>
    </w:p>
    <w:p>
      <w:pPr>
        <w:pStyle w:val="Heading5"/>
        <w:ind w:hanging="0" w:left="0"/>
        <w:rPr>
          <w:rFonts w:ascii="Aptos" w:hAnsi="Aptos"/>
          <w:color w:val="auto"/>
        </w:rPr>
      </w:pPr>
      <w:r>
        <w:rPr/>
        <w:t>29. How are tipping points assessed?</w:t>
      </w:r>
    </w:p>
    <w:p>
      <w:pPr>
        <w:pStyle w:val="BodyText"/>
        <w:spacing w:before="0" w:after="200"/>
        <w:rPr/>
      </w:pPr>
      <w:r>
        <w:rPr>
          <w:rStyle w:val="Strong"/>
        </w:rPr>
        <w:t>Response:</w:t>
      </w:r>
      <w:r>
        <w:rPr/>
        <w:br/>
        <w:t>The assessment should identify plausible thresholds, early-warning indicators, uncertainty ranges, and conditions requiring intervention, suspension, or reassessment.</w:t>
      </w:r>
    </w:p>
    <w:p>
      <w:pPr>
        <w:pStyle w:val="Heading5"/>
        <w:ind w:hanging="0" w:left="0"/>
        <w:rPr>
          <w:rFonts w:ascii="Aptos" w:hAnsi="Aptos"/>
          <w:color w:val="auto"/>
        </w:rPr>
      </w:pPr>
      <w:r>
        <w:rPr/>
        <w:t>30. How are ecological cascades represented?</w:t>
      </w:r>
    </w:p>
    <w:p>
      <w:pPr>
        <w:pStyle w:val="BodyText"/>
        <w:spacing w:before="0" w:after="200"/>
        <w:rPr/>
      </w:pPr>
      <w:r>
        <w:rPr>
          <w:rStyle w:val="Strong"/>
        </w:rPr>
        <w:t>Response:</w:t>
      </w:r>
      <w:r>
        <w:rPr/>
        <w:br/>
        <w:t>Causal models should include food webs, habitat dependence, ecosystem engineers, keystone species, migration, hydrology, nutrient flows, and feedback where material.</w:t>
      </w:r>
    </w:p>
    <w:p>
      <w:pPr>
        <w:pStyle w:val="Heading5"/>
        <w:ind w:hanging="0" w:left="0"/>
        <w:rPr>
          <w:rFonts w:ascii="Aptos" w:hAnsi="Aptos"/>
          <w:color w:val="auto"/>
        </w:rPr>
      </w:pPr>
      <w:r>
        <w:rPr/>
        <w:t>31. How are future generations represented?</w:t>
      </w:r>
    </w:p>
    <w:p>
      <w:pPr>
        <w:pStyle w:val="BodyText"/>
        <w:spacing w:before="0" w:after="200"/>
        <w:rPr/>
      </w:pPr>
      <w:r>
        <w:rPr>
          <w:rStyle w:val="Strong"/>
        </w:rPr>
        <w:t>Response:</w:t>
      </w:r>
      <w:r>
        <w:rPr/>
        <w:br/>
        <w:t>Future human and nonhuman entities can be represented through trustees, ecological science, scenario analysis, preservation of options, and heightened concern for irreversible loss.</w:t>
      </w:r>
    </w:p>
    <w:p>
      <w:pPr>
        <w:pStyle w:val="Heading5"/>
        <w:ind w:hanging="0" w:left="0"/>
        <w:rPr>
          <w:rFonts w:ascii="Aptos" w:hAnsi="Aptos"/>
          <w:color w:val="auto"/>
        </w:rPr>
      </w:pPr>
      <w:r>
        <w:rPr/>
        <w:t>32. How are Indigenous and local communities included?</w:t>
      </w:r>
    </w:p>
    <w:p>
      <w:pPr>
        <w:pStyle w:val="BodyText"/>
        <w:spacing w:before="0" w:after="200"/>
        <w:rPr/>
      </w:pPr>
      <w:r>
        <w:rPr>
          <w:rStyle w:val="Strong"/>
        </w:rPr>
        <w:t>Response:</w:t>
      </w:r>
      <w:r>
        <w:rPr/>
        <w:br/>
        <w:t>Their knowledge, rights, cultural relationships, governance, and material dependence should be included through meaningful participation rather than treated merely as data sources.</w:t>
      </w:r>
    </w:p>
    <w:p>
      <w:pPr>
        <w:pStyle w:val="Heading5"/>
        <w:ind w:hanging="0" w:left="0"/>
        <w:rPr>
          <w:rFonts w:ascii="Aptos" w:hAnsi="Aptos"/>
          <w:color w:val="auto"/>
        </w:rPr>
      </w:pPr>
      <w:r>
        <w:rPr/>
        <w:t>33. Can conservation justify displacement?</w:t>
      </w:r>
    </w:p>
    <w:p>
      <w:pPr>
        <w:pStyle w:val="BodyText"/>
        <w:spacing w:before="0" w:after="200"/>
        <w:rPr/>
      </w:pPr>
      <w:r>
        <w:rPr>
          <w:rStyle w:val="Strong"/>
        </w:rPr>
        <w:t>Response:</w:t>
      </w:r>
      <w:r>
        <w:rPr/>
        <w:br/>
        <w:t>Only under extraordinary conditions and stringent safeguards. Conservation should first seek arrangements that recognize customary relationships, shared governance, rights, and less harmful alternatives.</w:t>
      </w:r>
    </w:p>
    <w:p>
      <w:pPr>
        <w:pStyle w:val="Heading5"/>
        <w:ind w:hanging="0" w:left="0"/>
        <w:rPr>
          <w:rFonts w:ascii="Aptos" w:hAnsi="Aptos"/>
          <w:color w:val="auto"/>
        </w:rPr>
      </w:pPr>
      <w:r>
        <w:rPr/>
        <w:t>34. How does the framework address colonial conservation histories?</w:t>
      </w:r>
    </w:p>
    <w:p>
      <w:pPr>
        <w:pStyle w:val="BodyText"/>
        <w:spacing w:before="0" w:after="200"/>
        <w:rPr/>
      </w:pPr>
      <w:r>
        <w:rPr>
          <w:rStyle w:val="Strong"/>
        </w:rPr>
        <w:t>Response:</w:t>
      </w:r>
      <w:r>
        <w:rPr/>
        <w:br/>
        <w:t>The World Context should include historical dispossession, exclusion, unequal enforcement, and ecological knowledge suppressed by prior institutions.</w:t>
      </w:r>
    </w:p>
    <w:p>
      <w:pPr>
        <w:pStyle w:val="Heading5"/>
        <w:ind w:hanging="0" w:left="0"/>
        <w:rPr>
          <w:rFonts w:ascii="Aptos" w:hAnsi="Aptos"/>
          <w:color w:val="auto"/>
        </w:rPr>
      </w:pPr>
      <w:r>
        <w:rPr/>
        <w:t>35. How are social hierarchy and environmental degradation connected?</w:t>
      </w:r>
    </w:p>
    <w:p>
      <w:pPr>
        <w:pStyle w:val="BodyText"/>
        <w:spacing w:before="0" w:after="200"/>
        <w:rPr/>
      </w:pPr>
      <w:r>
        <w:rPr>
          <w:rStyle w:val="Strong"/>
        </w:rPr>
        <w:t>Response:</w:t>
      </w:r>
      <w:r>
        <w:rPr/>
        <w:br/>
        <w:t>The assessment should trace ownership, authority, labor, political voice, gender, race, class, colonial history, and consumption rather than attributing degradation generically to humanity.</w:t>
      </w:r>
    </w:p>
    <w:p>
      <w:pPr>
        <w:pStyle w:val="Heading5"/>
        <w:ind w:hanging="0" w:left="0"/>
        <w:rPr>
          <w:rFonts w:ascii="Aptos" w:hAnsi="Aptos"/>
          <w:color w:val="auto"/>
        </w:rPr>
      </w:pPr>
      <w:r>
        <w:rPr/>
        <w:t>36. Is technological neutrality defensible?</w:t>
      </w:r>
    </w:p>
    <w:p>
      <w:pPr>
        <w:pStyle w:val="BodyText"/>
        <w:spacing w:before="0" w:after="200"/>
        <w:rPr/>
      </w:pPr>
      <w:r>
        <w:rPr>
          <w:rStyle w:val="Strong"/>
        </w:rPr>
        <w:t>Response:</w:t>
      </w:r>
      <w:r>
        <w:rPr/>
        <w:br/>
        <w:t>Implementation neutrality does not imply that technologies are ethically neutral. Each technology should be evaluated for embedded resource demands, governance, control, lock-in, labor, waste, and ecological effects.</w:t>
      </w:r>
    </w:p>
    <w:p>
      <w:pPr>
        <w:pStyle w:val="Heading5"/>
        <w:ind w:hanging="0" w:left="0"/>
        <w:rPr>
          <w:rFonts w:ascii="Aptos" w:hAnsi="Aptos"/>
          <w:color w:val="auto"/>
        </w:rPr>
      </w:pPr>
      <w:r>
        <w:rPr/>
        <w:t>37. Can technology expand ecological flourishing?</w:t>
      </w:r>
    </w:p>
    <w:p>
      <w:pPr>
        <w:pStyle w:val="BodyText"/>
        <w:spacing w:before="0" w:after="200"/>
        <w:rPr/>
      </w:pPr>
      <w:r>
        <w:rPr>
          <w:rStyle w:val="Strong"/>
        </w:rPr>
        <w:t>Response:</w:t>
      </w:r>
      <w:r>
        <w:rPr/>
        <w:br/>
        <w:t>Yes. Monitoring, pollution prevention, renewable systems, habitat restoration, and accessible knowledge can support flourishing. Benefits must be evaluated against lifecycle costs and rebound effects.</w:t>
      </w:r>
    </w:p>
    <w:p>
      <w:pPr>
        <w:pStyle w:val="Heading5"/>
        <w:ind w:hanging="0" w:left="0"/>
        <w:rPr>
          <w:rFonts w:ascii="Aptos" w:hAnsi="Aptos"/>
          <w:color w:val="auto"/>
        </w:rPr>
      </w:pPr>
      <w:r>
        <w:rPr/>
        <w:t>38. How should geoengineering or other planetary interventions be assessed?</w:t>
      </w:r>
    </w:p>
    <w:p>
      <w:pPr>
        <w:pStyle w:val="BodyText"/>
        <w:spacing w:before="0" w:after="200"/>
        <w:rPr/>
      </w:pPr>
      <w:r>
        <w:rPr>
          <w:rStyle w:val="Strong"/>
        </w:rPr>
        <w:t>Response:</w:t>
      </w:r>
      <w:r>
        <w:rPr/>
        <w:br/>
        <w:t>The framework should emphasize uncertainty, unequal regional effects, governance, reversibility, moral hazard, termination risk, intergenerational consequences, and responsibility for failure.</w:t>
      </w:r>
    </w:p>
    <w:p>
      <w:pPr>
        <w:pStyle w:val="Heading5"/>
        <w:ind w:hanging="0" w:left="0"/>
        <w:rPr>
          <w:rFonts w:ascii="Aptos" w:hAnsi="Aptos"/>
          <w:color w:val="auto"/>
        </w:rPr>
      </w:pPr>
      <w:r>
        <w:rPr/>
        <w:t>39. How are restoration promises evaluated?</w:t>
      </w:r>
    </w:p>
    <w:p>
      <w:pPr>
        <w:pStyle w:val="BodyText"/>
        <w:spacing w:before="0" w:after="200"/>
        <w:rPr/>
      </w:pPr>
      <w:r>
        <w:rPr>
          <w:rStyle w:val="Strong"/>
        </w:rPr>
        <w:t>Response:</w:t>
      </w:r>
      <w:r>
        <w:rPr/>
        <w:br/>
        <w:t>The assessment should examine ecological feasibility, time lag, probability of success, climate conditions, funding, maintenance, reference conditions, and whether the original value is reproducible.</w:t>
      </w:r>
    </w:p>
    <w:p>
      <w:pPr>
        <w:pStyle w:val="Heading5"/>
        <w:ind w:hanging="0" w:left="0"/>
        <w:rPr>
          <w:rFonts w:ascii="Aptos" w:hAnsi="Aptos"/>
          <w:color w:val="auto"/>
        </w:rPr>
      </w:pPr>
      <w:r>
        <w:rPr/>
        <w:t>40. When is assisted adaptation justified?</w:t>
      </w:r>
    </w:p>
    <w:p>
      <w:pPr>
        <w:pStyle w:val="BodyText"/>
        <w:spacing w:before="0" w:after="200"/>
        <w:rPr/>
      </w:pPr>
      <w:r>
        <w:rPr>
          <w:rStyle w:val="Strong"/>
        </w:rPr>
        <w:t>Response:</w:t>
      </w:r>
      <w:r>
        <w:rPr/>
        <w:br/>
        <w:t>It may be justified when climate or fragmentation makes historical persistence unlikely, but risks to recipient ecosystems, genetic integrity, uncertainty, and alternative actions must be examined.</w:t>
      </w:r>
    </w:p>
    <w:p>
      <w:pPr>
        <w:pStyle w:val="Heading5"/>
        <w:ind w:hanging="0" w:left="0"/>
        <w:rPr>
          <w:rFonts w:ascii="Aptos" w:hAnsi="Aptos"/>
          <w:color w:val="auto"/>
        </w:rPr>
      </w:pPr>
      <w:r>
        <w:rPr/>
        <w:t>41. How should introduced or “invasive” organisms be treated?</w:t>
      </w:r>
    </w:p>
    <w:p>
      <w:pPr>
        <w:pStyle w:val="BodyText"/>
        <w:spacing w:before="0" w:after="200"/>
        <w:rPr/>
      </w:pPr>
      <w:r>
        <w:rPr>
          <w:rStyle w:val="Strong"/>
        </w:rPr>
        <w:t>Response:</w:t>
      </w:r>
      <w:r>
        <w:rPr/>
        <w:br/>
        <w:t>The label alone is insufficient. The assessment should consider actual ecological effects, causal history, feasibility of control, suffering caused by control, climate change, and the possibility of coexistence.</w:t>
      </w:r>
    </w:p>
    <w:p>
      <w:pPr>
        <w:pStyle w:val="Heading5"/>
        <w:ind w:hanging="0" w:left="0"/>
        <w:rPr>
          <w:rFonts w:ascii="Aptos" w:hAnsi="Aptos"/>
          <w:color w:val="auto"/>
        </w:rPr>
      </w:pPr>
      <w:r>
        <w:rPr/>
        <w:t>42. Can artificial entities have flourishing that competes with ecological entities?</w:t>
      </w:r>
    </w:p>
    <w:p>
      <w:pPr>
        <w:pStyle w:val="BodyText"/>
        <w:spacing w:before="0" w:after="200"/>
        <w:rPr/>
      </w:pPr>
      <w:r>
        <w:rPr>
          <w:rStyle w:val="Strong"/>
        </w:rPr>
        <w:t>Response:</w:t>
      </w:r>
      <w:r>
        <w:rPr/>
        <w:br/>
        <w:t>Artificial systems may possess operational interests or adaptive capacities, but these should not automatically override living entities. Their moral status and dependence on ecological resources require separate justification.</w:t>
      </w:r>
    </w:p>
    <w:p>
      <w:pPr>
        <w:pStyle w:val="Heading5"/>
        <w:ind w:hanging="0" w:left="0"/>
        <w:rPr>
          <w:rFonts w:ascii="Aptos" w:hAnsi="Aptos"/>
          <w:color w:val="auto"/>
        </w:rPr>
      </w:pPr>
      <w:r>
        <w:rPr/>
        <w:t>43. Can corporate persistence count as flourishing?</w:t>
      </w:r>
    </w:p>
    <w:p>
      <w:pPr>
        <w:pStyle w:val="BodyText"/>
        <w:spacing w:before="0" w:after="200"/>
        <w:rPr/>
      </w:pPr>
      <w:r>
        <w:rPr>
          <w:rStyle w:val="Strong"/>
        </w:rPr>
        <w:t>Response:</w:t>
      </w:r>
      <w:r>
        <w:rPr/>
        <w:br/>
        <w:t>Institutional persistence is not intrinsically beneficial. A corporation’s continued existence should be evaluated through the compatible flourishing it supports or diminishes.</w:t>
      </w:r>
    </w:p>
    <w:p>
      <w:pPr>
        <w:pStyle w:val="Heading5"/>
        <w:ind w:hanging="0" w:left="0"/>
        <w:rPr>
          <w:rFonts w:ascii="Aptos" w:hAnsi="Aptos"/>
          <w:color w:val="auto"/>
        </w:rPr>
      </w:pPr>
      <w:r>
        <w:rPr/>
        <w:t>44. Who represents nonhuman entities?</w:t>
      </w:r>
    </w:p>
    <w:p>
      <w:pPr>
        <w:pStyle w:val="BodyText"/>
        <w:spacing w:before="0" w:after="200"/>
        <w:rPr/>
      </w:pPr>
      <w:r>
        <w:rPr>
          <w:rStyle w:val="Strong"/>
        </w:rPr>
        <w:t>Response:</w:t>
      </w:r>
      <w:r>
        <w:rPr/>
        <w:br/>
        <w:t>Possible representatives include ecological guardians, trustees, scientists, Indigenous authorities, animal advocates, conservation bodies, and legally recognized nature representatives. Conflicts among representatives should be documented.</w:t>
      </w:r>
    </w:p>
    <w:p>
      <w:pPr>
        <w:pStyle w:val="Heading5"/>
        <w:ind w:hanging="0" w:left="0"/>
        <w:rPr>
          <w:rFonts w:ascii="Aptos" w:hAnsi="Aptos"/>
          <w:color w:val="auto"/>
        </w:rPr>
      </w:pPr>
      <w:r>
        <w:rPr/>
        <w:t>45. How is projection of human preferences onto nature controlled?</w:t>
      </w:r>
    </w:p>
    <w:p>
      <w:pPr>
        <w:pStyle w:val="BodyText"/>
        <w:spacing w:before="0" w:after="200"/>
        <w:rPr/>
      </w:pPr>
      <w:r>
        <w:rPr>
          <w:rStyle w:val="Strong"/>
        </w:rPr>
        <w:t>Response:</w:t>
      </w:r>
      <w:r>
        <w:rPr/>
        <w:br/>
        <w:t>Claims should be grounded in species-specific science, ecological evidence, plural expertise, uncertainty disclosure, and review by representatives with different perspectives.</w:t>
      </w:r>
    </w:p>
    <w:p>
      <w:pPr>
        <w:pStyle w:val="Heading5"/>
        <w:ind w:hanging="0" w:left="0"/>
        <w:rPr>
          <w:rFonts w:ascii="Aptos" w:hAnsi="Aptos"/>
          <w:color w:val="auto"/>
        </w:rPr>
      </w:pPr>
      <w:r>
        <w:rPr/>
        <w:t>46. How is responsibility assigned for diffuse ecological harm?</w:t>
      </w:r>
    </w:p>
    <w:p>
      <w:pPr>
        <w:pStyle w:val="BodyText"/>
        <w:spacing w:before="0" w:after="200"/>
        <w:rPr/>
      </w:pPr>
      <w:r>
        <w:rPr>
          <w:rStyle w:val="Strong"/>
        </w:rPr>
        <w:t>Response:</w:t>
      </w:r>
      <w:r>
        <w:rPr/>
        <w:br/>
        <w:t>Responsibility should consider causal contribution, authority, knowledge, cumulative benefit, capacity to prevent harm, regulatory role, and participation in structures that reproduce degradation.</w:t>
      </w:r>
    </w:p>
    <w:p>
      <w:pPr>
        <w:pStyle w:val="Heading5"/>
        <w:ind w:hanging="0" w:left="0"/>
        <w:rPr>
          <w:rFonts w:ascii="Aptos" w:hAnsi="Aptos"/>
          <w:color w:val="auto"/>
        </w:rPr>
      </w:pPr>
      <w:r>
        <w:rPr/>
        <w:t>47. Does legal compliance establish environmental acceptability?</w:t>
      </w:r>
    </w:p>
    <w:p>
      <w:pPr>
        <w:pStyle w:val="BodyText"/>
        <w:spacing w:before="0" w:after="200"/>
        <w:rPr/>
      </w:pPr>
      <w:r>
        <w:rPr>
          <w:rStyle w:val="Strong"/>
        </w:rPr>
        <w:t>Response:</w:t>
      </w:r>
      <w:r>
        <w:rPr/>
        <w:br/>
        <w:t>No. Law may lag behind ecological evidence, omit nonhuman value, or reflect political compromise. Compliance is relevant but not conclusive.</w:t>
      </w:r>
    </w:p>
    <w:p>
      <w:pPr>
        <w:pStyle w:val="Heading5"/>
        <w:ind w:hanging="0" w:left="0"/>
        <w:rPr>
          <w:rFonts w:ascii="Aptos" w:hAnsi="Aptos"/>
          <w:color w:val="auto"/>
        </w:rPr>
      </w:pPr>
      <w:r>
        <w:rPr/>
        <w:t>48. How is the environmental cost of the framework itself assessed?</w:t>
      </w:r>
    </w:p>
    <w:p>
      <w:pPr>
        <w:pStyle w:val="BodyText"/>
        <w:spacing w:before="0" w:after="200"/>
        <w:rPr/>
      </w:pPr>
      <w:r>
        <w:rPr>
          <w:rStyle w:val="Strong"/>
        </w:rPr>
        <w:t>Response:</w:t>
      </w:r>
      <w:r>
        <w:rPr/>
        <w:br/>
        <w:t>Material energy, hardware, data-center, sensor, travel, infrastructure, and disposal effects should be included when they could affect the ethical conclusion.</w:t>
      </w:r>
    </w:p>
    <w:p>
      <w:pPr>
        <w:pStyle w:val="Heading4"/>
        <w:ind w:hanging="0" w:left="0"/>
        <w:rPr>
          <w:rFonts w:ascii="Aptos" w:hAnsi="Aptos"/>
          <w:color w:val="auto"/>
        </w:rPr>
      </w:pPr>
      <w:r>
        <w:rPr/>
        <w:t>Remaining open issues</w:t>
      </w:r>
    </w:p>
    <w:p>
      <w:pPr>
        <w:pStyle w:val="BodyText"/>
        <w:numPr>
          <w:ilvl w:val="0"/>
          <w:numId w:val="156"/>
        </w:numPr>
        <w:tabs>
          <w:tab w:val="clear" w:pos="720"/>
          <w:tab w:val="left" w:pos="0" w:leader="none"/>
        </w:tabs>
        <w:spacing w:before="0" w:after="200"/>
        <w:ind w:hanging="283" w:left="709"/>
        <w:rPr/>
      </w:pPr>
      <w:r>
        <w:rPr>
          <w:rStyle w:val="Strong"/>
        </w:rPr>
        <w:t>Environmental moral ontology.</w:t>
      </w:r>
      <w:r>
        <w:rPr/>
        <w:br/>
        <w:t>It remains unsettled whether species, ecosystems, rivers, landscapes, and the biosphere are entities, collectives, processes, contexts, or several of these simultaneously.</w:t>
      </w:r>
    </w:p>
    <w:p>
      <w:pPr>
        <w:pStyle w:val="BodyText"/>
        <w:numPr>
          <w:ilvl w:val="0"/>
          <w:numId w:val="156"/>
        </w:numPr>
        <w:tabs>
          <w:tab w:val="clear" w:pos="720"/>
          <w:tab w:val="left" w:pos="0" w:leader="none"/>
        </w:tabs>
        <w:spacing w:before="0" w:after="200"/>
        <w:ind w:hanging="283" w:left="709"/>
        <w:rPr/>
      </w:pPr>
      <w:r>
        <w:rPr>
          <w:rStyle w:val="Strong"/>
        </w:rPr>
        <w:t>Abiotic value.</w:t>
      </w:r>
      <w:r>
        <w:rPr/>
        <w:br/>
        <w:t>The framework needs a more explicit basis for valuing mountains, glaciers, soils, geological formations, and other nonadaptive nature.</w:t>
      </w:r>
    </w:p>
    <w:p>
      <w:pPr>
        <w:pStyle w:val="BodyText"/>
        <w:numPr>
          <w:ilvl w:val="0"/>
          <w:numId w:val="156"/>
        </w:numPr>
        <w:tabs>
          <w:tab w:val="clear" w:pos="720"/>
          <w:tab w:val="left" w:pos="0" w:leader="none"/>
        </w:tabs>
        <w:spacing w:before="0" w:after="200"/>
        <w:ind w:hanging="283" w:left="709"/>
        <w:rPr/>
      </w:pPr>
      <w:r>
        <w:rPr>
          <w:rStyle w:val="Strong"/>
        </w:rPr>
        <w:t>Intrinsic value.</w:t>
      </w:r>
      <w:r>
        <w:rPr/>
        <w:br/>
        <w:t>There is no universally accepted method for establishing or comparing inherent value across environmental subjects.</w:t>
      </w:r>
    </w:p>
    <w:p>
      <w:pPr>
        <w:pStyle w:val="BodyText"/>
        <w:numPr>
          <w:ilvl w:val="0"/>
          <w:numId w:val="156"/>
        </w:numPr>
        <w:tabs>
          <w:tab w:val="clear" w:pos="720"/>
          <w:tab w:val="left" w:pos="0" w:leader="none"/>
        </w:tabs>
        <w:spacing w:before="0" w:after="200"/>
        <w:ind w:hanging="283" w:left="709"/>
        <w:rPr/>
      </w:pPr>
      <w:r>
        <w:rPr>
          <w:rStyle w:val="Strong"/>
        </w:rPr>
        <w:t>Species-appropriate flourishing.</w:t>
      </w:r>
      <w:r>
        <w:rPr/>
        <w:br/>
        <w:t>Many organisms are insufficiently understood to support confident accounts of their needs, behavior, and flourishing.</w:t>
      </w:r>
    </w:p>
    <w:p>
      <w:pPr>
        <w:pStyle w:val="BodyText"/>
        <w:numPr>
          <w:ilvl w:val="0"/>
          <w:numId w:val="156"/>
        </w:numPr>
        <w:tabs>
          <w:tab w:val="clear" w:pos="720"/>
          <w:tab w:val="left" w:pos="0" w:leader="none"/>
        </w:tabs>
        <w:spacing w:before="0" w:after="200"/>
        <w:ind w:hanging="283" w:left="709"/>
        <w:rPr/>
      </w:pPr>
      <w:r>
        <w:rPr>
          <w:rStyle w:val="Strong"/>
        </w:rPr>
        <w:t>Ecosystem flourishing.</w:t>
      </w:r>
      <w:r>
        <w:rPr/>
        <w:br/>
        <w:t>Ecological systems are dynamic and lack a single uncontested good state.</w:t>
      </w:r>
    </w:p>
    <w:p>
      <w:pPr>
        <w:pStyle w:val="BodyText"/>
        <w:numPr>
          <w:ilvl w:val="0"/>
          <w:numId w:val="156"/>
        </w:numPr>
        <w:tabs>
          <w:tab w:val="clear" w:pos="720"/>
          <w:tab w:val="left" w:pos="0" w:leader="none"/>
        </w:tabs>
        <w:spacing w:before="0" w:after="200"/>
        <w:ind w:hanging="283" w:left="709"/>
        <w:rPr/>
      </w:pPr>
      <w:r>
        <w:rPr>
          <w:rStyle w:val="Strong"/>
        </w:rPr>
        <w:t>Individual-versus-whole conflicts.</w:t>
      </w:r>
      <w:r>
        <w:rPr/>
        <w:br/>
        <w:t>Animal welfare, species preservation, and ecosystem integrity may recommend different interventions.</w:t>
      </w:r>
    </w:p>
    <w:p>
      <w:pPr>
        <w:pStyle w:val="BodyText"/>
        <w:numPr>
          <w:ilvl w:val="0"/>
          <w:numId w:val="156"/>
        </w:numPr>
        <w:tabs>
          <w:tab w:val="clear" w:pos="720"/>
          <w:tab w:val="left" w:pos="0" w:leader="none"/>
        </w:tabs>
        <w:spacing w:before="0" w:after="200"/>
        <w:ind w:hanging="283" w:left="709"/>
        <w:rPr/>
      </w:pPr>
      <w:r>
        <w:rPr>
          <w:rStyle w:val="Strong"/>
        </w:rPr>
        <w:t>Biospheric egalitarianism.</w:t>
      </w:r>
      <w:r>
        <w:rPr/>
        <w:br/>
        <w:t>Further criteria are needed to translate rejection of human supremacy into practical priority rules.</w:t>
      </w:r>
    </w:p>
    <w:p>
      <w:pPr>
        <w:pStyle w:val="BodyText"/>
        <w:numPr>
          <w:ilvl w:val="0"/>
          <w:numId w:val="156"/>
        </w:numPr>
        <w:tabs>
          <w:tab w:val="clear" w:pos="720"/>
          <w:tab w:val="left" w:pos="0" w:leader="none"/>
        </w:tabs>
        <w:spacing w:before="0" w:after="200"/>
        <w:ind w:hanging="283" w:left="709"/>
        <w:rPr/>
      </w:pPr>
      <w:r>
        <w:rPr>
          <w:rStyle w:val="Strong"/>
        </w:rPr>
        <w:t>Wildness.</w:t>
      </w:r>
      <w:r>
        <w:rPr/>
        <w:br/>
        <w:t>The value of ecological self-organization is difficult to compare with welfare, resilience, restoration, and human safety.</w:t>
      </w:r>
    </w:p>
    <w:p>
      <w:pPr>
        <w:pStyle w:val="BodyText"/>
        <w:numPr>
          <w:ilvl w:val="0"/>
          <w:numId w:val="156"/>
        </w:numPr>
        <w:tabs>
          <w:tab w:val="clear" w:pos="720"/>
          <w:tab w:val="left" w:pos="0" w:leader="none"/>
        </w:tabs>
        <w:spacing w:before="0" w:after="200"/>
        <w:ind w:hanging="283" w:left="709"/>
        <w:rPr/>
      </w:pPr>
      <w:r>
        <w:rPr>
          <w:rStyle w:val="Strong"/>
        </w:rPr>
        <w:t>Naturalness under climate change.</w:t>
      </w:r>
      <w:r>
        <w:rPr/>
        <w:br/>
        <w:t>Historical baselines may become unattainable, while future ecosystems may contain novel species combinations.</w:t>
      </w:r>
    </w:p>
    <w:p>
      <w:pPr>
        <w:pStyle w:val="BodyText"/>
        <w:numPr>
          <w:ilvl w:val="0"/>
          <w:numId w:val="156"/>
        </w:numPr>
        <w:tabs>
          <w:tab w:val="clear" w:pos="720"/>
          <w:tab w:val="left" w:pos="0" w:leader="none"/>
        </w:tabs>
        <w:spacing w:before="0" w:after="200"/>
        <w:ind w:hanging="283" w:left="709"/>
        <w:rPr/>
      </w:pPr>
      <w:r>
        <w:rPr>
          <w:rStyle w:val="Strong"/>
        </w:rPr>
        <w:t>Biodiversity metrics.</w:t>
      </w:r>
      <w:r>
        <w:rPr/>
        <w:br/>
        <w:t>Different measures can produce conflicting assessments of the same transition.</w:t>
      </w:r>
    </w:p>
    <w:p>
      <w:pPr>
        <w:pStyle w:val="BodyText"/>
        <w:numPr>
          <w:ilvl w:val="0"/>
          <w:numId w:val="156"/>
        </w:numPr>
        <w:tabs>
          <w:tab w:val="clear" w:pos="720"/>
          <w:tab w:val="left" w:pos="0" w:leader="none"/>
        </w:tabs>
        <w:spacing w:before="0" w:after="200"/>
        <w:ind w:hanging="283" w:left="709"/>
        <w:rPr/>
      </w:pPr>
      <w:r>
        <w:rPr>
          <w:rStyle w:val="Strong"/>
        </w:rPr>
        <w:t>Ecological integrity.</w:t>
      </w:r>
      <w:r>
        <w:rPr/>
        <w:br/>
        <w:t>No universally accepted set of dimensions, thresholds, or reference conditions exists.</w:t>
      </w:r>
    </w:p>
    <w:p>
      <w:pPr>
        <w:pStyle w:val="BodyText"/>
        <w:numPr>
          <w:ilvl w:val="0"/>
          <w:numId w:val="156"/>
        </w:numPr>
        <w:tabs>
          <w:tab w:val="clear" w:pos="720"/>
          <w:tab w:val="left" w:pos="0" w:leader="none"/>
        </w:tabs>
        <w:spacing w:before="0" w:after="200"/>
        <w:ind w:hanging="283" w:left="709"/>
        <w:rPr/>
      </w:pPr>
      <w:r>
        <w:rPr>
          <w:rStyle w:val="Strong"/>
        </w:rPr>
        <w:t>Irreversibility.</w:t>
      </w:r>
      <w:r>
        <w:rPr/>
        <w:br/>
        <w:t>The morally relevant time horizon for determining whether a loss is reversible remains contested.</w:t>
      </w:r>
    </w:p>
    <w:p>
      <w:pPr>
        <w:pStyle w:val="BodyText"/>
        <w:numPr>
          <w:ilvl w:val="0"/>
          <w:numId w:val="156"/>
        </w:numPr>
        <w:tabs>
          <w:tab w:val="clear" w:pos="720"/>
          <w:tab w:val="left" w:pos="0" w:leader="none"/>
        </w:tabs>
        <w:spacing w:before="0" w:after="200"/>
        <w:ind w:hanging="283" w:left="709"/>
        <w:rPr/>
      </w:pPr>
      <w:r>
        <w:rPr>
          <w:rStyle w:val="Strong"/>
        </w:rPr>
        <w:t>Non-substitutability.</w:t>
      </w:r>
      <w:r>
        <w:rPr/>
        <w:br/>
        <w:t>The framework needs rules for determining which environmental losses cannot be offset or compensated.</w:t>
      </w:r>
    </w:p>
    <w:p>
      <w:pPr>
        <w:pStyle w:val="BodyText"/>
        <w:numPr>
          <w:ilvl w:val="0"/>
          <w:numId w:val="156"/>
        </w:numPr>
        <w:tabs>
          <w:tab w:val="clear" w:pos="720"/>
          <w:tab w:val="left" w:pos="0" w:leader="none"/>
        </w:tabs>
        <w:spacing w:before="0" w:after="200"/>
        <w:ind w:hanging="283" w:left="709"/>
        <w:rPr/>
      </w:pPr>
      <w:r>
        <w:rPr>
          <w:rStyle w:val="Strong"/>
        </w:rPr>
        <w:t>Precaution.</w:t>
      </w:r>
      <w:r>
        <w:rPr/>
        <w:br/>
        <w:t>Excessive precaution can prevent beneficial intervention, while weak precaution can authorize catastrophic risk.</w:t>
      </w:r>
    </w:p>
    <w:p>
      <w:pPr>
        <w:pStyle w:val="BodyText"/>
        <w:numPr>
          <w:ilvl w:val="0"/>
          <w:numId w:val="156"/>
        </w:numPr>
        <w:tabs>
          <w:tab w:val="clear" w:pos="720"/>
          <w:tab w:val="left" w:pos="0" w:leader="none"/>
        </w:tabs>
        <w:spacing w:before="0" w:after="200"/>
        <w:ind w:hanging="283" w:left="709"/>
        <w:rPr/>
      </w:pPr>
      <w:r>
        <w:rPr>
          <w:rStyle w:val="Strong"/>
        </w:rPr>
        <w:t>Burden of proof.</w:t>
      </w:r>
      <w:r>
        <w:rPr/>
        <w:br/>
        <w:t>Standards are needed for allocating evidentiary responsibility among project proponents, regulators, communities, and representatives of nature.</w:t>
      </w:r>
    </w:p>
    <w:p>
      <w:pPr>
        <w:pStyle w:val="BodyText"/>
        <w:numPr>
          <w:ilvl w:val="0"/>
          <w:numId w:val="156"/>
        </w:numPr>
        <w:tabs>
          <w:tab w:val="clear" w:pos="720"/>
          <w:tab w:val="left" w:pos="0" w:leader="none"/>
        </w:tabs>
        <w:spacing w:before="0" w:after="200"/>
        <w:ind w:hanging="283" w:left="709"/>
        <w:rPr/>
      </w:pPr>
      <w:r>
        <w:rPr>
          <w:rStyle w:val="Strong"/>
        </w:rPr>
        <w:t>Cumulative causation.</w:t>
      </w:r>
      <w:r>
        <w:rPr/>
        <w:br/>
        <w:t>Individual contributions may be small while aggregate effects are severe, complicating responsibility and enforcement.</w:t>
      </w:r>
    </w:p>
    <w:p>
      <w:pPr>
        <w:pStyle w:val="BodyText"/>
        <w:numPr>
          <w:ilvl w:val="0"/>
          <w:numId w:val="156"/>
        </w:numPr>
        <w:tabs>
          <w:tab w:val="clear" w:pos="720"/>
          <w:tab w:val="left" w:pos="0" w:leader="none"/>
        </w:tabs>
        <w:spacing w:before="0" w:after="200"/>
        <w:ind w:hanging="283" w:left="709"/>
        <w:rPr/>
      </w:pPr>
      <w:r>
        <w:rPr>
          <w:rStyle w:val="Strong"/>
        </w:rPr>
        <w:t>Tipping-point uncertainty.</w:t>
      </w:r>
      <w:r>
        <w:rPr/>
        <w:br/>
        <w:t>Thresholds may be recognized only after they have been crossed.</w:t>
      </w:r>
    </w:p>
    <w:p>
      <w:pPr>
        <w:pStyle w:val="BodyText"/>
        <w:numPr>
          <w:ilvl w:val="0"/>
          <w:numId w:val="156"/>
        </w:numPr>
        <w:tabs>
          <w:tab w:val="clear" w:pos="720"/>
          <w:tab w:val="left" w:pos="0" w:leader="none"/>
        </w:tabs>
        <w:spacing w:before="0" w:after="200"/>
        <w:ind w:hanging="283" w:left="709"/>
        <w:rPr/>
      </w:pPr>
      <w:r>
        <w:rPr>
          <w:rStyle w:val="Strong"/>
        </w:rPr>
        <w:t>Ecological model limits.</w:t>
      </w:r>
      <w:r>
        <w:rPr/>
        <w:br/>
        <w:t>Environmental data are incomplete, causal networks are complex, and models may not capture adaptation or novel interactions.</w:t>
      </w:r>
    </w:p>
    <w:p>
      <w:pPr>
        <w:pStyle w:val="BodyText"/>
        <w:numPr>
          <w:ilvl w:val="0"/>
          <w:numId w:val="156"/>
        </w:numPr>
        <w:tabs>
          <w:tab w:val="clear" w:pos="720"/>
          <w:tab w:val="left" w:pos="0" w:leader="none"/>
        </w:tabs>
        <w:spacing w:before="0" w:after="200"/>
        <w:ind w:hanging="283" w:left="709"/>
        <w:rPr/>
      </w:pPr>
      <w:r>
        <w:rPr>
          <w:rStyle w:val="Strong"/>
        </w:rPr>
        <w:t>Representation of nonhuman interests.</w:t>
      </w:r>
      <w:r>
        <w:rPr/>
        <w:br/>
        <w:t>Guardians and experts may disagree or become institutionally captured.</w:t>
      </w:r>
    </w:p>
    <w:p>
      <w:pPr>
        <w:pStyle w:val="BodyText"/>
        <w:numPr>
          <w:ilvl w:val="0"/>
          <w:numId w:val="156"/>
        </w:numPr>
        <w:tabs>
          <w:tab w:val="clear" w:pos="720"/>
          <w:tab w:val="left" w:pos="0" w:leader="none"/>
        </w:tabs>
        <w:spacing w:before="0" w:after="200"/>
        <w:ind w:hanging="283" w:left="709"/>
        <w:rPr/>
      </w:pPr>
      <w:r>
        <w:rPr>
          <w:rStyle w:val="Strong"/>
        </w:rPr>
        <w:t>Environmental justice integration.</w:t>
      </w:r>
      <w:r>
        <w:rPr/>
        <w:br/>
        <w:t>Ecological and social priorities may conflict, particularly where vulnerable communities depend on environmentally damaging activities.</w:t>
      </w:r>
    </w:p>
    <w:p>
      <w:pPr>
        <w:pStyle w:val="BodyText"/>
        <w:numPr>
          <w:ilvl w:val="0"/>
          <w:numId w:val="156"/>
        </w:numPr>
        <w:tabs>
          <w:tab w:val="clear" w:pos="720"/>
          <w:tab w:val="left" w:pos="0" w:leader="none"/>
        </w:tabs>
        <w:spacing w:before="0" w:after="200"/>
        <w:ind w:hanging="283" w:left="709"/>
        <w:rPr/>
      </w:pPr>
      <w:r>
        <w:rPr>
          <w:rStyle w:val="Strong"/>
        </w:rPr>
        <w:t>Indigenous sovereignty and knowledge.</w:t>
      </w:r>
      <w:r>
        <w:rPr/>
        <w:br/>
        <w:t>Participation alone may be inadequate where communities possess legal or moral authority over land and ecological relationships.</w:t>
      </w:r>
    </w:p>
    <w:p>
      <w:pPr>
        <w:pStyle w:val="BodyText"/>
        <w:numPr>
          <w:ilvl w:val="0"/>
          <w:numId w:val="156"/>
        </w:numPr>
        <w:tabs>
          <w:tab w:val="clear" w:pos="720"/>
          <w:tab w:val="left" w:pos="0" w:leader="none"/>
        </w:tabs>
        <w:spacing w:before="0" w:after="200"/>
        <w:ind w:hanging="283" w:left="709"/>
        <w:rPr/>
      </w:pPr>
      <w:r>
        <w:rPr>
          <w:rStyle w:val="Strong"/>
        </w:rPr>
        <w:t>Conservation displacement.</w:t>
      </w:r>
      <w:r>
        <w:rPr/>
        <w:br/>
        <w:t>The framework needs stronger standards for detecting exclusionary or colonial conservation practices.</w:t>
      </w:r>
    </w:p>
    <w:p>
      <w:pPr>
        <w:pStyle w:val="BodyText"/>
        <w:numPr>
          <w:ilvl w:val="0"/>
          <w:numId w:val="156"/>
        </w:numPr>
        <w:tabs>
          <w:tab w:val="clear" w:pos="720"/>
          <w:tab w:val="left" w:pos="0" w:leader="none"/>
        </w:tabs>
        <w:spacing w:before="0" w:after="200"/>
        <w:ind w:hanging="283" w:left="709"/>
        <w:rPr/>
      </w:pPr>
      <w:r>
        <w:rPr>
          <w:rStyle w:val="Strong"/>
        </w:rPr>
        <w:t>Vital-needs classification.</w:t>
      </w:r>
      <w:r>
        <w:rPr/>
        <w:br/>
        <w:t>There is no uncontested boundary between vital needs, important interests, convenience, and luxury.</w:t>
      </w:r>
    </w:p>
    <w:p>
      <w:pPr>
        <w:pStyle w:val="BodyText"/>
        <w:numPr>
          <w:ilvl w:val="0"/>
          <w:numId w:val="156"/>
        </w:numPr>
        <w:tabs>
          <w:tab w:val="clear" w:pos="720"/>
          <w:tab w:val="left" w:pos="0" w:leader="none"/>
        </w:tabs>
        <w:spacing w:before="0" w:after="200"/>
        <w:ind w:hanging="283" w:left="709"/>
        <w:rPr/>
      </w:pPr>
      <w:r>
        <w:rPr>
          <w:rStyle w:val="Strong"/>
        </w:rPr>
        <w:t>Population ethics.</w:t>
      </w:r>
      <w:r>
        <w:rPr/>
        <w:br/>
        <w:t>Demographic pressure, consumption inequality, reproductive autonomy, migration, and historical responsibility remain difficult to integrate.</w:t>
      </w:r>
    </w:p>
    <w:p>
      <w:pPr>
        <w:pStyle w:val="BodyText"/>
        <w:numPr>
          <w:ilvl w:val="0"/>
          <w:numId w:val="156"/>
        </w:numPr>
        <w:tabs>
          <w:tab w:val="clear" w:pos="720"/>
          <w:tab w:val="left" w:pos="0" w:leader="none"/>
        </w:tabs>
        <w:spacing w:before="0" w:after="200"/>
        <w:ind w:hanging="283" w:left="709"/>
        <w:rPr/>
      </w:pPr>
      <w:r>
        <w:rPr>
          <w:rStyle w:val="Strong"/>
        </w:rPr>
        <w:t>Technological lock-in.</w:t>
      </w:r>
      <w:r>
        <w:rPr/>
        <w:br/>
        <w:t>Infrastructure may constrain future ecological choices long after the original decision.</w:t>
      </w:r>
    </w:p>
    <w:p>
      <w:pPr>
        <w:pStyle w:val="BodyText"/>
        <w:numPr>
          <w:ilvl w:val="0"/>
          <w:numId w:val="156"/>
        </w:numPr>
        <w:tabs>
          <w:tab w:val="clear" w:pos="720"/>
          <w:tab w:val="left" w:pos="0" w:leader="none"/>
        </w:tabs>
        <w:spacing w:before="0" w:after="200"/>
        <w:ind w:hanging="283" w:left="709"/>
        <w:rPr/>
      </w:pPr>
      <w:r>
        <w:rPr>
          <w:rStyle w:val="Strong"/>
        </w:rPr>
        <w:t>Rebound effects.</w:t>
      </w:r>
      <w:r>
        <w:rPr/>
        <w:br/>
        <w:t>Efficiency gains may increase total consumption and negate environmental improvements.</w:t>
      </w:r>
    </w:p>
    <w:p>
      <w:pPr>
        <w:pStyle w:val="BodyText"/>
        <w:numPr>
          <w:ilvl w:val="0"/>
          <w:numId w:val="156"/>
        </w:numPr>
        <w:tabs>
          <w:tab w:val="clear" w:pos="720"/>
          <w:tab w:val="left" w:pos="0" w:leader="none"/>
        </w:tabs>
        <w:spacing w:before="0" w:after="200"/>
        <w:ind w:hanging="283" w:left="709"/>
        <w:rPr/>
      </w:pPr>
      <w:r>
        <w:rPr>
          <w:rStyle w:val="Strong"/>
        </w:rPr>
        <w:t>Restoration equivalence.</w:t>
      </w:r>
      <w:r>
        <w:rPr/>
        <w:br/>
        <w:t>Restored ecosystems may recover selected functions without recovering lost history, relationships, wildness, or composition.</w:t>
      </w:r>
    </w:p>
    <w:p>
      <w:pPr>
        <w:pStyle w:val="BodyText"/>
        <w:numPr>
          <w:ilvl w:val="0"/>
          <w:numId w:val="156"/>
        </w:numPr>
        <w:tabs>
          <w:tab w:val="clear" w:pos="720"/>
          <w:tab w:val="left" w:pos="0" w:leader="none"/>
        </w:tabs>
        <w:spacing w:before="0" w:after="200"/>
        <w:ind w:hanging="283" w:left="709"/>
        <w:rPr/>
      </w:pPr>
      <w:r>
        <w:rPr>
          <w:rStyle w:val="Strong"/>
        </w:rPr>
        <w:t>Assisted migration and adaptation.</w:t>
      </w:r>
      <w:r>
        <w:rPr/>
        <w:br/>
        <w:t>Climate change may require intervention, but intervention can create novel ecological risks.</w:t>
      </w:r>
    </w:p>
    <w:p>
      <w:pPr>
        <w:pStyle w:val="BodyText"/>
        <w:numPr>
          <w:ilvl w:val="0"/>
          <w:numId w:val="156"/>
        </w:numPr>
        <w:tabs>
          <w:tab w:val="clear" w:pos="720"/>
          <w:tab w:val="left" w:pos="0" w:leader="none"/>
        </w:tabs>
        <w:spacing w:before="0" w:after="200"/>
        <w:ind w:hanging="283" w:left="709"/>
        <w:rPr/>
      </w:pPr>
      <w:r>
        <w:rPr>
          <w:rStyle w:val="Strong"/>
        </w:rPr>
        <w:t>Introduced species.</w:t>
      </w:r>
      <w:r>
        <w:rPr/>
        <w:br/>
        <w:t>Ethical evaluation of control measures must reconcile ecological integrity, historical causation, feasibility, and individual suffering.</w:t>
      </w:r>
    </w:p>
    <w:p>
      <w:pPr>
        <w:pStyle w:val="BodyText"/>
        <w:numPr>
          <w:ilvl w:val="0"/>
          <w:numId w:val="156"/>
        </w:numPr>
        <w:tabs>
          <w:tab w:val="clear" w:pos="720"/>
          <w:tab w:val="left" w:pos="0" w:leader="none"/>
        </w:tabs>
        <w:spacing w:before="0" w:after="200"/>
        <w:ind w:hanging="283" w:left="709"/>
        <w:rPr/>
      </w:pPr>
      <w:r>
        <w:rPr>
          <w:rStyle w:val="Strong"/>
        </w:rPr>
        <w:t>Climate intervention.</w:t>
      </w:r>
      <w:r>
        <w:rPr/>
        <w:br/>
        <w:t>Large-scale interventions raise unresolved questions about authority, consent, unequal effects, and responsibility.</w:t>
      </w:r>
    </w:p>
    <w:p>
      <w:pPr>
        <w:pStyle w:val="BodyText"/>
        <w:numPr>
          <w:ilvl w:val="0"/>
          <w:numId w:val="156"/>
        </w:numPr>
        <w:tabs>
          <w:tab w:val="clear" w:pos="720"/>
          <w:tab w:val="left" w:pos="0" w:leader="none"/>
        </w:tabs>
        <w:spacing w:before="0" w:after="200"/>
        <w:ind w:hanging="283" w:left="709"/>
        <w:rPr/>
      </w:pPr>
      <w:r>
        <w:rPr>
          <w:rStyle w:val="Strong"/>
        </w:rPr>
        <w:t>Corporate and artificial entities.</w:t>
      </w:r>
      <w:r>
        <w:rPr/>
        <w:br/>
        <w:t>Their persistence and adaptive capacity should not allow them to compete uncritically with biological and ecological flourishing.</w:t>
      </w:r>
    </w:p>
    <w:p>
      <w:pPr>
        <w:pStyle w:val="BodyText"/>
        <w:numPr>
          <w:ilvl w:val="0"/>
          <w:numId w:val="156"/>
        </w:numPr>
        <w:tabs>
          <w:tab w:val="clear" w:pos="720"/>
          <w:tab w:val="left" w:pos="0" w:leader="none"/>
        </w:tabs>
        <w:spacing w:before="0" w:after="200"/>
        <w:ind w:hanging="283" w:left="709"/>
        <w:rPr/>
      </w:pPr>
      <w:r>
        <w:rPr>
          <w:rStyle w:val="Strong"/>
        </w:rPr>
        <w:t>Rights of nature.</w:t>
      </w:r>
      <w:r>
        <w:rPr/>
        <w:br/>
        <w:t>Legal recognition may improve standing but does not resolve representation, enforcement, or conflicts among ecological interests.</w:t>
      </w:r>
    </w:p>
    <w:p>
      <w:pPr>
        <w:pStyle w:val="BodyText"/>
        <w:numPr>
          <w:ilvl w:val="0"/>
          <w:numId w:val="156"/>
        </w:numPr>
        <w:tabs>
          <w:tab w:val="clear" w:pos="720"/>
          <w:tab w:val="left" w:pos="0" w:leader="none"/>
        </w:tabs>
        <w:spacing w:before="0" w:after="200"/>
        <w:ind w:hanging="283" w:left="709"/>
        <w:rPr/>
      </w:pPr>
      <w:r>
        <w:rPr>
          <w:rStyle w:val="Strong"/>
        </w:rPr>
        <w:t>Ecological responsibility gaps.</w:t>
      </w:r>
      <w:r>
        <w:rPr/>
        <w:br/>
        <w:t>Diffuse supply chains and cumulative emissions can produce severe harm without one actor controlling the outcome.</w:t>
      </w:r>
    </w:p>
    <w:p>
      <w:pPr>
        <w:pStyle w:val="BodyText"/>
        <w:numPr>
          <w:ilvl w:val="0"/>
          <w:numId w:val="156"/>
        </w:numPr>
        <w:tabs>
          <w:tab w:val="clear" w:pos="720"/>
          <w:tab w:val="left" w:pos="0" w:leader="none"/>
        </w:tabs>
        <w:spacing w:before="0" w:after="200"/>
        <w:ind w:hanging="283" w:left="709"/>
        <w:rPr/>
      </w:pPr>
      <w:r>
        <w:rPr>
          <w:rStyle w:val="Strong"/>
        </w:rPr>
        <w:t>Data and monitoring burdens.</w:t>
      </w:r>
      <w:r>
        <w:rPr/>
        <w:br/>
        <w:t>Ecological assessment can require costly and environmentally intensive sensing and computation.</w:t>
      </w:r>
    </w:p>
    <w:p>
      <w:pPr>
        <w:pStyle w:val="BodyText"/>
        <w:numPr>
          <w:ilvl w:val="0"/>
          <w:numId w:val="156"/>
        </w:numPr>
        <w:tabs>
          <w:tab w:val="clear" w:pos="720"/>
          <w:tab w:val="left" w:pos="0" w:leader="none"/>
        </w:tabs>
        <w:spacing w:before="0" w:after="200"/>
        <w:ind w:hanging="283" w:left="709"/>
        <w:rPr/>
      </w:pPr>
      <w:r>
        <w:rPr>
          <w:rStyle w:val="Strong"/>
        </w:rPr>
        <w:t>Moral-agent transformation.</w:t>
      </w:r>
      <w:r>
        <w:rPr/>
        <w:br/>
        <w:t>It remains difficult to determine whether formal assessment can cultivate ecological identification rather than merely improve compliance.</w:t>
      </w:r>
    </w:p>
    <w:p>
      <w:pPr>
        <w:pStyle w:val="BodyText"/>
        <w:numPr>
          <w:ilvl w:val="0"/>
          <w:numId w:val="156"/>
        </w:numPr>
        <w:tabs>
          <w:tab w:val="clear" w:pos="720"/>
          <w:tab w:val="left" w:pos="0" w:leader="none"/>
        </w:tabs>
        <w:spacing w:before="0" w:after="200"/>
        <w:ind w:hanging="283" w:left="709"/>
        <w:rPr/>
      </w:pPr>
      <w:r>
        <w:rPr>
          <w:rStyle w:val="Strong"/>
        </w:rPr>
        <w:t>Framework-induced managerialism.</w:t>
      </w:r>
      <w:r>
        <w:rPr/>
        <w:br/>
        <w:t>Detailed ecological modeling may reinforce the belief that nature can be fully measured, controlled, and optimized.</w:t>
      </w:r>
    </w:p>
    <w:p>
      <w:pPr>
        <w:pStyle w:val="BodyText"/>
        <w:numPr>
          <w:ilvl w:val="0"/>
          <w:numId w:val="156"/>
        </w:numPr>
        <w:tabs>
          <w:tab w:val="clear" w:pos="720"/>
          <w:tab w:val="left" w:pos="0" w:leader="none"/>
        </w:tabs>
        <w:spacing w:before="0" w:after="200"/>
        <w:ind w:hanging="283" w:left="709"/>
        <w:rPr/>
      </w:pPr>
      <w:r>
        <w:rPr>
          <w:rStyle w:val="Strong"/>
        </w:rPr>
        <w:t>Governance of environmental profiles.</w:t>
      </w:r>
      <w:r>
        <w:rPr/>
        <w:br/>
        <w:t>Procedures are needed for selecting, revising, challenging, and retiring ecological indicators and thresholds.</w:t>
      </w:r>
    </w:p>
    <w:p>
      <w:pPr>
        <w:pStyle w:val="BodyText"/>
        <w:numPr>
          <w:ilvl w:val="0"/>
          <w:numId w:val="156"/>
        </w:numPr>
        <w:tabs>
          <w:tab w:val="clear" w:pos="720"/>
          <w:tab w:val="left" w:pos="0" w:leader="none"/>
        </w:tabs>
        <w:spacing w:before="0" w:after="200"/>
        <w:ind w:hanging="283" w:left="709"/>
        <w:rPr/>
      </w:pPr>
      <w:r>
        <w:rPr>
          <w:rStyle w:val="Strong"/>
        </w:rPr>
        <w:t>Validation over ecological time.</w:t>
      </w:r>
      <w:r>
        <w:rPr/>
        <w:br/>
        <w:t>Some predictions cannot be validated within ordinary institutional or human decision horizons.</w:t>
      </w:r>
    </w:p>
    <w:p>
      <w:pPr>
        <w:pStyle w:val="BodyText"/>
        <w:numPr>
          <w:ilvl w:val="0"/>
          <w:numId w:val="156"/>
        </w:numPr>
        <w:tabs>
          <w:tab w:val="clear" w:pos="720"/>
          <w:tab w:val="left" w:pos="0" w:leader="none"/>
        </w:tabs>
        <w:spacing w:before="0" w:after="200"/>
        <w:ind w:hanging="283" w:left="709"/>
        <w:rPr/>
      </w:pPr>
      <w:r>
        <w:rPr>
          <w:rStyle w:val="Strong"/>
        </w:rPr>
        <w:t>Responsibility for repair.</w:t>
      </w:r>
      <w:r>
        <w:rPr/>
        <w:br/>
        <w:t>Restoration, compensation, monitoring, and long-term stewardship obligations may extend beyond the lifespan of the responsible organization.</w:t>
      </w:r>
    </w:p>
    <w:p>
      <w:pPr>
        <w:pStyle w:val="BodyText"/>
        <w:numPr>
          <w:ilvl w:val="0"/>
          <w:numId w:val="156"/>
        </w:numPr>
        <w:tabs>
          <w:tab w:val="clear" w:pos="720"/>
          <w:tab w:val="left" w:pos="0" w:leader="none"/>
        </w:tabs>
        <w:spacing w:before="0" w:after="200"/>
        <w:ind w:hanging="283" w:left="709"/>
        <w:rPr/>
      </w:pPr>
      <w:r>
        <w:rPr>
          <w:rStyle w:val="Strong"/>
        </w:rPr>
        <w:t>Compatibility across levels.</w:t>
      </w:r>
      <w:r>
        <w:rPr/>
        <w:br/>
        <w:t>The framework still needs priority rules for conflicts among individual organisms, populations, species, ecosystems, human communities, and planetary systems.</w:t>
      </w:r>
    </w:p>
    <w:p>
      <w:pPr>
        <w:pStyle w:val="BodyText"/>
        <w:spacing w:before="0" w:after="200"/>
        <w:rPr/>
      </w:pPr>
      <w:r>
        <w:rPr/>
        <w:t>The Environmental Ethics / Deep Ecology counterargument requires the framework to show that the nonhuman world is not merely an expanded set of inputs to human decision-making. Nonhuman organisms, ecological relationships, species, and environmental systems must be capable of affecting the ethical conclusion in their own right. At the same time, ecocentric analysis must remain attentive to individual welfare, human rights, social hierarchy, Indigenous sovereignty, environmental justice, and the dangers of coercive appeals to ecological necessity.</w:t>
      </w:r>
    </w:p>
    <w:p>
      <w:pPr>
        <w:pStyle w:val="BodyText"/>
        <w:spacing w:before="0" w:after="200"/>
        <w:rPr>
          <w:b/>
          <w:bCs/>
        </w:rPr>
      </w:pPr>
      <w:r>
        <w:rPr>
          <w:b/>
          <w:bCs/>
        </w:rPr>
        <w:t>Recommended Corrections</w:t>
      </w:r>
    </w:p>
    <w:p>
      <w:pPr>
        <w:pStyle w:val="BodyText"/>
        <w:spacing w:before="0" w:after="200"/>
        <w:rPr/>
      </w:pPr>
      <w:r>
        <w:rPr/>
        <w:t>Do not claim that intrinsic value, ecological wholes, or abiotic nature are already incorporated; the current axiom only clearly covers some persistent adaptive entities. Separate ecological science from the normative selection of baselines and desired ecological states.</w:t>
      </w:r>
    </w:p>
    <w:p>
      <w:pPr>
        <w:pStyle w:val="Heading1"/>
        <w:widowControl/>
        <w:numPr>
          <w:ilvl w:val="0"/>
          <w:numId w:val="179"/>
        </w:numPr>
        <w:suppressAutoHyphens w:val="true"/>
        <w:overflowPunct w:val="false"/>
        <w:bidi w:val="0"/>
        <w:spacing w:lineRule="auto" w:line="276"/>
        <w:ind w:hanging="0" w:left="0"/>
        <w:jc w:val="left"/>
        <w:rPr>
          <w:kern w:val="0"/>
          <w:lang w:val="en-US" w:eastAsia="en-US" w:bidi="ar-SA"/>
        </w:rPr>
      </w:pPr>
      <w:r>
        <w:rPr>
          <w:kern w:val="0"/>
          <w:lang w:val="en-US" w:eastAsia="en-US" w:bidi="ar-SA"/>
        </w:rPr>
        <w:t>Open Research Questions</w:t>
      </w:r>
    </w:p>
    <w:p>
      <w:pPr>
        <w:pStyle w:val="Normal"/>
        <w:widowControl/>
        <w:bidi w:val="0"/>
        <w:spacing w:lineRule="auto" w:line="276"/>
        <w:jc w:val="left"/>
        <w:rPr/>
      </w:pPr>
      <w:r>
        <w:rPr/>
        <w:t>Recommended structure for future research:</w:t>
      </w:r>
    </w:p>
    <w:tbl>
      <w:tblPr>
        <w:tblW w:w="8640" w:type="dxa"/>
        <w:jc w:val="left"/>
        <w:tblInd w:w="28" w:type="dxa"/>
        <w:tblLayout w:type="fixed"/>
        <w:tblCellMar>
          <w:top w:w="28" w:type="dxa"/>
          <w:left w:w="28" w:type="dxa"/>
          <w:bottom w:w="28" w:type="dxa"/>
          <w:right w:w="28" w:type="dxa"/>
        </w:tblCellMar>
      </w:tblPr>
      <w:tblGrid>
        <w:gridCol w:w="2141"/>
        <w:gridCol w:w="6499"/>
      </w:tblGrid>
      <w:tr>
        <w:trPr>
          <w:tblHeader w:val="true"/>
        </w:trPr>
        <w:tc>
          <w:tcPr>
            <w:tcW w:w="2141" w:type="dxa"/>
            <w:tcBorders/>
            <w:vAlign w:val="center"/>
          </w:tcPr>
          <w:p>
            <w:pPr>
              <w:pStyle w:val="TableHeading"/>
              <w:suppressLineNumbers/>
              <w:spacing w:before="0" w:after="200"/>
              <w:jc w:val="center"/>
              <w:rPr/>
            </w:pPr>
            <w:r>
              <w:rPr/>
              <w:t>Field</w:t>
            </w:r>
          </w:p>
        </w:tc>
        <w:tc>
          <w:tcPr>
            <w:tcW w:w="6499" w:type="dxa"/>
            <w:tcBorders/>
            <w:vAlign w:val="center"/>
          </w:tcPr>
          <w:p>
            <w:pPr>
              <w:pStyle w:val="TableHeading"/>
              <w:suppressLineNumbers/>
              <w:spacing w:before="0" w:after="200"/>
              <w:jc w:val="center"/>
              <w:rPr/>
            </w:pPr>
            <w:r>
              <w:rPr/>
              <w:t>Purpose</w:t>
            </w:r>
          </w:p>
        </w:tc>
      </w:tr>
      <w:tr>
        <w:trPr/>
        <w:tc>
          <w:tcPr>
            <w:tcW w:w="2141" w:type="dxa"/>
            <w:tcBorders/>
            <w:vAlign w:val="center"/>
          </w:tcPr>
          <w:p>
            <w:pPr>
              <w:pStyle w:val="TableContents"/>
              <w:widowControl w:val="false"/>
              <w:suppressLineNumbers/>
              <w:spacing w:before="0" w:after="200"/>
              <w:rPr/>
            </w:pPr>
            <w:r>
              <w:rPr>
                <w:rStyle w:val="Strong"/>
              </w:rPr>
              <w:t>Research problem</w:t>
            </w:r>
          </w:p>
        </w:tc>
        <w:tc>
          <w:tcPr>
            <w:tcW w:w="6499" w:type="dxa"/>
            <w:tcBorders/>
            <w:vAlign w:val="center"/>
          </w:tcPr>
          <w:p>
            <w:pPr>
              <w:pStyle w:val="TableContents"/>
              <w:widowControl w:val="false"/>
              <w:suppressLineNumbers/>
              <w:spacing w:before="0" w:after="200"/>
              <w:rPr/>
            </w:pPr>
            <w:r>
              <w:rPr/>
              <w:t>The specific unresolved question—not merely a broad topic</w:t>
            </w:r>
          </w:p>
        </w:tc>
      </w:tr>
      <w:tr>
        <w:trPr/>
        <w:tc>
          <w:tcPr>
            <w:tcW w:w="2141" w:type="dxa"/>
            <w:tcBorders/>
            <w:vAlign w:val="center"/>
          </w:tcPr>
          <w:p>
            <w:pPr>
              <w:pStyle w:val="TableContents"/>
              <w:widowControl w:val="false"/>
              <w:suppressLineNumbers/>
              <w:spacing w:before="0" w:after="200"/>
              <w:rPr/>
            </w:pPr>
            <w:r>
              <w:rPr>
                <w:rStyle w:val="Strong"/>
              </w:rPr>
              <w:t>Source limitation</w:t>
            </w:r>
          </w:p>
        </w:tc>
        <w:tc>
          <w:tcPr>
            <w:tcW w:w="6499" w:type="dxa"/>
            <w:tcBorders/>
            <w:vAlign w:val="center"/>
          </w:tcPr>
          <w:p>
            <w:pPr>
              <w:pStyle w:val="TableContents"/>
              <w:widowControl w:val="false"/>
              <w:suppressLineNumbers/>
              <w:spacing w:before="0" w:after="200"/>
              <w:rPr/>
            </w:pPr>
            <w:r>
              <w:rPr/>
              <w:t>Cross-reference to the relevant §9.4 subsection</w:t>
            </w:r>
          </w:p>
        </w:tc>
      </w:tr>
      <w:tr>
        <w:trPr/>
        <w:tc>
          <w:tcPr>
            <w:tcW w:w="2141" w:type="dxa"/>
            <w:tcBorders/>
            <w:vAlign w:val="center"/>
          </w:tcPr>
          <w:p>
            <w:pPr>
              <w:pStyle w:val="TableContents"/>
              <w:widowControl w:val="false"/>
              <w:suppressLineNumbers/>
              <w:spacing w:before="0" w:after="200"/>
              <w:rPr/>
            </w:pPr>
            <w:r>
              <w:rPr>
                <w:rStyle w:val="Strong"/>
              </w:rPr>
              <w:t>Dependency</w:t>
            </w:r>
          </w:p>
        </w:tc>
        <w:tc>
          <w:tcPr>
            <w:tcW w:w="6499" w:type="dxa"/>
            <w:tcBorders/>
            <w:vAlign w:val="center"/>
          </w:tcPr>
          <w:p>
            <w:pPr>
              <w:pStyle w:val="TableContents"/>
              <w:widowControl w:val="false"/>
              <w:suppressLineNumbers/>
              <w:spacing w:before="0" w:after="200"/>
              <w:rPr/>
            </w:pPr>
            <w:r>
              <w:rPr/>
              <w:t>What must be resolved first</w:t>
            </w:r>
          </w:p>
        </w:tc>
      </w:tr>
      <w:tr>
        <w:trPr/>
        <w:tc>
          <w:tcPr>
            <w:tcW w:w="2141" w:type="dxa"/>
            <w:tcBorders/>
            <w:vAlign w:val="center"/>
          </w:tcPr>
          <w:p>
            <w:pPr>
              <w:pStyle w:val="TableContents"/>
              <w:widowControl w:val="false"/>
              <w:suppressLineNumbers/>
              <w:spacing w:before="0" w:after="200"/>
              <w:rPr/>
            </w:pPr>
            <w:r>
              <w:rPr>
                <w:rStyle w:val="Strong"/>
              </w:rPr>
              <w:t>Required output</w:t>
            </w:r>
          </w:p>
        </w:tc>
        <w:tc>
          <w:tcPr>
            <w:tcW w:w="6499" w:type="dxa"/>
            <w:tcBorders/>
            <w:vAlign w:val="center"/>
          </w:tcPr>
          <w:p>
            <w:pPr>
              <w:pStyle w:val="TableContents"/>
              <w:widowControl w:val="false"/>
              <w:suppressLineNumbers/>
              <w:spacing w:before="0" w:after="200"/>
              <w:rPr/>
            </w:pPr>
            <w:r>
              <w:rPr/>
              <w:t>Model, protocol, benchmark, ontology, dataset, or governance standard</w:t>
            </w:r>
          </w:p>
        </w:tc>
      </w:tr>
      <w:tr>
        <w:trPr/>
        <w:tc>
          <w:tcPr>
            <w:tcW w:w="2141" w:type="dxa"/>
            <w:tcBorders/>
            <w:vAlign w:val="center"/>
          </w:tcPr>
          <w:p>
            <w:pPr>
              <w:pStyle w:val="TableContents"/>
              <w:widowControl w:val="false"/>
              <w:suppressLineNumbers/>
              <w:spacing w:before="0" w:after="200"/>
              <w:rPr/>
            </w:pPr>
            <w:r>
              <w:rPr>
                <w:rStyle w:val="Strong"/>
              </w:rPr>
              <w:t>Acceptance criteria</w:t>
            </w:r>
          </w:p>
        </w:tc>
        <w:tc>
          <w:tcPr>
            <w:tcW w:w="6499" w:type="dxa"/>
            <w:tcBorders/>
            <w:vAlign w:val="center"/>
          </w:tcPr>
          <w:p>
            <w:pPr>
              <w:pStyle w:val="TableContents"/>
              <w:widowControl w:val="false"/>
              <w:suppressLineNumbers/>
              <w:spacing w:before="0" w:after="200"/>
              <w:rPr/>
            </w:pPr>
            <w:r>
              <w:rPr/>
              <w:t>What would constitute meaningful progress</w:t>
            </w:r>
          </w:p>
        </w:tc>
      </w:tr>
      <w:tr>
        <w:trPr/>
        <w:tc>
          <w:tcPr>
            <w:tcW w:w="2141" w:type="dxa"/>
            <w:tcBorders/>
            <w:vAlign w:val="center"/>
          </w:tcPr>
          <w:p>
            <w:pPr>
              <w:pStyle w:val="TableContents"/>
              <w:widowControl w:val="false"/>
              <w:suppressLineNumbers/>
              <w:spacing w:before="0" w:after="200"/>
              <w:rPr/>
            </w:pPr>
            <w:r>
              <w:rPr>
                <w:rStyle w:val="Strong"/>
              </w:rPr>
              <w:t>Framework impact</w:t>
            </w:r>
          </w:p>
        </w:tc>
        <w:tc>
          <w:tcPr>
            <w:tcW w:w="6499" w:type="dxa"/>
            <w:tcBorders/>
            <w:vAlign w:val="center"/>
          </w:tcPr>
          <w:p>
            <w:pPr>
              <w:pStyle w:val="TableContents"/>
              <w:widowControl w:val="false"/>
              <w:suppressLineNumbers/>
              <w:spacing w:before="0" w:after="200"/>
              <w:rPr/>
            </w:pPr>
            <w:r>
              <w:rPr/>
              <w:t>Which definitions, architecture components, or conclusions could change</w:t>
            </w:r>
          </w:p>
        </w:tc>
      </w:tr>
      <w:tr>
        <w:trPr/>
        <w:tc>
          <w:tcPr>
            <w:tcW w:w="2141" w:type="dxa"/>
            <w:tcBorders/>
            <w:vAlign w:val="center"/>
          </w:tcPr>
          <w:p>
            <w:pPr>
              <w:pStyle w:val="TableContents"/>
              <w:widowControl w:val="false"/>
              <w:suppressLineNumbers/>
              <w:spacing w:before="0" w:after="200"/>
              <w:rPr/>
            </w:pPr>
            <w:r>
              <w:rPr>
                <w:rStyle w:val="Strong"/>
              </w:rPr>
              <w:t>Priority and horizon</w:t>
            </w:r>
          </w:p>
        </w:tc>
        <w:tc>
          <w:tcPr>
            <w:tcW w:w="6499" w:type="dxa"/>
            <w:tcBorders/>
            <w:vAlign w:val="center"/>
          </w:tcPr>
          <w:p>
            <w:pPr>
              <w:pStyle w:val="TableContents"/>
              <w:widowControl w:val="false"/>
              <w:suppressLineNumbers/>
              <w:spacing w:before="0" w:after="200"/>
              <w:rPr/>
            </w:pPr>
            <w:r>
              <w:rPr/>
              <w:t>Near-term foundational, intermediate operational, or long-term empirical</w:t>
            </w:r>
          </w:p>
        </w:tc>
      </w:tr>
    </w:tbl>
    <w:p>
      <w:pPr>
        <w:pStyle w:val="Normal"/>
        <w:widowControl/>
        <w:bidi w:val="0"/>
        <w:spacing w:lineRule="auto" w:line="276"/>
        <w:jc w:val="left"/>
        <w:rPr/>
      </w:pPr>
      <w:r>
        <w:rPr/>
      </w:r>
    </w:p>
    <w:p>
      <w:pPr>
        <w:pStyle w:val="Heading1"/>
        <w:widowControl/>
        <w:numPr>
          <w:ilvl w:val="0"/>
          <w:numId w:val="179"/>
        </w:numPr>
        <w:suppressAutoHyphens w:val="true"/>
        <w:overflowPunct w:val="false"/>
        <w:bidi w:val="0"/>
        <w:spacing w:lineRule="auto" w:line="276"/>
        <w:ind w:hanging="0" w:left="0"/>
        <w:jc w:val="left"/>
        <w:rPr>
          <w:kern w:val="0"/>
          <w:lang w:val="en-US" w:eastAsia="en-US" w:bidi="ar-SA"/>
        </w:rPr>
      </w:pPr>
      <w:r>
        <w:rPr>
          <w:kern w:val="0"/>
          <w:lang w:val="en-US" w:eastAsia="en-US" w:bidi="ar-SA"/>
        </w:rPr>
        <w:t>Evaluation Against the Design Principles</w:t>
      </w:r>
    </w:p>
    <w:p>
      <w:pPr>
        <w:pStyle w:val="BlockQuotation"/>
        <w:widowControl/>
        <w:suppressAutoHyphens w:val="true"/>
        <w:overflowPunct w:val="false"/>
        <w:bidi w:val="0"/>
        <w:spacing w:lineRule="auto" w:line="276" w:before="0" w:after="200"/>
        <w:ind w:hanging="0" w:left="0" w:right="567"/>
        <w:jc w:val="left"/>
        <w:rPr>
          <w:rFonts w:ascii="Aptos" w:hAnsi="Aptos" w:eastAsia="DejaVu Sans" w:cs="Noto Sans Arabic UI"/>
          <w:color w:val="auto"/>
          <w:kern w:val="0"/>
          <w:sz w:val="21"/>
          <w:szCs w:val="22"/>
          <w:lang w:val="en-US" w:eastAsia="en-US" w:bidi="ar-SA"/>
        </w:rPr>
      </w:pPr>
      <w:r>
        <w:rPr>
          <w:rFonts w:eastAsia="DejaVu Sans" w:cs="Noto Sans Arabic UI"/>
          <w:color w:val="auto"/>
          <w:kern w:val="0"/>
          <w:sz w:val="21"/>
          <w:szCs w:val="22"/>
          <w:lang w:val="en-US" w:eastAsia="en-US" w:bidi="ar-SA"/>
        </w:rPr>
        <w:t>Develop this section only after the Design Principles and Reference Architecture are complete. Evaluate conformance against every Design Principle and identify remaining deficiencies.</w:t>
      </w:r>
    </w:p>
    <w:p>
      <w:pPr>
        <w:pStyle w:val="Heading1"/>
        <w:numPr>
          <w:ilvl w:val="0"/>
          <w:numId w:val="179"/>
        </w:numPr>
        <w:ind w:hanging="0" w:left="0"/>
        <w:rPr/>
      </w:pPr>
      <w:bookmarkStart w:id="27" w:name="__RefHeading___Toc47121_4084717531"/>
      <w:bookmarkEnd w:id="27"/>
      <w:r>
        <w:rPr/>
        <w:t>Conclusion</w:t>
      </w:r>
    </w:p>
    <w:p>
      <w:pPr>
        <w:pStyle w:val="ListBullet"/>
        <w:numPr>
          <w:ilvl w:val="0"/>
          <w:numId w:val="2"/>
        </w:numPr>
        <w:rPr/>
      </w:pPr>
      <w:r>
        <w:rPr/>
        <w:t>This will be developed after the framework has been revised and improved.</w:t>
      </w:r>
    </w:p>
    <w:p>
      <w:pPr>
        <w:pStyle w:val="ListBullet"/>
        <w:numPr>
          <w:ilvl w:val="0"/>
          <w:numId w:val="2"/>
        </w:numPr>
        <w:rPr/>
      </w:pPr>
      <w:r>
        <w:rPr/>
        <w:t>Summarize the framework as a computational reference architecture for moral reasoning.</w:t>
      </w:r>
    </w:p>
    <w:p>
      <w:pPr>
        <w:pStyle w:val="ListBullet"/>
        <w:numPr>
          <w:ilvl w:val="0"/>
          <w:numId w:val="2"/>
        </w:numPr>
        <w:rPr/>
      </w:pPr>
      <w:r>
        <w:rPr/>
        <w:t>Reinforce explicit assumptions, World Context transitions, Long-Term Flourishing, distributed policy effects, and implementation independence.</w:t>
      </w:r>
    </w:p>
    <w:p>
      <w:pPr>
        <w:pStyle w:val="Heading1"/>
        <w:widowControl/>
        <w:numPr>
          <w:ilvl w:val="0"/>
          <w:numId w:val="179"/>
        </w:numPr>
        <w:suppressAutoHyphens w:val="true"/>
        <w:overflowPunct w:val="false"/>
        <w:bidi w:val="0"/>
        <w:spacing w:lineRule="auto" w:line="276"/>
        <w:ind w:hanging="0" w:left="0"/>
        <w:jc w:val="left"/>
        <w:rPr>
          <w:kern w:val="0"/>
          <w:lang w:val="en-US" w:eastAsia="en-US" w:bidi="ar-SA"/>
        </w:rPr>
      </w:pPr>
      <w:r>
        <w:rPr>
          <w:kern w:val="0"/>
          <w:lang w:val="en-US" w:eastAsia="en-US" w:bidi="ar-SA"/>
        </w:rPr>
        <w:t>Recommended Appendices</w:t>
      </w:r>
    </w:p>
    <w:p>
      <w:pPr>
        <w:pStyle w:val="ListBullet"/>
        <w:numPr>
          <w:ilvl w:val="0"/>
          <w:numId w:val="2"/>
        </w:numPr>
        <w:rPr/>
      </w:pPr>
      <w:r>
        <w:rPr/>
        <w:t>Appendix A – Mathematical Notation</w:t>
      </w:r>
    </w:p>
    <w:p>
      <w:pPr>
        <w:pStyle w:val="ListBullet"/>
        <w:numPr>
          <w:ilvl w:val="0"/>
          <w:numId w:val="2"/>
        </w:numPr>
        <w:rPr/>
      </w:pPr>
      <w:r>
        <w:rPr/>
        <w:t>Appendix B – Complete Ontology</w:t>
      </w:r>
    </w:p>
    <w:p>
      <w:pPr>
        <w:pStyle w:val="ListBullet"/>
        <w:numPr>
          <w:ilvl w:val="0"/>
          <w:numId w:val="2"/>
        </w:numPr>
        <w:rPr/>
      </w:pPr>
      <w:r>
        <w:rPr/>
        <w:t>Appendix C – Reference Architecture Diagrams</w:t>
      </w:r>
    </w:p>
    <w:p>
      <w:pPr>
        <w:pStyle w:val="ListBullet"/>
        <w:numPr>
          <w:ilvl w:val="0"/>
          <w:numId w:val="2"/>
        </w:numPr>
        <w:rPr/>
      </w:pPr>
      <w:r>
        <w:rPr/>
        <w:t>Appendix D – Additional Example Assessments</w:t>
      </w:r>
    </w:p>
    <w:p>
      <w:pPr>
        <w:pStyle w:val="ListBullet"/>
        <w:numPr>
          <w:ilvl w:val="0"/>
          <w:numId w:val="2"/>
        </w:numPr>
        <w:rPr/>
      </w:pPr>
      <w:r>
        <w:rPr/>
        <w:t>Appendix E – Reference Algorithms</w:t>
      </w:r>
    </w:p>
    <w:p>
      <w:pPr>
        <w:pStyle w:val="ListBullet"/>
        <w:numPr>
          <w:ilvl w:val="0"/>
          <w:numId w:val="2"/>
        </w:numPr>
        <w:rPr/>
      </w:pPr>
      <w:r>
        <w:rPr/>
        <w:t>Appendix F – Glossary</w:t>
      </w:r>
    </w:p>
    <w:p>
      <w:pPr>
        <w:pStyle w:val="ListBullet"/>
        <w:numPr>
          <w:ilvl w:val="0"/>
          <w:numId w:val="2"/>
        </w:numPr>
        <w:rPr/>
      </w:pPr>
      <w:r>
        <w:rPr/>
        <w:t>Appendix G – Revision History</w:t>
      </w:r>
    </w:p>
    <w:p>
      <w:pPr>
        <w:pStyle w:val="ListBullet"/>
        <w:numPr>
          <w:ilvl w:val="0"/>
          <w:numId w:val="2"/>
        </w:numPr>
        <w:rPr/>
      </w:pPr>
      <w:r>
        <w:rPr/>
        <w:t>Appendix H – Formal Definitions and Symbols</w:t>
      </w:r>
    </w:p>
    <w:p>
      <w:pPr>
        <w:pStyle w:val="ListBullet"/>
        <w:numPr>
          <w:ilvl w:val="0"/>
          <w:numId w:val="2"/>
        </w:numPr>
        <w:rPr/>
      </w:pPr>
      <w:r>
        <w:rPr/>
        <w:t>Appendix I – Implementation Patterns</w:t>
      </w:r>
    </w:p>
    <w:p>
      <w:pPr>
        <w:pStyle w:val="ListBullet"/>
        <w:numPr>
          <w:ilvl w:val="0"/>
          <w:numId w:val="2"/>
        </w:numPr>
        <w:rPr/>
      </w:pPr>
      <w:r>
        <w:rPr/>
        <w:t>Appendix J – Structured Output Schema</w:t>
      </w:r>
    </w:p>
    <w:p>
      <w:pPr>
        <w:pStyle w:val="ListBullet"/>
        <w:numPr>
          <w:ilvl w:val="0"/>
          <w:numId w:val="2"/>
        </w:numPr>
        <w:rPr/>
      </w:pPr>
      <w:r>
        <w:rPr/>
        <w:t>Appendix K – Example Assessment Artifacts</w:t>
      </w:r>
    </w:p>
    <w:p>
      <w:pPr>
        <w:pStyle w:val="ListBullet"/>
        <w:numPr>
          <w:ilvl w:val="0"/>
          <w:numId w:val="2"/>
        </w:numPr>
        <w:spacing w:before="0" w:after="200"/>
        <w:contextualSpacing/>
        <w:rPr/>
      </w:pPr>
      <w:r>
        <w:rPr/>
        <w:t>Appendix L – Bibliography and References</w:t>
      </w:r>
    </w:p>
    <w:p>
      <w:pPr>
        <w:pStyle w:val="ListBullet"/>
        <w:numPr>
          <w:ilvl w:val="0"/>
          <w:numId w:val="0"/>
        </w:numPr>
        <w:spacing w:before="0" w:after="200"/>
        <w:ind w:hanging="0" w:left="0"/>
        <w:contextualSpacing/>
        <w:rPr/>
      </w:pPr>
      <w:r>
        <w:rPr/>
      </w:r>
    </w:p>
    <w:p>
      <w:pPr>
        <w:pStyle w:val="Heading2"/>
        <w:ind w:hanging="0" w:left="0"/>
        <w:rPr/>
      </w:pPr>
      <w:r>
        <w:rPr/>
        <w:t>Expanded indexing vocabulary</w:t>
      </w:r>
    </w:p>
    <w:p>
      <w:pPr>
        <w:pStyle w:val="BodyText"/>
        <w:spacing w:before="0" w:after="200"/>
        <w:contextualSpacing/>
        <w:rPr/>
      </w:pPr>
      <w:r>
        <w:rPr/>
        <w:t>These additional terms would be useful for repository metadata, search-engine indexing, an ontology, or a subject index. They need not all appear in the formal journal keyword line.</w:t>
      </w:r>
    </w:p>
    <w:tbl>
      <w:tblPr>
        <w:tblW w:w="8640" w:type="dxa"/>
        <w:jc w:val="left"/>
        <w:tblInd w:w="28" w:type="dxa"/>
        <w:tblLayout w:type="fixed"/>
        <w:tblCellMar>
          <w:top w:w="28" w:type="dxa"/>
          <w:left w:w="28" w:type="dxa"/>
          <w:bottom w:w="28" w:type="dxa"/>
          <w:right w:w="28" w:type="dxa"/>
        </w:tblCellMar>
      </w:tblPr>
      <w:tblGrid>
        <w:gridCol w:w="2077"/>
        <w:gridCol w:w="6563"/>
      </w:tblGrid>
      <w:tr>
        <w:trPr>
          <w:tblHeader w:val="true"/>
        </w:trPr>
        <w:tc>
          <w:tcPr>
            <w:tcW w:w="2077" w:type="dxa"/>
            <w:tcBorders/>
            <w:vAlign w:val="center"/>
          </w:tcPr>
          <w:p>
            <w:pPr>
              <w:pStyle w:val="TableHeading"/>
              <w:suppressLineNumbers/>
              <w:spacing w:before="0" w:after="200"/>
              <w:jc w:val="center"/>
              <w:rPr/>
            </w:pPr>
            <w:r>
              <w:rPr/>
              <w:t>Category</w:t>
            </w:r>
          </w:p>
        </w:tc>
        <w:tc>
          <w:tcPr>
            <w:tcW w:w="6563" w:type="dxa"/>
            <w:tcBorders/>
            <w:vAlign w:val="center"/>
          </w:tcPr>
          <w:p>
            <w:pPr>
              <w:pStyle w:val="TableHeading"/>
              <w:suppressLineNumbers/>
              <w:spacing w:before="0" w:after="200"/>
              <w:jc w:val="center"/>
              <w:rPr/>
            </w:pPr>
            <w:r>
              <w:rPr/>
              <w:t>Additional indexing terms</w:t>
            </w:r>
          </w:p>
        </w:tc>
      </w:tr>
      <w:tr>
        <w:trPr/>
        <w:tc>
          <w:tcPr>
            <w:tcW w:w="2077" w:type="dxa"/>
            <w:tcBorders/>
            <w:vAlign w:val="center"/>
          </w:tcPr>
          <w:p>
            <w:pPr>
              <w:pStyle w:val="TableContents"/>
              <w:widowControl w:val="false"/>
              <w:suppressLineNumbers/>
              <w:spacing w:before="0" w:after="200"/>
              <w:rPr/>
            </w:pPr>
            <w:r>
              <w:rPr/>
              <w:t>Framework identity</w:t>
            </w:r>
          </w:p>
        </w:tc>
        <w:tc>
          <w:tcPr>
            <w:tcW w:w="6563" w:type="dxa"/>
            <w:tcBorders/>
            <w:vAlign w:val="center"/>
          </w:tcPr>
          <w:p>
            <w:pPr>
              <w:pStyle w:val="TableContents"/>
              <w:widowControl w:val="false"/>
              <w:suppressLineNumbers/>
              <w:spacing w:before="0" w:after="200"/>
              <w:rPr/>
            </w:pPr>
            <w:r>
              <w:rPr/>
              <w:t>automated moral reasoning; computational moral architecture; ethical assessment; ethical decision-making; moral decision-making; moral reasoning systems; normative systems; recursive systems ethics</w:t>
            </w:r>
          </w:p>
        </w:tc>
      </w:tr>
      <w:tr>
        <w:trPr/>
        <w:tc>
          <w:tcPr>
            <w:tcW w:w="2077" w:type="dxa"/>
            <w:tcBorders/>
            <w:vAlign w:val="center"/>
          </w:tcPr>
          <w:p>
            <w:pPr>
              <w:pStyle w:val="TableContents"/>
              <w:widowControl w:val="false"/>
              <w:suppressLineNumbers/>
              <w:spacing w:before="0" w:after="200"/>
              <w:rPr/>
            </w:pPr>
            <w:r>
              <w:rPr/>
              <w:t>Foundational assumptions</w:t>
            </w:r>
          </w:p>
        </w:tc>
        <w:tc>
          <w:tcPr>
            <w:tcW w:w="6563" w:type="dxa"/>
            <w:tcBorders/>
            <w:vAlign w:val="center"/>
          </w:tcPr>
          <w:p>
            <w:pPr>
              <w:pStyle w:val="TableContents"/>
              <w:widowControl w:val="false"/>
              <w:suppressLineNumbers/>
              <w:spacing w:before="0" w:after="200"/>
              <w:rPr/>
            </w:pPr>
            <w:r>
              <w:rPr/>
              <w:t>assumption transparency; explicit assumptions; explicit normative premises; foundational assumptions; minimal-assumption ethics; normative authority; objective assessment; is–ought problem</w:t>
            </w:r>
          </w:p>
        </w:tc>
      </w:tr>
      <w:tr>
        <w:trPr/>
        <w:tc>
          <w:tcPr>
            <w:tcW w:w="2077" w:type="dxa"/>
            <w:tcBorders/>
            <w:vAlign w:val="center"/>
          </w:tcPr>
          <w:p>
            <w:pPr>
              <w:pStyle w:val="TableContents"/>
              <w:widowControl w:val="false"/>
              <w:suppressLineNumbers/>
              <w:spacing w:before="0" w:after="200"/>
              <w:rPr/>
            </w:pPr>
            <w:r>
              <w:rPr/>
              <w:t>Moral ontology</w:t>
            </w:r>
          </w:p>
        </w:tc>
        <w:tc>
          <w:tcPr>
            <w:tcW w:w="6563" w:type="dxa"/>
            <w:tcBorders/>
            <w:vAlign w:val="center"/>
          </w:tcPr>
          <w:p>
            <w:pPr>
              <w:pStyle w:val="TableContents"/>
              <w:widowControl w:val="false"/>
              <w:suppressLineNumbers/>
              <w:spacing w:before="0" w:after="200"/>
              <w:rPr/>
            </w:pPr>
            <w:r>
              <w:rPr/>
              <w:t>adaptive capacity; Association; autopoiesis; Autopoietic Object; constructive participation; moral agency; moral standing; Object; persistent adaptive entities; Persistent Pattern; self-directed entities</w:t>
            </w:r>
          </w:p>
        </w:tc>
      </w:tr>
      <w:tr>
        <w:trPr/>
        <w:tc>
          <w:tcPr>
            <w:tcW w:w="2077" w:type="dxa"/>
            <w:tcBorders/>
            <w:vAlign w:val="center"/>
          </w:tcPr>
          <w:p>
            <w:pPr>
              <w:pStyle w:val="TableContents"/>
              <w:widowControl w:val="false"/>
              <w:suppressLineNumbers/>
              <w:spacing w:before="0" w:after="200"/>
              <w:rPr/>
            </w:pPr>
            <w:r>
              <w:rPr/>
              <w:t>Flourishing</w:t>
            </w:r>
          </w:p>
        </w:tc>
        <w:tc>
          <w:tcPr>
            <w:tcW w:w="6563" w:type="dxa"/>
            <w:tcBorders/>
            <w:vAlign w:val="center"/>
          </w:tcPr>
          <w:p>
            <w:pPr>
              <w:pStyle w:val="TableContents"/>
              <w:widowControl w:val="false"/>
              <w:suppressLineNumbers/>
              <w:spacing w:before="0" w:after="200"/>
              <w:rPr/>
            </w:pPr>
            <w:r>
              <w:rPr/>
              <w:t>aggregate flourishing; beneficial future state space; capability security; ecological flourishing; eudaimonia; future possibilities; human flourishing; material diminishment; multidimensional flourishing; relational flourishing; well-being</w:t>
            </w:r>
          </w:p>
        </w:tc>
      </w:tr>
      <w:tr>
        <w:trPr/>
        <w:tc>
          <w:tcPr>
            <w:tcW w:w="2077" w:type="dxa"/>
            <w:tcBorders/>
            <w:vAlign w:val="center"/>
          </w:tcPr>
          <w:p>
            <w:pPr>
              <w:pStyle w:val="TableContents"/>
              <w:widowControl w:val="false"/>
              <w:suppressLineNumbers/>
              <w:spacing w:before="0" w:after="200"/>
              <w:rPr/>
            </w:pPr>
            <w:r>
              <w:rPr/>
              <w:t>Context architecture</w:t>
            </w:r>
          </w:p>
        </w:tc>
        <w:tc>
          <w:tcPr>
            <w:tcW w:w="6563" w:type="dxa"/>
            <w:tcBorders/>
            <w:vAlign w:val="center"/>
          </w:tcPr>
          <w:p>
            <w:pPr>
              <w:pStyle w:val="TableContents"/>
              <w:widowControl w:val="false"/>
              <w:suppressLineNumbers/>
              <w:spacing w:before="0" w:after="200"/>
              <w:rPr/>
            </w:pPr>
            <w:r>
              <w:rPr/>
              <w:t>Accessible Context; Assessment Boundary; Assessment Context; assessment scope; causal scope; computational scope; Context Stack; Decision Context; epistemic scope; jurisdictional scope; Local Context; normative scope; scope selection; Situational Context; temporal scope; world-state modeling</w:t>
            </w:r>
          </w:p>
        </w:tc>
      </w:tr>
      <w:tr>
        <w:trPr/>
        <w:tc>
          <w:tcPr>
            <w:tcW w:w="2077" w:type="dxa"/>
            <w:tcBorders/>
            <w:vAlign w:val="center"/>
          </w:tcPr>
          <w:p>
            <w:pPr>
              <w:pStyle w:val="TableContents"/>
              <w:widowControl w:val="false"/>
              <w:suppressLineNumbers/>
              <w:spacing w:before="0" w:after="200"/>
              <w:rPr/>
            </w:pPr>
            <w:r>
              <w:rPr/>
              <w:t>State and transition modeling</w:t>
            </w:r>
          </w:p>
        </w:tc>
        <w:tc>
          <w:tcPr>
            <w:tcW w:w="6563" w:type="dxa"/>
            <w:tcBorders/>
            <w:vAlign w:val="center"/>
          </w:tcPr>
          <w:p>
            <w:pPr>
              <w:pStyle w:val="TableContents"/>
              <w:widowControl w:val="false"/>
              <w:suppressLineNumbers/>
              <w:spacing w:before="0" w:after="200"/>
              <w:rPr/>
            </w:pPr>
            <w:r>
              <w:rPr/>
              <w:t>baseline state; counterfactual transition; entity state vectors; future opportunities; graph-based world model; knowledge graphs; policy states; recursive assessment; scenario-based assessment; state representation; state-transition systems; state variables; transition pathways</w:t>
            </w:r>
          </w:p>
        </w:tc>
      </w:tr>
      <w:tr>
        <w:trPr/>
        <w:tc>
          <w:tcPr>
            <w:tcW w:w="2077" w:type="dxa"/>
            <w:tcBorders/>
            <w:vAlign w:val="center"/>
          </w:tcPr>
          <w:p>
            <w:pPr>
              <w:pStyle w:val="TableContents"/>
              <w:widowControl w:val="false"/>
              <w:suppressLineNumbers/>
              <w:spacing w:before="0" w:after="200"/>
              <w:rPr/>
            </w:pPr>
            <w:r>
              <w:rPr/>
              <w:t>Assessment methodology</w:t>
            </w:r>
          </w:p>
        </w:tc>
        <w:tc>
          <w:tcPr>
            <w:tcW w:w="6563" w:type="dxa"/>
            <w:tcBorders/>
            <w:vAlign w:val="center"/>
          </w:tcPr>
          <w:p>
            <w:pPr>
              <w:pStyle w:val="TableContents"/>
              <w:widowControl w:val="false"/>
              <w:suppressLineNumbers/>
              <w:spacing w:before="0" w:after="200"/>
              <w:rPr/>
            </w:pPr>
            <w:r>
              <w:rPr/>
              <w:t>action alternatives; assessed action; consequence assessment; counterfactual analysis; horizon-specific assessment; intergenerational assessment; materiality; moral assessment methodology; prospective assessment; retrospective assessment; scenario analysis</w:t>
            </w:r>
          </w:p>
        </w:tc>
      </w:tr>
      <w:tr>
        <w:trPr/>
        <w:tc>
          <w:tcPr>
            <w:tcW w:w="2077" w:type="dxa"/>
            <w:tcBorders/>
            <w:vAlign w:val="center"/>
          </w:tcPr>
          <w:p>
            <w:pPr>
              <w:pStyle w:val="TableContents"/>
              <w:widowControl w:val="false"/>
              <w:suppressLineNumbers/>
              <w:spacing w:before="0" w:after="200"/>
              <w:rPr/>
            </w:pPr>
            <w:r>
              <w:rPr/>
              <w:t>Probability and uncertainty</w:t>
            </w:r>
          </w:p>
        </w:tc>
        <w:tc>
          <w:tcPr>
            <w:tcW w:w="6563" w:type="dxa"/>
            <w:tcBorders/>
            <w:vAlign w:val="center"/>
          </w:tcPr>
          <w:p>
            <w:pPr>
              <w:pStyle w:val="TableContents"/>
              <w:widowControl w:val="false"/>
              <w:suppressLineNumbers/>
              <w:spacing w:before="0" w:after="200"/>
              <w:rPr/>
            </w:pPr>
            <w:r>
              <w:rPr/>
              <w:t>Bayesian updating; confidence-bounded assessment; confidence propagation; incomplete information; low-probability high-severity risk; model uncertainty; moral uncertainty; prediction uncertainty; probability estimation; risk profiles; stochastic assessment; uncertainty propagation</w:t>
            </w:r>
          </w:p>
        </w:tc>
      </w:tr>
      <w:tr>
        <w:trPr/>
        <w:tc>
          <w:tcPr>
            <w:tcW w:w="2077" w:type="dxa"/>
            <w:tcBorders/>
            <w:vAlign w:val="center"/>
          </w:tcPr>
          <w:p>
            <w:pPr>
              <w:pStyle w:val="TableContents"/>
              <w:widowControl w:val="false"/>
              <w:suppressLineNumbers/>
              <w:spacing w:before="0" w:after="200"/>
              <w:rPr/>
            </w:pPr>
            <w:r>
              <w:rPr/>
              <w:t>Evidence and epistemics</w:t>
            </w:r>
          </w:p>
        </w:tc>
        <w:tc>
          <w:tcPr>
            <w:tcW w:w="6563" w:type="dxa"/>
            <w:tcBorders/>
            <w:vAlign w:val="center"/>
          </w:tcPr>
          <w:p>
            <w:pPr>
              <w:pStyle w:val="TableContents"/>
              <w:widowControl w:val="false"/>
              <w:suppressLineNumbers/>
              <w:spacing w:before="0" w:after="200"/>
              <w:rPr/>
            </w:pPr>
            <w:r>
              <w:rPr/>
              <w:t>best available evidence; evidence completeness; evidence conflicts; evidence provenance; evidence quality; evidence relevance; foreseeability; qualitative evidence; reasonable diligence; reproducibility</w:t>
            </w:r>
          </w:p>
        </w:tc>
      </w:tr>
      <w:tr>
        <w:trPr/>
        <w:tc>
          <w:tcPr>
            <w:tcW w:w="2077" w:type="dxa"/>
            <w:tcBorders/>
            <w:vAlign w:val="center"/>
          </w:tcPr>
          <w:p>
            <w:pPr>
              <w:pStyle w:val="TableContents"/>
              <w:widowControl w:val="false"/>
              <w:suppressLineNumbers/>
              <w:spacing w:before="0" w:after="200"/>
              <w:rPr/>
            </w:pPr>
            <w:r>
              <w:rPr/>
              <w:t>Behavioral and institutional effects</w:t>
            </w:r>
          </w:p>
        </w:tc>
        <w:tc>
          <w:tcPr>
            <w:tcW w:w="6563" w:type="dxa"/>
            <w:tcBorders/>
            <w:vAlign w:val="center"/>
          </w:tcPr>
          <w:p>
            <w:pPr>
              <w:pStyle w:val="TableContents"/>
              <w:widowControl w:val="false"/>
              <w:suppressLineNumbers/>
              <w:spacing w:before="0" w:after="200"/>
              <w:rPr/>
            </w:pPr>
            <w:r>
              <w:rPr/>
              <w:t>behavioral feedback; decision-policy change; Distributed Policy Effects; institutional effects; institutional policy updates; norm propagation; policy-state transitions; policy-update propagation; precedent effects; trust effects</w:t>
            </w:r>
          </w:p>
        </w:tc>
      </w:tr>
      <w:tr>
        <w:trPr/>
        <w:tc>
          <w:tcPr>
            <w:tcW w:w="2077" w:type="dxa"/>
            <w:tcBorders/>
            <w:vAlign w:val="center"/>
          </w:tcPr>
          <w:p>
            <w:pPr>
              <w:pStyle w:val="TableContents"/>
              <w:widowControl w:val="false"/>
              <w:suppressLineNumbers/>
              <w:spacing w:before="0" w:after="200"/>
              <w:rPr/>
            </w:pPr>
            <w:r>
              <w:rPr/>
              <w:t>Responsibility and governance</w:t>
            </w:r>
          </w:p>
        </w:tc>
        <w:tc>
          <w:tcPr>
            <w:tcW w:w="6563" w:type="dxa"/>
            <w:tcBorders/>
            <w:vAlign w:val="center"/>
          </w:tcPr>
          <w:p>
            <w:pPr>
              <w:pStyle w:val="TableContents"/>
              <w:widowControl w:val="false"/>
              <w:suppressLineNumbers/>
              <w:spacing w:before="0" w:after="200"/>
              <w:rPr/>
            </w:pPr>
            <w:r>
              <w:rPr/>
              <w:t>accountability; authority and legitimacy; distributed responsibility; ethical governance; human oversight; institutional accountability; institutional legitimacy; moral responsibility; repair and restitution; responsibility assignment</w:t>
            </w:r>
          </w:p>
        </w:tc>
      </w:tr>
      <w:tr>
        <w:trPr/>
        <w:tc>
          <w:tcPr>
            <w:tcW w:w="2077" w:type="dxa"/>
            <w:tcBorders/>
            <w:vAlign w:val="center"/>
          </w:tcPr>
          <w:p>
            <w:pPr>
              <w:pStyle w:val="TableContents"/>
              <w:widowControl w:val="false"/>
              <w:suppressLineNumbers/>
              <w:spacing w:before="0" w:after="200"/>
              <w:rPr/>
            </w:pPr>
            <w:r>
              <w:rPr/>
              <w:t>Explainability and validation</w:t>
            </w:r>
          </w:p>
        </w:tc>
        <w:tc>
          <w:tcPr>
            <w:tcW w:w="6563" w:type="dxa"/>
            <w:tcBorders/>
            <w:vAlign w:val="center"/>
          </w:tcPr>
          <w:p>
            <w:pPr>
              <w:pStyle w:val="TableContents"/>
              <w:widowControl w:val="false"/>
              <w:suppressLineNumbers/>
              <w:spacing w:before="0" w:after="200"/>
              <w:rPr/>
            </w:pPr>
            <w:r>
              <w:rPr/>
              <w:t>assessment transparency; audit artifacts; auditability; comparative evaluation; conformance testing; empirical validation; explainability; implementation consistency; philosophical review; traceability; validation maturity</w:t>
            </w:r>
          </w:p>
        </w:tc>
      </w:tr>
      <w:tr>
        <w:trPr/>
        <w:tc>
          <w:tcPr>
            <w:tcW w:w="2077" w:type="dxa"/>
            <w:tcBorders/>
            <w:vAlign w:val="center"/>
          </w:tcPr>
          <w:p>
            <w:pPr>
              <w:pStyle w:val="TableContents"/>
              <w:widowControl w:val="false"/>
              <w:suppressLineNumbers/>
              <w:spacing w:before="0" w:after="200"/>
              <w:rPr/>
            </w:pPr>
            <w:r>
              <w:rPr/>
              <w:t>Systems concepts</w:t>
            </w:r>
          </w:p>
        </w:tc>
        <w:tc>
          <w:tcPr>
            <w:tcW w:w="6563" w:type="dxa"/>
            <w:tcBorders/>
            <w:vAlign w:val="center"/>
          </w:tcPr>
          <w:p>
            <w:pPr>
              <w:pStyle w:val="TableContents"/>
              <w:widowControl w:val="false"/>
              <w:suppressLineNumbers/>
              <w:spacing w:before="0" w:after="200"/>
              <w:rPr/>
            </w:pPr>
            <w:r>
              <w:rPr/>
              <w:t>boundary selection; causal modeling; complex systems; emergence; feedback loops; irreversibility; reflexivity; structural causation; systems thinking; tipping points</w:t>
            </w:r>
          </w:p>
        </w:tc>
      </w:tr>
      <w:tr>
        <w:trPr/>
        <w:tc>
          <w:tcPr>
            <w:tcW w:w="2077" w:type="dxa"/>
            <w:tcBorders/>
            <w:vAlign w:val="center"/>
          </w:tcPr>
          <w:p>
            <w:pPr>
              <w:pStyle w:val="TableContents"/>
              <w:widowControl w:val="false"/>
              <w:suppressLineNumbers/>
              <w:spacing w:before="0" w:after="200"/>
              <w:rPr/>
            </w:pPr>
            <w:r>
              <w:rPr/>
              <w:t>AI and autonomous systems</w:t>
            </w:r>
          </w:p>
        </w:tc>
        <w:tc>
          <w:tcPr>
            <w:tcW w:w="6563" w:type="dxa"/>
            <w:tcBorders/>
            <w:vAlign w:val="center"/>
          </w:tcPr>
          <w:p>
            <w:pPr>
              <w:pStyle w:val="TableContents"/>
              <w:widowControl w:val="false"/>
              <w:suppressLineNumbers/>
              <w:spacing w:before="0" w:after="200"/>
              <w:rPr/>
            </w:pPr>
            <w:r>
              <w:rPr/>
              <w:t>AGI safety; AI ethics; artificial moral agents; artificial-system governance; autonomous robotics; autonomous systems ethics; human–AI decision support; large-language-model alignment; LLM safety; responsible AI; robotics ethics; value alignment</w:t>
            </w:r>
          </w:p>
        </w:tc>
      </w:tr>
      <w:tr>
        <w:trPr/>
        <w:tc>
          <w:tcPr>
            <w:tcW w:w="2077" w:type="dxa"/>
            <w:tcBorders/>
            <w:vAlign w:val="center"/>
          </w:tcPr>
          <w:p>
            <w:pPr>
              <w:pStyle w:val="TableContents"/>
              <w:widowControl w:val="false"/>
              <w:suppressLineNumbers/>
              <w:spacing w:before="0" w:after="200"/>
              <w:rPr/>
            </w:pPr>
            <w:r>
              <w:rPr/>
              <w:t>Implementation concepts</w:t>
            </w:r>
          </w:p>
        </w:tc>
        <w:tc>
          <w:tcPr>
            <w:tcW w:w="6563" w:type="dxa"/>
            <w:tcBorders/>
            <w:vAlign w:val="center"/>
          </w:tcPr>
          <w:p>
            <w:pPr>
              <w:pStyle w:val="TableContents"/>
              <w:widowControl w:val="false"/>
              <w:suppressLineNumbers/>
              <w:spacing w:before="0" w:after="200"/>
              <w:rPr/>
            </w:pPr>
            <w:r>
              <w:rPr/>
              <w:t>assessment engine; domain-specific ontologies; extensible ontology; graceful degradation; implementation independence; inference engines; modular reasoning; Moral Reasoning Runtime; ontology versioning; structured assessment output</w:t>
            </w:r>
          </w:p>
        </w:tc>
      </w:tr>
      <w:tr>
        <w:trPr/>
        <w:tc>
          <w:tcPr>
            <w:tcW w:w="2077" w:type="dxa"/>
            <w:tcBorders/>
            <w:vAlign w:val="center"/>
          </w:tcPr>
          <w:p>
            <w:pPr>
              <w:pStyle w:val="TableContents"/>
              <w:widowControl w:val="false"/>
              <w:suppressLineNumbers/>
              <w:spacing w:before="0" w:after="200"/>
              <w:rPr/>
            </w:pPr>
            <w:r>
              <w:rPr/>
              <w:t>Application domains</w:t>
            </w:r>
          </w:p>
        </w:tc>
        <w:tc>
          <w:tcPr>
            <w:tcW w:w="6563" w:type="dxa"/>
            <w:tcBorders/>
            <w:vAlign w:val="center"/>
          </w:tcPr>
          <w:p>
            <w:pPr>
              <w:pStyle w:val="TableContents"/>
              <w:widowControl w:val="false"/>
              <w:suppressLineNumbers/>
              <w:spacing w:before="0" w:after="200"/>
              <w:rPr/>
            </w:pPr>
            <w:r>
              <w:rPr/>
              <w:t>clinical decision support; environmental ethics; healthcare ethics; legal decision support; nonhuman moral consideration; organizational governance; public-policy ethics; robotics; institutional decision-making</w:t>
            </w:r>
          </w:p>
        </w:tc>
      </w:tr>
      <w:tr>
        <w:trPr/>
        <w:tc>
          <w:tcPr>
            <w:tcW w:w="2077" w:type="dxa"/>
            <w:tcBorders/>
            <w:vAlign w:val="center"/>
          </w:tcPr>
          <w:p>
            <w:pPr>
              <w:pStyle w:val="TableContents"/>
              <w:widowControl w:val="false"/>
              <w:suppressLineNumbers/>
              <w:spacing w:before="0" w:after="200"/>
              <w:rPr/>
            </w:pPr>
            <w:r>
              <w:rPr/>
              <w:t>Temporal and future considerations</w:t>
            </w:r>
          </w:p>
        </w:tc>
        <w:tc>
          <w:tcPr>
            <w:tcW w:w="6563" w:type="dxa"/>
            <w:tcBorders/>
            <w:vAlign w:val="center"/>
          </w:tcPr>
          <w:p>
            <w:pPr>
              <w:pStyle w:val="TableContents"/>
              <w:widowControl w:val="false"/>
              <w:suppressLineNumbers/>
              <w:spacing w:before="0" w:after="200"/>
              <w:rPr/>
            </w:pPr>
            <w:r>
              <w:rPr/>
              <w:t>civilizational horizons; future artificial systems; future entities; future generations; intergenerational ethics; irreversible transformation; multi-generational assessment; population ethics</w:t>
            </w:r>
          </w:p>
        </w:tc>
      </w:tr>
      <w:tr>
        <w:trPr/>
        <w:tc>
          <w:tcPr>
            <w:tcW w:w="2077" w:type="dxa"/>
            <w:tcBorders/>
            <w:vAlign w:val="center"/>
          </w:tcPr>
          <w:p>
            <w:pPr>
              <w:pStyle w:val="TableContents"/>
              <w:widowControl w:val="false"/>
              <w:suppressLineNumbers/>
              <w:spacing w:before="0" w:after="200"/>
              <w:rPr/>
            </w:pPr>
            <w:r>
              <w:rPr/>
              <w:t>Comparative ethical frameworks</w:t>
            </w:r>
          </w:p>
        </w:tc>
        <w:tc>
          <w:tcPr>
            <w:tcW w:w="6563" w:type="dxa"/>
            <w:tcBorders/>
            <w:vAlign w:val="center"/>
          </w:tcPr>
          <w:p>
            <w:pPr>
              <w:pStyle w:val="TableContents"/>
              <w:widowControl w:val="false"/>
              <w:suppressLineNumbers/>
              <w:spacing w:before="0" w:after="200"/>
              <w:rPr/>
            </w:pPr>
            <w:r>
              <w:rPr/>
              <w:t>capability approach; comparative ethics; Confucian ethics; consequentialism; contractarianism; Cosmism; deep ecology; deontology; environmental ethics; ethical pluralism; ethics of care; natural law; pragmatism; rights-based ethics; social contract theory; Stoicism; utilitarianism; virtue ethics</w:t>
            </w:r>
          </w:p>
        </w:tc>
      </w:tr>
    </w:tbl>
    <w:p>
      <w:pPr>
        <w:pStyle w:val="BodyText"/>
        <w:numPr>
          <w:ilvl w:val="0"/>
          <w:numId w:val="0"/>
        </w:numPr>
        <w:spacing w:before="0" w:after="200"/>
        <w:ind w:hanging="0" w:left="0"/>
        <w:contextualSpacing/>
        <w:rPr/>
      </w:pPr>
      <w:r>
        <w:rPr/>
        <w:t>Avoid using the following as primary keywords:</w:t>
      </w:r>
    </w:p>
    <w:p>
      <w:pPr>
        <w:pStyle w:val="BodyText"/>
        <w:numPr>
          <w:ilvl w:val="0"/>
          <w:numId w:val="176"/>
        </w:numPr>
        <w:tabs>
          <w:tab w:val="clear" w:pos="720"/>
          <w:tab w:val="left" w:pos="0" w:leader="none"/>
        </w:tabs>
        <w:spacing w:before="0" w:after="0"/>
        <w:ind w:hanging="283" w:left="709"/>
        <w:rPr/>
      </w:pPr>
      <w:r>
        <w:rPr>
          <w:rStyle w:val="Strong"/>
        </w:rPr>
        <w:t>Objective morality</w:t>
      </w:r>
      <w:r>
        <w:rPr/>
        <w:t xml:space="preserve">, </w:t>
      </w:r>
      <w:r>
        <w:rPr>
          <w:rStyle w:val="Strong"/>
        </w:rPr>
        <w:t>moral objectivism</w:t>
      </w:r>
      <w:r>
        <w:rPr/>
        <w:t xml:space="preserve">, or </w:t>
      </w:r>
      <w:r>
        <w:rPr>
          <w:rStyle w:val="Strong"/>
        </w:rPr>
        <w:t>moral realism</w:t>
      </w:r>
      <w:r>
        <w:rPr/>
        <w:t xml:space="preserve">: the document proposes objective assessment through explicit assumptions, but does not claim to prove mind-independent moral truths. </w:t>
      </w:r>
    </w:p>
    <w:p>
      <w:pPr>
        <w:pStyle w:val="BodyText"/>
        <w:numPr>
          <w:ilvl w:val="0"/>
          <w:numId w:val="176"/>
        </w:numPr>
        <w:tabs>
          <w:tab w:val="clear" w:pos="720"/>
          <w:tab w:val="left" w:pos="0" w:leader="none"/>
        </w:tabs>
        <w:spacing w:before="0" w:after="0"/>
        <w:ind w:hanging="283" w:left="709"/>
        <w:rPr/>
      </w:pPr>
      <w:r>
        <w:rPr>
          <w:rStyle w:val="Strong"/>
        </w:rPr>
        <w:t>Longtermism</w:t>
      </w:r>
      <w:r>
        <w:rPr/>
        <w:t xml:space="preserve">: the framework uses multiple assessment horizons, but does not adopt all the philosophical commitments normally associated with longtermism. </w:t>
      </w:r>
    </w:p>
    <w:p>
      <w:pPr>
        <w:pStyle w:val="BodyText"/>
        <w:numPr>
          <w:ilvl w:val="0"/>
          <w:numId w:val="176"/>
        </w:numPr>
        <w:tabs>
          <w:tab w:val="clear" w:pos="720"/>
          <w:tab w:val="left" w:pos="0" w:leader="none"/>
        </w:tabs>
        <w:spacing w:before="0" w:after="0"/>
        <w:ind w:hanging="283" w:left="709"/>
        <w:rPr/>
      </w:pPr>
      <w:r>
        <w:rPr>
          <w:rStyle w:val="Strong"/>
        </w:rPr>
        <w:t>Consequentialist ethics</w:t>
      </w:r>
      <w:r>
        <w:rPr/>
        <w:t xml:space="preserve"> as a description of the framework: consequences are central, but the architecture explicitly resists reducing morality to aggregate outcomes. </w:t>
      </w:r>
    </w:p>
    <w:p>
      <w:pPr>
        <w:pStyle w:val="BodyText"/>
        <w:numPr>
          <w:ilvl w:val="0"/>
          <w:numId w:val="176"/>
        </w:numPr>
        <w:tabs>
          <w:tab w:val="clear" w:pos="720"/>
          <w:tab w:val="left" w:pos="0" w:leader="none"/>
        </w:tabs>
        <w:spacing w:before="0" w:after="0"/>
        <w:ind w:hanging="283" w:left="709"/>
        <w:rPr/>
      </w:pPr>
      <w:r>
        <w:rPr>
          <w:rStyle w:val="Strong"/>
        </w:rPr>
        <w:t>Utilitarian ethics</w:t>
      </w:r>
      <w:r>
        <w:rPr/>
        <w:t xml:space="preserve"> as a framework label: aggregate flourishing is informative but expressly non-dispositive. </w:t>
      </w:r>
    </w:p>
    <w:p>
      <w:pPr>
        <w:pStyle w:val="BodyText"/>
        <w:numPr>
          <w:ilvl w:val="0"/>
          <w:numId w:val="176"/>
        </w:numPr>
        <w:tabs>
          <w:tab w:val="clear" w:pos="720"/>
          <w:tab w:val="left" w:pos="0" w:leader="none"/>
        </w:tabs>
        <w:ind w:hanging="283" w:left="709"/>
        <w:rPr/>
      </w:pPr>
      <w:r>
        <w:rPr>
          <w:rStyle w:val="Strong"/>
        </w:rPr>
        <w:t>AI ethics</w:t>
      </w:r>
      <w:r>
        <w:rPr/>
        <w:t xml:space="preserve"> as the first or dominant keyword: AI is an important application, but the architecture is deliberately cross-domain. </w:t>
      </w:r>
    </w:p>
    <w:p>
      <w:pPr>
        <w:pStyle w:val="ListBullet"/>
        <w:numPr>
          <w:ilvl w:val="0"/>
          <w:numId w:val="0"/>
        </w:numPr>
        <w:spacing w:before="0" w:after="200"/>
        <w:ind w:hanging="0" w:left="0"/>
        <w:contextualSpacing/>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20"/>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26"/>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
    <w:lvl w:ilvl="0">
      <w:start w:val="2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9">
    <w:lvl w:ilvl="0">
      <w:start w:val="1"/>
      <w:numFmt w:val="decimal"/>
      <w:lvlText w:val=" %1 "/>
      <w:lvlJc w:val="left"/>
      <w:pPr>
        <w:tabs>
          <w:tab w:val="num" w:pos="397"/>
        </w:tabs>
        <w:ind w:left="754" w:hanging="397"/>
      </w:pPr>
      <w:rPr/>
    </w:lvl>
    <w:lvl w:ilvl="1">
      <w:start w:val="1"/>
      <w:numFmt w:val="decimal"/>
      <w:lvlText w:val=" %1.%2 "/>
      <w:lvlJc w:val="left"/>
      <w:pPr>
        <w:tabs>
          <w:tab w:val="num" w:pos="794"/>
        </w:tabs>
        <w:ind w:left="1151" w:hanging="397"/>
      </w:pPr>
      <w:rPr/>
    </w:lvl>
    <w:lvl w:ilvl="2">
      <w:start w:val="1"/>
      <w:numFmt w:val="decimal"/>
      <w:lvlText w:val=" %1.%2.%3 "/>
      <w:lvlJc w:val="left"/>
      <w:pPr>
        <w:tabs>
          <w:tab w:val="num" w:pos="1191"/>
        </w:tabs>
        <w:ind w:left="1548" w:hanging="397"/>
      </w:pPr>
      <w:rPr/>
    </w:lvl>
    <w:lvl w:ilvl="3">
      <w:start w:val="1"/>
      <w:numFmt w:val="decimal"/>
      <w:lvlText w:val=" %1.%2.%3.%4 "/>
      <w:lvlJc w:val="left"/>
      <w:pPr>
        <w:tabs>
          <w:tab w:val="num" w:pos="1588"/>
        </w:tabs>
        <w:ind w:left="1945" w:hanging="397"/>
      </w:pPr>
      <w:rPr/>
    </w:lvl>
    <w:lvl w:ilvl="4">
      <w:start w:val="1"/>
      <w:numFmt w:val="decimal"/>
      <w:lvlText w:val=" %1.%2.%3.%4.%5 "/>
      <w:lvlJc w:val="left"/>
      <w:pPr>
        <w:tabs>
          <w:tab w:val="num" w:pos="1985"/>
        </w:tabs>
        <w:ind w:left="2342" w:hanging="397"/>
      </w:pPr>
      <w:rPr/>
    </w:lvl>
    <w:lvl w:ilvl="5">
      <w:start w:val="1"/>
      <w:numFmt w:val="decimal"/>
      <w:lvlText w:val=" %1.%2.%3.%4.%5.%6 "/>
      <w:lvlJc w:val="left"/>
      <w:pPr>
        <w:tabs>
          <w:tab w:val="num" w:pos="2381"/>
        </w:tabs>
        <w:ind w:left="2738" w:hanging="397"/>
      </w:pPr>
      <w:rPr/>
    </w:lvl>
    <w:lvl w:ilvl="6">
      <w:start w:val="1"/>
      <w:numFmt w:val="decimal"/>
      <w:lvlText w:val=" %1.%2.%3.%4.%5.%6.%7 "/>
      <w:lvlJc w:val="left"/>
      <w:pPr>
        <w:tabs>
          <w:tab w:val="num" w:pos="2778"/>
        </w:tabs>
        <w:ind w:left="3135" w:hanging="397"/>
      </w:pPr>
      <w:rPr/>
    </w:lvl>
    <w:lvl w:ilvl="7">
      <w:start w:val="1"/>
      <w:numFmt w:val="decimal"/>
      <w:lvlText w:val=" %1.%2.%3.%4.%5.%6.%7.%8 "/>
      <w:lvlJc w:val="left"/>
      <w:pPr>
        <w:tabs>
          <w:tab w:val="num" w:pos="3175"/>
        </w:tabs>
        <w:ind w:left="3532" w:hanging="397"/>
      </w:pPr>
      <w:rPr/>
    </w:lvl>
    <w:lvl w:ilvl="8">
      <w:start w:val="1"/>
      <w:numFmt w:val="decimal"/>
      <w:lvlText w:val=" %1.%2.%3.%4.%5.%6.%7.%8.%9 "/>
      <w:lvlJc w:val="left"/>
      <w:pPr>
        <w:tabs>
          <w:tab w:val="num" w:pos="3572"/>
        </w:tabs>
        <w:ind w:left="3929" w:hanging="397"/>
      </w:pPr>
      <w:rPr/>
    </w:lvl>
  </w:abstractNum>
  <w:abstractNum w:abstractNumId="18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0"/>
    <w:lvlOverride w:ilvl="0">
      <w:startOverride w:val="1"/>
    </w:lvlOverride>
  </w:num>
  <w:num w:numId="182">
    <w:abstractNumId w:val="178"/>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DejaVu Sans" w:cs="Noto Sans Arabic UI"/>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left"/>
    </w:pPr>
    <w:rPr>
      <w:rFonts w:ascii="Aptos" w:hAnsi="Aptos" w:eastAsia="DejaVu Sans" w:cs="Noto Sans Arabic UI"/>
      <w:color w:val="auto"/>
      <w:kern w:val="0"/>
      <w:sz w:val="21"/>
      <w:szCs w:val="22"/>
      <w:lang w:val="en-US" w:eastAsia="en-US" w:bidi="ar-SA"/>
    </w:rPr>
  </w:style>
  <w:style w:type="paragraph" w:styleId="Heading1">
    <w:name w:val="heading 1"/>
    <w:basedOn w:val="Normal"/>
    <w:next w:val="Normal"/>
    <w:link w:val="Heading1Char"/>
    <w:qFormat/>
    <w:pPr>
      <w:keepNext w:val="true"/>
      <w:keepLines/>
      <w:numPr>
        <w:ilvl w:val="0"/>
        <w:numId w:val="179"/>
      </w:numPr>
      <w:spacing w:before="480" w:after="0"/>
      <w:outlineLvl w:val="0"/>
    </w:pPr>
    <w:rPr>
      <w:rFonts w:ascii="Calibri" w:hAnsi="Calibri" w:eastAsia="DejaVu Sans" w:cs="Noto Sans Arabic UI"/>
      <w:b/>
      <w:bCs/>
      <w:color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DejaVu Sans" w:cs="Noto Sans Arabic UI"/>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DejaVu Sans" w:cs="Noto Sans Arabic UI"/>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DejaVu Sans" w:cs="Noto Sans Arabic UI"/>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DejaVu Sans" w:cs="Noto Sans Arabic UI"/>
      <w:color w:val="365F91"/>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DejaVu Sans" w:cs="Noto Sans Arabic UI"/>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DejaVu Sans" w:cs="Noto Sans Arabic UI"/>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DejaVu Sans" w:cs="Noto Sans Arabic UI"/>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DejaVu Sans" w:cs="Noto Sans Arabic UI"/>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DejaVu Sans" w:cs="Noto Sans Arabic UI"/>
      <w:b/>
      <w:bCs/>
      <w:color w:themeColor="accent1" w:themeShade="bf" w:val="365F91"/>
      <w:sz w:val="28"/>
      <w:szCs w:val="28"/>
    </w:rPr>
  </w:style>
  <w:style w:type="character" w:styleId="Heading2Char">
    <w:name w:val="Heading 2 Char"/>
    <w:basedOn w:val="DefaultParagraphFont"/>
    <w:link w:val="Heading2"/>
    <w:qFormat/>
    <w:rPr>
      <w:rFonts w:ascii="Calibri" w:hAnsi="Calibri" w:eastAsia="DejaVu Sans" w:cs="Noto Sans Arabic UI"/>
      <w:b/>
      <w:bCs/>
      <w:color w:themeColor="accent1" w:val="4F81BD"/>
      <w:sz w:val="26"/>
      <w:szCs w:val="26"/>
    </w:rPr>
  </w:style>
  <w:style w:type="character" w:styleId="Heading3Char">
    <w:name w:val="Heading 3 Char"/>
    <w:basedOn w:val="DefaultParagraphFont"/>
    <w:link w:val="Heading3"/>
    <w:qFormat/>
    <w:rPr>
      <w:rFonts w:ascii="Calibri" w:hAnsi="Calibri" w:eastAsia="DejaVu Sans" w:cs="Noto Sans Arabic UI"/>
      <w:b/>
      <w:bCs/>
      <w:color w:themeColor="accent1" w:val="4F81BD"/>
    </w:rPr>
  </w:style>
  <w:style w:type="character" w:styleId="TitleChar">
    <w:name w:val="Title Char"/>
    <w:basedOn w:val="DefaultParagraphFont"/>
    <w:link w:val="Title"/>
    <w:qFormat/>
    <w:rPr>
      <w:rFonts w:ascii="Calibri" w:hAnsi="Calibri" w:eastAsia="DejaVu Sans" w:cs="Noto Sans Arabic UI"/>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DejaVu Sans" w:cs="Noto Sans Arabic UI"/>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DejaVu Sans" w:cs="Noto Sans Arabic UI"/>
      <w:b/>
      <w:bCs/>
      <w:i/>
      <w:iCs/>
      <w:color w:themeColor="accent1" w:val="4F81BD"/>
    </w:rPr>
  </w:style>
  <w:style w:type="character" w:styleId="Heading5Char">
    <w:name w:val="Heading 5 Char"/>
    <w:basedOn w:val="DefaultParagraphFont"/>
    <w:link w:val="Heading5"/>
    <w:qFormat/>
    <w:rPr>
      <w:rFonts w:ascii="Calibri" w:hAnsi="Calibri" w:eastAsia="DejaVu Sans" w:cs="Noto Sans Arabic UI"/>
      <w:color w:themeColor="accent1" w:themeShade="7f" w:val="243F60"/>
    </w:rPr>
  </w:style>
  <w:style w:type="character" w:styleId="Heading6Char">
    <w:name w:val="Heading 6 Char"/>
    <w:basedOn w:val="DefaultParagraphFont"/>
    <w:link w:val="Heading6"/>
    <w:qFormat/>
    <w:rPr>
      <w:rFonts w:ascii="Calibri" w:hAnsi="Calibri" w:eastAsia="DejaVu Sans" w:cs="Noto Sans Arabic UI"/>
      <w:i/>
      <w:iCs/>
      <w:color w:themeColor="accent1" w:themeShade="7f" w:val="243F60"/>
    </w:rPr>
  </w:style>
  <w:style w:type="character" w:styleId="Heading7Char">
    <w:name w:val="Heading 7 Char"/>
    <w:basedOn w:val="DefaultParagraphFont"/>
    <w:link w:val="Heading7"/>
    <w:qFormat/>
    <w:rPr>
      <w:rFonts w:ascii="Calibri" w:hAnsi="Calibri" w:eastAsia="DejaVu Sans" w:cs="Noto Sans Arabic UI"/>
      <w:i/>
      <w:iCs/>
      <w:color w:themeColor="dark1" w:themeTint="bf" w:val="404040"/>
    </w:rPr>
  </w:style>
  <w:style w:type="character" w:styleId="Heading8Char">
    <w:name w:val="Heading 8 Char"/>
    <w:basedOn w:val="DefaultParagraphFont"/>
    <w:link w:val="Heading8"/>
    <w:qFormat/>
    <w:rPr>
      <w:rFonts w:ascii="Calibri" w:hAnsi="Calibri" w:eastAsia="DejaVu Sans" w:cs="Noto Sans Arabic UI"/>
      <w:color w:themeColor="accent1" w:val="4F81BD"/>
      <w:sz w:val="20"/>
      <w:szCs w:val="20"/>
    </w:rPr>
  </w:style>
  <w:style w:type="character" w:styleId="Heading9Char">
    <w:name w:val="Heading 9 Char"/>
    <w:basedOn w:val="DefaultParagraphFont"/>
    <w:link w:val="Heading9"/>
    <w:qFormat/>
    <w:rPr>
      <w:rFonts w:ascii="Calibri" w:hAnsi="Calibri" w:eastAsia="DejaVu Sans" w:cs="Noto Sans Arabic UI"/>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LineNumber">
    <w:name w:val="line number"/>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lef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overflowPunct w:val="false"/>
      <w:bidi w:val="0"/>
      <w:spacing w:lineRule="auto" w:line="240" w:before="0" w:after="0"/>
      <w:jc w:val="left"/>
    </w:pPr>
    <w:rPr>
      <w:rFonts w:ascii="Cambria" w:hAnsi="Cambria" w:eastAsia="DejaVu Sans" w:cs="Noto Sans Arabic UI"/>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DejaVu Sans" w:cs="Noto Sans Arabic UI"/>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DejaVu Sans" w:cs="Noto Sans Arabic UI"/>
      <w:i/>
      <w:iCs/>
      <w:color w:themeColor="accent1" w:val="4F81BD"/>
      <w:spacing w:val="15"/>
      <w:sz w:val="24"/>
      <w:szCs w:val="24"/>
    </w:rPr>
  </w:style>
  <w:style w:type="paragraph" w:styleId="ListParagraph">
    <w:name w:val="List Paragraph"/>
    <w:basedOn w:val="Normal"/>
    <w:qFormat/>
    <w:pPr>
      <w:spacing w:before="0" w:after="200"/>
      <w:ind w:lef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left="720"/>
      <w:contextualSpacing/>
    </w:pPr>
    <w:rPr/>
  </w:style>
  <w:style w:type="paragraph" w:styleId="List3">
    <w:name w:val="List 3"/>
    <w:basedOn w:val="Normal"/>
    <w:qFormat/>
    <w:pPr>
      <w:spacing w:before="0" w:after="200"/>
      <w:ind w:hanging="360" w:left="1080"/>
      <w:contextualSpacing/>
    </w:pPr>
    <w:rPr/>
  </w:style>
  <w:style w:type="paragraph" w:styleId="ListBullet">
    <w:name w:val="List Bullet"/>
    <w:basedOn w:val="Normal"/>
    <w:pPr>
      <w:numPr>
        <w:ilvl w:val="0"/>
        <w:numId w:val="2"/>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3">
    <w:name w:val="List Number 3"/>
    <w:basedOn w:val="Normal"/>
    <w:pPr>
      <w:numPr>
        <w:ilvl w:val="0"/>
        <w:numId w:val="7"/>
      </w:numPr>
      <w:spacing w:before="0" w:after="200"/>
      <w:contextualSpacing/>
    </w:pPr>
    <w:rPr/>
  </w:style>
  <w:style w:type="paragraph" w:styleId="ListContinue">
    <w:name w:val="List Continue"/>
    <w:basedOn w:val="Normal"/>
    <w:pPr>
      <w:spacing w:before="0" w:after="120"/>
      <w:ind w:left="360"/>
      <w:contextualSpacing/>
    </w:pPr>
    <w:rPr/>
  </w:style>
  <w:style w:type="paragraph" w:styleId="ListContinue2">
    <w:name w:val="List Continue 2"/>
    <w:basedOn w:val="Normal"/>
    <w:pPr>
      <w:spacing w:before="0" w:after="120"/>
      <w:ind w:left="720"/>
      <w:contextualSpacing/>
    </w:pPr>
    <w:rPr/>
  </w:style>
  <w:style w:type="paragraph" w:styleId="ListContinue3">
    <w:name w:val="List Continue 3"/>
    <w:basedOn w:val="Normal"/>
    <w:pPr>
      <w:spacing w:before="0" w:after="120"/>
      <w:ind w:lef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overflowPunct w:val="false"/>
      <w:bidi w:val="0"/>
      <w:spacing w:lineRule="auto" w:line="276" w:before="0" w:after="200"/>
      <w:jc w:val="left"/>
    </w:pPr>
    <w:rPr>
      <w:rFonts w:ascii="Courier" w:hAnsi="Courier" w:eastAsia="DejaVu Sans" w:cs="Noto Sans Arabic UI"/>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left="567" w:right="567"/>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BlockQuotationuser">
    <w:name w:val="Block Quotation (user)"/>
    <w:basedOn w:val="Normal"/>
    <w:qFormat/>
    <w:pPr>
      <w:spacing w:before="0" w:after="283"/>
      <w:ind w:hanging="0" w:left="567" w:right="567"/>
    </w:pPr>
    <w:rPr/>
  </w:style>
  <w:style w:type="numbering" w:styleId="NoList">
    <w:name w:val="No List"/>
    <w:qFormat/>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ucl.ac.uk/laws/research/research-projects/bentham-project/about-jeremy-bentham" TargetMode="External"/><Relationship Id="rId4" Type="http://schemas.openxmlformats.org/officeDocument/2006/relationships/hyperlink" Target="https://plato.stanford.edu/entries/mill-moral-political/" TargetMode="External"/><Relationship Id="rId5" Type="http://schemas.openxmlformats.org/officeDocument/2006/relationships/hyperlink" Target="https://university-collections.wp.st-andrews.ac.uk/2017/01/31/150th-anniversary-of-john-stuart-mills-rectorial-address/" TargetMode="External"/><Relationship Id="rId6" Type="http://schemas.openxmlformats.org/officeDocument/2006/relationships/hyperlink" Target="https://explore.trin.cam.ac.uk/assets/sidgwick/" TargetMode="External"/><Relationship Id="rId7" Type="http://schemas.openxmlformats.org/officeDocument/2006/relationships/hyperlink" Target="https://plato.stanford.edu/entries/sidgwick/" TargetMode="External"/><Relationship Id="rId8" Type="http://schemas.openxmlformats.org/officeDocument/2006/relationships/hyperlink" Target="https://faculty.princeton.edu/people/peter-albert-david-singer" TargetMode="External"/><Relationship Id="rId9" Type="http://schemas.openxmlformats.org/officeDocument/2006/relationships/hyperlink" Target="https://plato.stanford.edu/entries/mill-moral-political/" TargetMode="External"/><Relationship Id="rId10" Type="http://schemas.openxmlformats.org/officeDocument/2006/relationships/hyperlink" Target="https://plato.stanford.edu/entries/moral-animal/" TargetMode="External"/><Relationship Id="rId11" Type="http://schemas.openxmlformats.org/officeDocument/2006/relationships/hyperlink" Target="https://plato.stanford.edu/entries/consequentialism-rule/" TargetMode="External"/><Relationship Id="rId12" Type="http://schemas.openxmlformats.org/officeDocument/2006/relationships/hyperlink" Target="https://plato.stanford.edu/entries/rationality-normative-utility/" TargetMode="External"/><Relationship Id="rId13" Type="http://schemas.openxmlformats.org/officeDocument/2006/relationships/hyperlink" Target="https://plato.stanford.edu/entries/repugnant-conclusion/" TargetMode="External"/><Relationship Id="rId14" Type="http://schemas.openxmlformats.org/officeDocument/2006/relationships/hyperlink" Target="https://plato.stanford.edu/entries/ethics-deontological/" TargetMode="External"/><Relationship Id="rId15" Type="http://schemas.openxmlformats.org/officeDocument/2006/relationships/hyperlink" Target="https://plato.stanford.edu/entries/kant/" TargetMode="External"/><Relationship Id="rId16" Type="http://schemas.openxmlformats.org/officeDocument/2006/relationships/hyperlink" Target="https://www.oriel.ox.ac.uk/our-history/historical-figures-and-alumni/" TargetMode="External"/><Relationship Id="rId17" Type="http://schemas.openxmlformats.org/officeDocument/2006/relationships/hyperlink" Target="https://plato.stanford.edu/entries/william-david-ross/" TargetMode="External"/><Relationship Id="rId18" Type="http://schemas.openxmlformats.org/officeDocument/2006/relationships/hyperlink" Target="https://www.phil.cam.ac.uk/aboutus/women-philosophers" TargetMode="External"/><Relationship Id="rId19" Type="http://schemas.openxmlformats.org/officeDocument/2006/relationships/hyperlink" Target="https://newn.cam.ac.uk/person/onora-oneill" TargetMode="External"/><Relationship Id="rId20" Type="http://schemas.openxmlformats.org/officeDocument/2006/relationships/hyperlink" Target="https://plato.stanford.edu/entries/kant-moral/" TargetMode="External"/><Relationship Id="rId21" Type="http://schemas.openxmlformats.org/officeDocument/2006/relationships/hyperlink" Target="https://plato.stanford.edu/entries/william-david-ross/" TargetMode="External"/><Relationship Id="rId22" Type="http://schemas.openxmlformats.org/officeDocument/2006/relationships/hyperlink" Target="https://plato.stanford.edu/entries/ethics-deontological/" TargetMode="External"/><Relationship Id="rId23" Type="http://schemas.openxmlformats.org/officeDocument/2006/relationships/hyperlink" Target="https://plato.stanford.edu/entries/locke-political/" TargetMode="External"/><Relationship Id="rId24" Type="http://schemas.openxmlformats.org/officeDocument/2006/relationships/hyperlink" Target="https://www.chch.ox.ac.uk/events/love-truth-truths-sake-john-locke-and-christ-church" TargetMode="External"/><Relationship Id="rId25" Type="http://schemas.openxmlformats.org/officeDocument/2006/relationships/hyperlink" Target="https://www.ccl.yale.edu/the-history-of-business-law-at-yale-archives/hohfeld-wesley-n-early-years" TargetMode="External"/><Relationship Id="rId26" Type="http://schemas.openxmlformats.org/officeDocument/2006/relationships/hyperlink" Target="https://www.law.nyu.edu/news/RONALD_DWORKIN_MEMORIAM" TargetMode="External"/><Relationship Id="rId27" Type="http://schemas.openxmlformats.org/officeDocument/2006/relationships/hyperlink" Target="https://plato.stanford.edu/entries/rights/" TargetMode="External"/><Relationship Id="rId28" Type="http://schemas.openxmlformats.org/officeDocument/2006/relationships/hyperlink" Target="https://plato.stanford.edu/entries/nozick-political/" TargetMode="External"/><Relationship Id="rId29" Type="http://schemas.openxmlformats.org/officeDocument/2006/relationships/hyperlink" Target="https://plato.stanford.edu/entries/rights/" TargetMode="External"/><Relationship Id="rId30" Type="http://schemas.openxmlformats.org/officeDocument/2006/relationships/hyperlink" Target="https://plato.stanford.edu/entries/ethics-virtue/" TargetMode="External"/><Relationship Id="rId31" Type="http://schemas.openxmlformats.org/officeDocument/2006/relationships/hyperlink" Target="https://plato.stanford.edu/entries/aristotle/" TargetMode="External"/><Relationship Id="rId32" Type="http://schemas.openxmlformats.org/officeDocument/2006/relationships/hyperlink" Target="https://plato.stanford.edu/entries/aristotle-psychology/" TargetMode="External"/><Relationship Id="rId33" Type="http://schemas.openxmlformats.org/officeDocument/2006/relationships/hyperlink" Target="https://www.phil.cam.ac.uk/aboutus/women-philosophers" TargetMode="External"/><Relationship Id="rId34" Type="http://schemas.openxmlformats.org/officeDocument/2006/relationships/hyperlink" Target="https://plato.stanford.edu/entries/anscombe/" TargetMode="External"/><Relationship Id="rId35" Type="http://schemas.openxmlformats.org/officeDocument/2006/relationships/hyperlink" Target="https://library.some.ox.ac.uk/2026/01/16/philippa-foot-collection/" TargetMode="External"/><Relationship Id="rId36" Type="http://schemas.openxmlformats.org/officeDocument/2006/relationships/hyperlink" Target="https://plato.stanford.edu/entries/philippa-foot/" TargetMode="External"/><Relationship Id="rId37" Type="http://schemas.openxmlformats.org/officeDocument/2006/relationships/hyperlink" Target="https://ethicscenter.nd.edu/news/de-nicola-center-mourns-the-passing-of-alasdair-macintyre-19292025/" TargetMode="External"/><Relationship Id="rId38" Type="http://schemas.openxmlformats.org/officeDocument/2006/relationships/hyperlink" Target="https://plato.stanford.edu/entries/moral-character-empirical/" TargetMode="External"/><Relationship Id="rId39" Type="http://schemas.openxmlformats.org/officeDocument/2006/relationships/hyperlink" Target="https://iep.utm.edu/care-ethics/" TargetMode="External"/><Relationship Id="rId40" Type="http://schemas.openxmlformats.org/officeDocument/2006/relationships/hyperlink" Target="https://www.law.nyu.edu/news/carol-gilligan-honored-groundbreaking-achievement-interdisciplinary-feminist-thought" TargetMode="External"/><Relationship Id="rId41" Type="http://schemas.openxmlformats.org/officeDocument/2006/relationships/hyperlink" Target="https://ed.stanford.edu/news/nel-noddings-feminist-philosopher-and-stanford-education-scholar-dies-93" TargetMode="External"/><Relationship Id="rId42" Type="http://schemas.openxmlformats.org/officeDocument/2006/relationships/hyperlink" Target="https://www.hunter.cuny.edu/news/virginia-held-pioneering-philosopher-and-longtime-hunter-college-professor-96/" TargetMode="External"/><Relationship Id="rId43" Type="http://schemas.openxmlformats.org/officeDocument/2006/relationships/hyperlink" Target="https://cla.umn.edu/polisci/news-events/news/professor-emerita-joan-tronto-receives-benjamin-e-lippincott-award-apsa" TargetMode="External"/><Relationship Id="rId44" Type="http://schemas.openxmlformats.org/officeDocument/2006/relationships/hyperlink" Target="https://plato.stanford.edu/entries/stoicism/" TargetMode="External"/><Relationship Id="rId45" Type="http://schemas.openxmlformats.org/officeDocument/2006/relationships/hyperlink" Target="https://iep.utm.edu/stoicism/" TargetMode="External"/><Relationship Id="rId46" Type="http://schemas.openxmlformats.org/officeDocument/2006/relationships/hyperlink" Target="https://plato.stanford.edu/archives/spr2016/entries/stoicism/" TargetMode="External"/><Relationship Id="rId47" Type="http://schemas.openxmlformats.org/officeDocument/2006/relationships/hyperlink" Target="https://plato.stanford.edu/entries/epictetus/" TargetMode="External"/><Relationship Id="rId48" Type="http://schemas.openxmlformats.org/officeDocument/2006/relationships/hyperlink" Target="https://plato.stanford.edu/entries/marcus-aurelius/" TargetMode="External"/><Relationship Id="rId49" Type="http://schemas.openxmlformats.org/officeDocument/2006/relationships/hyperlink" Target="https://plato.stanford.edu/entries/stoicism/" TargetMode="External"/><Relationship Id="rId50" Type="http://schemas.openxmlformats.org/officeDocument/2006/relationships/hyperlink" Target="https://filosofia.dickinson.edu/encyclopedia/cosmism/" TargetMode="External"/><Relationship Id="rId51" Type="http://schemas.openxmlformats.org/officeDocument/2006/relationships/hyperlink" Target="https://iep.utm.edu/fedorov/" TargetMode="External"/><Relationship Id="rId52" Type="http://schemas.openxmlformats.org/officeDocument/2006/relationships/hyperlink" Target="https://www.esa.int/Science_Exploration/Human_and_Robotic_Exploration/Exploration/Konstantin_Tsiolkovsky" TargetMode="External"/><Relationship Id="rId53" Type="http://schemas.openxmlformats.org/officeDocument/2006/relationships/hyperlink" Target="https://nmspacemuseum.org/inductee/konstantin-e-tsiolkovsky/" TargetMode="External"/><Relationship Id="rId54" Type="http://schemas.openxmlformats.org/officeDocument/2006/relationships/hyperlink" Target="https://www.sciencedirect.com/science/article/abs/pii/S0375674214000843" TargetMode="External"/><Relationship Id="rId55" Type="http://schemas.openxmlformats.org/officeDocument/2006/relationships/hyperlink" Target="https://chizhevsky.gmik.ru/en/meet-a-l-chizhevsky/" TargetMode="External"/><Relationship Id="rId56" Type="http://schemas.openxmlformats.org/officeDocument/2006/relationships/hyperlink" Target="https://plato.stanford.edu/entries/pragmatism/" TargetMode="External"/><Relationship Id="rId57" Type="http://schemas.openxmlformats.org/officeDocument/2006/relationships/hyperlink" Target="https://iep.utm.edu/peirce-charles-sanders/" TargetMode="External"/><Relationship Id="rId58" Type="http://schemas.openxmlformats.org/officeDocument/2006/relationships/hyperlink" Target="https://plato.stanford.edu/entries/peirce/" TargetMode="External"/><Relationship Id="rId59" Type="http://schemas.openxmlformats.org/officeDocument/2006/relationships/hyperlink" Target="https://psychology.fas.harvard.edu/people/william-james" TargetMode="External"/><Relationship Id="rId60" Type="http://schemas.openxmlformats.org/officeDocument/2006/relationships/hyperlink" Target="https://iep.utm.edu/james-o/" TargetMode="External"/><Relationship Id="rId61" Type="http://schemas.openxmlformats.org/officeDocument/2006/relationships/hyperlink" Target="https://plato.stanford.edu/entries/dewey-moral/" TargetMode="External"/><Relationship Id="rId62" Type="http://schemas.openxmlformats.org/officeDocument/2006/relationships/hyperlink" Target="https://c250.columbia.edu/c250_celebrates/remarkable_columbians/john_dewey.html" TargetMode="External"/><Relationship Id="rId63" Type="http://schemas.openxmlformats.org/officeDocument/2006/relationships/hyperlink" Target="https://plato.stanford.edu/entries/addams-jane/" TargetMode="External"/><Relationship Id="rId64" Type="http://schemas.openxmlformats.org/officeDocument/2006/relationships/hyperlink" Target="https://plato.stanford.edu/entries/mead/" TargetMode="External"/><Relationship Id="rId65" Type="http://schemas.openxmlformats.org/officeDocument/2006/relationships/hyperlink" Target="https://plato.stanford.edu/entries/truth-pragmatic/" TargetMode="External"/><Relationship Id="rId66" Type="http://schemas.openxmlformats.org/officeDocument/2006/relationships/hyperlink" Target="https://plato.stanford.edu/entries/contractarianism-contemporary/" TargetMode="External"/><Relationship Id="rId67" Type="http://schemas.openxmlformats.org/officeDocument/2006/relationships/hyperlink" Target="https://plato.stanford.edu/entries/hobbes-moral/" TargetMode="External"/><Relationship Id="rId68" Type="http://schemas.openxmlformats.org/officeDocument/2006/relationships/hyperlink" Target="https://plato.stanford.edu/entries/locke-political/" TargetMode="External"/><Relationship Id="rId69" Type="http://schemas.openxmlformats.org/officeDocument/2006/relationships/hyperlink" Target="https://plato.stanford.edu/entries/rousseau/" TargetMode="External"/><Relationship Id="rId70" Type="http://schemas.openxmlformats.org/officeDocument/2006/relationships/hyperlink" Target="https://officeofthesecretary.fas.harvard.edu/sites/g/files/omnuum2291/files/2024-11/Rawls%20Memorial%20Minute.pdf" TargetMode="External"/><Relationship Id="rId71" Type="http://schemas.openxmlformats.org/officeDocument/2006/relationships/hyperlink" Target="https://plato.stanford.edu/entries/rawls/" TargetMode="External"/><Relationship Id="rId72" Type="http://schemas.openxmlformats.org/officeDocument/2006/relationships/hyperlink" Target="https://www.philosophy.pitt.edu/david-gauthier-memoriam" TargetMode="External"/><Relationship Id="rId73" Type="http://schemas.openxmlformats.org/officeDocument/2006/relationships/hyperlink" Target="https://philosophy.fas.harvard.edu/people/thomas-m-scanlon" TargetMode="External"/><Relationship Id="rId74" Type="http://schemas.openxmlformats.org/officeDocument/2006/relationships/hyperlink" Target="https://plato.stanford.edu/entries/contractualism/" TargetMode="External"/><Relationship Id="rId75" Type="http://schemas.openxmlformats.org/officeDocument/2006/relationships/hyperlink" Target="https://plato.stanford.edu/entries/natural-law-ethics/" TargetMode="External"/><Relationship Id="rId76" Type="http://schemas.openxmlformats.org/officeDocument/2006/relationships/hyperlink" Target="https://plato.stanford.edu/entries/cicero/" TargetMode="External"/><Relationship Id="rId77" Type="http://schemas.openxmlformats.org/officeDocument/2006/relationships/hyperlink" Target="https://plato.stanford.edu/entries/aquinas/" TargetMode="External"/><Relationship Id="rId78" Type="http://schemas.openxmlformats.org/officeDocument/2006/relationships/hyperlink" Target="https://plato.stanford.edu/entries/aquinas-moral-political/" TargetMode="External"/><Relationship Id="rId79" Type="http://schemas.openxmlformats.org/officeDocument/2006/relationships/hyperlink" Target="https://plato.stanford.edu/entries/grotius/" TargetMode="External"/><Relationship Id="rId80" Type="http://schemas.openxmlformats.org/officeDocument/2006/relationships/hyperlink" Target="https://law.nd.edu/directory/john-finnis/" TargetMode="External"/><Relationship Id="rId81" Type="http://schemas.openxmlformats.org/officeDocument/2006/relationships/hyperlink" Target="https://plato.stanford.edu/entries/natural-law-theories/" TargetMode="External"/><Relationship Id="rId82" Type="http://schemas.openxmlformats.org/officeDocument/2006/relationships/hyperlink" Target="https://plato.stanford.edu/entries/natural-law-ethics/" TargetMode="External"/><Relationship Id="rId83" Type="http://schemas.openxmlformats.org/officeDocument/2006/relationships/hyperlink" Target="https://plato.stanford.edu/entries/natural-law-theories/" TargetMode="External"/><Relationship Id="rId84" Type="http://schemas.openxmlformats.org/officeDocument/2006/relationships/hyperlink" Target="https://plato.stanford.edu/entries/ethics-chinese/" TargetMode="External"/><Relationship Id="rId85" Type="http://schemas.openxmlformats.org/officeDocument/2006/relationships/hyperlink" Target="https://plato.stanford.edu/entries/confucius/" TargetMode="External"/><Relationship Id="rId86" Type="http://schemas.openxmlformats.org/officeDocument/2006/relationships/hyperlink" Target="https://plato.stanford.edu/entries/mencius/" TargetMode="External"/><Relationship Id="rId87" Type="http://schemas.openxmlformats.org/officeDocument/2006/relationships/hyperlink" Target="https://iep.utm.edu/xunzi/" TargetMode="External"/><Relationship Id="rId88" Type="http://schemas.openxmlformats.org/officeDocument/2006/relationships/hyperlink" Target="https://plato.stanford.edu/archives/sum2026/entries/song-ming-confucianism/" TargetMode="External"/><Relationship Id="rId89" Type="http://schemas.openxmlformats.org/officeDocument/2006/relationships/hyperlink" Target="https://plato.stanford.edu/entries/ethics-chinese/" TargetMode="External"/><Relationship Id="rId90" Type="http://schemas.openxmlformats.org/officeDocument/2006/relationships/hyperlink" Target="https://senate.universityofcalifornia.edu/_files/inmemoriam/html/cwestchurchman.htm" TargetMode="External"/><Relationship Id="rId91" Type="http://schemas.openxmlformats.org/officeDocument/2006/relationships/hyperlink" Target="https://senate.universityofcalifornia.edu/_files/inmemoriam/html/cwestchurchman.htm" TargetMode="External"/><Relationship Id="rId92" Type="http://schemas.openxmlformats.org/officeDocument/2006/relationships/hyperlink" Target="https://www.informs.org/Explore/History-of-O.R.-Excellence/Biographical-Profiles/Churchman-C.-West" TargetMode="External"/><Relationship Id="rId93" Type="http://schemas.openxmlformats.org/officeDocument/2006/relationships/hyperlink" Target="https://www.informs.org/Explore/History-of-O.R.-Excellence/Biographical-Profiles/Ackoff-Russell-L" TargetMode="External"/><Relationship Id="rId94" Type="http://schemas.openxmlformats.org/officeDocument/2006/relationships/hyperlink" Target="https://portal.lancaster.ac.uk/portal/condolences/peter-checkland" TargetMode="External"/><Relationship Id="rId95" Type="http://schemas.openxmlformats.org/officeDocument/2006/relationships/hyperlink" Target="https://www.theguardian.com/business/2026/jul/03/peter-checkland-obituary" TargetMode="External"/><Relationship Id="rId96" Type="http://schemas.openxmlformats.org/officeDocument/2006/relationships/hyperlink" Target="https://link.springer.com/article/10.1007/s11482-017-9514-y" TargetMode="External"/><Relationship Id="rId97" Type="http://schemas.openxmlformats.org/officeDocument/2006/relationships/hyperlink" Target="https://wulrich.com/bio.html" TargetMode="External"/><Relationship Id="rId98" Type="http://schemas.openxmlformats.org/officeDocument/2006/relationships/hyperlink" Target="https://wulrich.com/csh.html" TargetMode="External"/><Relationship Id="rId99" Type="http://schemas.openxmlformats.org/officeDocument/2006/relationships/hyperlink" Target="https://ciencias.uchile.cl/noticias/175409/legado-del-dr-humberto-maturana-romecin-1928-2021" TargetMode="External"/><Relationship Id="rId100" Type="http://schemas.openxmlformats.org/officeDocument/2006/relationships/hyperlink" Target="https://pubmed.ncbi.nlm.nih.gov/12795203/" TargetMode="External"/><Relationship Id="rId101" Type="http://schemas.openxmlformats.org/officeDocument/2006/relationships/hyperlink" Target="https://plato.stanford.edu/entries/capability-approach/" TargetMode="External"/><Relationship Id="rId102" Type="http://schemas.openxmlformats.org/officeDocument/2006/relationships/hyperlink" Target="https://hd-ca.org/about/what-are-hd-and-the-ca" TargetMode="External"/><Relationship Id="rId103" Type="http://schemas.openxmlformats.org/officeDocument/2006/relationships/hyperlink" Target="https://sen.scholars.harvard.edu/biocv" TargetMode="External"/><Relationship Id="rId104" Type="http://schemas.openxmlformats.org/officeDocument/2006/relationships/hyperlink" Target="https://philosophy.uchicago.edu/faculty/nussbaum" TargetMode="External"/><Relationship Id="rId105" Type="http://schemas.openxmlformats.org/officeDocument/2006/relationships/hyperlink" Target="https://www.uu.nl/staff/IAMRobeyns" TargetMode="External"/><Relationship Id="rId106" Type="http://schemas.openxmlformats.org/officeDocument/2006/relationships/hyperlink" Target="https://ophi.org.uk/people/professor-sabina-alkire" TargetMode="External"/><Relationship Id="rId107" Type="http://schemas.openxmlformats.org/officeDocument/2006/relationships/hyperlink" Target="https://elliott.gwu.edu/james-foster" TargetMode="External"/><Relationship Id="rId108" Type="http://schemas.openxmlformats.org/officeDocument/2006/relationships/hyperlink" Target="https://hdr.undp.org/about/human-development" TargetMode="External"/><Relationship Id="rId109" Type="http://schemas.openxmlformats.org/officeDocument/2006/relationships/hyperlink" Target="https://plato.stanford.edu/entries/capability-approach/" TargetMode="External"/><Relationship Id="rId110" Type="http://schemas.openxmlformats.org/officeDocument/2006/relationships/hyperlink" Target="https://plato.stanford.edu/entries/capability-approach/" TargetMode="External"/><Relationship Id="rId111" Type="http://schemas.openxmlformats.org/officeDocument/2006/relationships/hyperlink" Target="https://ophi.org.uk/md-poverty-and-AF-method" TargetMode="External"/><Relationship Id="rId112" Type="http://schemas.openxmlformats.org/officeDocument/2006/relationships/hyperlink" Target="https://plato.stanford.edu/entries/ethics-environmental/" TargetMode="External"/><Relationship Id="rId113" Type="http://schemas.openxmlformats.org/officeDocument/2006/relationships/hyperlink" Target="https://www.fws.gov/staff-profile/aldo-leopold-1887-1948-ethical-ecologist" TargetMode="External"/><Relationship Id="rId114" Type="http://schemas.openxmlformats.org/officeDocument/2006/relationships/hyperlink" Target="https://openairphilosophy.org/arne-naess/" TargetMode="External"/><Relationship Id="rId115" Type="http://schemas.openxmlformats.org/officeDocument/2006/relationships/hyperlink" Target="https://oac.cdlib.org/findaid/ark:/13030/c8fx7jdh" TargetMode="External"/><Relationship Id="rId116" Type="http://schemas.openxmlformats.org/officeDocument/2006/relationships/hyperlink" Target="https://libarts.source.colostate.edu/remembering-the-father-of-environmental-ethics-holmes-rolston-iii/" TargetMode="External"/><Relationship Id="rId117" Type="http://schemas.openxmlformats.org/officeDocument/2006/relationships/hyperlink" Target="https://www.aldoleopold.org/current-board-members/j-baird-callicott" TargetMode="External"/><Relationship Id="rId118" Type="http://schemas.openxmlformats.org/officeDocument/2006/relationships/hyperlink" Target="https://www.plumwood.org/val-plumwood" TargetMode="External"/><Relationship Id="rId119" Type="http://schemas.openxmlformats.org/officeDocument/2006/relationships/hyperlink" Target="https://social-ecology.org/wp/author/murray-bookchin/" TargetMode="External"/><Relationship Id="rId120" Type="http://schemas.openxmlformats.org/officeDocument/2006/relationships/hyperlink" Target="https://workthatreconnects.org/resources/the-eight-principles-of-the-deep-ecology-platform/" TargetMode="External"/><Relationship Id="rId121" Type="http://schemas.openxmlformats.org/officeDocument/2006/relationships/hyperlink" Target="https://plato.stanford.edu/entries/ethics-deontological/" TargetMode="External"/><Relationship Id="rId122" Type="http://schemas.openxmlformats.org/officeDocument/2006/relationships/hyperlink" Target="https://plato.stanford.edu/entries/kant/" TargetMode="External"/><Relationship Id="rId123" Type="http://schemas.openxmlformats.org/officeDocument/2006/relationships/hyperlink" Target="https://www.oriel.ox.ac.uk/our-history/historical-figures-and-alumni/" TargetMode="External"/><Relationship Id="rId124" Type="http://schemas.openxmlformats.org/officeDocument/2006/relationships/hyperlink" Target="https://plato.stanford.edu/entries/william-david-ross/" TargetMode="External"/><Relationship Id="rId125" Type="http://schemas.openxmlformats.org/officeDocument/2006/relationships/hyperlink" Target="https://www.phil.cam.ac.uk/aboutus/women-philosophers" TargetMode="External"/><Relationship Id="rId126" Type="http://schemas.openxmlformats.org/officeDocument/2006/relationships/hyperlink" Target="https://newn.cam.ac.uk/person/onora-oneill" TargetMode="External"/><Relationship Id="rId127" Type="http://schemas.openxmlformats.org/officeDocument/2006/relationships/hyperlink" Target="https://plato.stanford.edu/entries/kant-moral/" TargetMode="External"/><Relationship Id="rId128" Type="http://schemas.openxmlformats.org/officeDocument/2006/relationships/hyperlink" Target="https://plato.stanford.edu/entries/william-david-ross/" TargetMode="External"/><Relationship Id="rId129" Type="http://schemas.openxmlformats.org/officeDocument/2006/relationships/hyperlink" Target="https://plato.stanford.edu/entries/ethics-deontological/" TargetMode="External"/><Relationship Id="rId130" Type="http://schemas.openxmlformats.org/officeDocument/2006/relationships/hyperlink" Target="https://plato.stanford.edu/entries/ethics-virtue/" TargetMode="External"/><Relationship Id="rId131" Type="http://schemas.openxmlformats.org/officeDocument/2006/relationships/hyperlink" Target="https://plato.stanford.edu/entries/aristotle/" TargetMode="External"/><Relationship Id="rId132" Type="http://schemas.openxmlformats.org/officeDocument/2006/relationships/hyperlink" Target="https://plato.stanford.edu/entries/aristotle-psychology/" TargetMode="External"/><Relationship Id="rId133" Type="http://schemas.openxmlformats.org/officeDocument/2006/relationships/hyperlink" Target="https://www.phil.cam.ac.uk/aboutus/women-philosophers" TargetMode="External"/><Relationship Id="rId134" Type="http://schemas.openxmlformats.org/officeDocument/2006/relationships/hyperlink" Target="https://plato.stanford.edu/entries/anscombe/" TargetMode="External"/><Relationship Id="rId135" Type="http://schemas.openxmlformats.org/officeDocument/2006/relationships/hyperlink" Target="https://library.some.ox.ac.uk/2026/01/16/philippa-foot-collection/" TargetMode="External"/><Relationship Id="rId136" Type="http://schemas.openxmlformats.org/officeDocument/2006/relationships/hyperlink" Target="https://plato.stanford.edu/entries/philippa-foot/" TargetMode="External"/><Relationship Id="rId137" Type="http://schemas.openxmlformats.org/officeDocument/2006/relationships/hyperlink" Target="https://ethicscenter.nd.edu/news/de-nicola-center-mourns-the-passing-of-alasdair-macintyre-19292025/" TargetMode="External"/><Relationship Id="rId138" Type="http://schemas.openxmlformats.org/officeDocument/2006/relationships/hyperlink" Target="https://plato.stanford.edu/entries/moral-character-empirical/" TargetMode="External"/><Relationship Id="rId139" Type="http://schemas.openxmlformats.org/officeDocument/2006/relationships/hyperlink" Target="https://plato.stanford.edu/entries/locke-political/" TargetMode="External"/><Relationship Id="rId140" Type="http://schemas.openxmlformats.org/officeDocument/2006/relationships/hyperlink" Target="https://www.chch.ox.ac.uk/events/love-truth-truths-sake-john-locke-and-christ-church" TargetMode="External"/><Relationship Id="rId141" Type="http://schemas.openxmlformats.org/officeDocument/2006/relationships/hyperlink" Target="https://www.ccl.yale.edu/the-history-of-business-law-at-yale-archives/hohfeld-wesley-n-early-years" TargetMode="External"/><Relationship Id="rId142" Type="http://schemas.openxmlformats.org/officeDocument/2006/relationships/hyperlink" Target="https://www.law.nyu.edu/news/RONALD_DWORKIN_MEMORIAM" TargetMode="External"/><Relationship Id="rId143" Type="http://schemas.openxmlformats.org/officeDocument/2006/relationships/hyperlink" Target="https://plato.stanford.edu/entries/rights/" TargetMode="External"/><Relationship Id="rId144" Type="http://schemas.openxmlformats.org/officeDocument/2006/relationships/hyperlink" Target="https://plato.stanford.edu/entries/nozick-political/" TargetMode="External"/><Relationship Id="rId145" Type="http://schemas.openxmlformats.org/officeDocument/2006/relationships/hyperlink" Target="https://plato.stanford.edu/entries/rights/" TargetMode="External"/><Relationship Id="rId146" Type="http://schemas.openxmlformats.org/officeDocument/2006/relationships/hyperlink" Target="https://iep.utm.edu/care-ethics/" TargetMode="External"/><Relationship Id="rId147" Type="http://schemas.openxmlformats.org/officeDocument/2006/relationships/hyperlink" Target="https://www.law.nyu.edu/news/carol-gilligan-honored-groundbreaking-achievement-interdisciplinary-feminist-thought" TargetMode="External"/><Relationship Id="rId148" Type="http://schemas.openxmlformats.org/officeDocument/2006/relationships/hyperlink" Target="https://ed.stanford.edu/news/nel-noddings-feminist-philosopher-and-stanford-education-scholar-dies-93" TargetMode="External"/><Relationship Id="rId149" Type="http://schemas.openxmlformats.org/officeDocument/2006/relationships/hyperlink" Target="https://www.hunter.cuny.edu/news/virginia-held-pioneering-philosopher-and-longtime-hunter-college-professor-96/" TargetMode="External"/><Relationship Id="rId150" Type="http://schemas.openxmlformats.org/officeDocument/2006/relationships/hyperlink" Target="https://cla.umn.edu/polisci/news-events/news/professor-emerita-joan-tronto-receives-benjamin-e-lippincott-award-apsa" TargetMode="External"/><Relationship Id="rId151" Type="http://schemas.openxmlformats.org/officeDocument/2006/relationships/hyperlink" Target="https://plato.stanford.edu/entries/stoicism/" TargetMode="External"/><Relationship Id="rId152" Type="http://schemas.openxmlformats.org/officeDocument/2006/relationships/hyperlink" Target="https://iep.utm.edu/stoicism/" TargetMode="External"/><Relationship Id="rId153" Type="http://schemas.openxmlformats.org/officeDocument/2006/relationships/hyperlink" Target="https://plato.stanford.edu/archives/spr2016/entries/stoicism/" TargetMode="External"/><Relationship Id="rId154" Type="http://schemas.openxmlformats.org/officeDocument/2006/relationships/hyperlink" Target="https://plato.stanford.edu/entries/epictetus/" TargetMode="External"/><Relationship Id="rId155" Type="http://schemas.openxmlformats.org/officeDocument/2006/relationships/hyperlink" Target="https://plato.stanford.edu/entries/marcus-aurelius/" TargetMode="External"/><Relationship Id="rId156" Type="http://schemas.openxmlformats.org/officeDocument/2006/relationships/hyperlink" Target="https://plato.stanford.edu/entries/stoicism/" TargetMode="External"/><Relationship Id="rId157" Type="http://schemas.openxmlformats.org/officeDocument/2006/relationships/hyperlink" Target="https://filosofia.dickinson.edu/encyclopedia/cosmism/" TargetMode="External"/><Relationship Id="rId158" Type="http://schemas.openxmlformats.org/officeDocument/2006/relationships/hyperlink" Target="https://iep.utm.edu/fedorov/" TargetMode="External"/><Relationship Id="rId159" Type="http://schemas.openxmlformats.org/officeDocument/2006/relationships/hyperlink" Target="https://www.esa.int/Science_Exploration/Human_and_Robotic_Exploration/Exploration/Konstantin_Tsiolkovsky" TargetMode="External"/><Relationship Id="rId160" Type="http://schemas.openxmlformats.org/officeDocument/2006/relationships/hyperlink" Target="https://nmspacemuseum.org/inductee/konstantin-e-tsiolkovsky/" TargetMode="External"/><Relationship Id="rId161" Type="http://schemas.openxmlformats.org/officeDocument/2006/relationships/hyperlink" Target="https://www.sciencedirect.com/science/article/abs/pii/S0375674214000843" TargetMode="External"/><Relationship Id="rId162" Type="http://schemas.openxmlformats.org/officeDocument/2006/relationships/hyperlink" Target="https://chizhevsky.gmik.ru/en/meet-a-l-chizhevsky/" TargetMode="External"/><Relationship Id="rId163" Type="http://schemas.openxmlformats.org/officeDocument/2006/relationships/hyperlink" Target="https://plato.stanford.edu/entries/pragmatism/" TargetMode="External"/><Relationship Id="rId164" Type="http://schemas.openxmlformats.org/officeDocument/2006/relationships/hyperlink" Target="https://iep.utm.edu/peirce-charles-sanders/" TargetMode="External"/><Relationship Id="rId165" Type="http://schemas.openxmlformats.org/officeDocument/2006/relationships/hyperlink" Target="https://plato.stanford.edu/entries/peirce/" TargetMode="External"/><Relationship Id="rId166" Type="http://schemas.openxmlformats.org/officeDocument/2006/relationships/hyperlink" Target="https://psychology.fas.harvard.edu/people/william-james" TargetMode="External"/><Relationship Id="rId167" Type="http://schemas.openxmlformats.org/officeDocument/2006/relationships/hyperlink" Target="https://iep.utm.edu/james-o/" TargetMode="External"/><Relationship Id="rId168" Type="http://schemas.openxmlformats.org/officeDocument/2006/relationships/hyperlink" Target="https://plato.stanford.edu/entries/dewey-moral/" TargetMode="External"/><Relationship Id="rId169" Type="http://schemas.openxmlformats.org/officeDocument/2006/relationships/hyperlink" Target="https://c250.columbia.edu/c250_celebrates/remarkable_columbians/john_dewey.html" TargetMode="External"/><Relationship Id="rId170" Type="http://schemas.openxmlformats.org/officeDocument/2006/relationships/hyperlink" Target="https://plato.stanford.edu/entries/addams-jane/" TargetMode="External"/><Relationship Id="rId171" Type="http://schemas.openxmlformats.org/officeDocument/2006/relationships/hyperlink" Target="https://plato.stanford.edu/entries/mead/" TargetMode="External"/><Relationship Id="rId172" Type="http://schemas.openxmlformats.org/officeDocument/2006/relationships/hyperlink" Target="https://plato.stanford.edu/entries/truth-pragmatic/" TargetMode="External"/><Relationship Id="rId173" Type="http://schemas.openxmlformats.org/officeDocument/2006/relationships/hyperlink" Target="https://plato.stanford.edu/entries/contractarianism-contemporary/" TargetMode="External"/><Relationship Id="rId174" Type="http://schemas.openxmlformats.org/officeDocument/2006/relationships/hyperlink" Target="https://plato.stanford.edu/entries/hobbes-moral/" TargetMode="External"/><Relationship Id="rId175" Type="http://schemas.openxmlformats.org/officeDocument/2006/relationships/hyperlink" Target="https://plato.stanford.edu/entries/locke-political/" TargetMode="External"/><Relationship Id="rId176" Type="http://schemas.openxmlformats.org/officeDocument/2006/relationships/hyperlink" Target="https://plato.stanford.edu/entries/rousseau/" TargetMode="External"/><Relationship Id="rId177" Type="http://schemas.openxmlformats.org/officeDocument/2006/relationships/hyperlink" Target="https://officeofthesecretary.fas.harvard.edu/sites/g/files/omnuum2291/files/2024-11/Rawls%20Memorial%20Minute.pdf" TargetMode="External"/><Relationship Id="rId178" Type="http://schemas.openxmlformats.org/officeDocument/2006/relationships/hyperlink" Target="https://plato.stanford.edu/entries/rawls/" TargetMode="External"/><Relationship Id="rId179" Type="http://schemas.openxmlformats.org/officeDocument/2006/relationships/hyperlink" Target="https://www.philosophy.pitt.edu/david-gauthier-memoriam" TargetMode="External"/><Relationship Id="rId180" Type="http://schemas.openxmlformats.org/officeDocument/2006/relationships/hyperlink" Target="https://philosophy.fas.harvard.edu/people/thomas-m-scanlon" TargetMode="External"/><Relationship Id="rId181" Type="http://schemas.openxmlformats.org/officeDocument/2006/relationships/hyperlink" Target="https://plato.stanford.edu/entries/contractualism/" TargetMode="External"/><Relationship Id="rId182" Type="http://schemas.openxmlformats.org/officeDocument/2006/relationships/hyperlink" Target="https://plato.stanford.edu/entries/natural-law-ethics/" TargetMode="External"/><Relationship Id="rId183" Type="http://schemas.openxmlformats.org/officeDocument/2006/relationships/hyperlink" Target="https://plato.stanford.edu/entries/cicero/" TargetMode="External"/><Relationship Id="rId184" Type="http://schemas.openxmlformats.org/officeDocument/2006/relationships/hyperlink" Target="https://plato.stanford.edu/entries/aquinas/" TargetMode="External"/><Relationship Id="rId185" Type="http://schemas.openxmlformats.org/officeDocument/2006/relationships/hyperlink" Target="https://plato.stanford.edu/entries/aquinas-moral-political/" TargetMode="External"/><Relationship Id="rId186" Type="http://schemas.openxmlformats.org/officeDocument/2006/relationships/hyperlink" Target="https://plato.stanford.edu/entries/grotius/" TargetMode="External"/><Relationship Id="rId187" Type="http://schemas.openxmlformats.org/officeDocument/2006/relationships/hyperlink" Target="https://law.nd.edu/directory/john-finnis/" TargetMode="External"/><Relationship Id="rId188" Type="http://schemas.openxmlformats.org/officeDocument/2006/relationships/hyperlink" Target="https://plato.stanford.edu/entries/natural-law-theories/" TargetMode="External"/><Relationship Id="rId189" Type="http://schemas.openxmlformats.org/officeDocument/2006/relationships/hyperlink" Target="https://plato.stanford.edu/entries/natural-law-ethics/" TargetMode="External"/><Relationship Id="rId190" Type="http://schemas.openxmlformats.org/officeDocument/2006/relationships/hyperlink" Target="https://plato.stanford.edu/entries/natural-law-theories/" TargetMode="External"/><Relationship Id="rId191" Type="http://schemas.openxmlformats.org/officeDocument/2006/relationships/hyperlink" Target="https://plato.stanford.edu/entries/ethics-chinese/" TargetMode="External"/><Relationship Id="rId192" Type="http://schemas.openxmlformats.org/officeDocument/2006/relationships/hyperlink" Target="https://plato.stanford.edu/entries/confucius/" TargetMode="External"/><Relationship Id="rId193" Type="http://schemas.openxmlformats.org/officeDocument/2006/relationships/hyperlink" Target="https://plato.stanford.edu/entries/mencius/" TargetMode="External"/><Relationship Id="rId194" Type="http://schemas.openxmlformats.org/officeDocument/2006/relationships/hyperlink" Target="https://iep.utm.edu/xunzi/" TargetMode="External"/><Relationship Id="rId195" Type="http://schemas.openxmlformats.org/officeDocument/2006/relationships/hyperlink" Target="https://plato.stanford.edu/archives/sum2026/entries/song-ming-confucianism/" TargetMode="External"/><Relationship Id="rId196" Type="http://schemas.openxmlformats.org/officeDocument/2006/relationships/hyperlink" Target="https://plato.stanford.edu/entries/ethics-chinese/" TargetMode="External"/><Relationship Id="rId197" Type="http://schemas.openxmlformats.org/officeDocument/2006/relationships/hyperlink" Target="https://senate.universityofcalifornia.edu/_files/inmemoriam/html/cwestchurchman.htm" TargetMode="External"/><Relationship Id="rId198" Type="http://schemas.openxmlformats.org/officeDocument/2006/relationships/hyperlink" Target="https://senate.universityofcalifornia.edu/_files/inmemoriam/html/cwestchurchman.htm" TargetMode="External"/><Relationship Id="rId199" Type="http://schemas.openxmlformats.org/officeDocument/2006/relationships/hyperlink" Target="https://www.informs.org/Explore/History-of-O.R.-Excellence/Biographical-Profiles/Churchman-C.-West" TargetMode="External"/><Relationship Id="rId200" Type="http://schemas.openxmlformats.org/officeDocument/2006/relationships/hyperlink" Target="https://www.informs.org/Explore/History-of-O.R.-Excellence/Biographical-Profiles/Ackoff-Russell-L" TargetMode="External"/><Relationship Id="rId201" Type="http://schemas.openxmlformats.org/officeDocument/2006/relationships/hyperlink" Target="https://portal.lancaster.ac.uk/portal/condolences/peter-checkland" TargetMode="External"/><Relationship Id="rId202" Type="http://schemas.openxmlformats.org/officeDocument/2006/relationships/hyperlink" Target="https://www.theguardian.com/business/2026/jul/03/peter-checkland-obituary" TargetMode="External"/><Relationship Id="rId203" Type="http://schemas.openxmlformats.org/officeDocument/2006/relationships/hyperlink" Target="https://link.springer.com/article/10.1007/s11482-017-9514-y" TargetMode="External"/><Relationship Id="rId204" Type="http://schemas.openxmlformats.org/officeDocument/2006/relationships/hyperlink" Target="https://wulrich.com/bio.html" TargetMode="External"/><Relationship Id="rId205" Type="http://schemas.openxmlformats.org/officeDocument/2006/relationships/hyperlink" Target="https://wulrich.com/csh.html" TargetMode="External"/><Relationship Id="rId206" Type="http://schemas.openxmlformats.org/officeDocument/2006/relationships/hyperlink" Target="https://ciencias.uchile.cl/noticias/175409/legado-del-dr-humberto-maturana-romecin-1928-2021" TargetMode="External"/><Relationship Id="rId207" Type="http://schemas.openxmlformats.org/officeDocument/2006/relationships/hyperlink" Target="https://pubmed.ncbi.nlm.nih.gov/12795203/" TargetMode="External"/><Relationship Id="rId208" Type="http://schemas.openxmlformats.org/officeDocument/2006/relationships/hyperlink" Target="https://plato.stanford.edu/entries/capability-approach/" TargetMode="External"/><Relationship Id="rId209" Type="http://schemas.openxmlformats.org/officeDocument/2006/relationships/hyperlink" Target="https://hd-ca.org/about/what-are-hd-and-the-ca" TargetMode="External"/><Relationship Id="rId210" Type="http://schemas.openxmlformats.org/officeDocument/2006/relationships/hyperlink" Target="https://sen.scholars.harvard.edu/biocv" TargetMode="External"/><Relationship Id="rId211" Type="http://schemas.openxmlformats.org/officeDocument/2006/relationships/hyperlink" Target="https://philosophy.uchicago.edu/faculty/nussbaum" TargetMode="External"/><Relationship Id="rId212" Type="http://schemas.openxmlformats.org/officeDocument/2006/relationships/hyperlink" Target="https://www.uu.nl/staff/IAMRobeyns" TargetMode="External"/><Relationship Id="rId213" Type="http://schemas.openxmlformats.org/officeDocument/2006/relationships/hyperlink" Target="https://ophi.org.uk/people/professor-sabina-alkire" TargetMode="External"/><Relationship Id="rId214" Type="http://schemas.openxmlformats.org/officeDocument/2006/relationships/hyperlink" Target="https://elliott.gwu.edu/james-foster" TargetMode="External"/><Relationship Id="rId215" Type="http://schemas.openxmlformats.org/officeDocument/2006/relationships/hyperlink" Target="https://hdr.undp.org/about/human-development" TargetMode="External"/><Relationship Id="rId216" Type="http://schemas.openxmlformats.org/officeDocument/2006/relationships/hyperlink" Target="https://plato.stanford.edu/entries/capability-approach/" TargetMode="External"/><Relationship Id="rId217" Type="http://schemas.openxmlformats.org/officeDocument/2006/relationships/hyperlink" Target="https://plato.stanford.edu/entries/capability-approach/" TargetMode="External"/><Relationship Id="rId218" Type="http://schemas.openxmlformats.org/officeDocument/2006/relationships/hyperlink" Target="https://ophi.org.uk/md-poverty-and-AF-method" TargetMode="External"/><Relationship Id="rId219" Type="http://schemas.openxmlformats.org/officeDocument/2006/relationships/hyperlink" Target="https://plato.stanford.edu/entries/ethics-environmental/" TargetMode="External"/><Relationship Id="rId220" Type="http://schemas.openxmlformats.org/officeDocument/2006/relationships/hyperlink" Target="https://www.fws.gov/staff-profile/aldo-leopold-1887-1948-ethical-ecologist" TargetMode="External"/><Relationship Id="rId221" Type="http://schemas.openxmlformats.org/officeDocument/2006/relationships/hyperlink" Target="https://openairphilosophy.org/arne-naess/" TargetMode="External"/><Relationship Id="rId222" Type="http://schemas.openxmlformats.org/officeDocument/2006/relationships/hyperlink" Target="https://oac.cdlib.org/findaid/ark:/13030/c8fx7jdh" TargetMode="External"/><Relationship Id="rId223" Type="http://schemas.openxmlformats.org/officeDocument/2006/relationships/hyperlink" Target="https://libarts.source.colostate.edu/remembering-the-father-of-environmental-ethics-holmes-rolston-iii/" TargetMode="External"/><Relationship Id="rId224" Type="http://schemas.openxmlformats.org/officeDocument/2006/relationships/hyperlink" Target="https://www.aldoleopold.org/current-board-members/j-baird-callicott" TargetMode="External"/><Relationship Id="rId225" Type="http://schemas.openxmlformats.org/officeDocument/2006/relationships/hyperlink" Target="https://www.plumwood.org/val-plumwood" TargetMode="External"/><Relationship Id="rId226" Type="http://schemas.openxmlformats.org/officeDocument/2006/relationships/hyperlink" Target="https://social-ecology.org/wp/author/murray-bookchin/" TargetMode="External"/><Relationship Id="rId227" Type="http://schemas.openxmlformats.org/officeDocument/2006/relationships/hyperlink" Target="https://workthatreconnects.org/resources/the-eight-principles-of-the-deep-ecology-platform/" TargetMode="External"/><Relationship Id="rId228" Type="http://schemas.openxmlformats.org/officeDocument/2006/relationships/hyperlink" Target="https://plato.stanford.edu/entries/consequentialism/" TargetMode="External"/><Relationship Id="rId229" Type="http://schemas.openxmlformats.org/officeDocument/2006/relationships/hyperlink" Target="https://plato.stanford.edu/entries/consequentialism-rule/" TargetMode="External"/><Relationship Id="rId230" Type="http://schemas.openxmlformats.org/officeDocument/2006/relationships/hyperlink" Target="https://plato.stanford.edu/entries/social-choice/" TargetMode="External"/><Relationship Id="rId231" Type="http://schemas.openxmlformats.org/officeDocument/2006/relationships/hyperlink" Target="https://plato.stanford.edu/entries/moral-decision-uncertainty/" TargetMode="External"/><Relationship Id="rId232" Type="http://schemas.openxmlformats.org/officeDocument/2006/relationships/hyperlink" Target="https://plato.stanford.edu/entries/nonidentity-problem/" TargetMode="External"/><Relationship Id="rId233" Type="http://schemas.openxmlformats.org/officeDocument/2006/relationships/hyperlink" Target="https://plato.stanford.edu/entries/kant-moral/" TargetMode="External"/><Relationship Id="rId234" Type="http://schemas.openxmlformats.org/officeDocument/2006/relationships/hyperlink" Target="https://plato.stanford.edu/entries/persons-means/" TargetMode="External"/><Relationship Id="rId235" Type="http://schemas.openxmlformats.org/officeDocument/2006/relationships/hyperlink" Target="https://plato.stanford.edu/entries/william-david-ross/" TargetMode="External"/><Relationship Id="rId236" Type="http://schemas.openxmlformats.org/officeDocument/2006/relationships/hyperlink" Target="https://plato.stanford.edu/entries/double-effect/" TargetMode="External"/><Relationship Id="rId237" Type="http://schemas.openxmlformats.org/officeDocument/2006/relationships/hyperlink" Target="https://plato.stanford.edu/entries/ethics-deontological/" TargetMode="External"/><Relationship Id="rId238" Type="http://schemas.openxmlformats.org/officeDocument/2006/relationships/hyperlink" Target="https://plato.stanford.edu/entries/ethics-virtue/" TargetMode="External"/><Relationship Id="rId239" Type="http://schemas.openxmlformats.org/officeDocument/2006/relationships/hyperlink" Target="https://plato.stanford.edu/entries/aristotle-ethics/" TargetMode="External"/><Relationship Id="rId240" Type="http://schemas.openxmlformats.org/officeDocument/2006/relationships/hyperlink" Target="https://plato.stanford.edu/archives/fall2025/entries/education-philosophy/" TargetMode="External"/><Relationship Id="rId241" Type="http://schemas.openxmlformats.org/officeDocument/2006/relationships/hyperlink" Target="https://plato.stanford.edu/entries/moral-character-empirical/" TargetMode="External"/><Relationship Id="rId242" Type="http://schemas.openxmlformats.org/officeDocument/2006/relationships/hyperlink" Target="https://plato.stanford.edu/entries/ethics-chinese/" TargetMode="External"/><Relationship Id="rId243" Type="http://schemas.openxmlformats.org/officeDocument/2006/relationships/hyperlink" Target="https://iep.utm.edu/confucius/" TargetMode="External"/><Relationship Id="rId244" Type="http://schemas.openxmlformats.org/officeDocument/2006/relationships/hyperlink" Target="https://plato.stanford.edu/archives/fall2014/entries/wang-yangming/" TargetMode="External"/><Relationship Id="rId245" Type="http://schemas.openxmlformats.org/officeDocument/2006/relationships/hyperlink" Target="https://iep.utm.edu/xunzi/" TargetMode="External"/><Relationship Id="rId246" Type="http://schemas.openxmlformats.org/officeDocument/2006/relationships/hyperlink" Target="https://senate.universityofcalifornia.edu/_files/inmemoriam/html/cwestchurchman.htm" TargetMode="External"/><Relationship Id="rId247" Type="http://schemas.openxmlformats.org/officeDocument/2006/relationships/hyperlink" Target="https://wulrich.com/csh.html" TargetMode="External"/><Relationship Id="rId248" Type="http://schemas.openxmlformats.org/officeDocument/2006/relationships/hyperlink" Target="https://plato.stanford.edu/entries/capability-approach/" TargetMode="External"/><Relationship Id="rId249" Type="http://schemas.openxmlformats.org/officeDocument/2006/relationships/hyperlink" Target="https://iep.utm.edu/sen-cap/" TargetMode="External"/><Relationship Id="rId250" Type="http://schemas.openxmlformats.org/officeDocument/2006/relationships/hyperlink" Target="https://plato.stanford.edu/entries/ethics-environmental/" TargetMode="External"/><Relationship Id="rId251" Type="http://schemas.openxmlformats.org/officeDocument/2006/relationships/hyperlink" Target="https://workthatreconnects.org/resources/the-eight-principles-of-the-deep-ecology-platform/" TargetMode="External"/><Relationship Id="rId252" Type="http://schemas.openxmlformats.org/officeDocument/2006/relationships/numbering" Target="numbering.xml"/><Relationship Id="rId253" Type="http://schemas.openxmlformats.org/officeDocument/2006/relationships/fontTable" Target="fontTable.xml"/><Relationship Id="rId254" Type="http://schemas.openxmlformats.org/officeDocument/2006/relationships/settings" Target="settings.xml"/><Relationship Id="rId25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342</TotalTime>
  <Application>LibreOffice/26.2.4.2$Linux_X86_64 LibreOffice_project/620$Build-2</Application>
  <AppVersion>15.0000</AppVersion>
  <Pages>1041</Pages>
  <Words>249942</Words>
  <Characters>1682066</Characters>
  <CharactersWithSpaces>1911507</CharactersWithSpaces>
  <Paragraphs>16675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Joseph Urban</cp:lastModifiedBy>
  <dcterms:modified xsi:type="dcterms:W3CDTF">2026-07-16T13:40:15Z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