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Objective-Based Systems Ethics - Current State Summary</w:t>
      </w:r>
    </w:p>
    <w:p>
      <w:pPr>
        <w:pStyle w:val="Heading2"/>
        <w:rPr/>
      </w:pPr>
      <w:r>
        <w:rPr/>
        <w:t>1. Vision</w:t>
      </w:r>
    </w:p>
    <w:p>
      <w:pPr>
        <w:pStyle w:val="Normal"/>
        <w:rPr/>
      </w:pPr>
      <w:r>
        <w:rPr>
          <w:b/>
        </w:rPr>
        <w:t>Purpose</w:t>
        <w:br/>
      </w:r>
      <w:r>
        <w:rPr/>
        <w:t>Objective-Based Systems Ethics is being developed as an implementation-neutral computational architecture for moral reasoning. Rather than deriving moral judgments from ideology, tradition, or implicit assumptions, the framework seeks to evaluate actions using an explicit reference architecture, clearly defined concepts, and a repeatable assessment methodology. The objective is to make moral reasoning understandable, inspectable, computationally representable, and extensible.</w:t>
      </w:r>
    </w:p>
    <w:p>
      <w:pPr>
        <w:pStyle w:val="Normal"/>
        <w:rPr/>
      </w:pPr>
      <w:r>
        <w:rPr>
          <w:b/>
        </w:rPr>
        <w:t>Central Thesis</w:t>
        <w:br/>
      </w:r>
      <w:r>
        <w:rPr/>
        <w:t>A moral assessment evaluates how a proposed action transforms the World Context over time. The framework assesses not only immediate outcomes but also changes to relationships, institutions, future opportunities, and the decision policies of moral agents who participate in or observe the action. This provides an architectural explanation for why the means used to achieve an outcome are themselves morally significant.</w:t>
      </w:r>
    </w:p>
    <w:p>
      <w:pPr>
        <w:pStyle w:val="Normal"/>
        <w:rPr/>
      </w:pPr>
      <w:r>
        <w:rPr>
          <w:b/>
        </w:rPr>
        <w:t>Primary Objective</w:t>
        <w:br/>
      </w:r>
      <w:r>
        <w:rPr/>
        <w:t>The current direction of the framework is to preserve and expand the long-term flourishing of relevant flourishing entities. Long-Term Flourishing is treated as an emergent systems property represented by a multidimensional state vector rather than a scalar. Aggregate changes in flourishing inform the assessment, but the principal object of evaluation is the transition from one World Context to the next.</w:t>
      </w:r>
    </w:p>
    <w:p>
      <w:pPr>
        <w:pStyle w:val="Normal"/>
        <w:rPr/>
      </w:pPr>
      <w:r>
        <w:rPr>
          <w:b/>
        </w:rPr>
        <w:t>Intended Scope</w:t>
        <w:br/>
      </w:r>
      <w:r>
        <w:rPr/>
        <w:t>The architecture is intended to stand independently as an ethical engine while supporting many possible implementations, including decision-support systems, autonomous robotics, governance, judicial analysis, healthcare, and large language model alignment. No implementation technology is assumed by the architecture.</w:t>
      </w:r>
    </w:p>
    <w:p>
      <w:pPr>
        <w:pStyle w:val="Normal"/>
        <w:rPr/>
      </w:pPr>
      <w:r>
        <w:rPr>
          <w:b/>
        </w:rPr>
        <w:t>Current State</w:t>
        <w:br/>
      </w:r>
      <w:r>
        <w:rPr/>
        <w:t>The project has evolved from a graph-based ontology into a broader systems architecture. Major concepts—including the Foundational Axiom, Reference Architecture, Context Stack, Long-Term Flourishing, Distributed Policy Updates, stochastic assessment, implementation neutrality, and the separation of architecture from implementation—are considered relatively mature. Remaining work is focused on refining definitions, completing the mathematical methodology, and validating the framework against existing ethical systems.</w:t>
      </w:r>
    </w:p>
    <w:p>
      <w:pPr>
        <w:pStyle w:val="Heading2"/>
        <w:rPr/>
      </w:pPr>
      <w:r>
        <w:rPr/>
        <w:t>2. Design Principles</w:t>
      </w:r>
    </w:p>
    <w:p>
      <w:pPr>
        <w:pStyle w:val="Heading3"/>
        <w:rPr/>
      </w:pPr>
      <w:r>
        <w:rPr/>
        <w:t>Architectural Principles</w:t>
      </w:r>
    </w:p>
    <w:p>
      <w:pPr>
        <w:pStyle w:val="ListBullet"/>
        <w:numPr>
          <w:ilvl w:val="0"/>
          <w:numId w:val="1"/>
        </w:numPr>
        <w:rPr/>
      </w:pPr>
      <w:r>
        <w:rPr>
          <w:b/>
        </w:rPr>
        <w:t xml:space="preserve">Objective Moral Assessment: </w:t>
      </w:r>
      <w:r>
        <w:rPr/>
        <w:t>The framework seeks to ground moral assessments in explicit architectural concepts rather than hidden assumptions, ideology, or tradition.</w:t>
      </w:r>
    </w:p>
    <w:p>
      <w:pPr>
        <w:pStyle w:val="ListBullet"/>
        <w:numPr>
          <w:ilvl w:val="0"/>
          <w:numId w:val="1"/>
        </w:numPr>
        <w:rPr/>
      </w:pPr>
      <w:r>
        <w:rPr>
          <w:b/>
        </w:rPr>
        <w:t xml:space="preserve">Reference Architecture First: </w:t>
      </w:r>
      <w:r>
        <w:rPr/>
        <w:t>The architecture defines what exists and how components interact. It intentionally contains no equations.</w:t>
      </w:r>
    </w:p>
    <w:p>
      <w:pPr>
        <w:pStyle w:val="ListBullet"/>
        <w:numPr>
          <w:ilvl w:val="0"/>
          <w:numId w:val="1"/>
        </w:numPr>
        <w:rPr/>
      </w:pPr>
      <w:r>
        <w:rPr>
          <w:b/>
        </w:rPr>
        <w:t xml:space="preserve">Architecture / Implementation Separation: </w:t>
      </w:r>
      <w:r>
        <w:rPr/>
        <w:t>The architecture is implementation-neutral. Mathematical methods and software realizations are defined separately.</w:t>
      </w:r>
    </w:p>
    <w:p>
      <w:pPr>
        <w:pStyle w:val="ListBullet"/>
        <w:numPr>
          <w:ilvl w:val="0"/>
          <w:numId w:val="1"/>
        </w:numPr>
        <w:rPr/>
      </w:pPr>
      <w:r>
        <w:rPr>
          <w:b/>
        </w:rPr>
        <w:t xml:space="preserve">Computational Representability: </w:t>
      </w:r>
      <w:r>
        <w:rPr/>
        <w:t>Every architectural concept should be representable in software without constraining future computational techniques.</w:t>
      </w:r>
    </w:p>
    <w:p>
      <w:pPr>
        <w:pStyle w:val="ListBullet"/>
        <w:numPr>
          <w:ilvl w:val="0"/>
          <w:numId w:val="1"/>
        </w:numPr>
        <w:rPr/>
      </w:pPr>
      <w:r>
        <w:rPr>
          <w:b/>
        </w:rPr>
        <w:t xml:space="preserve">Extensibility: </w:t>
      </w:r>
      <w:r>
        <w:rPr/>
        <w:t>New ontological concepts, assessment methods, domains, and implementations should be incorporated without redesigning the architecture.</w:t>
      </w:r>
    </w:p>
    <w:p>
      <w:pPr>
        <w:pStyle w:val="ListBullet"/>
        <w:numPr>
          <w:ilvl w:val="0"/>
          <w:numId w:val="1"/>
        </w:numPr>
        <w:rPr/>
      </w:pPr>
      <w:r>
        <w:rPr>
          <w:b/>
        </w:rPr>
        <w:t xml:space="preserve">Context Dependence: </w:t>
      </w:r>
      <w:r>
        <w:rPr/>
        <w:t>Actions are assessed within progressively filtered contexts rather than in isolation.</w:t>
      </w:r>
    </w:p>
    <w:p>
      <w:pPr>
        <w:pStyle w:val="ListBullet"/>
        <w:numPr>
          <w:ilvl w:val="0"/>
          <w:numId w:val="1"/>
        </w:numPr>
        <w:rPr/>
      </w:pPr>
      <w:r>
        <w:rPr>
          <w:b/>
        </w:rPr>
        <w:t xml:space="preserve">Recursive World State: </w:t>
      </w:r>
      <w:r>
        <w:rPr/>
        <w:t>Every assessment transforms one World Context into the next, making moral reasoning an ongoing recursive process.</w:t>
      </w:r>
    </w:p>
    <w:p>
      <w:pPr>
        <w:pStyle w:val="ListBullet"/>
        <w:numPr>
          <w:ilvl w:val="0"/>
          <w:numId w:val="1"/>
        </w:numPr>
        <w:rPr/>
      </w:pPr>
      <w:r>
        <w:rPr>
          <w:b/>
        </w:rPr>
        <w:t xml:space="preserve">Explicit Assumptions: </w:t>
      </w:r>
      <w:r>
        <w:rPr/>
        <w:t>Foundational assumptions should be stated explicitly through definitions and the Foundational Axiom rather than remaining implicit.</w:t>
      </w:r>
    </w:p>
    <w:p>
      <w:pPr>
        <w:pStyle w:val="Heading3"/>
        <w:rPr/>
      </w:pPr>
      <w:r>
        <w:rPr/>
        <w:t>Implementation Principles</w:t>
      </w:r>
    </w:p>
    <w:p>
      <w:pPr>
        <w:pStyle w:val="ListBullet"/>
        <w:numPr>
          <w:ilvl w:val="0"/>
          <w:numId w:val="1"/>
        </w:numPr>
        <w:rPr/>
      </w:pPr>
      <w:r>
        <w:rPr>
          <w:b/>
        </w:rPr>
        <w:t xml:space="preserve">Implementation Neutrality: </w:t>
      </w:r>
      <w:r>
        <w:rPr/>
        <w:t>No programming language, inference engine, AI architecture, hardware platform, or future computational paradigm is assumed.</w:t>
      </w:r>
    </w:p>
    <w:p>
      <w:pPr>
        <w:pStyle w:val="ListBullet"/>
        <w:numPr>
          <w:ilvl w:val="0"/>
          <w:numId w:val="1"/>
        </w:numPr>
        <w:rPr/>
      </w:pPr>
      <w:r>
        <w:rPr>
          <w:b/>
        </w:rPr>
        <w:t xml:space="preserve">Progressive Information Quality: </w:t>
      </w:r>
      <w:r>
        <w:rPr/>
        <w:t>Assessments should improve as higher-quality evidence becomes available.</w:t>
      </w:r>
    </w:p>
    <w:p>
      <w:pPr>
        <w:pStyle w:val="ListBullet"/>
        <w:numPr>
          <w:ilvl w:val="0"/>
          <w:numId w:val="1"/>
        </w:numPr>
        <w:rPr/>
      </w:pPr>
      <w:r>
        <w:rPr>
          <w:b/>
        </w:rPr>
        <w:t xml:space="preserve">Confidence Propagation: </w:t>
      </w:r>
      <w:r>
        <w:rPr/>
        <w:t>Every assessment should produce an explicit confidence estimate reflecting uncertainty.</w:t>
      </w:r>
    </w:p>
    <w:p>
      <w:pPr>
        <w:pStyle w:val="ListBullet"/>
        <w:numPr>
          <w:ilvl w:val="0"/>
          <w:numId w:val="1"/>
        </w:numPr>
        <w:rPr/>
      </w:pPr>
      <w:r>
        <w:rPr>
          <w:b/>
        </w:rPr>
        <w:t xml:space="preserve">Graceful Degradation: </w:t>
      </w:r>
      <w:r>
        <w:rPr/>
        <w:t>Incomplete information should reduce confidence rather than prevent assessment whenever practical.</w:t>
      </w:r>
    </w:p>
    <w:p>
      <w:pPr>
        <w:pStyle w:val="ListBullet"/>
        <w:numPr>
          <w:ilvl w:val="0"/>
          <w:numId w:val="1"/>
        </w:numPr>
        <w:rPr/>
      </w:pPr>
      <w:r>
        <w:rPr>
          <w:b/>
        </w:rPr>
        <w:t xml:space="preserve">Assessment Transparency: </w:t>
      </w:r>
      <w:r>
        <w:rPr/>
        <w:t>The framework should expose the evidence, assumptions, intermediate results, and confidence values used during assessment.</w:t>
      </w:r>
    </w:p>
    <w:p>
      <w:pPr>
        <w:pStyle w:val="ListBullet"/>
        <w:numPr>
          <w:ilvl w:val="0"/>
          <w:numId w:val="1"/>
        </w:numPr>
        <w:rPr/>
      </w:pPr>
      <w:r>
        <w:rPr>
          <w:b/>
        </w:rPr>
        <w:t xml:space="preserve">Structured Output: </w:t>
      </w:r>
      <w:r>
        <w:rPr/>
        <w:t>Assessment results should be emitted in a structured, machine-readable form so downstream systems can generate explanations, visualizations, audits, or reports.</w:t>
      </w:r>
    </w:p>
    <w:p>
      <w:pPr>
        <w:pStyle w:val="ListBullet"/>
        <w:numPr>
          <w:ilvl w:val="0"/>
          <w:numId w:val="1"/>
        </w:numPr>
        <w:rPr/>
      </w:pPr>
      <w:r>
        <w:rPr>
          <w:b/>
        </w:rPr>
        <w:t xml:space="preserve">Separation of Reasoning and Explanation: </w:t>
      </w:r>
      <w:r>
        <w:rPr/>
        <w:t>The framework performs moral assessment; explanation generation may be performed by downstream systems using the structured outputs.</w:t>
      </w:r>
    </w:p>
    <w:p>
      <w:pPr>
        <w:pStyle w:val="ListBullet"/>
        <w:numPr>
          <w:ilvl w:val="0"/>
          <w:numId w:val="1"/>
        </w:numPr>
        <w:rPr/>
      </w:pPr>
      <w:r>
        <w:rPr>
          <w:b/>
        </w:rPr>
        <w:t xml:space="preserve">Scalable Computation: </w:t>
      </w:r>
      <w:r>
        <w:rPr/>
        <w:t>Future computational advances should improve implementations without requiring changes to the Reference Architecture.</w:t>
      </w:r>
    </w:p>
    <w:p>
      <w:pPr>
        <w:pStyle w:val="ListBullet"/>
        <w:numPr>
          <w:ilvl w:val="0"/>
          <w:numId w:val="0"/>
        </w:numPr>
        <w:rPr/>
      </w:pPr>
      <w:r>
        <w:rPr/>
      </w:r>
    </w:p>
    <w:p>
      <w:pPr>
        <w:pStyle w:val="Heading2"/>
        <w:rPr/>
      </w:pPr>
      <w:r>
        <w:rPr/>
        <w:t>3. Foundational Definitions</w:t>
      </w:r>
    </w:p>
    <w:p>
      <w:pPr>
        <w:pStyle w:val="ListBullet"/>
        <w:numPr>
          <w:ilvl w:val="0"/>
          <w:numId w:val="1"/>
        </w:numPr>
        <w:rPr/>
      </w:pPr>
      <w:r>
        <w:rPr>
          <w:b/>
        </w:rPr>
        <w:t xml:space="preserve">Object: </w:t>
      </w:r>
      <w:r>
        <w:rPr/>
        <w:t>Fundamental ontological element. Actor is a role, not a type.</w:t>
      </w:r>
    </w:p>
    <w:p>
      <w:pPr>
        <w:pStyle w:val="ListBullet"/>
        <w:numPr>
          <w:ilvl w:val="0"/>
          <w:numId w:val="1"/>
        </w:numPr>
        <w:rPr/>
      </w:pPr>
      <w:r>
        <w:rPr>
          <w:b/>
        </w:rPr>
        <w:t xml:space="preserve">Actor: </w:t>
      </w:r>
      <w:r>
        <w:rPr/>
        <w:t>Role assumed by an Object when responsible for an assessed action.</w:t>
      </w:r>
    </w:p>
    <w:p>
      <w:pPr>
        <w:pStyle w:val="ListBullet"/>
        <w:numPr>
          <w:ilvl w:val="0"/>
          <w:numId w:val="1"/>
        </w:numPr>
        <w:rPr/>
      </w:pPr>
      <w:r>
        <w:rPr>
          <w:b/>
        </w:rPr>
        <w:t xml:space="preserve">Association: </w:t>
      </w:r>
      <w:r>
        <w:rPr/>
        <w:t>First-class relationship between Objects carrying moral significance.</w:t>
      </w:r>
    </w:p>
    <w:p>
      <w:pPr>
        <w:pStyle w:val="ListBullet"/>
        <w:numPr>
          <w:ilvl w:val="0"/>
          <w:numId w:val="1"/>
        </w:numPr>
        <w:rPr/>
      </w:pPr>
      <w:r>
        <w:rPr>
          <w:b/>
        </w:rPr>
        <w:t xml:space="preserve">World Context: </w:t>
      </w:r>
      <w:r>
        <w:rPr/>
        <w:t>Complete relevant state before an assessment.</w:t>
      </w:r>
    </w:p>
    <w:p>
      <w:pPr>
        <w:pStyle w:val="ListBullet"/>
        <w:numPr>
          <w:ilvl w:val="0"/>
          <w:numId w:val="1"/>
        </w:numPr>
        <w:rPr/>
      </w:pPr>
      <w:r>
        <w:rPr>
          <w:b/>
        </w:rPr>
        <w:t xml:space="preserve">Assessment Boundary: </w:t>
      </w:r>
      <w:r>
        <w:rPr/>
        <w:t>Analytical boundary determining relevant portions of the World Context.</w:t>
      </w:r>
    </w:p>
    <w:p>
      <w:pPr>
        <w:pStyle w:val="ListBullet"/>
        <w:numPr>
          <w:ilvl w:val="0"/>
          <w:numId w:val="1"/>
        </w:numPr>
        <w:rPr/>
      </w:pPr>
      <w:r>
        <w:rPr>
          <w:b/>
        </w:rPr>
        <w:t xml:space="preserve">Local Context: </w:t>
      </w:r>
      <w:r>
        <w:rPr/>
        <w:t>Subset of the World Context for a class of assessments.</w:t>
      </w:r>
    </w:p>
    <w:p>
      <w:pPr>
        <w:pStyle w:val="ListBullet"/>
        <w:numPr>
          <w:ilvl w:val="0"/>
          <w:numId w:val="1"/>
        </w:numPr>
        <w:rPr/>
      </w:pPr>
      <w:r>
        <w:rPr>
          <w:b/>
        </w:rPr>
        <w:t xml:space="preserve">Situational Context: </w:t>
      </w:r>
      <w:r>
        <w:rPr/>
        <w:t>Subset of the Local Context directly relevant to the assessed action.</w:t>
      </w:r>
    </w:p>
    <w:p>
      <w:pPr>
        <w:pStyle w:val="ListBullet"/>
        <w:numPr>
          <w:ilvl w:val="0"/>
          <w:numId w:val="1"/>
        </w:numPr>
        <w:rPr/>
      </w:pPr>
      <w:r>
        <w:rPr>
          <w:b/>
        </w:rPr>
        <w:t xml:space="preserve">Flourishing Entity: </w:t>
      </w:r>
      <w:r>
        <w:rPr/>
        <w:t>Self-directed autopoietic entity whose long-term flourishing is morally relevant.</w:t>
      </w:r>
    </w:p>
    <w:p>
      <w:pPr>
        <w:pStyle w:val="ListBullet"/>
        <w:numPr>
          <w:ilvl w:val="0"/>
          <w:numId w:val="1"/>
        </w:numPr>
        <w:rPr/>
      </w:pPr>
      <w:r>
        <w:rPr>
          <w:b/>
        </w:rPr>
        <w:t xml:space="preserve">Moral Agent: </w:t>
      </w:r>
      <w:r>
        <w:rPr/>
        <w:t>Flourishing Entity capable of moral responsibility.</w:t>
      </w:r>
    </w:p>
    <w:p>
      <w:pPr>
        <w:pStyle w:val="ListBullet"/>
        <w:numPr>
          <w:ilvl w:val="0"/>
          <w:numId w:val="1"/>
        </w:numPr>
        <w:rPr/>
      </w:pPr>
      <w:r>
        <w:rPr>
          <w:b/>
        </w:rPr>
        <w:t xml:space="preserve">Long-Term Flourishing: </w:t>
      </w:r>
      <w:r>
        <w:rPr/>
        <w:t>Emergent systems property represented by a multidimensional state vector.</w:t>
      </w:r>
    </w:p>
    <w:p>
      <w:pPr>
        <w:pStyle w:val="ListBullet"/>
        <w:numPr>
          <w:ilvl w:val="0"/>
          <w:numId w:val="1"/>
        </w:numPr>
        <w:rPr/>
      </w:pPr>
      <w:r>
        <w:rPr>
          <w:b/>
        </w:rPr>
        <w:t xml:space="preserve">Distributed Policy Update: </w:t>
      </w:r>
      <w:r>
        <w:rPr/>
        <w:t>Actions modify future decision policies of actors, observers, responders, and institutions.</w:t>
      </w:r>
    </w:p>
    <w:p>
      <w:pPr>
        <w:pStyle w:val="ListBullet"/>
        <w:numPr>
          <w:ilvl w:val="0"/>
          <w:numId w:val="1"/>
        </w:numPr>
        <w:rPr/>
      </w:pPr>
      <w:r>
        <w:rPr>
          <w:b/>
        </w:rPr>
        <w:t xml:space="preserve">World Context Transition: </w:t>
      </w:r>
      <w:r>
        <w:rPr/>
        <w:t>Primary object of moral assessment.</w:t>
      </w:r>
    </w:p>
    <w:p>
      <w:pPr>
        <w:pStyle w:val="Heading2"/>
        <w:rPr/>
      </w:pPr>
      <w:r>
        <w:rPr/>
        <w:t>4. Foundational Axiom</w:t>
      </w:r>
    </w:p>
    <w:p>
      <w:pPr>
        <w:pStyle w:val="Normal"/>
        <w:rPr/>
      </w:pPr>
      <w:r>
        <w:rPr>
          <w:b/>
        </w:rPr>
        <w:t xml:space="preserve">Purpose: </w:t>
      </w:r>
      <w:r>
        <w:rPr/>
        <w:t>The Foundational Axiom establishes the single normative assumption upon which the remainder of the framework is built. It is stated explicitly so that the architecture does not conceal ideology, faith, or implicit value judgments within later definitions or algorithms.</w:t>
      </w:r>
    </w:p>
    <w:p>
      <w:pPr>
        <w:pStyle w:val="Normal"/>
        <w:rPr/>
      </w:pPr>
      <w:r>
        <w:rPr>
          <w:b/>
        </w:rPr>
        <w:t xml:space="preserve">Current Axiom: </w:t>
      </w:r>
      <w:r>
        <w:rPr/>
        <w:t>A stable moral system preserves and expands the long-term flourishing of relevant flourishing entities unless, based on the best available evidence within the Situational Context, doing so would materially diminish the long-term flourishing of other relevant flourishing entities.</w:t>
      </w:r>
    </w:p>
    <w:p>
      <w:pPr>
        <w:pStyle w:val="Normal"/>
        <w:rPr/>
      </w:pPr>
      <w:r>
        <w:rPr>
          <w:b/>
        </w:rPr>
        <w:t xml:space="preserve">Interpretation: </w:t>
      </w:r>
      <w:r>
        <w:rPr/>
        <w:t>The axiom is intended to constrain the architecture rather than prescribe a procedure. It provides the constitutional direction from which objectives, assessments, and implementations are derived.</w:t>
      </w:r>
    </w:p>
    <w:p>
      <w:pPr>
        <w:pStyle w:val="Normal"/>
        <w:rPr/>
      </w:pPr>
      <w:r>
        <w:rPr>
          <w:b/>
        </w:rPr>
        <w:t xml:space="preserve">Relationship to Long-Term Flourishing: </w:t>
      </w:r>
      <w:r>
        <w:rPr/>
        <w:t>Long-Term Flourishing is treated as the state variable the architecture seeks to preserve and expand. It applies equally to the actor and to impacted entities. Moral agents are a subset of flourishing entities; therefore, the actor is always evaluated as one of the impacted entities after an action.</w:t>
      </w:r>
    </w:p>
    <w:p>
      <w:pPr>
        <w:pStyle w:val="Normal"/>
        <w:rPr/>
      </w:pPr>
      <w:r>
        <w:rPr>
          <w:b/>
        </w:rPr>
        <w:t xml:space="preserve">Epistemic Constraint: </w:t>
      </w:r>
      <w:r>
        <w:rPr/>
        <w:t>The axiom intentionally relies on the best available evidence within the Situational Context rather than certainty. Questions of probability and confidence belong to the assessment methodology rather than to the axiom itself.</w:t>
      </w:r>
    </w:p>
    <w:p>
      <w:pPr>
        <w:pStyle w:val="Normal"/>
        <w:numPr>
          <w:ilvl w:val="0"/>
          <w:numId w:val="0"/>
        </w:numPr>
        <w:rPr/>
      </w:pPr>
      <w:r>
        <w:rPr>
          <w:b/>
        </w:rPr>
        <w:t xml:space="preserve">Current Open Questions: </w:t>
      </w:r>
      <w:r>
        <w:rPr/>
        <w:t>The precise mathematical representation of Long-Term Flourishing and its state vector remains an active area of research. The wording of the axiom is otherwise considered relatively mature.</w:t>
      </w:r>
    </w:p>
    <w:p>
      <w:pPr>
        <w:pStyle w:val="Normal"/>
        <w:numPr>
          <w:ilvl w:val="0"/>
          <w:numId w:val="0"/>
        </w:numPr>
        <w:rPr/>
      </w:pPr>
      <w:r>
        <w:rPr/>
      </w:r>
    </w:p>
    <w:p>
      <w:pPr>
        <w:pStyle w:val="Heading2"/>
        <w:rPr/>
      </w:pPr>
      <w:r>
        <w:rPr/>
        <w:t>5. Reference Architecture</w:t>
      </w:r>
    </w:p>
    <w:p>
      <w:pPr>
        <w:pStyle w:val="Normal"/>
        <w:rPr/>
      </w:pPr>
      <w:r>
        <w:rPr>
          <w:b/>
        </w:rPr>
        <w:t xml:space="preserve">Purpose: </w:t>
      </w:r>
      <w:r>
        <w:rPr/>
        <w:t>The Reference Architecture defines the conceptual components of the framework and the relationships among them. It intentionally contains no equations or implementation details.</w:t>
      </w:r>
    </w:p>
    <w:p>
      <w:pPr>
        <w:pStyle w:val="Normal"/>
        <w:rPr/>
      </w:pPr>
      <w:r>
        <w:rPr>
          <w:b/>
        </w:rPr>
        <w:t xml:space="preserve">Architectural Overview: </w:t>
      </w:r>
      <w:r>
        <w:rPr/>
        <w:t>The architecture models moral reasoning as a recursive transformation of one World Context into another through assessment of a proposed action.</w:t>
      </w:r>
    </w:p>
    <w:p>
      <w:pPr>
        <w:pStyle w:val="Normal"/>
        <w:rPr/>
      </w:pPr>
      <w:r>
        <w:rPr>
          <w:b/>
        </w:rPr>
        <w:t xml:space="preserve">Context Stack: </w:t>
      </w:r>
      <w:r>
        <w:rPr/>
        <w:t>World Context → Assessment Boundary → Local Context → Situational Context. Each layer progressively filters the information relevant to the assessment.</w:t>
      </w:r>
    </w:p>
    <w:p>
      <w:pPr>
        <w:pStyle w:val="Normal"/>
        <w:rPr/>
      </w:pPr>
      <w:r>
        <w:rPr>
          <w:b/>
        </w:rPr>
        <w:t xml:space="preserve">Architectural Elements: </w:t>
      </w:r>
      <w:r>
        <w:rPr/>
        <w:t>Primary elements include Objects, Associations, Objectives, Flourishing Entities, Moral Agents, Actors (role), and the Assessed Action.</w:t>
      </w:r>
    </w:p>
    <w:p>
      <w:pPr>
        <w:pStyle w:val="Normal"/>
        <w:rPr/>
      </w:pPr>
      <w:r>
        <w:rPr>
          <w:b/>
        </w:rPr>
        <w:t xml:space="preserve">Information Flow: </w:t>
      </w:r>
      <w:r>
        <w:rPr/>
        <w:t>World Context → Context Selection → Objectives → Relevant Objects and Associations → Assessed Action → Predicted State Transition → World Context Transition.</w:t>
      </w:r>
    </w:p>
    <w:p>
      <w:pPr>
        <w:pStyle w:val="Normal"/>
        <w:rPr/>
      </w:pPr>
      <w:r>
        <w:rPr>
          <w:b/>
        </w:rPr>
        <w:t xml:space="preserve">Distributed Policy Updates: </w:t>
      </w:r>
      <w:r>
        <w:rPr/>
        <w:t>Every action modifies not only entities and relationships but also the future decision policies of actors, observers, responders, and institutions. This architectural feature explains why the means used to achieve an outcome are morally relevant.</w:t>
      </w:r>
    </w:p>
    <w:p>
      <w:pPr>
        <w:pStyle w:val="Normal"/>
        <w:numPr>
          <w:ilvl w:val="0"/>
          <w:numId w:val="0"/>
        </w:numPr>
        <w:rPr/>
      </w:pPr>
      <w:r>
        <w:rPr>
          <w:b/>
        </w:rPr>
        <w:t xml:space="preserve">World Context Transition: </w:t>
      </w:r>
      <w:r>
        <w:rPr/>
        <w:t>The outcome of every assessment is a new World Context. This transition, rather than any single metric, is the principal object of moral evaluation.</w:t>
      </w:r>
    </w:p>
    <w:p>
      <w:pPr>
        <w:pStyle w:val="Heading2"/>
        <w:rPr/>
      </w:pPr>
      <w:r>
        <w:rPr/>
        <w:t>6. Moral Assessment Methodology</w:t>
      </w:r>
    </w:p>
    <w:p>
      <w:pPr>
        <w:pStyle w:val="Normal"/>
        <w:rPr/>
      </w:pPr>
      <w:r>
        <w:rPr>
          <w:b/>
        </w:rPr>
        <w:t xml:space="preserve">Purpose: </w:t>
      </w:r>
      <w:r>
        <w:rPr/>
        <w:t>The Moral Assessment Methodology operationalizes the Reference Architecture. It introduces the mathematical representations, probabilistic reasoning, and assessment workflow used to evaluate proposed actions.</w:t>
      </w:r>
    </w:p>
    <w:p>
      <w:pPr>
        <w:pStyle w:val="Normal"/>
        <w:rPr/>
      </w:pPr>
      <w:r>
        <w:rPr>
          <w:b/>
        </w:rPr>
        <w:t xml:space="preserve">Assessment Workflow: </w:t>
      </w:r>
      <w:r>
        <w:rPr/>
        <w:t>World Context → Assessment Boundary → Situational Context → Relevant Objects and Associations → Objectives → Proposed Action → Predicted State Transition → World Context Transition → Moral Assessment.</w:t>
      </w:r>
    </w:p>
    <w:p>
      <w:pPr>
        <w:pStyle w:val="Normal"/>
        <w:rPr/>
      </w:pPr>
      <w:r>
        <w:rPr>
          <w:b/>
        </w:rPr>
        <w:t xml:space="preserve">State Representation: </w:t>
      </w:r>
      <w:r>
        <w:rPr/>
        <w:t>Entity states, association states, policy states, and World Context are represented as state variables that evolve through assessed actions.</w:t>
      </w:r>
    </w:p>
    <w:p>
      <w:pPr>
        <w:pStyle w:val="Normal"/>
        <w:rPr/>
      </w:pPr>
      <w:r>
        <w:rPr>
          <w:b/>
        </w:rPr>
        <w:t xml:space="preserve">Long-Term Flourishing: </w:t>
      </w:r>
      <w:r>
        <w:rPr/>
        <w:t>Long-Term Flourishing is modeled as a multidimensional state vector. Changes in flourishing (ΔF) are evaluated across relevant flourishing entities and multiple assessment horizons.</w:t>
      </w:r>
    </w:p>
    <w:p>
      <w:pPr>
        <w:pStyle w:val="Normal"/>
        <w:rPr/>
      </w:pPr>
      <w:r>
        <w:rPr>
          <w:b/>
        </w:rPr>
        <w:t xml:space="preserve">Aggregate Assessment: </w:t>
      </w:r>
      <w:r>
        <w:rPr/>
        <w:t>Aggregate flourishing informs the assessment but does not replace it. The principal assessment evaluates the resulting World Context transition rather than a single aggregate score.</w:t>
      </w:r>
    </w:p>
    <w:p>
      <w:pPr>
        <w:pStyle w:val="Normal"/>
        <w:rPr/>
      </w:pPr>
      <w:r>
        <w:rPr>
          <w:b/>
        </w:rPr>
        <w:t xml:space="preserve">Distributed Policy Updates: </w:t>
      </w:r>
      <w:r>
        <w:rPr/>
        <w:t>Every action updates the future decision policies of actors, observers, responders, and institutions. This recursive effect explains why detrimental means can degrade future moral decision making even when short-term outcomes appear beneficial.</w:t>
      </w:r>
    </w:p>
    <w:p>
      <w:pPr>
        <w:pStyle w:val="Normal"/>
        <w:rPr/>
      </w:pPr>
      <w:r>
        <w:rPr>
          <w:b/>
        </w:rPr>
        <w:t xml:space="preserve">Epistemic Responsibility: </w:t>
      </w:r>
      <w:r>
        <w:rPr/>
        <w:t>Assessments are based on the best available evidence within the Situational Context. Confidence values explicitly represent uncertainty arising from incomplete information and predictive limitations.</w:t>
      </w:r>
    </w:p>
    <w:p>
      <w:pPr>
        <w:pStyle w:val="Normal"/>
        <w:rPr/>
      </w:pPr>
      <w:r>
        <w:rPr>
          <w:b/>
        </w:rPr>
        <w:t xml:space="preserve">Assessment Horizons: </w:t>
      </w:r>
      <w:r>
        <w:rPr/>
        <w:t>Actions are evaluated across immediate, short-term, long-term, multi-generational, and civilizational horizons.</w:t>
      </w:r>
    </w:p>
    <w:p>
      <w:pPr>
        <w:pStyle w:val="Normal"/>
        <w:numPr>
          <w:ilvl w:val="0"/>
          <w:numId w:val="0"/>
        </w:numPr>
        <w:rPr/>
      </w:pPr>
      <w:r>
        <w:rPr>
          <w:b/>
        </w:rPr>
        <w:t xml:space="preserve">Assessment Output: </w:t>
      </w:r>
      <w:r>
        <w:rPr/>
        <w:t>Every assessment should produce a structured result containing the World Context transition, affected entities, confidence estimates, policy updates, and supporting assessment artifacts.</w:t>
      </w:r>
    </w:p>
    <w:p>
      <w:pPr>
        <w:pStyle w:val="Heading2"/>
        <w:rPr/>
      </w:pPr>
      <w:r>
        <w:rPr/>
        <w:t>7. Implementation</w:t>
      </w:r>
    </w:p>
    <w:p>
      <w:pPr>
        <w:pStyle w:val="Normal"/>
        <w:rPr/>
      </w:pPr>
      <w:r>
        <w:rPr>
          <w:b/>
        </w:rPr>
        <w:t xml:space="preserve">Purpose: </w:t>
      </w:r>
      <w:r>
        <w:rPr/>
        <w:t>Implementation guidance describes how the Reference Architecture and Moral Assessment Methodology may be realized in software while remaining independent of any particular technology.</w:t>
      </w:r>
    </w:p>
    <w:p>
      <w:pPr>
        <w:pStyle w:val="Normal"/>
        <w:rPr/>
      </w:pPr>
      <w:r>
        <w:rPr>
          <w:b/>
        </w:rPr>
        <w:t xml:space="preserve">Implementation Philosophy: </w:t>
      </w:r>
      <w:r>
        <w:rPr/>
        <w:t>Implementations must preserve the semantics of the Reference Architecture while remaining free to adopt different computational techniques.</w:t>
      </w:r>
    </w:p>
    <w:p>
      <w:pPr>
        <w:pStyle w:val="Normal"/>
        <w:rPr/>
      </w:pPr>
      <w:r>
        <w:rPr>
          <w:b/>
        </w:rPr>
        <w:t xml:space="preserve">Implementation Patterns: </w:t>
      </w:r>
      <w:r>
        <w:rPr/>
        <w:t>Representative patterns include standalone ethical engines, embedded libraries, workflow services, distributed services, agent components, and runtime plugins.</w:t>
      </w:r>
    </w:p>
    <w:p>
      <w:pPr>
        <w:pStyle w:val="Normal"/>
        <w:rPr/>
      </w:pPr>
      <w:r>
        <w:rPr>
          <w:b/>
        </w:rPr>
        <w:t xml:space="preserve">Example Implementations: </w:t>
      </w:r>
      <w:r>
        <w:rPr/>
        <w:t>Illustrative implementations include a Moral Reasoning Runtime (MRR), LLM safety and alignment layers, robotics, healthcare decision support, governance, and judicial analysis. The MRR is one implementation example rather than the architecture itself.</w:t>
      </w:r>
    </w:p>
    <w:p>
      <w:pPr>
        <w:pStyle w:val="Normal"/>
        <w:rPr/>
      </w:pPr>
      <w:r>
        <w:rPr>
          <w:b/>
        </w:rPr>
        <w:t xml:space="preserve">Structured Output: </w:t>
      </w:r>
      <w:r>
        <w:rPr/>
        <w:t>Assessments should produce structured, machine-readable artifacts containing evidence, assumptions, intermediate results, confidence values, World Context transitions, policy updates, and metadata for downstream consumption.</w:t>
      </w:r>
    </w:p>
    <w:p>
      <w:pPr>
        <w:pStyle w:val="Normal"/>
        <w:rPr/>
      </w:pPr>
      <w:r>
        <w:rPr>
          <w:b/>
        </w:rPr>
        <w:t xml:space="preserve">Assessment Transparency: </w:t>
      </w:r>
      <w:r>
        <w:rPr/>
        <w:t>Implementations should expose the information required for independent review and auditing. Natural-language explanations may be generated by downstream systems using the structured outputs.</w:t>
      </w:r>
    </w:p>
    <w:p>
      <w:pPr>
        <w:pStyle w:val="Normal"/>
        <w:numPr>
          <w:ilvl w:val="0"/>
          <w:numId w:val="0"/>
        </w:numPr>
        <w:rPr/>
      </w:pPr>
      <w:r>
        <w:rPr>
          <w:b/>
        </w:rPr>
        <w:t xml:space="preserve">Implementation Neutrality: </w:t>
      </w:r>
      <w:r>
        <w:rPr/>
        <w:t>The framework is intended to remain applicable to future computational architectures without requiring changes to the Reference Architecture.</w:t>
      </w:r>
    </w:p>
    <w:p>
      <w:pPr>
        <w:pStyle w:val="Heading2"/>
        <w:rPr/>
      </w:pPr>
      <w:r>
        <w:rPr/>
        <w:t>8. Validation Strategy</w:t>
      </w:r>
    </w:p>
    <w:p>
      <w:pPr>
        <w:pStyle w:val="Normal"/>
        <w:rPr/>
      </w:pPr>
      <w:r>
        <w:rPr>
          <w:b/>
        </w:rPr>
        <w:t xml:space="preserve">Purpose: </w:t>
      </w:r>
      <w:r>
        <w:rPr/>
        <w:t>This section defines how the framework should ultimately be evaluated rather than how moral assessments are performed. Its purpose is to demonstrate that the architecture is internally consistent, objectively grounded, and compares favorably with existing ethical frameworks while clearly identifying its remaining limitations and research opportunities.</w:t>
      </w:r>
    </w:p>
    <w:p>
      <w:pPr>
        <w:pStyle w:val="Normal"/>
        <w:rPr/>
      </w:pPr>
      <w:r>
        <w:rPr>
          <w:b/>
        </w:rPr>
        <w:t xml:space="preserve">Comparison with Existing Ethical Frameworks: </w:t>
      </w:r>
      <w:r>
        <w:rPr/>
        <w:t>The framework should be compared with major ethical systems including Utilitarianism, Deontology, Virtue Ethics, Rights-Based Ethics, Ethics of Care, Stoicism, Cosmism, Pragmatism, Contractarianism, Natural Law, Confucian Ethics, and Systems Ethics. Each comparison should identify the framework's assumptions, concepts adopted by this architecture, similarities, differences, and opportunities for integration.</w:t>
      </w:r>
    </w:p>
    <w:p>
      <w:pPr>
        <w:pStyle w:val="Normal"/>
        <w:rPr/>
      </w:pPr>
      <w:r>
        <w:rPr>
          <w:b/>
        </w:rPr>
        <w:t xml:space="preserve">Evaluation Against the Design Principles: </w:t>
      </w:r>
      <w:r>
        <w:rPr/>
        <w:t>This section should not be completed until the Design Principles and Reference Architecture have stabilized. The completed architecture should then be evaluated against every Design Principle to demonstrate conformance and identify remaining deficiencies.</w:t>
      </w:r>
    </w:p>
    <w:p>
      <w:pPr>
        <w:pStyle w:val="Normal"/>
        <w:rPr/>
      </w:pPr>
      <w:r>
        <w:rPr>
          <w:b/>
        </w:rPr>
        <w:t xml:space="preserve">Anticipated Counterarguments: </w:t>
      </w:r>
      <w:r>
        <w:rPr/>
        <w:t>Each anticipated criticism should follow a common template including the ethical framework, primary expert, questioning argument, underlying assumptions, concepts incorporated by this framework, counterargument, incremental questions, responses, and remaining open issues.</w:t>
      </w:r>
    </w:p>
    <w:p>
      <w:pPr>
        <w:pStyle w:val="Normal"/>
        <w:rPr/>
      </w:pPr>
      <w:r>
        <w:rPr>
          <w:b/>
        </w:rPr>
        <w:t xml:space="preserve">Known Limitations: </w:t>
      </w:r>
      <w:r>
        <w:rPr/>
        <w:t>Each limitation should be documented using a common structure including a description, scale of exposure to the framework, narrative example, potential mitigations, target research, and residual risk.</w:t>
      </w:r>
    </w:p>
    <w:p>
      <w:pPr>
        <w:pStyle w:val="Normal"/>
        <w:numPr>
          <w:ilvl w:val="0"/>
          <w:numId w:val="0"/>
        </w:numPr>
        <w:spacing w:before="0" w:after="200"/>
        <w:rPr/>
      </w:pPr>
      <w:r>
        <w:rPr>
          <w:b/>
        </w:rPr>
        <w:t xml:space="preserve">Open Research Questions: </w:t>
      </w:r>
      <w:r>
        <w:rPr/>
        <w:t>Each research topic should document its definition, remaining ambiguity, suggested research, and potential impact on the framework.</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LibreOffice/25.8.7.3$Linux_X86_64 LibreOffice_project/580$Build-3</Application>
  <AppVersion>15.0000</AppVersion>
  <Pages>7</Pages>
  <Words>1753</Words>
  <Characters>12088</Characters>
  <CharactersWithSpaces>13732</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2026-07-07T11:18:45Z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