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Rule="auto" w:line="360"/>
        <w:ind w:left="0"/>
        <w:jc w:val="left"/>
      </w:pPr>
      <w:r>
        <w:rPr>
          <w:rFonts w:ascii="바탕" w:hAnsi="바탕" w:eastAsia="바탕"/>
          <w:b/>
          <w:sz w:val="26"/>
        </w:rPr>
        <w:t>목    차</w:t>
      </w:r>
    </w:p>
    <w:p>
      <w:pPr>
        <w:spacing w:before="60" w:after="20" w:lineRule="auto" w:line="360"/>
        <w:ind w:left="0"/>
        <w:jc w:val="left"/>
      </w:pPr>
      <w:r>
        <w:rPr>
          <w:rFonts w:ascii="바탕" w:hAnsi="바탕" w:eastAsia="바탕"/>
          <w:b/>
          <w:sz w:val="24"/>
        </w:rPr>
        <w:t xml:space="preserve">1장  </w:t>
      </w:r>
      <w:r>
        <w:rPr>
          <w:rFonts w:ascii="바탕" w:hAnsi="바탕" w:eastAsia="바탕"/>
          <w:b/>
          <w:sz w:val="24"/>
        </w:rPr>
        <w:t>보고 개요</w:t>
      </w:r>
    </w:p>
    <w:p>
      <w:pPr>
        <w:spacing w:before="0" w:after="40" w:lineRule="auto" w:line="360"/>
        <w:ind w:left="680"/>
        <w:jc w:val="left"/>
      </w:pPr>
      <w:r>
        <w:rPr>
          <w:rFonts w:ascii="바탕" w:hAnsi="바탕" w:eastAsia="바탕"/>
          <w:b w:val="0"/>
          <w:color w:val="505050"/>
          <w:sz w:val="21"/>
        </w:rPr>
        <w:t>분석 배경 / 분석 범위 / 분석 목적</w:t>
      </w:r>
    </w:p>
    <w:p>
      <w:pPr>
        <w:spacing w:before="60" w:after="20" w:lineRule="auto" w:line="360"/>
        <w:ind w:left="0"/>
        <w:jc w:val="left"/>
      </w:pPr>
      <w:r>
        <w:rPr>
          <w:rFonts w:ascii="바탕" w:hAnsi="바탕" w:eastAsia="바탕"/>
          <w:b/>
          <w:sz w:val="24"/>
        </w:rPr>
        <w:t xml:space="preserve">2장  </w:t>
      </w:r>
      <w:r>
        <w:rPr>
          <w:rFonts w:ascii="바탕" w:hAnsi="바탕" w:eastAsia="바탕"/>
          <w:b/>
          <w:sz w:val="24"/>
        </w:rPr>
        <w:t>Medallia 개요</w:t>
      </w:r>
    </w:p>
    <w:p>
      <w:pPr>
        <w:spacing w:before="0" w:after="40" w:lineRule="auto" w:line="360"/>
        <w:ind w:left="680"/>
        <w:jc w:val="left"/>
      </w:pPr>
      <w:r>
        <w:rPr>
          <w:rFonts w:ascii="바탕" w:hAnsi="바탕" w:eastAsia="바탕"/>
          <w:b w:val="0"/>
          <w:color w:val="505050"/>
          <w:sz w:val="21"/>
        </w:rPr>
        <w:t>기업 개요 / 재무 현황 (인수 전)</w:t>
      </w:r>
    </w:p>
    <w:p>
      <w:pPr>
        <w:spacing w:before="60" w:after="20" w:lineRule="auto" w:line="360"/>
        <w:ind w:left="0"/>
        <w:jc w:val="left"/>
      </w:pPr>
      <w:r>
        <w:rPr>
          <w:rFonts w:ascii="바탕" w:hAnsi="바탕" w:eastAsia="바탕"/>
          <w:b/>
          <w:sz w:val="24"/>
        </w:rPr>
        <w:t xml:space="preserve">3장  </w:t>
      </w:r>
      <w:r>
        <w:rPr>
          <w:rFonts w:ascii="바탕" w:hAnsi="바탕" w:eastAsia="바탕"/>
          <w:b/>
          <w:sz w:val="24"/>
        </w:rPr>
        <w:t>Medallia 투자/인수 현황</w:t>
      </w:r>
    </w:p>
    <w:p>
      <w:pPr>
        <w:spacing w:before="0" w:after="40" w:lineRule="auto" w:line="360"/>
        <w:ind w:left="680"/>
        <w:jc w:val="left"/>
      </w:pPr>
      <w:r>
        <w:rPr>
          <w:rFonts w:ascii="바탕" w:hAnsi="바탕" w:eastAsia="바탕"/>
          <w:b w:val="0"/>
          <w:color w:val="505050"/>
          <w:sz w:val="21"/>
        </w:rPr>
        <w:t>Thoma Bravo의 Medallia 인수 ('21년) / 인수 이후 상황</w:t>
      </w:r>
    </w:p>
    <w:p>
      <w:pPr>
        <w:spacing w:before="60" w:after="20" w:lineRule="auto" w:line="360"/>
        <w:ind w:left="0"/>
        <w:jc w:val="left"/>
      </w:pPr>
      <w:r>
        <w:rPr>
          <w:rFonts w:ascii="바탕" w:hAnsi="바탕" w:eastAsia="바탕"/>
          <w:b/>
          <w:sz w:val="24"/>
        </w:rPr>
        <w:t xml:space="preserve">4장  </w:t>
      </w:r>
      <w:r>
        <w:rPr>
          <w:rFonts w:ascii="바탕" w:hAnsi="바탕" w:eastAsia="바탕"/>
          <w:b/>
          <w:sz w:val="24"/>
        </w:rPr>
        <w:t>예상 파급 효과</w:t>
      </w:r>
    </w:p>
    <w:p>
      <w:pPr>
        <w:spacing w:before="60" w:after="20" w:lineRule="auto" w:line="360"/>
        <w:ind w:left="0"/>
        <w:jc w:val="left"/>
      </w:pPr>
      <w:r>
        <w:rPr>
          <w:rFonts w:ascii="바탕" w:hAnsi="바탕" w:eastAsia="바탕"/>
          <w:b/>
          <w:sz w:val="24"/>
        </w:rPr>
        <w:t xml:space="preserve">5장  </w:t>
      </w:r>
      <w:r>
        <w:rPr>
          <w:rFonts w:ascii="바탕" w:hAnsi="바탕" w:eastAsia="바탕"/>
          <w:b/>
          <w:sz w:val="24"/>
        </w:rPr>
        <w:t>시사점</w:t>
      </w:r>
    </w:p>
    <w:p>
      <w:pPr>
        <w:spacing w:before="160" w:after="60" w:lineRule="auto" w:line="360"/>
        <w:ind w:left="0"/>
        <w:jc w:val="left"/>
      </w:pPr>
      <w:r>
        <w:rPr>
          <w:rFonts w:ascii="바탕" w:hAnsi="바탕" w:eastAsia="바탕"/>
          <w:b/>
          <w:sz w:val="24"/>
        </w:rPr>
        <w:t>별   첨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[별첨 1]  Medallia 상세 프로필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[별첨 2]  Thoma Bravo 상세 프로필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[별첨 3]  LBO(차입매수)를 통한 인수 사례 ('21~'22년)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[별첨 4]  이해관계자 관점 분석 : Thoma Bravo vs Blackstone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[별첨 5]  Qualtrics vs Medallia 비교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[별첨 6]  SaaS 기업의 M&amp;A 검토 시 평가 기준(안)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[별첨 7]  PIK 원금 누적 시뮬레이션 및 EV/Par Coverage 이탈 과정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[별첨 8]  SaaS 기업가치 평가의 새로운 기준 : Gen AI 대체 가능성</w:t>
      </w:r>
    </w:p>
    <w:p>
      <w:pPr>
        <w:spacing w:before="20" w:after="20" w:lineRule="auto" w:line="360"/>
        <w:ind w:left="680"/>
        <w:jc w:val="left"/>
      </w:pPr>
      <w:r>
        <w:rPr>
          <w:rFonts w:ascii="바탕" w:hAnsi="바탕" w:eastAsia="바탕"/>
          <w:b w:val="0"/>
          <w:sz w:val="21"/>
        </w:rPr>
        <w:t>참고문헌</w:t>
      </w:r>
    </w:p>
    <w:p>
      <w:r>
        <w:br w:type="page"/>
      </w:r>
    </w:p>
    <w:p>
      <w:pPr>
        <w:spacing w:before="120" w:after="80" w:lineRule="auto" w:line="360"/>
        <w:ind w:left="0"/>
        <w:jc w:val="center"/>
      </w:pPr>
      <w:r>
        <w:rPr>
          <w:rFonts w:ascii="바탕" w:hAnsi="바탕" w:eastAsia="바탕"/>
          <w:b/>
          <w:sz w:val="36"/>
          <w:u w:val="single"/>
        </w:rPr>
        <w:t>Medallia 사례로 본 SaaS 기업 가치 평가</w:t>
      </w:r>
    </w:p>
    <w:p>
      <w:pPr>
        <w:spacing w:before="0" w:after="200" w:lineRule="auto" w:line="360"/>
        <w:ind w:left="0"/>
        <w:jc w:val="right"/>
      </w:pPr>
      <w:r>
        <w:rPr>
          <w:rFonts w:ascii="바탕" w:hAnsi="바탕" w:eastAsia="바탕"/>
          <w:b w:val="0"/>
          <w:sz w:val="22"/>
        </w:rPr>
        <w:t>'26.05.19    솔루션전략그룹(솔루션)</w:t>
      </w:r>
    </w:p>
    <w:p>
      <w:pPr>
        <w:spacing w:before="200" w:after="80" w:lineRule="auto" w:line="360"/>
        <w:ind w:left="0"/>
        <w:jc w:val="left"/>
      </w:pPr>
      <w:r>
        <w:rPr>
          <w:rFonts w:ascii="바탕" w:hAnsi="바탕" w:eastAsia="바탕"/>
          <w:b/>
          <w:sz w:val="26"/>
        </w:rPr>
        <w:t>1. 보고 개요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분석 배경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Thoma Bravo는 Medallia를 $6.4B(EV/Revenue 멀티플 약 9배)에 인수하며 상장폐지 ('21.7월)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美 연준 금리 인상으로 SOFR가 약 5.4%까지 상승, 차입 이자 부담 급증 ('22~'25년)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연간 이자비용($0.3B)이 EBITDA($0.2B)를 초과하는 구조적 부실 직면, 채권단으로 경영권 이전 ('26.4월)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분석 범위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분석 대상: Medallia / Thoma Bravo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분석 기간: '21년 인수 ~ '26년 채권단 경영권 이전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재무 수치 출처: Bloomberg, OnlyCFO 분석 기반 추정치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분석 목적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PE 기반 SaaS 차입매수(LBO) 방식의 실패 원인 분석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SaaS 기업가치 및 M&amp;A 추진 시 평가 기준 재점검</w:t>
      </w:r>
    </w:p>
    <w:p>
      <w:pPr>
        <w:spacing w:before="80" w:after="80" w:lineRule="auto" w:line="360"/>
        <w:ind w:left="0"/>
        <w:jc w:val="left"/>
      </w:pPr>
      <w:r>
        <w:t>───────────────────────────────────────────────────────</w:t>
      </w:r>
    </w:p>
    <w:p>
      <w:pPr>
        <w:spacing w:before="200" w:after="80" w:lineRule="auto" w:line="360"/>
        <w:ind w:left="0"/>
        <w:jc w:val="left"/>
      </w:pPr>
      <w:r>
        <w:rPr>
          <w:rFonts w:ascii="바탕" w:hAnsi="바탕" w:eastAsia="바탕"/>
          <w:b/>
          <w:sz w:val="26"/>
        </w:rPr>
        <w:t>2. Medallia 개요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기업 개요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'01년 설립, 샌프란시스코 소재 CX(고객경험)관리 SaaS 기업, VoC 플랫폼 부문 글로벌 2위 (1위 Qualtrics)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CRM 시장은 Sales, Marketing, Customer Service &amp; Support, Digital Commerce 4개 세그먼트로 구분, Medallia는 Customer Service &amp; Support 중 VoC 플랫폼 부문 (출처: Gartner Magic Quadrant 2025·2026)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오퍼링 : 고객경험 피드백 수집·분석, NPS 측정, 직원경험 플랫폼, 옴니채널 고객 인텔리전스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주요 고객 : 금융·항공·호텔·통신 등 약 1,000개 고객사 보유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'15~'18년 : VC, PE로부터 복수의 투자 유치, 기업가치 급성장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'19년 NYSE 상장 (IPO 공모가 $21), 상장 이후 $16~$48 수준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'21년 Thoma Bravo에 인수되며 상장폐지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재무 현황 (인수 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158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113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수치</w:t>
            </w:r>
          </w:p>
        </w:tc>
        <w:tc>
          <w:tcPr>
            <w:tcW w:type="dxa" w:w="124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시점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비고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매출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$477M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FY2021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23~26%(YoY) 고성장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EBITDA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-$109M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FY2021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FCF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-$19M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FY2021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CAPEX, 운전자본, 현금이자 반영 시 적자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Rule of 40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10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'21년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SaaS기업 중 하위 10% 수준 (기준: 40 이상)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NRR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116~126%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'18~'19년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'18.1월 126%→'19.1월 116%→'19.4월 119%</w:t>
              <w:br/>
              <w:t>상장 전 하락세, 인수 이후 추가 하락</w:t>
            </w:r>
          </w:p>
        </w:tc>
      </w:tr>
    </w:tbl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Free Cash Flow(잉여현금흐름) = OCF(영업활동현금흐름) - CapEx(설비투자)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Net Revenue Retention : 순매출유지율 (기존고객의 현재매출 / 기존고객의 과거매출) × 100</w:t>
      </w:r>
    </w:p>
    <w:p>
      <w:r>
        <w:br w:type="page"/>
      </w:r>
    </w:p>
    <w:p>
      <w:pPr>
        <w:spacing w:before="200" w:after="80" w:lineRule="auto" w:line="360"/>
        <w:ind w:left="0"/>
        <w:jc w:val="left"/>
      </w:pPr>
      <w:r>
        <w:rPr>
          <w:rFonts w:ascii="바탕" w:hAnsi="바탕" w:eastAsia="바탕"/>
          <w:b/>
          <w:sz w:val="26"/>
        </w:rPr>
        <w:t>3. Medallia 투자/인수 현황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Thoma Bravo의 Medallia 인수 ('21년)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당시 고성장 SaaS 프리미엄을 고려, EV/Revenue 멀티플을 약 9배로 적용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멀티플 : 기업가치(Enterprise Value)를 특정 재무지표(매출/이익/현금흐름)로 나눈 값으로, 시장이 해당 기업 실적에 부여하는 가치 수준을 의미</w:t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▸ 자금 조달 구조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3685"/>
            <w:gridSpan w:val="3"/>
            <w:shd w:val="clear" w:color="auto" w:fill="f0f0f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sz w:val="23"/>
              </w:rPr>
              <w:t>총 인수가격  $6.4B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2"/>
              </w:rPr>
              <w:t>투자금 (Equity)</w:t>
              <w:br/>
              <w:t>$4.6B</w:t>
              <w:br/>
              <w:t>Thoma Bravo 등</w:t>
            </w:r>
          </w:p>
        </w:tc>
        <w:tc>
          <w:tcPr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sz w:val="28"/>
              </w:rPr>
              <w:t>+</w:t>
            </w:r>
          </w:p>
        </w:tc>
        <w:tc>
          <w:tcPr>
            <w:tcW w:type="dxa" w:w="3685"/>
            <w:shd w:val="clear" w:color="auto" w:fill="fef2f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2"/>
              </w:rPr>
              <w:t>변동금리 차입금 (Debt)</w:t>
              <w:br/>
              <w:t>$1.8B</w:t>
              <w:br/>
              <w:t>민간대출업자 (Blackstone 등)</w:t>
            </w:r>
          </w:p>
        </w:tc>
      </w:tr>
    </w:tbl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당시 LIBOR 0.75%. LIBOR : 런던 은행 간 단기 대출 금리, '23년 공식 폐지 후 SOFR로 대체됨.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인수 당시 계획 : 저금리 환경에서 낮은 비용으로 차입 매수, 영업현금흐름으로 이자 감당, 3~5년 내 매각 또는 IPO 재상장으로 투자금 회수</w:t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▸ 인수 판단 기준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Medallia 인수 당시의 9배 멀티플은 상대적으로 저렴한 투자로 평가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Medallia는 ARR 성장률 23~26%의 고성장 기업으로 FCF는 적자였으나 향후 개선 전망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단, Medallia의 Rule of 40, FCF 마진은 동종업계 하위 10% 수준임을 인지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당시 낮은 이자 부담으로, PIK를 활용한 차입매수(LBO) 기반 인수 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98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연도</w:t>
            </w:r>
          </w:p>
        </w:tc>
        <w:tc>
          <w:tcPr>
            <w:tcW w:type="dxa" w:w="124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매출</w:t>
            </w:r>
          </w:p>
        </w:tc>
        <w:tc>
          <w:tcPr>
            <w:tcW w:type="dxa" w:w="124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EBITDA</w:t>
            </w:r>
          </w:p>
        </w:tc>
        <w:tc>
          <w:tcPr>
            <w:tcW w:type="dxa" w:w="124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FCF</w:t>
            </w:r>
          </w:p>
        </w:tc>
        <w:tc>
          <w:tcPr>
            <w:tcW w:type="dxa" w:w="136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FCF Margin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FY2019 ('18년)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$314M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-$67M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-$27M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-8.6%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FY2020 ('19년)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$403M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-$99M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-$24M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-6.0%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FY2021 ('20년)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$477M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-$109M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-$19M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-4.0%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FY2022 ('21년)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$560M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-$125M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-$115M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-20.4%</w:t>
            </w:r>
          </w:p>
        </w:tc>
      </w:tr>
    </w:tbl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매출성장률 ('18~'21년) 21.2%로 성장하였으나 FCF Margin은 -11.8%p로 역성장, '21년은 인수 후 이자부담으로 FCF 악화</w:t>
      </w:r>
    </w:p>
    <w:p>
      <w:r>
        <w:br w:type="page"/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인수 이후 상황</w:t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1) 금리 인상 및 취약한 부채 구조로 이자부담 급증 ('22년 이후)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이자 급증 : SOFR 연동 변동금리 영향으로 이자비용 급등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SOFR : 미국 달러 단기 금리 기준, LIBOR를 대체하며 미 연준 금리 결정에 연동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2268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구분</w:t>
            </w:r>
          </w:p>
        </w:tc>
        <w:tc>
          <w:tcPr>
            <w:tcW w:type="dxa" w:w="170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'21년</w:t>
            </w:r>
          </w:p>
        </w:tc>
        <w:tc>
          <w:tcPr>
            <w:tcW w:type="dxa" w:w="170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'23년</w:t>
            </w:r>
          </w:p>
        </w:tc>
        <w:tc>
          <w:tcPr>
            <w:tcW w:type="dxa" w:w="170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'26년(예상)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기준금리(SOFR)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0.75%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5.4%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3.7%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연이자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$135M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$300M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$270M</w:t>
            </w:r>
          </w:p>
        </w:tc>
      </w:tr>
    </w:tbl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부채 규모 확대 : PIK 적용으로 원금 $1.8B → 약 $2.2B (현금 미지급 이자가 원금에 누적 반영)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PIK 비중 점진 축소 ('21~'22년 100% → '22~'23년 50% → '23~'25년 35% → '25~'26년 0%)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Medallia를 통한 추가 M&amp;A 관련 차입금($0.6B) 반영 시 총부채 약 $2.8B 수준</w:t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2) 현금흐름 악화 (FCF Coverage 악화)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81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연도</w:t>
            </w:r>
          </w:p>
        </w:tc>
        <w:tc>
          <w:tcPr>
            <w:tcW w:type="dxa" w:w="107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매출(추정)</w:t>
            </w:r>
          </w:p>
        </w:tc>
        <w:tc>
          <w:tcPr>
            <w:tcW w:type="dxa" w:w="113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EBITDA(추정)</w:t>
            </w:r>
          </w:p>
        </w:tc>
        <w:tc>
          <w:tcPr>
            <w:tcW w:type="dxa" w:w="1020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FCF(추정)</w:t>
            </w:r>
          </w:p>
        </w:tc>
        <w:tc>
          <w:tcPr>
            <w:tcW w:type="dxa" w:w="96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연이자</w:t>
            </w:r>
          </w:p>
        </w:tc>
        <w:tc>
          <w:tcPr>
            <w:tcW w:type="dxa" w:w="113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FCF Coverage</w:t>
            </w:r>
          </w:p>
        </w:tc>
        <w:tc>
          <w:tcPr>
            <w:tcW w:type="dxa" w:w="136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비고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FY2022 ('21년)</w:t>
            </w:r>
          </w:p>
        </w:tc>
        <w:tc>
          <w:tcPr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$560M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-$125M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-$115M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$135M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0.85×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인수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FY2023 ('22년)</w:t>
            </w:r>
          </w:p>
        </w:tc>
        <w:tc>
          <w:tcPr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$685M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$25M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-$10M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$180M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0.06×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구조적 부실 진입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FY2024 ('23년)</w:t>
            </w:r>
          </w:p>
        </w:tc>
        <w:tc>
          <w:tcPr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$740M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$155M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-$10M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$300M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0.03×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FY2025 ('24년)</w:t>
            </w:r>
          </w:p>
        </w:tc>
        <w:tc>
          <w:tcPr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$740M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$200M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-$5M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$280M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0.02×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비용 절감 효과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FY2026 ('25년)</w:t>
            </w:r>
          </w:p>
        </w:tc>
        <w:tc>
          <w:tcPr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$735M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$200M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-$75M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$270M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0.28×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경영권 이전 결정</w:t>
            </w:r>
          </w:p>
        </w:tc>
      </w:tr>
    </w:tbl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매출은 '21~'25년 CAGR 7.0%로 성장, FCF 개선 중이었으나 연이자 2배 이상 증가로 현금흐름 악화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'25년 연간 이자비용($270M)이 EBITDA($200M)를 초과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인수 당시부터 FCF Coverage 1.0× 미만 — 인수 첫 해('21년) FCF $115M, 이자 $135M → Coverage 0.85×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FCF Coverage = FCF ÷ 연이자. 1.0× 미만 = 이자를 FCF로 감당 불가</w:t>
      </w:r>
    </w:p>
    <w:p>
      <w:r>
        <w:br w:type="page"/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3) 매각, IPO 재진입 실패로 투자금 회수 무산 ('24~'25년)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전략적 매각 불가 : 매각가 $5B 산정하였으나 Gen AI 위협·고부채 구조로 전략적 인수자 부재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IPO 재진입 불가 : 불안정 FCF, 성장률 둔화, SaaS 멀티플 수축기로 투자자 확보 어려움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자본구조 재조정 실패 : 추가 자본 조달 불가, 채권단(Blackstone) 부채 감면 거부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상품 경쟁력 약화 : Qualtrics 등 경쟁사의 AI 기능 강화로 고객 이탈 가속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성장률 둔화 : 이자 부담 증가 → 현금흐름 악화 → 혁신 투자 축소 → 상품 경쟁력 저하</w:t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4) 경영권 채권단 이전 및 투자 손실 확정 ('26.4월)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경영권 이전 배경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채권단의 현금 이자 지급 압박 (PIK 유예 중단)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인수 당시 고평가 인정과 성장의 한계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생성형 AI에 의해 대체 가능성이 높은 SaaS 기업 (SaaSpocalypse)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SaaSpocalypse : 고금리, AI대체 가능성, 성장둔화, 멀티플 붕괴로 인해 SaaS 기업들의 가치와 생존 환경이 급격히 악화된 상황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대체 투자 기회의 수익률을 고려하여 기존 투입자금은 손실 처리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채권단 보유 $2.8B 채권을 지분 전환 → 채권단이 최대주주가 됨 (Debt-to-Equity Swap)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PE 투자 역사상 최대 규모 SaaS 차입매수(LBO) 실패 사례</w:t>
      </w:r>
    </w:p>
    <w:p>
      <w:r>
        <w:br w:type="page"/>
      </w:r>
    </w:p>
    <w:p>
      <w:pPr>
        <w:spacing w:before="200" w:after="80" w:lineRule="auto" w:line="360"/>
        <w:ind w:left="0"/>
        <w:jc w:val="left"/>
      </w:pPr>
      <w:r>
        <w:rPr>
          <w:rFonts w:ascii="바탕" w:hAnsi="바탕" w:eastAsia="바탕"/>
          <w:b/>
          <w:sz w:val="26"/>
        </w:rPr>
        <w:t>4. 예상 파급 효과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Medallia</w:t>
      </w:r>
    </w:p>
    <w:p>
      <w:pPr>
        <w:spacing w:before="20" w:after="60" w:lineRule="auto" w:line="360"/>
        <w:ind w:left="850"/>
        <w:jc w:val="left"/>
      </w:pPr>
      <w:r>
        <w:rPr>
          <w:rFonts w:ascii="바탕" w:hAnsi="바탕" w:eastAsia="바탕"/>
          <w:b w:val="0"/>
          <w:sz w:val="23"/>
        </w:rPr>
        <w:t>투자 축소로 서비스 경쟁력 저하 우려, 상품 로드맵 불확실, Medallia 고객의 Qualtrics·Salesforce 등 경쟁사로 이탈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사모펀드(PE)</w:t>
      </w:r>
    </w:p>
    <w:p>
      <w:pPr>
        <w:spacing w:before="20" w:after="60" w:lineRule="auto" w:line="360"/>
        <w:ind w:left="850"/>
        <w:jc w:val="left"/>
      </w:pPr>
      <w:r>
        <w:rPr>
          <w:rFonts w:ascii="바탕" w:hAnsi="바탕" w:eastAsia="바탕"/>
          <w:b w:val="0"/>
          <w:sz w:val="23"/>
        </w:rPr>
        <w:t>유사한 구조로 인수된 SaaS 기업 리스크 재조명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Zendesk, Proofpoint 등 유사 사례 확산 가능성 (별첨3 참조)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민간 대출 시장</w:t>
      </w:r>
    </w:p>
    <w:p>
      <w:pPr>
        <w:spacing w:before="20" w:after="60" w:lineRule="auto" w:line="360"/>
        <w:ind w:left="850"/>
        <w:jc w:val="left"/>
      </w:pPr>
      <w:r>
        <w:rPr>
          <w:rFonts w:ascii="바탕" w:hAnsi="바탕" w:eastAsia="바탕"/>
          <w:b w:val="0"/>
          <w:sz w:val="23"/>
        </w:rPr>
        <w:t>Blackstone 등 채권자도 원금 회수 불확실성 확대 → 민간 대출 시장 리스크 현실화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① 금리 상승 시 이자수익 증가로 설계하였으나 Medallia의 부채 상환 능력을 떨어뜨리는 결과 초래 ($1.8B → $2.8B)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② 부채 감면 거부 후 경영권을 인수하였으나 매각가치가 $2.8B 미만으로 추정되어 원금 손실 가능성 높음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SaaS M&amp;A 시장</w:t>
      </w:r>
    </w:p>
    <w:p>
      <w:pPr>
        <w:spacing w:before="20" w:after="60" w:lineRule="auto" w:line="360"/>
        <w:ind w:left="850"/>
        <w:jc w:val="left"/>
      </w:pPr>
      <w:r>
        <w:rPr>
          <w:rFonts w:ascii="바탕" w:hAnsi="바탕" w:eastAsia="바탕"/>
          <w:b w:val="0"/>
          <w:sz w:val="23"/>
        </w:rPr>
        <w:t>SaaS의 밸류에이션이 조정되는 과정으로 고부채 SaaS매물 증가 가능성</w:t>
      </w:r>
    </w:p>
    <w:p>
      <w:r>
        <w:br w:type="page"/>
      </w:r>
    </w:p>
    <w:p>
      <w:pPr>
        <w:spacing w:before="200" w:after="80" w:lineRule="auto" w:line="360"/>
        <w:ind w:left="0"/>
        <w:jc w:val="left"/>
      </w:pPr>
      <w:r>
        <w:rPr>
          <w:rFonts w:ascii="바탕" w:hAnsi="바탕" w:eastAsia="바탕"/>
          <w:b/>
          <w:sz w:val="26"/>
        </w:rPr>
        <w:t>5. 시사점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SaaS기업의 M&amp;A 검토 시 현금창출능력 고려 必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현금창출능력을 평가하기 위해서는 잉여현금흐름(FCF), 부채상환능력(EV/Par Coverage) 및 Rule of 40도 함께 평가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잉여현금흐름(FCF) : 이자상환능력(FCF Coverage) 최소 1 이상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성장+수익 균형 : Rule of 40 최소 30 이상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부채상환능력(EV/Par Coverage) : 최소 2 이상</w:t>
      </w:r>
    </w:p>
    <w:p>
      <w:pPr>
        <w:spacing w:before="0" w:after="40" w:lineRule="auto" w:line="360"/>
        <w:ind w:left="1417" w:hanging="283"/>
        <w:jc w:val="left"/>
      </w:pPr>
      <w:r>
        <w:rPr>
          <w:rFonts w:ascii="바탕" w:hAnsi="바탕" w:eastAsia="바탕"/>
          <w:b w:val="0"/>
          <w:sz w:val="22"/>
        </w:rPr>
        <w:t>· 고객유지력 : NRR 최소 110% 이상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솔루션의 Gen AI대체 가능성 판단 기준 수립 必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데이터 독점/폐쇄성 : 특정 기업 보유 데이터 혹은 계약/규제로 접근이 어려운 데이터일 경우 대체 가능성 低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사용량 또는 성과 기반 가격 체계 : 대체 가능성 低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치명적 리스크가 있는 분야 : 고도의 전문지식, 높은 정확성/신뢰성 요구 분야 대체가능성 低</w:t>
      </w:r>
    </w:p>
    <w:p>
      <w:pPr>
        <w:spacing w:before="100" w:after="40" w:lineRule="auto" w:line="360"/>
        <w:ind w:left="283"/>
        <w:jc w:val="left"/>
      </w:pPr>
      <w:r>
        <w:rPr>
          <w:rFonts w:ascii="바탕" w:hAnsi="바탕" w:eastAsia="바탕"/>
          <w:b w:val="0"/>
          <w:sz w:val="24"/>
        </w:rPr>
        <w:t>□ 자사솔루션에 대한 현금흐름 모니터링 체계 필요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매출/영업이익 등 경영실적 외에도 Rule of 40, 잉여현금흐름(FCF), NRR 등 통합 모니터링 (사업건전성 대시보드 활용)</w:t>
      </w:r>
    </w:p>
    <w:p>
      <w:pPr>
        <w:spacing w:before="400" w:after="0" w:lineRule="auto" w:line="360"/>
        <w:ind w:left="0"/>
        <w:jc w:val="right"/>
      </w:pPr>
      <w:r>
        <w:rPr>
          <w:rFonts w:ascii="바탕" w:hAnsi="바탕" w:eastAsia="바탕"/>
          <w:b/>
          <w:sz w:val="24"/>
        </w:rPr>
        <w:t>- 以 上 -</w:t>
      </w:r>
    </w:p>
    <w:p>
      <w:r>
        <w:br w:type="page"/>
      </w:r>
    </w:p>
    <w:p>
      <w:pPr>
        <w:spacing w:before="160" w:after="16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【 별첨 1 】 Medallia 상세 프로필</w:t>
      </w:r>
    </w:p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기업 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170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708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기업명</w:t>
            </w:r>
          </w:p>
        </w:tc>
        <w:tc>
          <w:tcPr>
            <w:tcW w:type="dxa" w:w="708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Medallia, Inc.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설립</w:t>
            </w:r>
          </w:p>
        </w:tc>
        <w:tc>
          <w:tcPr>
            <w:tcW w:type="dxa" w:w="708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'01년 (미국 캘리포니아)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창립자</w:t>
            </w:r>
          </w:p>
        </w:tc>
        <w:tc>
          <w:tcPr>
            <w:tcW w:type="dxa" w:w="708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Borge Hald, Amy Pressman (Fortune 500 기업 임원 컨설팅 경험 기반 창업)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본사</w:t>
            </w:r>
          </w:p>
        </w:tc>
        <w:tc>
          <w:tcPr>
            <w:tcW w:type="dxa" w:w="708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San Francisco, CA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임직원 수</w:t>
            </w:r>
          </w:p>
        </w:tc>
        <w:tc>
          <w:tcPr>
            <w:tcW w:type="dxa" w:w="708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약 2,037명 ('21.1월 기준)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상장 이력</w:t>
            </w:r>
          </w:p>
        </w:tc>
        <w:tc>
          <w:tcPr>
            <w:tcW w:type="dxa" w:w="708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'19.7월 NYSE 상장 (MDLA, 공모가 $21) → '21.10월 Thoma Bravo 인수로 상장폐지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현재 상태</w:t>
            </w:r>
          </w:p>
        </w:tc>
        <w:tc>
          <w:tcPr>
            <w:tcW w:type="dxa" w:w="708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채권단(Blackstone 等) 관리하 구조조정 中 ('26년)</w:t>
            </w:r>
          </w:p>
        </w:tc>
      </w:tr>
    </w:tbl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제품·솔루션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198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카테고리</w:t>
            </w:r>
          </w:p>
        </w:tc>
        <w:tc>
          <w:tcPr>
            <w:tcW w:type="dxa" w:w="6803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주요 솔루션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고객경험 (CX)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고객경험 관리(CEM), 디지털 경험 분석, 경험 오케스트레이션, 개인화 메시징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직원경험 (EX)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직원 리스닝(Listening), 직원 활성화(Activation) 플랫폼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컨택센터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대화형 인텔리전스, 상담원 코칭, 품질 관리, 지능형 콜백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AI·분석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Frontline-Ready AI™ — 별도 교육 없이 현장 즉시 활용 가능한 내장형 AI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시장조사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애자일 리서치(Agile Research), 비디오 조사</w:t>
            </w:r>
          </w:p>
        </w:tc>
      </w:tr>
    </w:tbl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주요 고객 및 시장 지위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주요 글로벌 고객 : Airbnb, Volvo Cars, 3M, Johnson &amp; Johnson, MetLife, PetSmart 等 Fortune 500 다수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주요 산업군 : 금융 서비스, 항공, 호텔·숙박, 통신, 소매, B2B 기업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Gartner Magic Quadrant '26년 'Leader' 선정 (CX 관리 플랫폼 부문)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주요 경쟁사 : Qualtrics(SAP 계열), NICE Satmetrix, Salesforce Experience Cloud, Sprinklr</w:t>
      </w:r>
    </w:p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재무 현황 (상장폐지 직전 공개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2268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170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수치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기준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연간 매출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$477M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FY2020 (상장 당시 공개)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순손실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-$149M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FY2020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인수 후 추정 매출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약 $700M대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'21년 인수 당시 기준 (추정)</w:t>
            </w:r>
          </w:p>
        </w:tc>
      </w:tr>
    </w:tbl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'21년 상장폐지 후 재무 정보 비공개. 이자비용 급증으로 인한 FCF 악화는 기사 분석 기반</w:t>
      </w:r>
    </w:p>
    <w:p>
      <w:r>
        <w:br w:type="page"/>
      </w:r>
    </w:p>
    <w:p>
      <w:pPr>
        <w:spacing w:before="160" w:after="16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【 별첨 2 】 Thoma Bravo 상세 프로필</w:t>
      </w:r>
    </w:p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기업 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198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803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기업명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Thoma Bravo, LP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설립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'08년 공식 설립 (전신: '80년 설립된 Golder Thoma &amp; Co.)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본사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San Francisco, CA / Chicago, IL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운용자산(AUM)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$183B 이상 ('25.12.31 기준)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누적 거래 건수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565건 이상 완료, 누적 대표 가치 $305B 이상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특화 분야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엔터프라이즈 소프트웨어, 인프라 소프트웨어, 사이버보안, 기술 서비스</w:t>
            </w:r>
          </w:p>
        </w:tc>
      </w:tr>
    </w:tbl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주요 포트폴리오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2268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기업명</w:t>
            </w:r>
          </w:p>
        </w:tc>
        <w:tc>
          <w:tcPr>
            <w:tcW w:type="dxa" w:w="3969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분야</w:t>
            </w:r>
          </w:p>
        </w:tc>
        <w:tc>
          <w:tcPr>
            <w:tcW w:type="dxa" w:w="255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인수금액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Proofpoint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엔터프라이즈 사이버보안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$12.3B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Anaplan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기업 계획(Planning) 플랫폼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$10.7B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Stamps.com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우편·배송 SaaS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$6.6B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Medallia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CX 관리 플랫폼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(손실 확정) $6.4B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Coupa Software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조달 자동화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$6.2B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Sophos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엔드포인트 보안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$3.9B</w:t>
            </w:r>
          </w:p>
        </w:tc>
      </w:tr>
    </w:tbl>
    <w:p>
      <w:r>
        <w:br w:type="page"/>
      </w:r>
    </w:p>
    <w:p>
      <w:pPr>
        <w:spacing w:before="160" w:after="16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【 별첨 3 】 LBO(차입매수)를 통한 인수 사례 ('21~'22년)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c>
          <w:tcPr>
            <w:tcW w:type="dxa" w:w="107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기업명</w:t>
            </w:r>
          </w:p>
        </w:tc>
        <w:tc>
          <w:tcPr>
            <w:tcW w:type="dxa" w:w="113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PE 인수사</w:t>
            </w:r>
          </w:p>
        </w:tc>
        <w:tc>
          <w:tcPr>
            <w:tcW w:type="dxa" w:w="73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인수시기</w:t>
            </w:r>
          </w:p>
        </w:tc>
        <w:tc>
          <w:tcPr>
            <w:tcW w:type="dxa" w:w="96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인수금액</w:t>
            </w:r>
          </w:p>
        </w:tc>
        <w:tc>
          <w:tcPr>
            <w:tcW w:type="dxa" w:w="90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Multiple</w:t>
              <w:br/>
              <w:t>(Revenue)</w:t>
            </w:r>
          </w:p>
        </w:tc>
        <w:tc>
          <w:tcPr>
            <w:tcW w:type="dxa" w:w="90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FCF</w:t>
              <w:br/>
              <w:t>Coverage</w:t>
            </w:r>
          </w:p>
        </w:tc>
        <w:tc>
          <w:tcPr>
            <w:tcW w:type="dxa" w:w="124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사업 영역</w:t>
            </w:r>
          </w:p>
        </w:tc>
        <w:tc>
          <w:tcPr>
            <w:tcW w:type="dxa" w:w="181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현재 상태('26년)</w:t>
            </w:r>
          </w:p>
        </w:tc>
      </w:tr>
      <w:tr>
        <w:tc>
          <w:tcPr>
            <w:tcW w:type="dxa" w:w="107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Proofpoint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Thoma Bravo</w:t>
            </w:r>
          </w:p>
        </w:tc>
        <w:tc>
          <w:tcPr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'21.4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$12.3B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10~11×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1.0×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사이버보안 SaaS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재상장 검토 중. 추정 부채 $5.3B. 사이버보안 수요 견조</w:t>
            </w:r>
          </w:p>
        </w:tc>
      </w:tr>
      <w:tr>
        <w:tc>
          <w:tcPr>
            <w:tcW w:type="dxa" w:w="107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RealPage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Thoma Bravo</w:t>
            </w:r>
          </w:p>
        </w:tc>
        <w:tc>
          <w:tcPr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'21.4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$10.2B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8.5~9×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0.8×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부동산 관리 SaaS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FTC 반독점 소송 진행 중. 소송 리스크 부담</w:t>
            </w:r>
          </w:p>
        </w:tc>
      </w:tr>
      <w:tr>
        <w:tc>
          <w:tcPr>
            <w:tcW w:type="dxa" w:w="107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Zendesk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Permira·H&amp;F</w:t>
            </w:r>
          </w:p>
        </w:tc>
        <w:tc>
          <w:tcPr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'22.11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$10.2B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6.5~7×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0.7×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CX SaaS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AI 전환 진행 중. GenAI 대체 압력 존재. 구조조정 일부 시행</w:t>
            </w:r>
          </w:p>
        </w:tc>
      </w:tr>
      <w:tr>
        <w:tc>
          <w:tcPr>
            <w:tcW w:type="dxa" w:w="107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Qualtrics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Silver Lake·CPP</w:t>
            </w:r>
          </w:p>
        </w:tc>
        <w:tc>
          <w:tcPr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'23.6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$12.5B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8~9×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1.0×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XM(경험관리) SaaS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SAP 분리 후 인수 완료. GenAI 위험 노출. Exit 경로 불확실</w:t>
            </w:r>
          </w:p>
        </w:tc>
      </w:tr>
      <w:tr>
        <w:tc>
          <w:tcPr>
            <w:tcW w:type="dxa" w:w="107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Avalara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Vista Equity</w:t>
            </w:r>
          </w:p>
        </w:tc>
        <w:tc>
          <w:tcPr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'22.10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$8.4B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9~10×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1.2×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세금 자동화 SaaS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세금 규정 복잡성으로 GenAI 대체 낮음. 비교적 안정적</w:t>
            </w:r>
          </w:p>
        </w:tc>
      </w:tr>
      <w:tr>
        <w:tc>
          <w:tcPr>
            <w:tcW w:type="dxa" w:w="107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Medallia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Thoma Bravo</w:t>
            </w:r>
          </w:p>
        </w:tc>
        <w:tc>
          <w:tcPr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'21.7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$6.4B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9×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0.67×→0.4×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CX 관리 SaaS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채권단 경영권 이전 완료. 손실 확정. PE 역사상 최대 SaaS LBO 손실</w:t>
            </w:r>
          </w:p>
        </w:tc>
      </w:tr>
      <w:tr>
        <w:tc>
          <w:tcPr>
            <w:tcW w:type="dxa" w:w="107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SailPoint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Thoma Bravo</w:t>
            </w:r>
          </w:p>
        </w:tc>
        <w:tc>
          <w:tcPr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'22.4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$6.9B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11~12×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1.3×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ID 보안 SaaS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재상장 성공('24.5월, NYSE). FCF 개선. 동일 PE의 성공 사례</w:t>
            </w:r>
          </w:p>
        </w:tc>
      </w:tr>
    </w:tbl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FCF Coverage = FCF ÷ 연이자 (1.0 미만일 경우 이자를 FCF로 감당 불가)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Medallia 수치만 분석 기사(OnlyCFO) 기반 확인치; 나머지는 공개 재무 데이터 추정치.</w:t>
      </w:r>
    </w:p>
    <w:p>
      <w:r>
        <w:br w:type="page"/>
      </w:r>
    </w:p>
    <w:p>
      <w:pPr>
        <w:spacing w:before="160" w:after="16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【 별첨 4 】 이해관계자 관점 분석 : Thoma Bravo vs Blackstone</w:t>
      </w:r>
    </w:p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Thoma Bravo : PE 투자자 (Equity) 관점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124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3685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당시 판단</w:t>
            </w:r>
          </w:p>
        </w:tc>
        <w:tc>
          <w:tcPr>
            <w:tcW w:type="dxa" w:w="3855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사후 평가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투자 논거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EV/Revenue 9× = 업계 평균(15~20×) 대비 저렴. ARR 23~26% 고성장, Gartner MQ Leader, Fortune 500 고객 기반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저렴한 멀티플이 낮은 FCF 창출력을 가렸음. FCF Coverage 0.67×는 "위험 신호"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FCF 개선 기대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TB 플레이북(S&amp;M 절감, 헤드카운트 최적화) 적용 → 3~5년 내 FCF Coverage 1.5× 달성 전망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실제 FCF 개선 속도 &lt; 이자 상승 속도. 성장 둔화 + 금리 인상이 겹쳐 플레이북 작동 불가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금리 리스크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초저금리(LIBOR 0.75%) 환경에서 연이자 $135M은 감당 가능. 금리 헤지 불필요로 판단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SOFR 100% 변동금리 노출 → 이자 $135M→$300M. 금리 스왑 미실행이 결정적 패착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Exit 전략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"3~5년 내 IPO 또는 전략 매각", 시장 회복 시 멀티플 재팽창 기대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SaaS 멀티플 수축 + GenAI 대체 압력 + 부채 $2.78B → 4가지 회수 경로 모두 차단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추가 투자 거절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Bloomberg '26.4월: 추가 $500M 투입해도 EV/Par Coverage 1.0× 미달. LP 신뢰 손상 우려 → 거절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이 결정이 실질적 손실 확정 선언이었음</w:t>
            </w:r>
          </w:p>
        </w:tc>
      </w:tr>
    </w:tbl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Blackstone : 채권자 (Debt) 관점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124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3685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당시 판단</w:t>
            </w:r>
          </w:p>
        </w:tc>
        <w:tc>
          <w:tcPr>
            <w:tcW w:type="dxa" w:w="3855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사후 평가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대출 논거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TB 포트폴리오사 → PE 최상위 보증 효과. Senior Secured 구조로 원금 보호. 담보: Medallia 전체 자산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PE 보증 효과는 TB의 추가 투자 거절로 소멸. EV가 원금 아래 하락 시 담보 효과도 소멸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변동금리 설계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SOFR 연동: 금리 상승 시 이자 수익 자동 증가 — 대출자에게 구조적으로 유리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금리 상승으로 이자 수익은 증가했으나 Medallia 상환 능력 파괴 — 자기 파괴적 역설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PIK 허용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초기 현금 부담 완화 → 포트폴리오 생존 기간 연장 → 대출 상환 가능성 제고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PIK 복리 누적으로 원금 $1.8B → $2.78B. EV/Par Coverage 급락의 직접 원인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D/E Swap 결과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헤어컷(부채 감면) 거부 → Debt-to-Equity Swap: 명목상 Medallia 대주주 취득</w:t>
            </w:r>
          </w:p>
        </w:tc>
        <w:tc>
          <w:tcPr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실제 Exit 가치는 원금 $2.78B 미만으로 추정 — "원하지 않은 Equity"를 보유하게 된 아이러니</w:t>
            </w:r>
          </w:p>
        </w:tc>
      </w:tr>
    </w:tbl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이해관계자별 개선 기준 : 사례 역산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158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3742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Thoma Bravo (PE 투자자)</w:t>
            </w:r>
          </w:p>
        </w:tc>
        <w:tc>
          <w:tcPr>
            <w:tcW w:type="dxa" w:w="3458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Blackstone (채권자)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FCF Coverage 기준</w:t>
            </w:r>
          </w:p>
        </w:tc>
        <w:tc>
          <w:tcPr>
            <w:tcW w:type="dxa" w:w="374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FCF Coverage ≥ 1.5× 이상만 변동금리 LBO 진행</w:t>
            </w:r>
          </w:p>
        </w:tc>
        <w:tc>
          <w:tcPr>
            <w:tcW w:type="dxa" w:w="345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차입자 FCF Coverage ≥ 1.5× 이상 대출 승인 (미달 시 고정금리 요구)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금리 헤지</w:t>
            </w:r>
          </w:p>
        </w:tc>
        <w:tc>
          <w:tcPr>
            <w:tcW w:type="dxa" w:w="374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변동금리 차입액의 30~50% 금리 스왑(IRS) 헤지 의무화</w:t>
            </w:r>
          </w:p>
        </w:tc>
        <w:tc>
          <w:tcPr>
            <w:tcW w:type="dxa" w:w="345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차입자에게 금리 캡(Interest Rate Cap) 취득 요구 조항 삽입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PIK 제한</w:t>
            </w:r>
          </w:p>
        </w:tc>
        <w:tc>
          <w:tcPr>
            <w:tcW w:type="dxa" w:w="374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PIK 비중 50% 이하, 허용 기간 최대 2년으로 계약 제한</w:t>
            </w:r>
          </w:p>
        </w:tc>
        <w:tc>
          <w:tcPr>
            <w:tcW w:type="dxa" w:w="345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PIK 허용 기간 최대 2년. 이후 현금 이자 전환 의무화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EV/Par 경보</w:t>
            </w:r>
          </w:p>
        </w:tc>
        <w:tc>
          <w:tcPr>
            <w:tcW w:type="dxa" w:w="374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EV/Par Coverage 2.0× 이하 → 추가 Equity 투입 또는 Exit 가속화</w:t>
            </w:r>
          </w:p>
        </w:tc>
        <w:tc>
          <w:tcPr>
            <w:tcW w:type="dxa" w:w="345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EV/Par Coverage 1.5× 이하 → 조기 상환 요구 또는 금리 재협상 트리거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Exit 조건 명시</w:t>
            </w:r>
          </w:p>
        </w:tc>
        <w:tc>
          <w:tcPr>
            <w:tcW w:type="dxa" w:w="374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FCF Coverage 2.0× 달성 시 Exit 추진으로 계약에 명시</w:t>
            </w:r>
          </w:p>
        </w:tc>
        <w:tc>
          <w:tcPr>
            <w:tcW w:type="dxa" w:w="345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대출 만기 내 Exit 미실현 시 조기 상환권 확보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GenAI 대체 평가</w:t>
            </w:r>
          </w:p>
        </w:tc>
        <w:tc>
          <w:tcPr>
            <w:tcW w:type="dxa" w:w="374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핵심 기능 중 LLM 대체 가능 비중 ≥ 40% → 투자 제한 또는 멀티플 할인</w:t>
            </w:r>
          </w:p>
        </w:tc>
        <w:tc>
          <w:tcPr>
            <w:tcW w:type="dxa" w:w="345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GenAI 고대체 위험 기업 대출 시 리스크 프리미엄(spread) 추가 100bp 적용</w:t>
            </w:r>
          </w:p>
        </w:tc>
      </w:tr>
    </w:tbl>
    <w:p>
      <w:r>
        <w:br w:type="page"/>
      </w:r>
    </w:p>
    <w:p>
      <w:pPr>
        <w:spacing w:before="160" w:after="16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【 별첨 5 】 Qualtrics vs Medallia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170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4252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Qualtrics</w:t>
            </w:r>
          </w:p>
        </w:tc>
        <w:tc>
          <w:tcPr>
            <w:tcW w:type="dxa" w:w="2835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Medallia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설립 / 소재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'02년 / 미국 Provo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'01년 / 미국 San Francisco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현재 소유구조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Silver Lake·CPP 컨소시엄 / '23년 SAP에서 분리 인수 ($12.5B)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채권단(Blackstone 등) 경영권 이전 / '26.4월 Debt-to-Equity Swap 완료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연매출 추정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$1.5B (FY2023 추정)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$760M (FY2025 추정)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인수 Multiple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EV/Revenue ≈ 8~9× ('23년)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EV/Revenue ≈ 9× ('21년)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핵심 강점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XM 플랫폼 통합성 (EX·CX·BX·PX 4축) / SAP ERP 연동 고객 기반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옴니채널 데이터 파이프라인 / Fortune 500 대기업 워크플로우 내재화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상품 구성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XM Platform, CoreXM, EmployeeXM, CustomerXM, BrandXM, DesignXM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CX·EX 피드백 플랫폼, NPS 측정, Frontline-Ready AI™, 옴니채널 인텔리전스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주요 고객층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엔터프라이즈·중견기업 혼합 (SAP 고객 연계로 다양한 산업)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Fortune 500 대기업 집중 (금융·항공·호텔·통신)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AI / GenAI 대응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AI 기능 강화 지속 투자 (SAP AI Core 연계) / Qualtrics AI™ 출시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Frontline-Ready AI™ 보유하나 경쟁사 대비 투자 열위 (FCF 압박)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GenAI 대체 위험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중위험. XM 통합 플랫폼으로 방어력 상대적 高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고위험. 분석·보고서 레이어 LLM 즉시 대체 가능 영역 비중 큼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FCF 상태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추정 중 (비공개). 단, 인수 당시 흑자 전환 근접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'21년~'26년 FCF Coverage 0.40~0.67× / 단 한 번도 1.0× 미달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부채 구조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변동금리 LBO 차입 포함 — 구조 유사 (상세 비공개)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$1.8B → PIK 누적 $2.78B / SOFR 연동 변동금리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Exit 현황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IPO 재추진 검토 중 (불확실) / Silver Lake 보유 기간 연장 가능성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Exit 실패 확정 — 채권단 경영권 이전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Gartner MQ 위치</w:t>
            </w:r>
          </w:p>
        </w:tc>
        <w:tc>
          <w:tcPr>
            <w:tcW w:type="dxa" w:w="425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Leader (1위 — Ability to Execute 최상위)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Leader (2위 — Completeness of Vision 우수)</w:t>
            </w:r>
          </w:p>
        </w:tc>
      </w:tr>
    </w:tbl>
    <w:p>
      <w:r>
        <w:br w:type="page"/>
      </w:r>
    </w:p>
    <w:p>
      <w:pPr>
        <w:spacing w:before="160" w:after="16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【 별첨 6 】 SaaS 기업의 M&amp;A 검토 시 평가 기준(안)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141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198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체크 항목</w:t>
            </w:r>
          </w:p>
        </w:tc>
        <w:tc>
          <w:tcPr>
            <w:tcW w:type="dxa" w:w="3118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Medallia 사례 결과</w:t>
            </w:r>
          </w:p>
        </w:tc>
        <w:tc>
          <w:tcPr>
            <w:tcW w:type="dxa" w:w="2268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최소 기준(안)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현금창출력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FCF Coverage</w:t>
              <w:br/>
              <w:t>(FCF ÷ 예상 이자)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인수 당시 0.67× — 미달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≥ 1.5×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고객 유지력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NRR 지속 가능성 + 업셀링 경로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IPO 시 126%→116% 하락 추세 / 인수 후 추가 하락 추정 (비공개)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NRR ≥ 110%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성장+수익 균형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Rule of 40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10 (업계 하위 10%)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≥ 30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GenAI 대체 가능성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핵심 기능</w:t>
              <w:br/>
              <w:t>GenAI 대체 가능성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분석 레이어 고위험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데이터 인프라</w:t>
              <w:br/>
              <w:t>레이어 비중 확인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금리 내성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고금리 3년 지속 시 FCF 시뮬레이션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시뮬레이션 없이 인수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SOFR +2%</w:t>
              <w:br/>
              <w:t>스트레스 테스트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EV/Par Coverage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EV ÷ Loan Par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인수 3.56× → '26년 0.79×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2.0× 이하 경보</w:t>
              <w:br/>
              <w:t>1.5× 이하 위험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Exit 계획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FCF 기반 구체적 Exit 조건 사전 명시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"시장 회복 시 IPO" 조건 없음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FCF Coverage 2.0× 도달 시 Exit 추진</w:t>
            </w:r>
          </w:p>
        </w:tc>
      </w:tr>
    </w:tbl>
    <w:p>
      <w:r>
        <w:br w:type="page"/>
      </w:r>
    </w:p>
    <w:p>
      <w:pPr>
        <w:spacing w:before="160" w:after="16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【 별첨 7 】 PIK 원금 누적 시뮬레이션 및 EV/Par Coverage 이탈 과정</w:t>
      </w:r>
    </w:p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PIK 원금 누적 시뮬레이션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96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기간</w:t>
            </w:r>
          </w:p>
        </w:tc>
        <w:tc>
          <w:tcPr>
            <w:tcW w:type="dxa" w:w="850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PIK 비중</w:t>
            </w:r>
          </w:p>
        </w:tc>
        <w:tc>
          <w:tcPr>
            <w:tcW w:type="dxa" w:w="113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기초 원금</w:t>
            </w:r>
          </w:p>
        </w:tc>
        <w:tc>
          <w:tcPr>
            <w:tcW w:type="dxa" w:w="113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PIK이자 누적</w:t>
            </w:r>
          </w:p>
        </w:tc>
        <w:tc>
          <w:tcPr>
            <w:tcW w:type="dxa" w:w="113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현금이자 지급</w:t>
            </w:r>
          </w:p>
        </w:tc>
        <w:tc>
          <w:tcPr>
            <w:tcW w:type="dxa" w:w="141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기타 증감</w:t>
            </w:r>
          </w:p>
        </w:tc>
        <w:tc>
          <w:tcPr>
            <w:tcW w:type="dxa" w:w="2154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기말 원금</w:t>
            </w:r>
          </w:p>
        </w:tc>
      </w:tr>
      <w:tr>
        <w:tc>
          <w:tcPr>
            <w:tcW w:type="dxa" w:w="96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'21~'22</w:t>
            </w:r>
          </w:p>
        </w:tc>
        <w:tc>
          <w:tcPr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100%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$1.80B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+$0.14B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$0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—</w:t>
            </w:r>
          </w:p>
        </w:tc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$1.94B</w:t>
            </w:r>
          </w:p>
        </w:tc>
      </w:tr>
      <w:tr>
        <w:tc>
          <w:tcPr>
            <w:tcW w:type="dxa" w:w="96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'22~'23</w:t>
            </w:r>
          </w:p>
        </w:tc>
        <w:tc>
          <w:tcPr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50%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$1.94B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+$0.10B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$0.10B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—</w:t>
            </w:r>
          </w:p>
        </w:tc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$2.04B</w:t>
            </w:r>
          </w:p>
        </w:tc>
      </w:tr>
      <w:tr>
        <w:tc>
          <w:tcPr>
            <w:tcW w:type="dxa" w:w="96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'23~'25</w:t>
            </w:r>
          </w:p>
        </w:tc>
        <w:tc>
          <w:tcPr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35%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$2.04B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+$0.14B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$0.18B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추가차입 +$0.60B</w:t>
            </w:r>
          </w:p>
        </w:tc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$2.78B</w:t>
            </w:r>
          </w:p>
        </w:tc>
      </w:tr>
      <w:tr>
        <w:tc>
          <w:tcPr>
            <w:tcW w:type="dxa" w:w="964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'25~'26</w:t>
            </w:r>
          </w:p>
        </w:tc>
        <w:tc>
          <w:tcPr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0%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$2.78B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$0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$0.27B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—</w:t>
            </w:r>
          </w:p>
        </w:tc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$2.78B → D/E Swap</w:t>
            </w:r>
          </w:p>
        </w:tc>
      </w:tr>
    </w:tbl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PIK(Payment-in-Kind): 현금 대신 원금 증가로 이자를 갚는 구조. 단기 현금 부담을 줄이되 원금이 복리로 증가</w:t>
      </w:r>
    </w:p>
    <w:p>
      <w:pPr>
        <w:spacing w:before="160" w:after="60" w:lineRule="auto" w:line="360"/>
        <w:ind w:left="0"/>
        <w:jc w:val="left"/>
        <w:pBdr>
          <w:bottom w:val="single" w:sz="4" w:space="1" w:color="888888"/>
        </w:pBdr>
      </w:pPr>
      <w:r>
        <w:rPr>
          <w:rFonts w:ascii="바탕" w:hAnsi="바탕" w:eastAsia="바탕"/>
          <w:b/>
          <w:sz w:val="24"/>
        </w:rPr>
        <w:t>EV/Par Coverage 임계치 이탈 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41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시점</w:t>
            </w:r>
          </w:p>
        </w:tc>
        <w:tc>
          <w:tcPr>
            <w:tcW w:type="dxa" w:w="141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추정 EV</w:t>
            </w:r>
          </w:p>
        </w:tc>
        <w:tc>
          <w:tcPr>
            <w:tcW w:type="dxa" w:w="141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Loan Par</w:t>
            </w:r>
          </w:p>
        </w:tc>
        <w:tc>
          <w:tcPr>
            <w:tcW w:type="dxa" w:w="1701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EV/Par Coverage</w:t>
            </w:r>
          </w:p>
        </w:tc>
        <w:tc>
          <w:tcPr>
            <w:tcW w:type="dxa" w:w="2835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상태 판정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'21년 인수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$6.40B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$1.80B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3.56×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안전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'22년 말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~$5.20B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$1.94B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2.68×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안전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'23년 말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~$4.00B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$2.20B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1.82×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주의 (2.0× 하회)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'24년 말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~$3.00B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$2.78B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1.08×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위험 (1.5× 하회)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'26.1분기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~$2.20B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$2.78B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color w:val="B00000"/>
                <w:sz w:val="21"/>
              </w:rPr>
              <w:t>0.79×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임계치 이탈 → 경영권 이전</w:t>
            </w:r>
          </w:p>
        </w:tc>
      </w:tr>
    </w:tbl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EV/Par Coverage = EV ÷ Loan Par. 1.0× 미만 = 기업가치가 누적 부채를 충당 못함 → 채권단의 D/E Swap 논리 성립</w:t>
      </w:r>
    </w:p>
    <w:p>
      <w:pPr>
        <w:spacing w:before="20" w:after="40" w:lineRule="auto" w:line="360"/>
        <w:ind w:left="1134" w:hanging="397"/>
        <w:jc w:val="left"/>
      </w:pPr>
      <w:r>
        <w:rPr>
          <w:rFonts w:ascii="바탕" w:hAnsi="바탕" w:eastAsia="바탕"/>
          <w:b w:val="0"/>
          <w:color w:val="505050"/>
          <w:sz w:val="19"/>
        </w:rPr>
        <w:t>※ EV 추정: 당해연도 추정 매출 × 동종 SaaS 평균 EV/Revenue 멀티플 역산 ('21년 9× → '23년 5× → '25년 3×). 상장폐지 이후 추정치 사용.</w:t>
      </w:r>
    </w:p>
    <w:p>
      <w:r>
        <w:br w:type="page"/>
      </w:r>
    </w:p>
    <w:p>
      <w:pPr>
        <w:spacing w:before="160" w:after="16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【 별첨 8 】 SaaS 기업가치 평가의 새로운 기준 : Gen AI 대체 가능성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1587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3118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가능성 높음</w:t>
            </w:r>
          </w:p>
        </w:tc>
        <w:tc>
          <w:tcPr>
            <w:tcW w:type="dxa" w:w="4082"/>
            <w:shd w:val="clear" w:color="auto" w:fill="1e1e1e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/>
                <w:color w:val="FFFFFF"/>
                <w:sz w:val="21"/>
              </w:rPr>
              <w:t>가능성 낮음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워크플로우</w:t>
              <w:br/>
              <w:t>복잡/자율성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단일 작업 중심</w:t>
            </w:r>
          </w:p>
        </w:tc>
        <w:tc>
          <w:tcPr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부서간 데이터 연계, 권한/예외/연동이 포함된 복합적인 워크플로우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데이터의</w:t>
              <w:br/>
              <w:t>독점/폐쇄성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공개정보 및 인터넷 데이터 기반 범용 기능</w:t>
            </w:r>
          </w:p>
        </w:tc>
        <w:tc>
          <w:tcPr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기업 내부에 축적된 프라이빗 데이터를 학습, 산업별 인사이트 제공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기능 vs.</w:t>
              <w:br/>
              <w:t>기록 시스템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UI/UX의 편리함이나 특정 기능 제공 위주</w:t>
              <w:br/>
              <w:t>(AI 에이전트는 UI의 의미가 희석됨)</w:t>
            </w:r>
          </w:p>
        </w:tc>
        <w:tc>
          <w:tcPr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기업의 핵심 정보를 저장/관리, 보안/규제에 의해 통제되는 기록 시스템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도메인 전문성/</w:t>
              <w:br/>
              <w:t>맥락 이해도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범용 LLM/일반 지식으로 해결 가능</w:t>
            </w:r>
          </w:p>
        </w:tc>
        <w:tc>
          <w:tcPr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고도의 전문 지식과 업계의 특유 맥락 요구, 환각 발생시 치명적 리스크 존재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rFonts w:ascii="바탕" w:hAnsi="바탕" w:eastAsia="바탕"/>
                <w:b w:val="0"/>
                <w:sz w:val="21"/>
              </w:rPr>
              <w:t>고객 전환비용/</w:t>
              <w:br/>
              <w:t>생태계 종속성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타 AI 모델/API로 이전 용이, 대체재 다수</w:t>
            </w:r>
          </w:p>
        </w:tc>
        <w:tc>
          <w:tcPr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바탕" w:hAnsi="바탕" w:eastAsia="바탕"/>
                <w:b w:val="0"/>
                <w:sz w:val="21"/>
              </w:rPr>
              <w:t>고객사 내부 시스템과 통합되어 있어 쉽게 들어내기 어려운 구조</w:t>
            </w:r>
          </w:p>
        </w:tc>
      </w:tr>
    </w:tbl>
    <w:p>
      <w:r>
        <w:br w:type="page"/>
      </w:r>
    </w:p>
    <w:p>
      <w:pPr>
        <w:spacing w:before="0" w:after="240" w:lineRule="auto" w:line="360"/>
        <w:ind w:left="0"/>
        <w:jc w:val="center"/>
      </w:pPr>
      <w:r>
        <w:rPr>
          <w:rFonts w:ascii="바탕" w:hAnsi="바탕" w:eastAsia="바탕"/>
          <w:b/>
          <w:sz w:val="28"/>
        </w:rPr>
        <w:t>참 고 문 헌</w:t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▸ 분석 기사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OnlyCFO, "Thoma Bravo's $5B Medallia Loss | The PE Reckoning is Coming..." ('26.5월) — onlycfo.io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Bloomberg, "Thoma Bravo Declines to Invest More in Troubled Medallia" ('26.4월) — bloomberg.com</w:t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▸ 기업 공식 자료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Medallia 공식 홈페이지 — medallia.com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Thoma Bravo 공식 홈페이지 — thomabravo.com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Thoma Bravo, "Medallia to be Acquired by Thoma Bravo for $6.4 Billion" (보도자료, '21.7월)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PR Newswire, "Medallia Announces Pricing of Initial Public Offering" ('19.7월)</w:t>
      </w:r>
    </w:p>
    <w:p>
      <w:pPr>
        <w:spacing w:before="100" w:after="40" w:lineRule="auto" w:line="360"/>
        <w:ind w:left="850"/>
        <w:jc w:val="left"/>
      </w:pPr>
      <w:r>
        <w:rPr>
          <w:rFonts w:ascii="바탕" w:hAnsi="바탕" w:eastAsia="바탕"/>
          <w:b/>
          <w:sz w:val="24"/>
        </w:rPr>
        <w:t>▸ 개념 참고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Gartner Magic Quadrant for Voice of the Customer Platforms 2025·2026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Wikipedia, "Medallia" — en.wikipedia.org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Wikipedia, "Thoma Bravo" — en.wikipedia.org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Wikipedia, "Rule of 40" — en.wikipedia.org</w:t>
      </w:r>
    </w:p>
    <w:p>
      <w:pPr>
        <w:spacing w:before="0" w:after="40" w:lineRule="auto" w:line="360"/>
        <w:ind w:left="850" w:hanging="283"/>
        <w:jc w:val="left"/>
      </w:pPr>
      <w:r>
        <w:rPr>
          <w:rFonts w:ascii="바탕" w:hAnsi="바탕" w:eastAsia="바탕"/>
          <w:b w:val="0"/>
          <w:sz w:val="23"/>
        </w:rPr>
        <w:t>- McKinsey, "SaaS and the Rule of 40: Keys to the Critical Value Creation Metric"</w:t>
      </w:r>
    </w:p>
    <w:sectPr w:rsidR="00FC693F" w:rsidRPr="0006063C" w:rsidSect="00034616">
      <w:pgSz w:w="11906" w:h="16838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