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맑은 고딕" w:hAnsi="맑은 고딕" w:eastAsia="맑은 고딕"/>
          <w:b/>
          <w:sz w:val="24"/>
        </w:rPr>
        <w:t>Medallia 사례와 사업건전성 관리 기준의 재정립</w:t>
      </w:r>
    </w:p>
    <w:p>
      <w:pPr>
        <w:spacing w:before="80" w:after="80"/>
        <w:pBdr>
          <w:bottom w:val="single" w:sz="12" w:space="1" w:color="000000"/>
        </w:pBdr>
      </w:pPr>
    </w:p>
    <w:p>
      <w:pPr>
        <w:spacing w:before="20" w:after="120"/>
        <w:jc w:val="right"/>
      </w:pPr>
      <w:r>
        <w:rPr>
          <w:rFonts w:ascii="맑은 고딕" w:hAnsi="맑은 고딕" w:eastAsia="맑은 고딕"/>
          <w:sz w:val="18"/>
        </w:rPr>
        <w:t>'26.5.6   솔루션사업부 기획팀</w:t>
      </w:r>
    </w:p>
    <w:p>
      <w:pPr>
        <w:spacing w:before="80" w:after="160"/>
        <w:ind w:left="170"/>
        <w:pBdr>
          <w:bottom w:val="single" w:sz="4" w:space="1" w:color="DDDDDD"/>
        </w:pBdr>
      </w:pPr>
      <w:r>
        <w:rPr>
          <w:rFonts w:ascii="맑은 고딕" w:hAnsi="맑은 고딕" w:eastAsia="맑은 고딕"/>
          <w:i w:val="0"/>
          <w:sz w:val="20"/>
        </w:rPr>
        <w:t>Thoma Bravo의 Medallia 투자 손실($5B) 사례를 통해 SaaS 기업이 왜 Rule of 40 / FCF / NRR을 핵심 평가 기준으로 삼아야 하는지 분석하여, 이를 솔루션사업 사업건전성 대시보드 운영에 연결하는 방향을 제시함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2"/>
        </w:rPr>
        <w:t>목  차</w:t>
      </w:r>
    </w:p>
    <w:p>
      <w:pPr>
        <w:spacing w:before="60" w:after="40"/>
      </w:pPr>
      <w:r>
        <w:rPr>
          <w:rFonts w:ascii="맑은 고딕" w:hAnsi="맑은 고딕" w:eastAsia="맑은 고딕"/>
          <w:b/>
          <w:sz w:val="20"/>
        </w:rPr>
        <w:t xml:space="preserve">1장  </w:t>
      </w:r>
      <w:r>
        <w:rPr>
          <w:rFonts w:ascii="맑은 고딕" w:hAnsi="맑은 고딕" w:eastAsia="맑은 고딕"/>
          <w:b/>
          <w:sz w:val="20"/>
        </w:rPr>
        <w:t>Medallia 개요</w:t>
      </w:r>
    </w:p>
    <w:p>
      <w:pPr>
        <w:spacing w:before="20" w:after="20"/>
        <w:ind w:left="850"/>
      </w:pPr>
      <w:r>
        <w:rPr>
          <w:rFonts w:ascii="맑은 고딕" w:hAnsi="맑은 고딕" w:eastAsia="맑은 고딕"/>
          <w:color w:val="444444"/>
          <w:sz w:val="18"/>
        </w:rPr>
        <w:t>□ 기업 현황</w:t>
      </w:r>
    </w:p>
    <w:p>
      <w:pPr>
        <w:spacing w:before="20" w:after="20"/>
        <w:ind w:left="850"/>
      </w:pPr>
      <w:r>
        <w:rPr>
          <w:rFonts w:ascii="맑은 고딕" w:hAnsi="맑은 고딕" w:eastAsia="맑은 고딕"/>
          <w:color w:val="444444"/>
          <w:sz w:val="18"/>
        </w:rPr>
        <w:t>□ 재무 현황 요약 (비상장 전환 후)</w:t>
      </w:r>
    </w:p>
    <w:p>
      <w:pPr>
        <w:spacing w:before="60" w:after="40"/>
      </w:pPr>
      <w:r>
        <w:rPr>
          <w:rFonts w:ascii="맑은 고딕" w:hAnsi="맑은 고딕" w:eastAsia="맑은 고딕"/>
          <w:b/>
          <w:sz w:val="20"/>
        </w:rPr>
        <w:t xml:space="preserve">2장  </w:t>
      </w:r>
      <w:r>
        <w:rPr>
          <w:rFonts w:ascii="맑은 고딕" w:hAnsi="맑은 고딕" w:eastAsia="맑은 고딕"/>
          <w:b/>
          <w:sz w:val="20"/>
        </w:rPr>
        <w:t>Medallia 인수·투자 History</w:t>
      </w:r>
    </w:p>
    <w:p>
      <w:pPr>
        <w:spacing w:before="20" w:after="20"/>
        <w:ind w:left="850"/>
      </w:pPr>
      <w:r>
        <w:rPr>
          <w:rFonts w:ascii="맑은 고딕" w:hAnsi="맑은 고딕" w:eastAsia="맑은 고딕"/>
          <w:color w:val="444444"/>
          <w:sz w:val="18"/>
        </w:rPr>
        <w:t>□ 주요 투자 이력</w:t>
      </w:r>
    </w:p>
    <w:p>
      <w:pPr>
        <w:spacing w:before="60" w:after="40"/>
      </w:pPr>
      <w:r>
        <w:rPr>
          <w:rFonts w:ascii="맑은 고딕" w:hAnsi="맑은 고딕" w:eastAsia="맑은 고딕"/>
          <w:b/>
          <w:sz w:val="20"/>
        </w:rPr>
        <w:t xml:space="preserve">3장  </w:t>
      </w:r>
      <w:r>
        <w:rPr>
          <w:rFonts w:ascii="맑은 고딕" w:hAnsi="맑은 고딕" w:eastAsia="맑은 고딕"/>
          <w:b/>
          <w:sz w:val="20"/>
        </w:rPr>
        <w:t>현재 Thoma Bravo / Medallia 상황 분석</w:t>
      </w:r>
    </w:p>
    <w:p>
      <w:pPr>
        <w:spacing w:before="20" w:after="20"/>
        <w:ind w:left="850"/>
      </w:pPr>
      <w:r>
        <w:rPr>
          <w:rFonts w:ascii="맑은 고딕" w:hAnsi="맑은 고딕" w:eastAsia="맑은 고딕"/>
          <w:color w:val="444444"/>
          <w:sz w:val="18"/>
        </w:rPr>
        <w:t>□ 경영권 이전 구조</w:t>
      </w:r>
    </w:p>
    <w:p>
      <w:pPr>
        <w:spacing w:before="20" w:after="20"/>
        <w:ind w:left="850"/>
      </w:pPr>
      <w:r>
        <w:rPr>
          <w:rFonts w:ascii="맑은 고딕" w:hAnsi="맑은 고딕" w:eastAsia="맑은 고딕"/>
          <w:color w:val="444444"/>
          <w:sz w:val="18"/>
        </w:rPr>
        <w:t>□ 구조적 실패 요인 진단</w:t>
      </w:r>
    </w:p>
    <w:p>
      <w:pPr>
        <w:spacing w:before="20" w:after="20"/>
        <w:ind w:left="850"/>
      </w:pPr>
      <w:r>
        <w:rPr>
          <w:rFonts w:ascii="맑은 고딕" w:hAnsi="맑은 고딕" w:eastAsia="맑은 고딕"/>
          <w:color w:val="444444"/>
          <w:sz w:val="18"/>
        </w:rPr>
        <w:t>□ 예상 파급 효과</w:t>
      </w:r>
    </w:p>
    <w:p>
      <w:pPr>
        <w:spacing w:before="60" w:after="40"/>
      </w:pPr>
      <w:r>
        <w:rPr>
          <w:rFonts w:ascii="맑은 고딕" w:hAnsi="맑은 고딕" w:eastAsia="맑은 고딕"/>
          <w:b/>
          <w:sz w:val="20"/>
        </w:rPr>
        <w:t xml:space="preserve">4장  </w:t>
      </w:r>
      <w:r>
        <w:rPr>
          <w:rFonts w:ascii="맑은 고딕" w:hAnsi="맑은 고딕" w:eastAsia="맑은 고딕"/>
          <w:b/>
          <w:sz w:val="20"/>
        </w:rPr>
        <w:t>시사점 및 사업건전성 대시보드 운영 방향</w:t>
      </w:r>
    </w:p>
    <w:p>
      <w:pPr>
        <w:spacing w:before="20" w:after="20"/>
        <w:ind w:left="850"/>
      </w:pPr>
      <w:r>
        <w:rPr>
          <w:rFonts w:ascii="맑은 고딕" w:hAnsi="맑은 고딕" w:eastAsia="맑은 고딕"/>
          <w:color w:val="444444"/>
          <w:sz w:val="18"/>
        </w:rPr>
        <w:t>□ Medallia 사례가 보여주는 SaaS 평가 기준의 핵심 교훈</w:t>
      </w:r>
    </w:p>
    <w:p>
      <w:pPr>
        <w:spacing w:before="20" w:after="20"/>
        <w:ind w:left="850"/>
      </w:pPr>
      <w:r>
        <w:rPr>
          <w:rFonts w:ascii="맑은 고딕" w:hAnsi="맑은 고딕" w:eastAsia="맑은 고딕"/>
          <w:color w:val="444444"/>
          <w:sz w:val="18"/>
        </w:rPr>
        <w:t>□ 왜 Rule of 40 / FCF / NRR이어야 하는가</w:t>
      </w:r>
    </w:p>
    <w:p>
      <w:pPr>
        <w:spacing w:before="20" w:after="20"/>
        <w:ind w:left="850"/>
      </w:pPr>
      <w:r>
        <w:rPr>
          <w:rFonts w:ascii="맑은 고딕" w:hAnsi="맑은 고딕" w:eastAsia="맑은 고딕"/>
          <w:color w:val="444444"/>
          <w:sz w:val="18"/>
        </w:rPr>
        <w:t>□ 현재 대시보드 지표와 3대 평가 지표의 연계 구조</w:t>
      </w:r>
    </w:p>
    <w:p>
      <w:pPr>
        <w:spacing w:before="20" w:after="20"/>
        <w:ind w:left="850"/>
      </w:pPr>
      <w:r>
        <w:rPr>
          <w:rFonts w:ascii="맑은 고딕" w:hAnsi="맑은 고딕" w:eastAsia="맑은 고딕"/>
          <w:color w:val="444444"/>
          <w:sz w:val="18"/>
        </w:rPr>
        <w:t>□ 운영 우선순위 제언</w:t>
      </w:r>
    </w:p>
    <w:p>
      <w:pPr>
        <w:spacing w:before="60" w:after="40"/>
      </w:pPr>
      <w:r>
        <w:rPr>
          <w:rFonts w:ascii="맑은 고딕" w:hAnsi="맑은 고딕" w:eastAsia="맑은 고딕"/>
          <w:b/>
          <w:sz w:val="20"/>
        </w:rPr>
        <w:t xml:space="preserve">별 첨  </w:t>
      </w:r>
      <w:r>
        <w:rPr>
          <w:rFonts w:ascii="맑은 고딕" w:hAnsi="맑은 고딕" w:eastAsia="맑은 고딕"/>
          <w:b/>
          <w:sz w:val="20"/>
        </w:rPr>
        <w:t>Medallia · Thoma Bravo 기업 프로필</w:t>
      </w:r>
    </w:p>
    <w:p>
      <w:pPr>
        <w:spacing w:before="20" w:after="20"/>
        <w:ind w:left="850"/>
      </w:pPr>
      <w:r>
        <w:rPr>
          <w:rFonts w:ascii="맑은 고딕" w:hAnsi="맑은 고딕" w:eastAsia="맑은 고딕"/>
          <w:color w:val="444444"/>
          <w:sz w:val="18"/>
        </w:rPr>
        <w:t>□ Medallia 상세 프로필 (제품 구성 · 주요 고객 · 재무 현황)</w:t>
      </w:r>
    </w:p>
    <w:p>
      <w:pPr>
        <w:spacing w:before="20" w:after="20"/>
        <w:ind w:left="850"/>
      </w:pPr>
      <w:r>
        <w:rPr>
          <w:rFonts w:ascii="맑은 고딕" w:hAnsi="맑은 고딕" w:eastAsia="맑은 고딕"/>
          <w:color w:val="444444"/>
          <w:sz w:val="18"/>
        </w:rPr>
        <w:t>□ Thoma Bravo 상세 프로필 (투자 철학 · 주요 포트폴리오)</w:t>
      </w:r>
    </w:p>
    <w:p>
      <w:pPr>
        <w:spacing w:before="20" w:after="20"/>
        <w:ind w:left="850"/>
      </w:pPr>
      <w:r>
        <w:rPr>
          <w:rFonts w:ascii="맑은 고딕" w:hAnsi="맑은 고딕" w:eastAsia="맑은 고딕"/>
          <w:color w:val="444444"/>
          <w:sz w:val="18"/>
        </w:rPr>
        <w:t>□ 인수 실패 메커니즘 요약</w:t>
      </w:r>
    </w:p>
    <w:p>
      <w:pPr>
        <w:spacing w:before="20" w:after="20"/>
        <w:ind w:left="850"/>
      </w:pPr>
      <w:r>
        <w:rPr>
          <w:rFonts w:ascii="맑은 고딕" w:hAnsi="맑은 고딕" w:eastAsia="맑은 고딕"/>
          <w:color w:val="444444"/>
          <w:sz w:val="18"/>
        </w:rPr>
        <w:t>□ 참고문헌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24"/>
        </w:rPr>
        <w:t>Medallia 사례와 사업건전성 관리 기준의 재정립</w:t>
      </w:r>
    </w:p>
    <w:p>
      <w:pPr>
        <w:spacing w:before="80" w:after="80"/>
        <w:pBdr>
          <w:bottom w:val="single" w:sz="12" w:space="1" w:color="000000"/>
        </w:pBdr>
      </w:pPr>
    </w:p>
    <w:p>
      <w:pPr>
        <w:spacing w:before="20" w:after="120"/>
        <w:jc w:val="right"/>
      </w:pPr>
      <w:r>
        <w:rPr>
          <w:rFonts w:ascii="맑은 고딕" w:hAnsi="맑은 고딕" w:eastAsia="맑은 고딕"/>
          <w:sz w:val="18"/>
        </w:rPr>
        <w:t>'26.5.6   솔루션사업부 기획팀</w:t>
      </w:r>
    </w:p>
    <w:p>
      <w:pPr>
        <w:spacing w:before="80" w:after="160"/>
        <w:ind w:left="170"/>
        <w:pBdr>
          <w:bottom w:val="single" w:sz="4" w:space="1" w:color="DDDDDD"/>
        </w:pBdr>
      </w:pPr>
      <w:r>
        <w:rPr>
          <w:rFonts w:ascii="맑은 고딕" w:hAnsi="맑은 고딕" w:eastAsia="맑은 고딕"/>
          <w:i w:val="0"/>
          <w:sz w:val="20"/>
        </w:rPr>
        <w:t>'21년 Thoma Bravo는 고성장 SaaS 기업인 Medallia를 $6.4B에 인수하였으나, 인수 후 금리 급등(SOFR* 5.4%)으로 변동금리 부채($1.8B)에 대한 연이자가 $135M에서 $300M으로 급등하였고, PIK* 이자 누적으로 부채는 $2.8B까지 팽창하였음. '26년 경영권을 채권단(Blackstone 등)에 이전하면서 에쿼티 $5B 전액 손실이 확정된 이 사례를 통해, SaaS 기업 평가에서 Rule of 40 / FCF / NRR이 갖는 의미와 솔루션사업 사업건전성 대시보드 운영 방향에 대한 시사점을 정리함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2"/>
        </w:rPr>
        <w:t>1. Medallia 개요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0"/>
        </w:rPr>
        <w:t xml:space="preserve"> □ 기업 현황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설립 2001년, 미국 샌프란시스코 소재 CX(고객경험) 관리 플랫폼 전문 기업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주요 오퍼링: 고객 피드백 수집·분석, NPS(고객순추천지수) 측정, 직원경험(EX) 플랫폼, 옴니채널 고객 인텔리전스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주요 고객군: 금융, 항공, 호텔, 통신 등 글로벌 대기업(Fortune 500 다수 포함)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2019년 NYSE 상장(티커: MDLA) → 2021년 Thoma Bravo 인수 후 상장 폐지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0"/>
        </w:rPr>
        <w:t xml:space="preserve"> □ 재무 현황 요약 (비상장 전환 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</w:t>
            </w:r>
          </w:p>
        </w:tc>
        <w:tc>
          <w:tcPr>
            <w:tcW w:type="dxa" w:w="302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연간 매출 (추정)</w:t>
            </w:r>
          </w:p>
        </w:tc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약 $700M대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인수 당시 기준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연간 EBITDA</w:t>
            </w:r>
          </w:p>
        </w:tc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약 $200M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표면상 양호해 보이는 수치</w:t>
            </w:r>
          </w:p>
        </w:tc>
      </w:tr>
      <w:tr>
        <w:tc>
          <w:tcPr>
            <w:tcW w:type="dxa" w:w="3024"/>
            <w:shd w:val="clear" w:color="auto" w:fill="FEF9E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현재 부채 잔액</w:t>
            </w:r>
          </w:p>
        </w:tc>
        <w:tc>
          <w:tcPr>
            <w:tcW w:type="dxa" w:w="3024"/>
            <w:shd w:val="clear" w:color="auto" w:fill="FEF9E5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BB0000"/>
                <w:sz w:val="18"/>
              </w:rPr>
              <w:t>약 $2.8B</w:t>
            </w:r>
          </w:p>
        </w:tc>
        <w:tc>
          <w:tcPr>
            <w:tcW w:type="dxa" w:w="3024"/>
            <w:shd w:val="clear" w:color="auto" w:fill="FEF9E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PIK 이자 누적으로 인수 시 $1.8B → 증가</w:t>
            </w:r>
          </w:p>
        </w:tc>
      </w:tr>
      <w:tr>
        <w:tc>
          <w:tcPr>
            <w:tcW w:type="dxa" w:w="3024"/>
            <w:shd w:val="clear" w:color="auto" w:fill="FEF9E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연간 이자비용</w:t>
            </w:r>
          </w:p>
        </w:tc>
        <w:tc>
          <w:tcPr>
            <w:tcW w:type="dxa" w:w="3024"/>
            <w:shd w:val="clear" w:color="auto" w:fill="FEF9E5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BB0000"/>
                <w:sz w:val="18"/>
              </w:rPr>
              <w:t>약 $300M</w:t>
            </w:r>
          </w:p>
        </w:tc>
        <w:tc>
          <w:tcPr>
            <w:tcW w:type="dxa" w:w="3024"/>
            <w:shd w:val="clear" w:color="auto" w:fill="FEF9E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이자 &gt; EBITDA → 구조적 적자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인수 Valuation</w:t>
            </w:r>
          </w:p>
        </w:tc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$6.4B (매출 9배)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2021년 저금리 환경 기준</w:t>
            </w:r>
          </w:p>
        </w:tc>
      </w:tr>
    </w:tbl>
    <w:p>
      <w:pPr>
        <w:spacing w:after="40"/>
      </w:pPr>
    </w:p>
    <w:p>
      <w:pPr>
        <w:spacing w:before="60" w:after="20"/>
        <w:ind w:left="113"/>
      </w:pPr>
      <w:r>
        <w:rPr>
          <w:rFonts w:ascii="맑은 고딕" w:hAnsi="맑은 고딕" w:eastAsia="맑은 고딕"/>
          <w:b/>
          <w:sz w:val="18"/>
        </w:rPr>
        <w:t xml:space="preserve">※ </w:t>
      </w:r>
      <w:r>
        <w:rPr>
          <w:rFonts w:ascii="맑은 고딕" w:hAnsi="맑은 고딕" w:eastAsia="맑은 고딕"/>
          <w:color w:val="333333"/>
          <w:sz w:val="18"/>
        </w:rPr>
        <w:t>연간 이자비용($300M)이 EBITDA($200M)를 초과 — EBITDA만 보면 건전해 보이지만 실제로는 이미 구조적 파산 진행 중인 상태. 상세 기업 프로필은 별첨 참조</w:t>
      </w:r>
    </w:p>
    <w:p>
      <w:pPr>
        <w:spacing w:before="60" w:after="20"/>
        <w:ind w:left="113"/>
      </w:pPr>
      <w:r>
        <w:rPr>
          <w:rFonts w:ascii="맑은 고딕" w:hAnsi="맑은 고딕" w:eastAsia="맑은 고딕"/>
          <w:b/>
          <w:sz w:val="18"/>
        </w:rPr>
        <w:t xml:space="preserve">※ </w:t>
      </w:r>
      <w:r>
        <w:rPr>
          <w:rFonts w:ascii="맑은 고딕" w:hAnsi="맑은 고딕" w:eastAsia="맑은 고딕"/>
          <w:color w:val="333333"/>
          <w:sz w:val="18"/>
        </w:rPr>
        <w:t>* PIK(Payment-in-Kind): 현금 이자 대신 미납 이자를 원금에 가산하여 나중에 일괄 상환하는 방식. 단기 현금 부담을 줄이는 대신 원금이 복리 방식으로 팽창하는 구조적 위험을 내포함</w:t>
      </w:r>
    </w:p>
    <w:p>
      <w:pPr>
        <w:spacing w:before="40" w:after="40"/>
        <w:jc w:val="center"/>
      </w:pPr>
      <w:r>
        <w:rPr>
          <w:rFonts w:ascii="맑은 고딕" w:hAnsi="맑은 고딕" w:eastAsia="맑은 고딕"/>
          <w:b w:val="0"/>
          <w:i w:val="0"/>
          <w:sz w:val="20"/>
        </w:rPr>
        <w:t>[ 주요 재무 지표 비교 (단위: $M) ]</w:t>
      </w:r>
    </w:p>
    <w:p>
      <w:r>
        <w:rPr>
          <w:rFonts w:ascii="맑은 고딕" w:hAnsi="맑은 고딕" w:eastAsia="맑은 고딕"/>
          <w:i/>
          <w:color w:val="888888"/>
          <w:sz w:val="18"/>
        </w:rPr>
        <w:t>[※ 차트 이미지는 Word 변환에서 생략됩니다]</w:t>
      </w:r>
    </w:p>
    <w:p>
      <w:pPr>
        <w:spacing w:before="40" w:after="40"/>
        <w:jc w:val="center"/>
      </w:pPr>
      <w:r>
        <w:rPr>
          <w:rFonts w:ascii="맑은 고딕" w:hAnsi="맑은 고딕" w:eastAsia="맑은 고딕"/>
          <w:b w:val="0"/>
          <w:i w:val="0"/>
          <w:sz w:val="20"/>
        </w:rPr>
        <w:t>※ 매출 FY2020: 공개 기준 / 인수 시점 매출·EBITDA·이자비용: 추정치 (OnlyCFO, 2026.5.1 기반)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24"/>
        </w:rPr>
        <w:t>Medallia 사례와 사업건전성 관리 기준의 재정립</w:t>
      </w:r>
    </w:p>
    <w:p>
      <w:pPr>
        <w:spacing w:before="80" w:after="80"/>
        <w:pBdr>
          <w:bottom w:val="single" w:sz="12" w:space="1" w:color="000000"/>
        </w:pBdr>
      </w:pPr>
    </w:p>
    <w:p>
      <w:pPr>
        <w:spacing w:before="20" w:after="120"/>
        <w:jc w:val="right"/>
      </w:pPr>
      <w:r>
        <w:rPr>
          <w:rFonts w:ascii="맑은 고딕" w:hAnsi="맑은 고딕" w:eastAsia="맑은 고딕"/>
          <w:sz w:val="18"/>
        </w:rPr>
        <w:t>'26.5.6   솔루션사업부 기획팀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2"/>
        </w:rPr>
        <w:t>2. Medallia 인수·투자 History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0"/>
        </w:rPr>
        <w:t xml:space="preserve"> □ 주요 투자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시기</w:t>
            </w:r>
          </w:p>
        </w:tc>
        <w:tc>
          <w:tcPr>
            <w:tcW w:type="dxa" w:w="4536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주요 내용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'01년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미국 샌프란시스코에서 설립. CX(고객경험) 피드백 관리 솔루션으로 엔터프라이즈 시장 진입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'15~'18년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VC·성장단계 PE로부터 복수의 투자 유치, 기업가치 급성장. Fortune 500 고객 확보로 시장 지위 강화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'19년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NYSE 상장(티커: MDLA). IPO 공모가 $21 → 상장 후 $30~40대 형성. FY2020 연매출 $477M, 순손실 –$149M</w:t>
            </w:r>
          </w:p>
        </w:tc>
      </w:tr>
      <w:tr>
        <w:tc>
          <w:tcPr>
            <w:tcW w:type="dxa" w:w="4536"/>
            <w:shd w:val="clear" w:color="auto" w:fill="FEF9E5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'21년</w:t>
            </w:r>
          </w:p>
        </w:tc>
        <w:tc>
          <w:tcPr>
            <w:tcW w:type="dxa" w:w="4536"/>
            <w:shd w:val="clear" w:color="auto" w:fill="FEF9E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Thoma Bravo(이하 TB), $6.4B에 주식 100% 인수·상장폐지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· 인수배수: 연매출 약 9배 (당시 고성장 SaaS 프리미엄 적용)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· 조달구조: 에쿼티 약 $4.6B + 변동금리 부채 $1.8B = 인수가 $6.4B (당시 LIBOR* 0.75%)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· 설계 의도: 저금리 조달 후 영업현금흐름으로 이자 감당, 3~5년 내 매각·재상장으로 에쿼티 회수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· 내재 취약점: 변동금리 구조 — 시장금리 상승 시 이자부담이 LIBOR/SOFR 연동으로 자동 급증</w:t>
              <w:br/>
              <w:t xml:space="preserve">        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'22~'23년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美 연준 금리 인상(→ SOFR 5.4%)으로 이자부담 급증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· 연이자 $135M → $300M으로 2배 이상 급등 (SOFR 연동 변동금리 직격)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· PIK(Payment-in-Kind) 조항 발동: 현금 이자 납부 불가 → 미납 이자를 원금에 가산하는 방식 전환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· 부채 팽창: PIK 적용으로 원금 $1.8B → 약 $2.8B (약 $1B이 이자로 원금에 누적 편입)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· '죽음의 소용돌이' 진입: 이자 충당 위한 현금 소진 → 제품 혁신 투자 불가 → 경쟁력 저하 반복</w:t>
              <w:br/>
              <w:t xml:space="preserve">        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'24~'25년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M&amp;A 시장 동결·IPO 시장 폐쇄로 TB의 회수 경로 완전 차단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· TB의 회수 시도: 전략적 매각(대형 기술기업 대상 협상), 레버리지 리캡, IPO 재추진 등 검토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· 매각 실패 원인: $2.8B 부채 인수 부담 + AI 경쟁 심화로 기업가치 추가 하락으로 협상 결렬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· AI 경쟁 심화: Qualtrics 등 AI 네이티브 경쟁자 급부상 → 성장률 정체, 고객 이탈 가속화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· FCF 전액 이자 상환에 투입 → 제품 로드맵 사실상 동결, 신기능 개발 사실상 중단</w:t>
              <w:br/>
              <w:t xml:space="preserve">        </w:t>
            </w:r>
          </w:p>
        </w:tc>
      </w:tr>
      <w:tr>
        <w:tc>
          <w:tcPr>
            <w:tcW w:type="dxa" w:w="4536"/>
            <w:shd w:val="clear" w:color="auto" w:fill="FEF9E5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'26년</w:t>
            </w:r>
          </w:p>
        </w:tc>
        <w:tc>
          <w:tcPr>
            <w:tcW w:type="dxa" w:w="4536"/>
            <w:shd w:val="clear" w:color="auto" w:fill="FEF9E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TB, 채권단(Blackstone 등)에 경영권 이전 결정 → $5B 투자 전액 손실 확정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· Debt-to-Equity Swap: 채권단이 보유한 $2.8B 채권을 지분으로 전환 — 구(舊) 에쿼티 전액 소멸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· 투자자 역할 역전: Blackstone 주도 채권단 → 실질 최대주주 전환, TB → 지분 소멸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· TB의 추가 자금 투입 거부(Bloomberg, 2026.4.30): 회수 가능성 없다고 최종 판단, 신규 에쿼티 투입 중단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· PE 투자 역사상 최대 규모 SaaS LBO* 실패 사례 중 하나로 업계에 기록</w:t>
              <w:br/>
              <w:t xml:space="preserve">        </w:t>
            </w:r>
          </w:p>
        </w:tc>
      </w:tr>
    </w:tbl>
    <w:p>
      <w:pPr>
        <w:spacing w:after="40"/>
      </w:pPr>
    </w:p>
    <w:p>
      <w:pPr>
        <w:spacing w:before="60" w:after="20"/>
        <w:ind w:left="113"/>
      </w:pPr>
      <w:r>
        <w:rPr>
          <w:rFonts w:ascii="맑은 고딕" w:hAnsi="맑은 고딕" w:eastAsia="맑은 고딕"/>
          <w:b/>
          <w:sz w:val="18"/>
        </w:rPr>
        <w:t xml:space="preserve">※ </w:t>
      </w:r>
      <w:r>
        <w:rPr>
          <w:rFonts w:ascii="맑은 고딕" w:hAnsi="맑은 고딕" w:eastAsia="맑은 고딕"/>
          <w:color w:val="333333"/>
          <w:sz w:val="18"/>
        </w:rPr>
        <w:t>* SOFR(Secured Overnight Financing Rate): 미국 달러 단기 대출금리 기준으로, 기존 LIBOR를 대체하는 기준금리. 미 연준 금리 결정에 연동되며 2022년 금리 인상으로 5.4%까지 상승하여 변동금리 차입 기업의 이자부담을 급격히 증가시킴</w:t>
      </w:r>
    </w:p>
    <w:p>
      <w:pPr>
        <w:spacing w:before="60" w:after="20"/>
        <w:ind w:left="113"/>
      </w:pPr>
      <w:r>
        <w:rPr>
          <w:rFonts w:ascii="맑은 고딕" w:hAnsi="맑은 고딕" w:eastAsia="맑은 고딕"/>
          <w:b/>
          <w:sz w:val="18"/>
        </w:rPr>
        <w:t xml:space="preserve">※ </w:t>
      </w:r>
      <w:r>
        <w:rPr>
          <w:rFonts w:ascii="맑은 고딕" w:hAnsi="맑은 고딕" w:eastAsia="맑은 고딕"/>
          <w:color w:val="333333"/>
          <w:sz w:val="18"/>
        </w:rPr>
        <w:t>* LIBOR(London Interbank Offered Rate): 런던 은행 간 단기 대출금리 기준. 글로벌 금융계약의 기준금리로 활용되었으나 2023년 공식 폐지 후 SOFR로 대체됨. Medallia 인수 당시(2021년) 0.75% 수준이었으나, 이후 연동 기준이 SOFR로 전환됨</w:t>
      </w:r>
    </w:p>
    <w:p>
      <w:pPr>
        <w:spacing w:before="60" w:after="20"/>
        <w:ind w:left="113"/>
      </w:pPr>
      <w:r>
        <w:rPr>
          <w:rFonts w:ascii="맑은 고딕" w:hAnsi="맑은 고딕" w:eastAsia="맑은 고딕"/>
          <w:b/>
          <w:sz w:val="18"/>
        </w:rPr>
        <w:t xml:space="preserve">※ </w:t>
      </w:r>
      <w:r>
        <w:rPr>
          <w:rFonts w:ascii="맑은 고딕" w:hAnsi="맑은 고딕" w:eastAsia="맑은 고딕"/>
          <w:color w:val="333333"/>
          <w:sz w:val="18"/>
        </w:rPr>
        <w:t>* LBO(Leveraged Buy-Out, 차입매수): 인수자금의 일부를 부채로 조달해 기업을 인수하는 구조. 레버리지 효과로 에쿼티 수익률을 극대화할 수 있으나, 금리 상승 시 이자부담이 급증하는 구조적 리스크를 내포함</w:t>
      </w:r>
    </w:p>
    <w:p>
      <w:pPr>
        <w:spacing w:before="80" w:after="80"/>
        <w:ind w:left="283"/>
        <w:pBdr>
          <w:left w:val="single" w:sz="12" w:space="4" w:color="999999"/>
        </w:pBdr>
      </w:pPr>
      <w:r>
        <w:rPr>
          <w:rFonts w:ascii="맑은 고딕" w:hAnsi="맑은 고딕" w:eastAsia="맑은 고딕"/>
          <w:i/>
          <w:color w:val="333333"/>
          <w:sz w:val="18"/>
        </w:rPr>
        <w:t>"We way overestimated the very high rate of growth of that company into the future."</w:t>
      </w:r>
      <w:r>
        <w:rPr>
          <w:rFonts w:ascii="맑은 고딕" w:hAnsi="맑은 고딕" w:eastAsia="맑은 고딕"/>
          <w:i w:val="0"/>
          <w:color w:val="666666"/>
          <w:sz w:val="17"/>
        </w:rPr>
        <w:br/>
        <w:t>— Orlando Bravo (Thoma Bravo CEO), 2026</w:t>
      </w:r>
    </w:p>
    <w:p>
      <w:pPr>
        <w:spacing w:before="80" w:after="80"/>
        <w:ind w:left="170" w:right="17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sz w:val="19"/>
        </w:rPr>
        <w:br/>
      </w:r>
      <w:r>
        <w:rPr>
          <w:rFonts w:ascii="맑은 고딕" w:hAnsi="맑은 고딕" w:eastAsia="맑은 고딕"/>
          <w:b/>
          <w:i w:val="0"/>
          <w:sz w:val="19"/>
        </w:rPr>
        <w:t>[ LBO + PIK 구조 이해 ]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</w:t>
        <w:br/>
        <w:t xml:space="preserve">    LBO(차입매수)는 인수자금의 일부를 부채로 조달해 기업을 인수하는 구조. 변동금리로 조달 시</w:t>
        <w:br/>
        <w:t xml:space="preserve">    금리 상승이 직접 이자비용 급등으로 이어짐. PIK는 현금 이자 대신 미납 이자를 원금에 가산해</w:t>
        <w:br/>
        <w:t xml:space="preserve">    나중에 상환하는 방식으로, 단기 현금 부담을 줄이는 대신 원금이 복리 방식으로 팽창하는</w:t>
        <w:br/>
        <w:t xml:space="preserve">    구조적 위험을 내포함. Medallia의 경우 두 조건이 동시에 발동하면서 부채가 통제 불가 수준으로 증가함.</w:t>
        <w:br/>
        <w:t xml:space="preserve">  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24"/>
        </w:rPr>
        <w:t>Medallia 사례와 사업건전성 관리 기준의 재정립</w:t>
      </w:r>
    </w:p>
    <w:p>
      <w:pPr>
        <w:spacing w:before="80" w:after="80"/>
        <w:pBdr>
          <w:bottom w:val="single" w:sz="12" w:space="1" w:color="000000"/>
        </w:pBdr>
      </w:pPr>
    </w:p>
    <w:p>
      <w:pPr>
        <w:spacing w:before="20" w:after="120"/>
        <w:jc w:val="right"/>
      </w:pPr>
      <w:r>
        <w:rPr>
          <w:rFonts w:ascii="맑은 고딕" w:hAnsi="맑은 고딕" w:eastAsia="맑은 고딕"/>
          <w:sz w:val="18"/>
        </w:rPr>
        <w:t>'26.5.6   솔루션사업부 기획팀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2"/>
        </w:rPr>
        <w:t>3. 현재 Thoma Bravo / Medallia 상황 분석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0"/>
        </w:rPr>
        <w:t xml:space="preserve"> □ 경영권 이전 구조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TB의 에쿼티 지분 → 채권단으로 이전(Debt-to-Equity Swap): 채권단이 보유한 $2.8B 채권을 지분으로 전환</w:t>
        <w:br/>
        <w:t xml:space="preserve">      </w:t>
      </w:r>
      <w:r>
        <w:rPr>
          <w:rFonts w:ascii="맑은 고딕" w:hAnsi="맑은 고딕" w:eastAsia="맑은 고딕"/>
          <w:b w:val="0"/>
          <w:i w:val="0"/>
          <w:sz w:val="20"/>
        </w:rPr>
        <w:br/>
      </w:r>
    </w:p>
    <w:p>
      <w:pPr>
        <w:spacing w:before="20" w:after="20"/>
        <w:ind w:left="680" w:hanging="240"/>
      </w:pPr>
      <w:r>
        <w:rPr>
          <w:rFonts w:ascii="맑은 고딕" w:hAnsi="맑은 고딕" w:eastAsia="맑은 고딕"/>
          <w:sz w:val="20"/>
        </w:rPr>
        <w:t xml:space="preserve">· </w:t>
      </w:r>
      <w:r>
        <w:rPr>
          <w:rFonts w:ascii="맑은 고딕" w:hAnsi="맑은 고딕" w:eastAsia="맑은 고딕"/>
          <w:b w:val="0"/>
          <w:i w:val="0"/>
          <w:sz w:val="20"/>
        </w:rPr>
        <w:t>에쿼티 소멸 순서: TB 출자금($4.6B) 전액 + 기타 에쿼티 투자자 → 채무 변제 후 잔여가치 없음</w:t>
      </w:r>
    </w:p>
    <w:p>
      <w:pPr>
        <w:spacing w:before="20" w:after="20"/>
        <w:ind w:left="680" w:hanging="240"/>
      </w:pPr>
      <w:r>
        <w:rPr>
          <w:rFonts w:ascii="맑은 고딕" w:hAnsi="맑은 고딕" w:eastAsia="맑은 고딕"/>
          <w:sz w:val="20"/>
        </w:rPr>
        <w:t xml:space="preserve">· </w:t>
      </w:r>
      <w:r>
        <w:rPr>
          <w:rFonts w:ascii="맑은 고딕" w:hAnsi="맑은 고딕" w:eastAsia="맑은 고딕"/>
          <w:b w:val="0"/>
          <w:i w:val="0"/>
          <w:sz w:val="20"/>
        </w:rPr>
        <w:t>TB의 추가 자금 투입 거부(Bloomberg, 2026.4.30): 회수 가능성 없다고 최종 판단, 신규 에쿼티 투입 중단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Blackstone 등 기존 대출자(채권단)가 실질적 최대주주로 전환 — 구조조정·처분 결정권 이동</w:t>
        <w:br/>
        <w:t xml:space="preserve">      </w:t>
      </w:r>
      <w:r>
        <w:rPr>
          <w:rFonts w:ascii="맑은 고딕" w:hAnsi="맑은 고딕" w:eastAsia="맑은 고딕"/>
          <w:b w:val="0"/>
          <w:i w:val="0"/>
          <w:sz w:val="20"/>
        </w:rPr>
        <w:br/>
      </w:r>
    </w:p>
    <w:p>
      <w:pPr>
        <w:spacing w:before="20" w:after="20"/>
        <w:ind w:left="680" w:hanging="240"/>
      </w:pPr>
      <w:r>
        <w:rPr>
          <w:rFonts w:ascii="맑은 고딕" w:hAnsi="맑은 고딕" w:eastAsia="맑은 고딕"/>
          <w:sz w:val="20"/>
        </w:rPr>
        <w:t xml:space="preserve">· </w:t>
      </w:r>
      <w:r>
        <w:rPr>
          <w:rFonts w:ascii="맑은 고딕" w:hAnsi="맑은 고딕" w:eastAsia="맑은 고딕"/>
          <w:b w:val="0"/>
          <w:i w:val="0"/>
          <w:sz w:val="20"/>
        </w:rPr>
        <w:t>현재 지배구조: Blackstone 주도 채권단(대주주) + 민간 신용 펀드 등 기타 채권자 → 공동 소유</w:t>
      </w:r>
    </w:p>
    <w:p>
      <w:pPr>
        <w:spacing w:before="20" w:after="20"/>
        <w:ind w:left="680" w:hanging="240"/>
      </w:pPr>
      <w:r>
        <w:rPr>
          <w:rFonts w:ascii="맑은 고딕" w:hAnsi="맑은 고딕" w:eastAsia="맑은 고딕"/>
          <w:sz w:val="20"/>
        </w:rPr>
        <w:t xml:space="preserve">· </w:t>
      </w:r>
      <w:r>
        <w:rPr>
          <w:rFonts w:ascii="맑은 고딕" w:hAnsi="맑은 고딕" w:eastAsia="맑은 고딕"/>
          <w:b w:val="0"/>
          <w:i w:val="0"/>
          <w:sz w:val="20"/>
        </w:rPr>
        <w:t>채권자 입장에서도 원금 전액 회수 불확실 — 민간 신용(Private Credit) 시장 손실 가시화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기존 TB 에쿼티 투자자: 투자 원금 $5B 전액 손실 확정 (PE 투자 역사상 최대 규모 SaaS LBO 실패 사례 중 하나)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0"/>
        </w:rPr>
        <w:t xml:space="preserve"> □ 구조적 실패 요인 진단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실패 요인</w:t>
            </w:r>
          </w:p>
        </w:tc>
        <w:tc>
          <w:tcPr>
            <w:tcW w:type="dxa" w:w="4536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① 부채구조 취약성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변동금리 대출 → 금리 인상으로 이자 $135M → $300M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PIK 이자 누적으로 원금 $1.8B → $2.8B (약 $1B 팽창)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※ 고정금리였다면 연이자 ~$135M — EBITDA $200M 내 감당 가능했을 수준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② 성장률 과대 추정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인수 당시 고성장 지속 전제로 매출 9배 밸류에이션 적용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실제: 경기 둔화 + AI 경쟁 심화로 성장 정체 → EBITDA 개선 미실현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※ TB의 일반적 밸류업(비용절감·영업효율화) 전략만으로는 고부채 상환에 역부족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③ 출구 경로 차단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M&amp;A 시장 동결, IPO 시장 폐쇄로 PE의 통상 회수 수단(3~5년 내 매각·상장) 모두 불가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전략적 매각 시도: 고부채($2.8B) 구조가 잠재 인수자의 실질 인수비용 급등 → 협상 결렬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※ 레버리지 리캡(부채 구조조정)도 고금리 지속으로 실질 대안 아님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④ 혁신 투자 소진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모든 FCF가 이자 상환에 투입 → AI 시대 신제품 개발 불가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  <w:t xml:space="preserve">          Qualtrics 등 AI 중심 경쟁사로 고객 이탈 → NRR 하락 → 미래 매출 감소 가속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악순환: 혁신 불가 → 경쟁력 상실 → NRR 하락 → FCF 악화 → 혁신 더욱 불가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br/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맑은 고딕" w:hAnsi="맑은 고딕" w:eastAsia="맑은 고딕"/>
          <w:b/>
          <w:sz w:val="20"/>
        </w:rPr>
        <w:t xml:space="preserve"> □ 예상 파급 효과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i w:val="0"/>
          <w:sz w:val="20"/>
        </w:rPr>
        <w:t>Medallia 고객사: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투자·개발 축소로 서비스 품질 저하 및 로드맵 불확실성 증가</w:t>
        <w:br/>
        <w:t xml:space="preserve">      </w:t>
      </w:r>
      <w:r>
        <w:rPr>
          <w:rFonts w:ascii="맑은 고딕" w:hAnsi="맑은 고딕" w:eastAsia="맑은 고딕"/>
          <w:b w:val="0"/>
          <w:i w:val="0"/>
          <w:sz w:val="20"/>
        </w:rPr>
        <w:br/>
      </w:r>
    </w:p>
    <w:p>
      <w:pPr>
        <w:spacing w:before="20" w:after="20"/>
        <w:ind w:left="680" w:hanging="240"/>
      </w:pPr>
      <w:r>
        <w:rPr>
          <w:rFonts w:ascii="맑은 고딕" w:hAnsi="맑은 고딕" w:eastAsia="맑은 고딕"/>
          <w:sz w:val="20"/>
        </w:rPr>
        <w:t xml:space="preserve">· </w:t>
      </w:r>
      <w:r>
        <w:rPr>
          <w:rFonts w:ascii="맑은 고딕" w:hAnsi="맑은 고딕" w:eastAsia="맑은 고딕"/>
          <w:b w:val="0"/>
          <w:i w:val="0"/>
          <w:sz w:val="20"/>
        </w:rPr>
        <w:t>Qualtrics·Salesforce 등 경쟁사의 Medallia 고객 유치 공세 강화 — 이탈 가속화 우려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i w:val="0"/>
          <w:sz w:val="20"/>
        </w:rPr>
        <w:t>PE 업계: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유사 구조(고배수 LBO + 변동금리)의 소프트웨어 기업 연쇄 부실화 시그널</w:t>
        <w:br/>
        <w:t xml:space="preserve">      </w:t>
      </w:r>
      <w:r>
        <w:rPr>
          <w:rFonts w:ascii="맑은 고딕" w:hAnsi="맑은 고딕" w:eastAsia="맑은 고딕"/>
          <w:b w:val="0"/>
          <w:i w:val="0"/>
          <w:sz w:val="20"/>
        </w:rPr>
        <w:br/>
      </w:r>
    </w:p>
    <w:p>
      <w:pPr>
        <w:spacing w:before="20" w:after="20"/>
        <w:ind w:left="680" w:hanging="240"/>
      </w:pPr>
      <w:r>
        <w:rPr>
          <w:rFonts w:ascii="맑은 고딕" w:hAnsi="맑은 고딕" w:eastAsia="맑은 고딕"/>
          <w:sz w:val="20"/>
        </w:rPr>
        <w:t xml:space="preserve">· </w:t>
      </w:r>
      <w:r>
        <w:rPr>
          <w:rFonts w:ascii="맑은 고딕" w:hAnsi="맑은 고딕" w:eastAsia="맑은 고딕"/>
          <w:b w:val="0"/>
          <w:i w:val="0"/>
          <w:sz w:val="20"/>
        </w:rPr>
        <w:t>2021년 고배수로 인수된 SaaS 기업 중 Medallia와 동일 구조를 가진 기업 다수 존재 (OnlyCFO 추산)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i w:val="0"/>
          <w:sz w:val="20"/>
        </w:rPr>
        <w:t>민간 신용 시장: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부실 소프트웨어 대출 관련 손실 본격 가시화</w:t>
        <w:br/>
        <w:t xml:space="preserve">      </w:t>
      </w:r>
      <w:r>
        <w:rPr>
          <w:rFonts w:ascii="맑은 고딕" w:hAnsi="맑은 고딕" w:eastAsia="맑은 고딕"/>
          <w:b w:val="0"/>
          <w:i w:val="0"/>
          <w:sz w:val="20"/>
        </w:rPr>
        <w:br/>
      </w:r>
    </w:p>
    <w:p>
      <w:pPr>
        <w:spacing w:before="20" w:after="20"/>
        <w:ind w:left="680" w:hanging="240"/>
      </w:pPr>
      <w:r>
        <w:rPr>
          <w:rFonts w:ascii="맑은 고딕" w:hAnsi="맑은 고딕" w:eastAsia="맑은 고딕"/>
          <w:sz w:val="20"/>
        </w:rPr>
        <w:t xml:space="preserve">· </w:t>
      </w:r>
      <w:r>
        <w:rPr>
          <w:rFonts w:ascii="맑은 고딕" w:hAnsi="맑은 고딕" w:eastAsia="맑은 고딕"/>
          <w:b w:val="0"/>
          <w:i w:val="0"/>
          <w:sz w:val="20"/>
        </w:rPr>
        <w:t>Blackstone 등 채권자도 원금 전액 회수 불확실 → Private Credit 시장 리스크 현실화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i w:val="0"/>
          <w:sz w:val="20"/>
        </w:rPr>
        <w:t>소프트웨어 M&amp;A 시장: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PE 참여 매물 급증 예상, 바이어 협상력 강화</w:t>
        <w:br/>
        <w:t xml:space="preserve">      </w:t>
      </w:r>
      <w:r>
        <w:rPr>
          <w:rFonts w:ascii="맑은 고딕" w:hAnsi="맑은 고딕" w:eastAsia="맑은 고딕"/>
          <w:b w:val="0"/>
          <w:i w:val="0"/>
          <w:sz w:val="20"/>
        </w:rPr>
        <w:br/>
      </w:r>
    </w:p>
    <w:p>
      <w:pPr>
        <w:spacing w:before="20" w:after="20"/>
        <w:ind w:left="680" w:hanging="240"/>
      </w:pPr>
      <w:r>
        <w:rPr>
          <w:rFonts w:ascii="맑은 고딕" w:hAnsi="맑은 고딕" w:eastAsia="맑은 고딕"/>
          <w:sz w:val="20"/>
        </w:rPr>
        <w:t xml:space="preserve">· </w:t>
      </w:r>
      <w:r>
        <w:rPr>
          <w:rFonts w:ascii="맑은 고딕" w:hAnsi="맑은 고딕" w:eastAsia="맑은 고딕"/>
          <w:b w:val="0"/>
          <w:i w:val="0"/>
          <w:sz w:val="20"/>
        </w:rPr>
        <w:t>고부채 매물의 디스카운트 딜 증가, 전략적 인수자(Strategic Buyer)에게 유리한 시장 형성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▸ 동일 구조 위험에 노출된 대표 사례 (2021~2022년 고배수 LBO 인수 기업)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기업명</w:t>
            </w:r>
          </w:p>
        </w:tc>
        <w:tc>
          <w:tcPr>
            <w:tcW w:type="dxa" w:w="181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PE 인수사</w:t>
            </w:r>
          </w:p>
        </w:tc>
        <w:tc>
          <w:tcPr>
            <w:tcW w:type="dxa" w:w="181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인수 시기</w:t>
            </w:r>
          </w:p>
        </w:tc>
        <w:tc>
          <w:tcPr>
            <w:tcW w:type="dxa" w:w="181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인수금액</w:t>
            </w:r>
          </w:p>
        </w:tc>
        <w:tc>
          <w:tcPr>
            <w:tcW w:type="dxa" w:w="181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사업 영역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Proofpoint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Thoma Bravo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2021.4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$12.3B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사이버보안 SaaS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RealPage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Thoma Bravo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2021.4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$10.2B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부동산 관리 SaaS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Stamps.com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Thoma Bravo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2021.10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$6.6B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우편·배송 SaaS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Zendesk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Permira·H&amp;F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2022.11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$10.2B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CX SaaS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Avalara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Vista Equity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2022.10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$8.4B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세금 자동화 SaaS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SailPoint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Thoma Bravo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2022.4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$6.9B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ID 보안 SaaS</w:t>
            </w:r>
          </w:p>
        </w:tc>
      </w:tr>
    </w:tbl>
    <w:p>
      <w:pPr>
        <w:spacing w:after="40"/>
      </w:pPr>
    </w:p>
    <w:p>
      <w:pPr>
        <w:spacing w:before="60" w:after="20"/>
        <w:ind w:left="113"/>
      </w:pPr>
      <w:r>
        <w:rPr>
          <w:rFonts w:ascii="맑은 고딕" w:hAnsi="맑은 고딕" w:eastAsia="맑은 고딕"/>
          <w:b/>
          <w:sz w:val="18"/>
        </w:rPr>
        <w:t xml:space="preserve">※ </w:t>
      </w:r>
      <w:r>
        <w:rPr>
          <w:rFonts w:ascii="맑은 고딕" w:hAnsi="맑은 고딕" w:eastAsia="맑은 고딕"/>
          <w:color w:val="333333"/>
          <w:sz w:val="18"/>
        </w:rPr>
        <w:t>2021~2022년 저금리 환경에서 9~10배 이상 배수로 인수된 소프트웨어 기업 상당수가 동일한 구조적 문제(고부채 + 변동금리)에 직면할 것으로 전망 (OnlyCFO, 2026.5.1 기반)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24"/>
        </w:rPr>
        <w:t>Medallia 사례와 사업건전성 관리 기준의 재정립</w:t>
      </w:r>
    </w:p>
    <w:p>
      <w:pPr>
        <w:spacing w:before="80" w:after="80"/>
        <w:pBdr>
          <w:bottom w:val="single" w:sz="12" w:space="1" w:color="000000"/>
        </w:pBdr>
      </w:pPr>
    </w:p>
    <w:p>
      <w:pPr>
        <w:spacing w:before="20" w:after="120"/>
        <w:jc w:val="right"/>
      </w:pPr>
      <w:r>
        <w:rPr>
          <w:rFonts w:ascii="맑은 고딕" w:hAnsi="맑은 고딕" w:eastAsia="맑은 고딕"/>
          <w:sz w:val="18"/>
        </w:rPr>
        <w:t>'26.5.6   솔루션사업부 기획팀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2"/>
        </w:rPr>
        <w:t>4. 시사점 및 사업건전성 대시보드 운영 방향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0"/>
        </w:rPr>
        <w:t xml:space="preserve"> □ Medallia 사례가 보여주는 SaaS 평가 기준의 핵심 교훈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매출·EBITDA는 SaaS 기업의 실질 건전성을 은폐할 수 있음 — 이자 $300M을 반영하면 표면상 양호했던 EBITDA $200M은 이미 구조적 적자였음. 외형 지표만 추적하면 위기가 터지기 전까지 이상 신호를 포착하기 어려움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"성장률 낙관"은 SaaS 기업 평가에서 가장 흔하고 치명적인 오류 — TB CEO가 직접 인정했듯, 현재 고성장이 미래에도 지속된다는 가정은 레버리지 환경에서 기업 전체를 무너뜨릴 수 있음. 성장률이 수익성·현금·고객유지율과 동반 개선되는지 함께 봐야 함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0"/>
        </w:rPr>
        <w:t xml:space="preserve"> □ 왜 Rule of 40 / FCF / NRR이어야 하는가</w:t>
      </w:r>
    </w:p>
    <w:p>
      <w:pPr>
        <w:spacing w:before="80" w:after="80"/>
        <w:ind w:left="170" w:right="170"/>
        <w:pBdr>
          <w:top w:val="single" w:sz="4" w:space="4" w:color="AAAAAA"/>
          <w:left w:val="single" w:sz="6" w:space="4" w:color="888888"/>
          <w:bottom w:val="single" w:sz="4" w:space="4" w:color="AAAAAA"/>
          <w:right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sz w:val="19"/>
        </w:rPr>
        <w:br/>
        <w:t xml:space="preserve">    SaaS 기업의 평가 기준으로 Rule of 40, FCF, NRR이 제시되는 이유를 Medallia 사례가 실증적으로 보여줌</w:t>
      </w:r>
      <w:r>
        <w:rPr>
          <w:rFonts w:ascii="맑은 고딕" w:hAnsi="맑은 고딕" w:eastAsia="맑은 고딕"/>
          <w:b w:val="0"/>
          <w:i w:val="0"/>
          <w:sz w:val="19"/>
        </w:rPr>
        <w:br/>
        <w:t xml:space="preserve">    → Medallia는 세 지표 모두에서 사전에 경고 신호가 있었음에도 표면 지표(매출·EBITDA)만으로 고배수 인수가 이루어진 전형적인 반면교사 사례</w:t>
        <w:br/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지표</w:t>
            </w:r>
          </w:p>
        </w:tc>
        <w:tc>
          <w:tcPr>
            <w:tcW w:type="dxa" w:w="302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왜 중요한가</w:t>
            </w:r>
          </w:p>
        </w:tc>
        <w:tc>
          <w:tcPr>
            <w:tcW w:type="dxa" w:w="302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Medallia에서의 경고 신호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Rule of 40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성장률 + 이익률 ≥ 40%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성장만 추구하면 현금을 태우고, 수익만 추구하면 경쟁력을 잃음. 이 둘의 균형을 단 하나의 숫자로 측정하는 유일한 지표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금리 인상 후 이자 과부담으로 영업이익률 급락 → Rule of 40 붕괴. 이 시점에 경보 발령 가능했음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FCF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실질 현금 창출력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EBITDA는 이자·세금 전 수치로 고부채 기업의 체력을 과대 표시. FCF가 마이너스인 기업은 혁신·생존 모두 외부 자금에 의존하는 구조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EBITDA $200M에서 이자 $300M을 차감하면 세전 기준 이미 –$100M 적자. 세금·설비투자까지 고려하면 실질 FCF 적자 폭은 더 클 것으로 추정 → 혁신 투자 전면 중단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NRR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순매출유지율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신규 고객 유치는 기존 고객 유지보다 5~7배 비용이 더 듦. NRR 하락은 제품 경쟁력 약화의 가장 빠른 선행 신호로, 본격 매출 하락보다 2~4분기 먼저 나타남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FCF 적자로 제품 혁신 중단 → Qualtrics 등으로 기존 고객 이탈 → NRR 하락이 향후 매출 감소를 선행 예고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※ 비상장 전환 후 NRR 미공개 — 고객 이탈 보도 기반 추정</w:t>
            </w:r>
          </w:p>
        </w:tc>
      </w:tr>
    </w:tbl>
    <w:p>
      <w:pPr>
        <w:spacing w:after="40"/>
      </w:pPr>
    </w:p>
    <w:p>
      <w:pPr>
        <w:spacing w:before="80" w:after="80"/>
        <w:ind w:left="170" w:right="17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sz w:val="19"/>
        </w:rPr>
        <w:br/>
      </w:r>
      <w:r>
        <w:rPr>
          <w:rFonts w:ascii="맑은 고딕" w:hAnsi="맑은 고딕" w:eastAsia="맑은 고딕"/>
          <w:b/>
          <w:i w:val="0"/>
          <w:sz w:val="19"/>
        </w:rPr>
        <w:t>세 지표 동시 악화 = 복합 위기 신호</w:t>
      </w:r>
      <w:r>
        <w:rPr>
          <w:rFonts w:ascii="맑은 고딕" w:hAnsi="맑은 고딕" w:eastAsia="맑은 고딕"/>
          <w:b w:val="0"/>
          <w:i w:val="0"/>
          <w:sz w:val="19"/>
        </w:rPr>
        <w:br/>
        <w:t xml:space="preserve">    Rule of 40 하락 + FCF 적자 + NRR 하락이 동시에 나타날 때 이는 구조적 위기이며, 단기간 내 자력 회복이 어려운 상태를 의미함. 세 지표를 함께 보는 체계가 없었던 것이 Medallia $5B 손실의 근본 원인 중 하나</w:t>
        <w:br/>
        <w:t xml:space="preserve">  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120" w:after="40"/>
      </w:pPr>
      <w:r>
        <w:rPr>
          <w:rFonts w:ascii="맑은 고딕" w:hAnsi="맑은 고딕" w:eastAsia="맑은 고딕"/>
          <w:b/>
          <w:sz w:val="20"/>
        </w:rPr>
        <w:t xml:space="preserve"> □ 현재 대시보드 지표와 3대 평가 지표의 연계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SaaS 지표</w:t>
            </w:r>
          </w:p>
        </w:tc>
        <w:tc>
          <w:tcPr>
            <w:tcW w:type="dxa" w:w="302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현재 대시보드 연계 항목</w:t>
            </w:r>
          </w:p>
        </w:tc>
        <w:tc>
          <w:tcPr>
            <w:tcW w:type="dxa" w:w="302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연계 방향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Rule of 40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성장 지표 + 효율수익 지표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(매출성장률 + 영업이익률)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두 지표를 합산한 Rule of 40 수치를 메인 화면에 명시적으로 표시. 12개 상품별 비교로 우선순위 도출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FCF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효율수익 지표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(Margin·비용 구조)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계약 매출 외 실현 매출·비용 추적. 이자·상각 후 실질 현금 창출력 가시화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NRR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VoC 지표 + 고객사 현황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(이탈·불만·갱신율)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VoC 개선 리드타임·지연건수를 NRR 선행지표로 활용. 고객사별 갱신율·해지율 트렌드 시각화</w:t>
            </w:r>
          </w:p>
        </w:tc>
      </w:tr>
    </w:tbl>
    <w:p>
      <w:pPr>
        <w:spacing w:after="40"/>
      </w:pPr>
    </w:p>
    <w:p>
      <w:pPr>
        <w:spacing w:before="60" w:after="20"/>
        <w:ind w:left="113"/>
      </w:pPr>
      <w:r>
        <w:rPr>
          <w:rFonts w:ascii="맑은 고딕" w:hAnsi="맑은 고딕" w:eastAsia="맑은 고딕"/>
          <w:b/>
          <w:sz w:val="18"/>
        </w:rPr>
        <w:t xml:space="preserve">※ </w:t>
      </w:r>
      <w:r>
        <w:rPr>
          <w:rFonts w:ascii="맑은 고딕" w:hAnsi="맑은 고딕" w:eastAsia="맑은 고딕"/>
          <w:color w:val="333333"/>
          <w:sz w:val="18"/>
        </w:rPr>
        <w:t>현재 각 탭에 분산된 지표들이 Rule of 40 / FCF / NRR의 구성 요소에 이미 대응되고 있음. 통합 뷰 추가 시 경영진 의사결정 속도 향상 가능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0"/>
        </w:rPr>
        <w:t xml:space="preserve"> □ 운영 우선순위 제언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i w:val="0"/>
          <w:sz w:val="20"/>
        </w:rPr>
        <w:t>(지표 재구성)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12개 상품별 Rule of 40 / NRR을 한눈에 비교할 수 있는 통합 뷰 구성</w:t>
        <w:br/>
        <w:t xml:space="preserve">      </w:t>
      </w:r>
      <w:r>
        <w:rPr>
          <w:rFonts w:ascii="맑은 고딕" w:hAnsi="맑은 고딕" w:eastAsia="맑은 고딕"/>
          <w:b w:val="0"/>
          <w:i w:val="0"/>
          <w:sz w:val="20"/>
        </w:rPr>
        <w:br/>
      </w:r>
    </w:p>
    <w:p>
      <w:pPr>
        <w:spacing w:before="20" w:after="20"/>
        <w:ind w:left="680" w:hanging="240"/>
      </w:pPr>
      <w:r>
        <w:rPr>
          <w:rFonts w:ascii="맑은 고딕" w:hAnsi="맑은 고딕" w:eastAsia="맑은 고딕"/>
          <w:sz w:val="20"/>
        </w:rPr>
        <w:t xml:space="preserve">· </w:t>
      </w:r>
      <w:r>
        <w:rPr>
          <w:rFonts w:ascii="맑은 고딕" w:hAnsi="맑은 고딕" w:eastAsia="맑은 고딕"/>
          <w:b w:val="0"/>
          <w:i w:val="0"/>
          <w:sz w:val="20"/>
        </w:rPr>
        <w:t>성장+수익 동시 악화 상품을 최우선 모니터링 대상으로 자동 분류</w:t>
      </w:r>
    </w:p>
    <w:p>
      <w:pPr>
        <w:spacing w:before="20" w:after="20"/>
        <w:ind w:left="680" w:hanging="240"/>
      </w:pPr>
      <w:r>
        <w:rPr>
          <w:rFonts w:ascii="맑은 고딕" w:hAnsi="맑은 고딕" w:eastAsia="맑은 고딕"/>
          <w:sz w:val="20"/>
        </w:rPr>
        <w:t xml:space="preserve">· </w:t>
      </w:r>
      <w:r>
        <w:rPr>
          <w:rFonts w:ascii="맑은 고딕" w:hAnsi="맑은 고딕" w:eastAsia="맑은 고딕"/>
          <w:b w:val="0"/>
          <w:i w:val="0"/>
          <w:sz w:val="20"/>
        </w:rPr>
        <w:t>VoC 개선 리드타임·지연건수를 NRR 선행 경보로 연결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i w:val="0"/>
          <w:sz w:val="20"/>
        </w:rPr>
        <w:t>(조기 경보 기준)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Medallia 사례처럼 표면 지표(매출·EBITDA)만 추적하다 뒤늦게 위기를 인지하는 오류 차단</w:t>
        <w:br/>
        <w:t xml:space="preserve">      </w:t>
      </w:r>
      <w:r>
        <w:rPr>
          <w:rFonts w:ascii="맑은 고딕" w:hAnsi="맑은 고딕" w:eastAsia="맑은 고딕"/>
          <w:b w:val="0"/>
          <w:i w:val="0"/>
          <w:sz w:val="20"/>
        </w:rPr>
        <w:br/>
      </w:r>
    </w:p>
    <w:p>
      <w:pPr>
        <w:spacing w:before="20" w:after="20"/>
        <w:ind w:left="680" w:hanging="240"/>
      </w:pPr>
      <w:r>
        <w:rPr>
          <w:rFonts w:ascii="맑은 고딕" w:hAnsi="맑은 고딕" w:eastAsia="맑은 고딕"/>
          <w:sz w:val="20"/>
        </w:rPr>
        <w:t xml:space="preserve">· </w:t>
      </w:r>
      <w:r>
        <w:rPr>
          <w:rFonts w:ascii="맑은 고딕" w:hAnsi="맑은 고딕" w:eastAsia="맑은 고딕"/>
          <w:b w:val="0"/>
          <w:i w:val="0"/>
          <w:sz w:val="20"/>
        </w:rPr>
        <w:t>임계값(안): Rule of 40 &lt; 20 지속 2분기, NRR &lt; 90% 도달 시 즉시 리뷰 트리거</w:t>
      </w:r>
    </w:p>
    <w:p>
      <w:pPr>
        <w:spacing w:before="20" w:after="20"/>
        <w:ind w:left="680" w:hanging="240"/>
      </w:pPr>
      <w:r>
        <w:rPr>
          <w:rFonts w:ascii="맑은 고딕" w:hAnsi="맑은 고딕" w:eastAsia="맑은 고딕"/>
          <w:sz w:val="20"/>
        </w:rPr>
        <w:t xml:space="preserve">· </w:t>
      </w:r>
      <w:r>
        <w:rPr>
          <w:rFonts w:ascii="맑은 고딕" w:hAnsi="맑은 고딕" w:eastAsia="맑은 고딕"/>
          <w:b w:val="0"/>
          <w:i w:val="0"/>
          <w:sz w:val="20"/>
        </w:rPr>
        <w:t>12개 상품별 특성에 맞게 사업부 협의 후 차등 적용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i w:val="0"/>
          <w:sz w:val="20"/>
        </w:rPr>
        <w:t>(상품 우선순위)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구독형 SaaS 상품은 NRR 집중 관리, 신규 도입 상품은 FCF 흑자 전환 시점을 KPI로 명시</w:t>
      </w:r>
    </w:p>
    <w:p>
      <w:pPr>
        <w:spacing w:before="100" w:after="60"/>
      </w:pPr>
      <w:r>
        <w:rPr>
          <w:rFonts w:ascii="맑은 고딕" w:hAnsi="맑은 고딕" w:eastAsia="맑은 고딕"/>
          <w:b/>
          <w:sz w:val="20"/>
        </w:rPr>
        <w:t xml:space="preserve">→ </w:t>
      </w:r>
      <w:r>
        <w:rPr>
          <w:rFonts w:ascii="맑은 고딕" w:hAnsi="맑은 고딕" w:eastAsia="맑은 고딕"/>
          <w:b w:val="0"/>
          <w:i w:val="0"/>
          <w:sz w:val="20"/>
        </w:rPr>
        <w:br/>
      </w:r>
      <w:r>
        <w:rPr>
          <w:rFonts w:ascii="맑은 고딕" w:hAnsi="맑은 고딕" w:eastAsia="맑은 고딕"/>
          <w:b w:val="0"/>
          <w:i w:val="0"/>
          <w:sz w:val="20"/>
        </w:rPr>
        <w:br/>
      </w:r>
      <w:r>
        <w:rPr>
          <w:rFonts w:ascii="맑은 고딕" w:hAnsi="맑은 고딕" w:eastAsia="맑은 고딕"/>
          <w:b w:val="0"/>
          <w:i w:val="0"/>
          <w:sz w:val="20"/>
        </w:rPr>
        <w:t>사업건전성 대시보드를 단순 현황 집계를 넘어, Medallia 사례와 같은 구조적 위험 신호를 1~2년 앞서 감지하는 조기 경보 시스템 으로 발전시키는 것이 목표</w:t>
      </w:r>
      <w:r>
        <w:rPr>
          <w:rFonts w:ascii="맑은 고딕" w:hAnsi="맑은 고딕" w:eastAsia="맑은 고딕"/>
          <w:b w:val="0"/>
          <w:i w:val="0"/>
          <w:sz w:val="20"/>
        </w:rPr>
        <w:br/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24"/>
        </w:rPr>
        <w:t>Medallia 사례와 사업건전성 관리 기준의 재정립</w:t>
      </w:r>
    </w:p>
    <w:p>
      <w:pPr>
        <w:spacing w:before="80" w:after="80"/>
        <w:pBdr>
          <w:bottom w:val="single" w:sz="12" w:space="1" w:color="000000"/>
        </w:pBdr>
      </w:pPr>
    </w:p>
    <w:p>
      <w:pPr>
        <w:spacing w:before="20" w:after="120"/>
        <w:jc w:val="right"/>
      </w:pPr>
      <w:r>
        <w:rPr>
          <w:rFonts w:ascii="맑은 고딕" w:hAnsi="맑은 고딕" w:eastAsia="맑은 고딕"/>
          <w:sz w:val="18"/>
        </w:rPr>
        <w:t>'26.5.6   솔루션사업부 기획팀</w:t>
      </w:r>
    </w:p>
    <w:p>
      <w:pPr>
        <w:spacing w:before="80" w:after="160"/>
        <w:jc w:val="center"/>
      </w:pPr>
      <w:r>
        <w:rPr>
          <w:rFonts w:ascii="맑은 고딕" w:hAnsi="맑은 고딕" w:eastAsia="맑은 고딕"/>
          <w:b/>
          <w:sz w:val="22"/>
        </w:rPr>
        <w:t>【 별첨 1 】 Medallia 기업 상세 프로필</w:t>
      </w:r>
    </w:p>
    <w:p>
      <w:pPr>
        <w:spacing w:before="160" w:after="60"/>
        <w:pBdr>
          <w:bottom w:val="single" w:sz="4" w:space="1" w:color="CCCCCC"/>
        </w:pBdr>
      </w:pPr>
      <w:r>
        <w:rPr>
          <w:rFonts w:ascii="맑은 고딕" w:hAnsi="맑은 고딕" w:eastAsia="맑은 고딕"/>
          <w:b/>
          <w:sz w:val="20"/>
        </w:rPr>
        <w:t>기업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기업명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Medallia, Inc.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설립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2001년 (미국 캘리포니아)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창립자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Borge Hald, Amy Pressman (Fortune 500 기업 임원 컨설팅 경험 기반 창업)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본사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San Francisco, CA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임직원 수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약 2,037명 (2021년 1월 기준)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상장 이력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2019년 7월 NYSE 상장 (MDLA, 공모가 $21) → 2021년 10월 Thoma Bravo 인수로 상장 폐지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현재 상태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채권단(Blackstone 등) 관리하 구조조정 중 (2026년)</w:t>
            </w:r>
          </w:p>
        </w:tc>
      </w:tr>
    </w:tbl>
    <w:p>
      <w:pPr>
        <w:spacing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맑은 고딕" w:hAnsi="맑은 고딕" w:eastAsia="맑은 고딕"/>
          <w:b/>
          <w:sz w:val="20"/>
        </w:rPr>
        <w:t>제품·솔루션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카테고리</w:t>
            </w:r>
          </w:p>
        </w:tc>
        <w:tc>
          <w:tcPr>
            <w:tcW w:type="dxa" w:w="4536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주요 솔루션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고객경험 (CX)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고객경험 관리(CEM), 디지털 경험 분석, 경험 오케스트레이션, 개인화 메시징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직원경험 (EX)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직원 리스닝(Listening), 직원 활성화(Activation) 플랫폼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컨택센터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대화형 인텔리전스, 상담원 코칭, 품질 관리, 지능형 콜백(Intelligent Callback)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AI·분석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Frontline-Ready AI™ — 별도 교육 없이 현장에서 즉시 활용 가능한 내장형 AI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시장조사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애자일 리서치(Agile Research), 비디오 조사</w:t>
            </w:r>
          </w:p>
        </w:tc>
      </w:tr>
    </w:tbl>
    <w:p>
      <w:pPr>
        <w:spacing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맑은 고딕" w:hAnsi="맑은 고딕" w:eastAsia="맑은 고딕"/>
          <w:b/>
          <w:sz w:val="20"/>
        </w:rPr>
        <w:t>주요 고객 및 시장 지위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주요 글로벌 고객: Airbnb, Volvo Cars, 3M, Johnson &amp; Johnson, MetLife, PetSmart, Best Western, H&amp;R Block 등 Fortune 500 다수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주요 산업군: 금융 서비스, 항공, 호텔·숙박, 통신, 소매, B2B 기업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 xml:space="preserve">Gartner Magic Quadrant 2026 </w:t>
      </w:r>
      <w:r>
        <w:rPr>
          <w:rFonts w:ascii="맑은 고딕" w:hAnsi="맑은 고딕" w:eastAsia="맑은 고딕"/>
          <w:b/>
          <w:i w:val="0"/>
          <w:sz w:val="20"/>
        </w:rPr>
        <w:t>"Leader"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선정 (CX 관리 플랫폼 부문)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주요 경쟁사: Qualtrics(SAP 계열), NICE Satmetrix, Salesforce Experience Cloud, Sprinklr</w:t>
      </w:r>
    </w:p>
    <w:p>
      <w:pPr>
        <w:spacing w:before="160" w:after="60"/>
        <w:pBdr>
          <w:bottom w:val="single" w:sz="4" w:space="1" w:color="CCCCCC"/>
        </w:pBdr>
      </w:pPr>
      <w:r>
        <w:rPr>
          <w:rFonts w:ascii="맑은 고딕" w:hAnsi="맑은 고딕" w:eastAsia="맑은 고딕"/>
          <w:b/>
          <w:sz w:val="20"/>
        </w:rPr>
        <w:t>비즈니스 모델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연간 구독(ARR) 기반 엔터프라이즈 SaaS 모델 — 대형 고객 중심, 구현 서비스 별도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Forrester TEI(총체적 경제 영향) 분석 기준: 3년 ROI 185%, 개인화 기반 매출 성장 $30M, 기술 통합 절감 $15M</w:t>
      </w:r>
    </w:p>
    <w:p>
      <w:pPr>
        <w:spacing w:before="160" w:after="60"/>
        <w:pBdr>
          <w:bottom w:val="single" w:sz="4" w:space="1" w:color="CCCCCC"/>
        </w:pBdr>
      </w:pPr>
      <w:r>
        <w:rPr>
          <w:rFonts w:ascii="맑은 고딕" w:hAnsi="맑은 고딕" w:eastAsia="맑은 고딕"/>
          <w:b/>
          <w:sz w:val="20"/>
        </w:rPr>
        <w:t>주요 M&amp;A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연도</w:t>
            </w:r>
          </w:p>
        </w:tc>
        <w:tc>
          <w:tcPr>
            <w:tcW w:type="dxa" w:w="302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인수 기업</w:t>
            </w:r>
          </w:p>
        </w:tc>
        <w:tc>
          <w:tcPr>
            <w:tcW w:type="dxa" w:w="302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2016년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Kampyle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웹 피드백 및 고객 인텔리전스 솔루션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2019년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CoolaData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행동 분석(Behavioral Analytics) 플랫폼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2020년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Voci Technologies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음성 AI·통화 분석 솔루션 ($59M)</w:t>
            </w:r>
          </w:p>
        </w:tc>
      </w:tr>
    </w:tbl>
    <w:p>
      <w:pPr>
        <w:spacing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맑은 고딕" w:hAnsi="맑은 고딕" w:eastAsia="맑은 고딕"/>
          <w:b/>
          <w:sz w:val="20"/>
        </w:rPr>
        <w:t>재무 현황 (상장 폐지 직전 공개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수치</w:t>
            </w:r>
          </w:p>
        </w:tc>
        <w:tc>
          <w:tcPr>
            <w:tcW w:type="dxa" w:w="302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기준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연간 매출</w:t>
            </w:r>
          </w:p>
        </w:tc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$477M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FY2020 (상장 당시 공개)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순손실</w:t>
            </w:r>
          </w:p>
        </w:tc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BB0000"/>
                <w:sz w:val="18"/>
              </w:rPr>
              <w:t>–$149M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FY2020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인수 후 추정 매출</w:t>
            </w:r>
          </w:p>
        </w:tc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약 $700M대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2021년 인수 당시 기준 (추정)</w:t>
            </w:r>
          </w:p>
        </w:tc>
      </w:tr>
    </w:tbl>
    <w:p>
      <w:pPr>
        <w:spacing w:after="40"/>
      </w:pPr>
    </w:p>
    <w:p>
      <w:pPr>
        <w:spacing w:before="60" w:after="20"/>
        <w:ind w:left="113"/>
      </w:pPr>
      <w:r>
        <w:rPr>
          <w:rFonts w:ascii="맑은 고딕" w:hAnsi="맑은 고딕" w:eastAsia="맑은 고딕"/>
          <w:b/>
          <w:sz w:val="18"/>
        </w:rPr>
        <w:t xml:space="preserve">※ </w:t>
      </w:r>
      <w:r>
        <w:rPr>
          <w:rFonts w:ascii="맑은 고딕" w:hAnsi="맑은 고딕" w:eastAsia="맑은 고딕"/>
          <w:color w:val="333333"/>
          <w:sz w:val="18"/>
        </w:rPr>
        <w:t>2021년 상장 폐지 후 재무 정보 비공개. 이자비용 급증으로 인한 FCF 악화는 기사(OnlyCFO, 2026.5.1) 분석 기반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24"/>
        </w:rPr>
        <w:t>Medallia 사례와 사업건전성 관리 기준의 재정립</w:t>
      </w:r>
    </w:p>
    <w:p>
      <w:pPr>
        <w:spacing w:before="80" w:after="80"/>
        <w:pBdr>
          <w:bottom w:val="single" w:sz="12" w:space="1" w:color="000000"/>
        </w:pBdr>
      </w:pPr>
    </w:p>
    <w:p>
      <w:pPr>
        <w:spacing w:before="20" w:after="120"/>
        <w:jc w:val="right"/>
      </w:pPr>
      <w:r>
        <w:rPr>
          <w:rFonts w:ascii="맑은 고딕" w:hAnsi="맑은 고딕" w:eastAsia="맑은 고딕"/>
          <w:sz w:val="18"/>
        </w:rPr>
        <w:t>'26.5.6   솔루션사업부 기획팀</w:t>
      </w:r>
    </w:p>
    <w:p>
      <w:pPr>
        <w:spacing w:before="80" w:after="160"/>
        <w:jc w:val="center"/>
      </w:pPr>
      <w:r>
        <w:rPr>
          <w:rFonts w:ascii="맑은 고딕" w:hAnsi="맑은 고딕" w:eastAsia="맑은 고딕"/>
          <w:b/>
          <w:sz w:val="22"/>
        </w:rPr>
        <w:t>【 별첨 2 】 Thoma Bravo 기업 상세 프로필</w:t>
      </w:r>
    </w:p>
    <w:p>
      <w:pPr>
        <w:spacing w:before="160" w:after="60"/>
        <w:pBdr>
          <w:bottom w:val="single" w:sz="4" w:space="1" w:color="CCCCCC"/>
        </w:pBdr>
      </w:pPr>
      <w:r>
        <w:rPr>
          <w:rFonts w:ascii="맑은 고딕" w:hAnsi="맑은 고딕" w:eastAsia="맑은 고딕"/>
          <w:b/>
          <w:sz w:val="20"/>
        </w:rPr>
        <w:t>기업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기업명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Thoma Bravo, LP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설립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2008년 공식 설립 (전신: 1980년 설립된 Golder Thoma &amp; Co.)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본사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San Francisco, CA / Chicago, IL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운용자산(AUM)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$183B 이상 (2025년 12월 31일 기준)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누적 거래 건수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565건 이상 완료, 누적 대표 가치 $305B 이상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특화 분야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엔터프라이즈 소프트웨어, 인프라 소프트웨어, 사이버보안, 기술 서비스</w:t>
            </w:r>
          </w:p>
        </w:tc>
      </w:tr>
    </w:tbl>
    <w:p>
      <w:pPr>
        <w:spacing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맑은 고딕" w:hAnsi="맑은 고딕" w:eastAsia="맑은 고딕"/>
          <w:b/>
          <w:sz w:val="20"/>
        </w:rPr>
        <w:t>투자 철학 및 전략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 xml:space="preserve">핵심 슬로건: </w:t>
      </w:r>
      <w:r>
        <w:rPr>
          <w:rFonts w:ascii="맑은 고딕" w:hAnsi="맑은 고딕" w:eastAsia="맑은 고딕"/>
          <w:b w:val="0"/>
          <w:i/>
          <w:sz w:val="20"/>
        </w:rPr>
        <w:t>"Software keeps redefining the enterprise"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소프트웨어의 지속적 혁신 가치에 집중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 xml:space="preserve">단순 재무 수익이 아닌 </w:t>
      </w:r>
      <w:r>
        <w:rPr>
          <w:rFonts w:ascii="맑은 고딕" w:hAnsi="맑은 고딕" w:eastAsia="맑은 고딕"/>
          <w:b/>
          <w:i w:val="0"/>
          <w:sz w:val="20"/>
        </w:rPr>
        <w:t>운영 개선(Operational Improvement)</w:t>
      </w:r>
      <w:r>
        <w:rPr>
          <w:rFonts w:ascii="맑은 고딕" w:hAnsi="맑은 고딕" w:eastAsia="맑은 고딕"/>
          <w:b w:val="0"/>
          <w:i w:val="0"/>
          <w:sz w:val="20"/>
        </w:rPr>
        <w:t>을 통한 기업 가치 창출 추구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"매입-구축(Buy &amp; Build)" 전략: 수평적 통합 및 제품 확장으로 시장 지배력 강화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소프트웨어 특화 이유</w:t>
        <w:br/>
        <w:t xml:space="preserve">      </w:t>
      </w:r>
      <w:r>
        <w:rPr>
          <w:rFonts w:ascii="맑은 고딕" w:hAnsi="맑은 고딕" w:eastAsia="맑은 고딕"/>
          <w:b w:val="0"/>
          <w:i w:val="0"/>
          <w:sz w:val="20"/>
        </w:rPr>
        <w:br/>
      </w:r>
    </w:p>
    <w:p>
      <w:pPr>
        <w:spacing w:before="20" w:after="20"/>
        <w:ind w:left="680" w:hanging="240"/>
      </w:pPr>
      <w:r>
        <w:rPr>
          <w:rFonts w:ascii="맑은 고딕" w:hAnsi="맑은 고딕" w:eastAsia="맑은 고딕"/>
          <w:sz w:val="20"/>
        </w:rPr>
        <w:t xml:space="preserve">· </w:t>
      </w:r>
      <w:r>
        <w:rPr>
          <w:rFonts w:ascii="맑은 고딕" w:hAnsi="맑은 고딕" w:eastAsia="맑은 고딕"/>
          <w:b w:val="0"/>
          <w:i w:val="0"/>
          <w:sz w:val="20"/>
        </w:rPr>
        <w:t>높은 반복 수익(ARR) 구조와 낮은 한계 비용으로 가치 창출이 용이</w:t>
      </w:r>
    </w:p>
    <w:p>
      <w:pPr>
        <w:spacing w:before="20" w:after="20"/>
        <w:ind w:left="680" w:hanging="240"/>
      </w:pPr>
      <w:r>
        <w:rPr>
          <w:rFonts w:ascii="맑은 고딕" w:hAnsi="맑은 고딕" w:eastAsia="맑은 고딕"/>
          <w:sz w:val="20"/>
        </w:rPr>
        <w:t xml:space="preserve">· </w:t>
      </w:r>
      <w:r>
        <w:rPr>
          <w:rFonts w:ascii="맑은 고딕" w:hAnsi="맑은 고딕" w:eastAsia="맑은 고딕"/>
          <w:b w:val="0"/>
          <w:i w:val="0"/>
          <w:sz w:val="20"/>
        </w:rPr>
        <w:t>운영 효율화(비용 절감·제품 고도화) 후 재매각 또는 상장을 통한 수익 실현</w:t>
      </w:r>
    </w:p>
    <w:p>
      <w:pPr>
        <w:spacing w:before="20" w:after="20"/>
        <w:ind w:left="680" w:hanging="240"/>
      </w:pPr>
      <w:r>
        <w:rPr>
          <w:rFonts w:ascii="맑은 고딕" w:hAnsi="맑은 고딕" w:eastAsia="맑은 고딕"/>
          <w:sz w:val="20"/>
        </w:rPr>
        <w:t xml:space="preserve">· </w:t>
      </w:r>
      <w:r>
        <w:rPr>
          <w:rFonts w:ascii="맑은 고딕" w:hAnsi="맑은 고딕" w:eastAsia="맑은 고딕"/>
          <w:b w:val="0"/>
          <w:i w:val="0"/>
          <w:sz w:val="20"/>
        </w:rPr>
        <w:t>Google Cloud 등과 전략적 파트너십으로 AI·소프트웨어 결합 전략 추진</w:t>
      </w:r>
    </w:p>
    <w:p>
      <w:pPr>
        <w:spacing w:before="160" w:after="60"/>
        <w:pBdr>
          <w:bottom w:val="single" w:sz="4" w:space="1" w:color="CCCCCC"/>
        </w:pBdr>
      </w:pPr>
      <w:r>
        <w:rPr>
          <w:rFonts w:ascii="맑은 고딕" w:hAnsi="맑은 고딕" w:eastAsia="맑은 고딕"/>
          <w:b/>
          <w:sz w:val="20"/>
        </w:rPr>
        <w:t>주요 포트폴리오 (대표 사례)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기업명</w:t>
            </w:r>
          </w:p>
        </w:tc>
        <w:tc>
          <w:tcPr>
            <w:tcW w:type="dxa" w:w="302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분야</w:t>
            </w:r>
          </w:p>
        </w:tc>
        <w:tc>
          <w:tcPr>
            <w:tcW w:type="dxa" w:w="3024"/>
            <w:shd w:val="clear" w:color="auto" w:fill="1e1e1e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인수 금액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Proofpoint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엔터프라이즈 사이버보안</w:t>
            </w:r>
          </w:p>
        </w:tc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$12.3B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Anaplan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기업 계획(Planning) 플랫폼</w:t>
            </w:r>
          </w:p>
        </w:tc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$10.7B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Stamps.com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우편·배송 SaaS</w:t>
            </w:r>
          </w:p>
        </w:tc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$6.6B</w:t>
            </w:r>
          </w:p>
        </w:tc>
      </w:tr>
      <w:tr>
        <w:tc>
          <w:tcPr>
            <w:tcW w:type="dxa" w:w="3024"/>
            <w:shd w:val="clear" w:color="auto" w:fill="FEF9E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Medallia</w:t>
            </w:r>
          </w:p>
        </w:tc>
        <w:tc>
          <w:tcPr>
            <w:tcW w:type="dxa" w:w="3024"/>
            <w:shd w:val="clear" w:color="auto" w:fill="FEF9E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CX 관리 플랫폼</w:t>
            </w:r>
          </w:p>
        </w:tc>
        <w:tc>
          <w:tcPr>
            <w:tcW w:type="dxa" w:w="3024"/>
            <w:shd w:val="clear" w:color="auto" w:fill="FEF9E5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BB0000"/>
                <w:sz w:val="18"/>
              </w:rPr>
              <w:t>$6.4B (손실 확정)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Coupa Software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조달 자동화</w:t>
            </w:r>
          </w:p>
        </w:tc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$6.15B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Sophos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엔드포인트 보안</w:t>
            </w:r>
          </w:p>
        </w:tc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$3.9B</w:t>
            </w:r>
          </w:p>
        </w:tc>
      </w:tr>
    </w:tbl>
    <w:p>
      <w:pPr>
        <w:spacing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맑은 고딕" w:hAnsi="맑은 고딕" w:eastAsia="맑은 고딕"/>
          <w:b/>
          <w:sz w:val="20"/>
        </w:rPr>
        <w:t>인수 실패 메커니즘 요약</w:t>
      </w:r>
    </w:p>
    <w:p>
      <w:pPr>
        <w:spacing w:before="80" w:after="80"/>
        <w:ind w:left="170" w:right="17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sz w:val="19"/>
        </w:rPr>
        <w:br/>
      </w:r>
      <w:r>
        <w:rPr>
          <w:rFonts w:ascii="맑은 고딕" w:hAnsi="맑은 고딕" w:eastAsia="맑은 고딕"/>
          <w:b/>
          <w:i w:val="0"/>
          <w:sz w:val="19"/>
        </w:rPr>
        <w:t>부채 시한폭탄 메커니즘</w:t>
      </w:r>
      <w:r>
        <w:rPr>
          <w:rFonts w:ascii="맑은 고딕" w:hAnsi="맑은 고딕" w:eastAsia="맑은 고딕"/>
          <w:b w:val="0"/>
          <w:i w:val="0"/>
          <w:sz w:val="19"/>
        </w:rPr>
        <w:br/>
        <w:t xml:space="preserve">    인수 시 변동금리 $1.8B 조달 (LIBOR 0.75%)</w:t>
        <w:br/>
        <w:t xml:space="preserve">    → 연준 인상으로 SOFR 5.4% 도달</w:t>
        <w:br/>
        <w:t xml:space="preserve">    → 연이자 $135M → $300M 급등</w:t>
        <w:br/>
        <w:t xml:space="preserve">    → PIK 이자 누적으로 원금 $1.8B → $2.8B (복리 방식으로 지속 증가, 약 $1B 누적)</w:t>
        <w:br/>
        <w:t xml:space="preserve">    → EBITDA $200M으로 이자조차 충당 불가</w:t>
        <w:br/>
        <w:t xml:space="preserve">    → 채무불이행(Default) → 경영권 상실</w:t>
        <w:br/>
        <w:t xml:space="preserve">  </w:t>
      </w:r>
    </w:p>
    <w:p>
      <w:pPr>
        <w:spacing w:before="60" w:after="20"/>
        <w:ind w:left="113"/>
      </w:pPr>
      <w:r>
        <w:rPr>
          <w:rFonts w:ascii="맑은 고딕" w:hAnsi="맑은 고딕" w:eastAsia="맑은 고딕"/>
          <w:b/>
          <w:sz w:val="18"/>
        </w:rPr>
        <w:t xml:space="preserve">※ </w:t>
      </w:r>
      <w:r>
        <w:rPr>
          <w:rFonts w:ascii="맑은 고딕" w:hAnsi="맑은 고딕" w:eastAsia="맑은 고딕"/>
          <w:color w:val="333333"/>
          <w:sz w:val="18"/>
        </w:rPr>
        <w:t>PIK(Payment-In-Kind): 현금 대신 부채를 추가로 쌓는 방식으로 이자를 납부하는 조항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맑은 고딕" w:hAnsi="맑은 고딕" w:eastAsia="맑은 고딕"/>
          <w:b/>
          <w:sz w:val="20"/>
        </w:rPr>
        <w:t>참고문헌</w:t>
      </w:r>
    </w:p>
    <w:p>
      <w:pPr>
        <w:spacing w:before="100" w:after="40"/>
      </w:pPr>
      <w:r>
        <w:rPr>
          <w:rFonts w:ascii="맑은 고딕" w:hAnsi="맑은 고딕" w:eastAsia="맑은 고딕"/>
          <w:b/>
          <w:color w:val="333333"/>
          <w:sz w:val="19"/>
        </w:rPr>
        <w:t>▸ 분석 기사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OnlyCFO, "Thoma Bravo's $5B Medallia Loss | The PE Reckoning is Coming..." (2026.5.1)</w:t>
        <w:br/>
        <w:t xml:space="preserve">       — </w:t>
      </w:r>
      <w:r>
        <w:rPr>
          <w:rFonts w:ascii="맑은 고딕" w:hAnsi="맑은 고딕" w:eastAsia="맑은 고딕"/>
          <w:b w:val="0"/>
          <w:i w:val="0"/>
          <w:color w:val="1A5EA8"/>
          <w:sz w:val="18"/>
        </w:rPr>
        <w:t>onlycfo.io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Bloomberg, "Thoma Bravo Declines to Invest More in Troubled Medallia" (2026.4.30)</w:t>
        <w:br/>
        <w:t xml:space="preserve">       — </w:t>
      </w:r>
      <w:r>
        <w:rPr>
          <w:rFonts w:ascii="맑은 고딕" w:hAnsi="맑은 고딕" w:eastAsia="맑은 고딕"/>
          <w:b w:val="0"/>
          <w:i w:val="0"/>
          <w:color w:val="1A5EA8"/>
          <w:sz w:val="18"/>
        </w:rPr>
        <w:t>bloomberg.com</w:t>
      </w:r>
    </w:p>
    <w:p>
      <w:pPr>
        <w:spacing w:before="100" w:after="40"/>
      </w:pPr>
      <w:r>
        <w:rPr>
          <w:rFonts w:ascii="맑은 고딕" w:hAnsi="맑은 고딕" w:eastAsia="맑은 고딕"/>
          <w:b/>
          <w:color w:val="333333"/>
          <w:sz w:val="19"/>
        </w:rPr>
        <w:t>▸ 기업 공식 자료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Medallia 공식 홈페이지</w:t>
        <w:br/>
        <w:t xml:space="preserve">       — </w:t>
      </w:r>
      <w:r>
        <w:rPr>
          <w:rFonts w:ascii="맑은 고딕" w:hAnsi="맑은 고딕" w:eastAsia="맑은 고딕"/>
          <w:b w:val="0"/>
          <w:i w:val="0"/>
          <w:color w:val="1A5EA8"/>
          <w:sz w:val="18"/>
        </w:rPr>
        <w:t>medallia.com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Thoma Bravo 공식 홈페이지</w:t>
        <w:br/>
        <w:t xml:space="preserve">       — </w:t>
      </w:r>
      <w:r>
        <w:rPr>
          <w:rFonts w:ascii="맑은 고딕" w:hAnsi="맑은 고딕" w:eastAsia="맑은 고딕"/>
          <w:b w:val="0"/>
          <w:i w:val="0"/>
          <w:color w:val="1A5EA8"/>
          <w:sz w:val="18"/>
        </w:rPr>
        <w:t>thomabravo.com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Thoma Bravo, "Medallia to be Acquired by Thoma Bravo for $6.4 Billion" (보도자료, 2021.7)</w:t>
        <w:br/>
        <w:t xml:space="preserve">       — </w:t>
      </w:r>
      <w:r>
        <w:rPr>
          <w:rFonts w:ascii="맑은 고딕" w:hAnsi="맑은 고딕" w:eastAsia="맑은 고딕"/>
          <w:b w:val="0"/>
          <w:i w:val="0"/>
          <w:color w:val="1A5EA8"/>
          <w:sz w:val="18"/>
        </w:rPr>
        <w:t>thomabravo.com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PR Newswire, "Medallia Announces Pricing of Initial Public Offering" (2019.7)</w:t>
        <w:br/>
        <w:t xml:space="preserve">       — </w:t>
      </w:r>
      <w:r>
        <w:rPr>
          <w:rFonts w:ascii="맑은 고딕" w:hAnsi="맑은 고딕" w:eastAsia="맑은 고딕"/>
          <w:b w:val="0"/>
          <w:i w:val="0"/>
          <w:color w:val="1A5EA8"/>
          <w:sz w:val="18"/>
        </w:rPr>
        <w:t>prnewswire.com</w:t>
      </w:r>
    </w:p>
    <w:p>
      <w:pPr>
        <w:spacing w:before="100" w:after="40"/>
      </w:pPr>
      <w:r>
        <w:rPr>
          <w:rFonts w:ascii="맑은 고딕" w:hAnsi="맑은 고딕" w:eastAsia="맑은 고딕"/>
          <w:b/>
          <w:color w:val="333333"/>
          <w:sz w:val="19"/>
        </w:rPr>
        <w:t>▸ 개념 참고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Wikipedia, "Medallia"</w:t>
        <w:br/>
        <w:t xml:space="preserve">       — </w:t>
      </w:r>
      <w:r>
        <w:rPr>
          <w:rFonts w:ascii="맑은 고딕" w:hAnsi="맑은 고딕" w:eastAsia="맑은 고딕"/>
          <w:b w:val="0"/>
          <w:i w:val="0"/>
          <w:color w:val="1A5EA8"/>
          <w:sz w:val="18"/>
        </w:rPr>
        <w:t>en.wikipedia.org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Wikipedia, "Thoma Bravo"</w:t>
        <w:br/>
        <w:t xml:space="preserve">       — </w:t>
      </w:r>
      <w:r>
        <w:rPr>
          <w:rFonts w:ascii="맑은 고딕" w:hAnsi="맑은 고딕" w:eastAsia="맑은 고딕"/>
          <w:b w:val="0"/>
          <w:i w:val="0"/>
          <w:color w:val="1A5EA8"/>
          <w:sz w:val="18"/>
        </w:rPr>
        <w:t>en.wikipedia.org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Wikipedia, "Rule of 40"</w:t>
        <w:br/>
        <w:t xml:space="preserve">       — </w:t>
      </w:r>
      <w:r>
        <w:rPr>
          <w:rFonts w:ascii="맑은 고딕" w:hAnsi="맑은 고딕" w:eastAsia="맑은 고딕"/>
          <w:b w:val="0"/>
          <w:i w:val="0"/>
          <w:color w:val="1A5EA8"/>
          <w:sz w:val="18"/>
        </w:rPr>
        <w:t>en.wikipedia.org</w:t>
      </w:r>
    </w:p>
    <w:p>
      <w:pPr>
        <w:spacing w:before="20" w:after="20"/>
        <w:ind w:left="340" w:hanging="24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 w:val="0"/>
          <w:i w:val="0"/>
          <w:sz w:val="20"/>
        </w:rPr>
        <w:t>McKinsey, "SaaS and the Rule of 40: Keys to the Critical Value Creation Metric"</w:t>
        <w:br/>
        <w:t xml:space="preserve">       — </w:t>
      </w:r>
      <w:r>
        <w:rPr>
          <w:rFonts w:ascii="맑은 고딕" w:hAnsi="맑은 고딕" w:eastAsia="맑은 고딕"/>
          <w:b w:val="0"/>
          <w:i w:val="0"/>
          <w:color w:val="1A5EA8"/>
          <w:sz w:val="18"/>
        </w:rPr>
        <w:t>mckinsey.com</w:t>
      </w:r>
    </w:p>
    <w:sectPr w:rsidR="00FC693F" w:rsidRPr="0006063C" w:rsidSect="00034616"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