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spacing w:line="240" w:lineRule="auto" w:after="120"/>
      </w:pPr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/>
      </w:r>
    </w:p>
    <w:tbl>
      <w:tblPr>
        <w:tblW w:w="7600" w:type="dxa"/>
        <w:jc w:val="center"/>
        <w:tblBorders>
          <w:top w:val="single" w:sz="8" w:color="000000" w:space="0"/>
          <w:left w:val="single" w:sz="8" w:color="000000" w:space="0"/>
          <w:bottom w:val="single" w:sz="8" w:color="000000" w:space="0"/>
          <w:right w:val="single" w:sz="8" w:color="000000" w:space="0"/>
        </w:tblBorders>
        <w:tblLayout w:type="fixed"/>
        <w:tblCellMar>
          <w:top w:w="480" w:type="dxa"/>
          <w:left w:w="300" w:type="dxa"/>
          <w:bottom w:w="480" w:type="dxa"/>
          <w:right w:w="300" w:type="dxa"/>
        </w:tblCellMar>
      </w:tblPr>
      <w:tblGrid>
        <w:gridCol w:w="7600"/>
      </w:tblGrid>
      <w:tr>
        <w:tc>
          <w:tcPr>
            <w:tcW w:w="7600" w:type="dxa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44"/>
                <w:szCs w:val="44"/>
                <w:w w:val="100"/>
              </w:rPr>
              <w:t xml:space="preserve">Coupa의 Rossum 인수 사례 분석 (v3)</w:t>
            </w:r>
          </w:p>
        </w:tc>
      </w:tr>
    </w:tbl>
    <w:p>
      <w:pPr>
        <w:autoSpaceDE w:val="0"/>
        <w:autoSpaceDN w:val="0"/>
        <w:spacing w:line="240" w:lineRule="auto" w:after="120"/>
      </w:pPr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/>
      </w:r>
    </w:p>
    <w:p>
      <w:pPr>
        <w:autoSpaceDE w:val="0"/>
        <w:autoSpaceDN w:val="0"/>
        <w:spacing w:line="240" w:lineRule="auto" w:after="120"/>
      </w:pPr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/>
      </w:r>
    </w:p>
    <w:p>
      <w:pPr>
        <w:autoSpaceDE w:val="0"/>
        <w:autoSpaceDN w:val="0"/>
        <w:jc w:val="center"/>
        <w:spacing w:line="240" w:lineRule="auto" w:after="300"/>
      </w:pPr>
      <w:r>
        <w:rPr>
          <w:rFonts w:ascii="바탕체" w:eastAsia="바탕체" w:hAnsi="바탕체" w:cs="바탕체"/>
          <w:b/>
          <w:bCs/>
          <w:color w:val="000000"/>
          <w:sz w:val="36"/>
          <w:szCs w:val="36"/>
          <w:w w:val="100"/>
        </w:rPr>
        <w:t xml:space="preserve">- 목    차 -</w:t>
      </w:r>
    </w:p>
    <w:tbl>
      <w:tblPr>
        <w:tblW w:w="8800" w:type="dxa"/>
        <w:jc w:val="center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  <w:tblLayout w:type="fixed"/>
        <w:tblCellMar>
          <w:top w:w="500" w:type="dxa"/>
          <w:left w:w="500" w:type="dxa"/>
          <w:bottom w:w="500" w:type="dxa"/>
          <w:right w:w="500" w:type="dxa"/>
        </w:tblCellMar>
      </w:tblPr>
      <w:tblGrid>
        <w:gridCol w:w="8800"/>
      </w:tblGrid>
      <w:tr>
        <w:tc>
          <w:tcPr>
            <w:tcW w:w="8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autoSpaceDE w:val="0"/>
              <w:autoSpaceDN w:val="0"/>
              <w:jc w:val="left"/>
              <w:spacing w:line="360" w:lineRule="auto" w:after="280"/>
              <w:ind w:left="600" w:hanging="28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32"/>
                <w:szCs w:val="32"/>
                <w:w w:val="100"/>
              </w:rPr>
              <w:t xml:space="preserve">1. Ⅰ. Coupa 기업 개요</w:t>
            </w:r>
          </w:p>
          <w:p>
            <w:pPr>
              <w:autoSpaceDE w:val="0"/>
              <w:autoSpaceDN w:val="0"/>
              <w:jc w:val="left"/>
              <w:spacing w:line="360" w:lineRule="auto" w:after="280"/>
              <w:ind w:left="600" w:hanging="28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32"/>
                <w:szCs w:val="32"/>
                <w:w w:val="100"/>
              </w:rPr>
              <w:t xml:space="preserve">2. Ⅱ. Coupa의 Rossum 인수</w:t>
            </w:r>
          </w:p>
          <w:p>
            <w:pPr>
              <w:autoSpaceDE w:val="0"/>
              <w:autoSpaceDN w:val="0"/>
              <w:jc w:val="left"/>
              <w:spacing w:line="360" w:lineRule="auto" w:after="280"/>
              <w:ind w:left="600" w:hanging="28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32"/>
                <w:szCs w:val="32"/>
                <w:w w:val="100"/>
              </w:rPr>
              <w:t xml:space="preserve">3. Ⅲ. 시사점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[별첨] 1. Thoma Bravo의 Coupa 인수 사례 분석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2. 주요 기업 개요 (Tonkean, Scoutbee)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3. SAP Ariba vs. Coupa 비교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4. 기존 OCR 대비 Rossum AI Agent 차별성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5. M&amp;A 대상 기업 후보군 발굴 기준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6. M&amp;A 투자 단계 개요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7. Rossum 기업 개요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8. SaaS/AI 기업 M&amp;A 검토 체크리스트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9. IDP 경쟁사 비교</w:t>
            </w:r>
          </w:p>
          <w:p>
            <w:pPr>
              <w:autoSpaceDE w:val="0"/>
              <w:autoSpaceDN w:val="0"/>
              <w:jc w:val="left"/>
              <w:spacing w:line="300" w:lineRule="auto" w:after="200"/>
              <w:ind w:left="1900"/>
            </w:pPr>
            <w:r>
              <w:rPr>
                <w:rFonts w:ascii="바탕체" w:eastAsia="바탕체" w:hAnsi="바탕체" w:cs="바탕체"/>
                <w:color w:val="000000"/>
                <w:sz w:val="28"/>
                <w:szCs w:val="28"/>
                <w:w w:val="100"/>
              </w:rPr>
              <w:t xml:space="preserve">10. FY2024 vs FY2025 순손실 추정 방법론 비교</w:t>
            </w:r>
          </w:p>
        </w:tc>
      </w:tr>
    </w:tbl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/>
      </w:r>
    </w:p>
    <w:p>
      <w:pPr>
        <w:autoSpaceDE w:val="0"/>
        <w:autoSpaceDN w:val="0"/>
        <w:jc w:val="center"/>
        <w:spacing w:line="240" w:lineRule="auto" w:after="160"/>
      </w:pPr>
      <w:r>
        <w:rPr>
          <w:rFonts w:ascii="바탕체" w:eastAsia="바탕체" w:hAnsi="바탕체" w:cs="바탕체"/>
          <w:color w:val="000000"/>
          <w:sz w:val="36"/>
          <w:szCs w:val="36"/>
          <w:w w:val="100"/>
        </w:rPr>
        <w:t xml:space="preserve">'26. 6. 30</w:t>
      </w:r>
    </w:p>
    <w:p>
      <w:pPr>
        <w:autoSpaceDE w:val="0"/>
        <w:autoSpaceDN w:val="0"/>
        <w:spacing w:line="240" w:lineRule="auto" w:after="80"/>
      </w:pPr>
      <w:r>
        <w:rPr>
          <w:rFonts w:ascii="바탕체" w:eastAsia="바탕체" w:hAnsi="바탕체" w:cs="바탕체"/>
          <w:color w:val="000000"/>
          <w:sz w:val="16"/>
          <w:szCs w:val="16"/>
          <w:w w:val="95"/>
        </w:rPr>
        <w:t xml:space="preserve"/>
      </w:r>
    </w:p>
    <w:p>
      <w:pPr>
        <w:autoSpaceDE w:val="0"/>
        <w:autoSpaceDN w:val="0"/>
        <w:jc w:val="center"/>
        <w:spacing w:line="240" w:lineRule="auto" w:after="0"/>
      </w:pPr>
      <w:r>
        <w:rPr>
          <w:rFonts w:ascii="바탕체" w:eastAsia="바탕체" w:hAnsi="바탕체" w:cs="바탕체"/>
          <w:b/>
          <w:bCs/>
          <w:color w:val="000000"/>
          <w:sz w:val="40"/>
          <w:szCs w:val="40"/>
          <w:w w:val="100"/>
          <w:spacing w:val="58"/>
        </w:rPr>
        <w:t xml:space="preserve">기획팀</w:t>
      </w:r>
    </w:p>
    <w:p>
      <w:pPr>
        <w:autoSpaceDE w:val="0"/>
        <w:autoSpaceDN w:val="0"/>
        <w:spacing w:line="240" w:lineRule="auto" w:after="0"/>
      </w:pPr>
      <w:r>
        <w:br w:type="pag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보고 배경 및 요지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6"/>
        </w:rPr>
        <w:t xml:space="preserve">Coupa Software는 '26년 5월, AI 기반 문서처리 전문 스타트업 Rossum 인수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TB 인수('23년) 이후 비용 효율화를 통해 수익성 개선 — 확보된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현금흐름 기반으로 Cirtuo·Scoutbee·Rossum·Tonkean 4건 AI 네이티브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기업 연속 인수, AI 기반 BSM 플랫폼 구축 가속</w:t>
      </w:r>
      <w:r>
        <w:drawing xmlns:a="http://schemas.openxmlformats.org/drawingml/2006/main">
          <wp:anchor distT="0" distB="0" distL="0" distR="0" simplePos="0" relativeHeight="251660001" behindDoc="0" locked="0" layoutInCell="1" allowOverlap="1">
            <wp:simplePos x="0" y="0"/>
            <wp:positionH relativeFrom="column">
              <wp:posOffset>2364740</wp:posOffset>
            </wp:positionH>
            <wp:positionV relativeFrom="paragraph">
              <wp:posOffset>190500</wp:posOffset>
            </wp:positionV>
            <wp:extent cx="1601470" cy="165100"/>
            <wp:effectExtent l="0" t="0" r="0" b="0"/>
            <wp:wrapNone/>
            <wp:docPr id="1001" name="Annotation 1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147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Business Spend Management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본 보고서는 Coupa 기업 개요, Rossum 인수 배경·목적·기대효과 분석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및 당사 사업전략 관점 시사점 도출</w:t>
      </w:r>
    </w:p>
    <w:p>
      <w:pPr>
        <w:autoSpaceDE w:val="0"/>
        <w:autoSpaceDN w:val="0"/>
        <w:spacing w:line="240" w:lineRule="auto" w:after="40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32"/>
          <w:szCs w:val="32"/>
          <w:w w:val="95"/>
        </w:rPr>
        <w:t xml:space="preserve">Ⅰ. Coupa 기업 개요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기본 현황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공식 명칭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Software Incorporated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'06년 2월 / 미국 캘리포니아 San Mateo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대표이사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Leagh Turner (CEO, '23년 11월 취임)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 현황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매출 약 $1.3B ('25년 기준, 추정)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직원 수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약 3,500명 ('25년 기준)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고객 규모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글로벌 네트워크 바이어·공급사 약 1,000만+ 개사 (직접 계약 고객사 약 3,000+ 곳)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상장 이력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'16년 나스닥 상장 후, '23년 2월 Thoma Bravo가 약 $8.0B 규모로 인수하며 상장폐지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소유 구조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Thoma Bravo (PE) 보유 비상장사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최근 M&amp;A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'25∼'26년, Cirtuo·Scoutbee·Rossum·Tonkean 4건 Tuck-in — AI 기반 소싱·조달 자동화 역량 강화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사업 영역 및 업계 위상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글로벌 선도 S2P 플랫폼(SAP Ariba와 함께 Top 2) — 조달 중심에서</w:t>
      </w:r>
      <w:r>
        <w:drawing xmlns:a="http://schemas.openxmlformats.org/drawingml/2006/main">
          <wp:anchor distT="0" distB="0" distL="0" distR="0" simplePos="0" relativeHeight="251660002" behindDoc="0" locked="0" layoutInCell="1" allowOverlap="1">
            <wp:simplePos x="0" y="0"/>
            <wp:positionH relativeFrom="column">
              <wp:posOffset>1308735</wp:posOffset>
            </wp:positionH>
            <wp:positionV relativeFrom="paragraph">
              <wp:posOffset>190500</wp:posOffset>
            </wp:positionV>
            <wp:extent cx="946150" cy="165100"/>
            <wp:effectExtent l="0" t="0" r="0" b="0"/>
            <wp:wrapNone/>
            <wp:docPr id="1002" name="Annotation 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Source-to-Pay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경비·출장·계약 등 기업 지출관리 전반 포괄하는 BSM으로 사업 영역 확대</w:t>
      </w:r>
    </w:p>
    <w:p>
      <w:pPr>
        <w:autoSpaceDE w:val="0"/>
        <w:autoSpaceDN w:val="0"/>
        <w:spacing w:line="240" w:lineRule="auto" w:after="32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조달, 인보이스, 경비 등 전 영역을 단일 플랫폼으로 통합 제공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연 Billings $1B 규모(ARR 환산 약 $1B 수준)로 성장하며 글로벌 조달</w:t>
      </w:r>
      <w:r>
        <w:drawing xmlns:a="http://schemas.openxmlformats.org/drawingml/2006/main">
          <wp:anchor distT="0" distB="0" distL="0" distR="0" simplePos="0" relativeHeight="251660003" behindDoc="0" locked="0" layoutInCell="1" allowOverlap="1">
            <wp:simplePos x="0" y="0"/>
            <wp:positionH relativeFrom="column">
              <wp:posOffset>2111375</wp:posOffset>
            </wp:positionH>
            <wp:positionV relativeFrom="paragraph">
              <wp:posOffset>190500</wp:posOffset>
            </wp:positionV>
            <wp:extent cx="1546860" cy="165100"/>
            <wp:effectExtent l="0" t="0" r="0" b="0"/>
            <wp:wrapNone/>
            <wp:docPr id="1003" name="Annotation 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686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Annual Recurring Revenue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SaaS 시장 선도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주요 경쟁사 현황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SAP Ariba: 글로벌 최대 S2P 플랫폼(조달 부문 매출 약 $4.0B 추정, SAP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별도 미공시) — SAP ERP 기반 강력한 고객 생태계, SAP Business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AI·Joule 기반 AI 기능 확대 중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Jaggaer: 제조·공공·교육 부문 강점 보유 글로벌 S2P 플랫폼(비상장,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외부 추정 매출 ∼$0.3B) — 전략적 소싱·공급업체 관리 역량 차별화,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JAI(JAGGAER AI) 기반 AI 자동화 확대 중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제품 포트폴리오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구매·인보이스·소싱·계약·경비·공급망 관리 기능을 단일 플랫폼으로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제공, AI Agent 활용 지출 전 과정 자동화·최적화하는 BSM 솔루션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제품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주요 기능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Procurement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구매 요청·승인·발주 프로세스 자동화 및 카탈로그·계약 기반 구매 지원 핵심 S2P 엔진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Invoicing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인보이스 수신, 3-way 매칭(구매주문서·입고내역·인보이스 자동 대조), 승인·지급 업무 자동화 AP 플랫폼. Rossum AI 문서처리 기능 통합 추진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Sourcing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공급업체 입찰·평가·선정·계약 체결 지원 전략적 소싱 플랫폼. Scoutbee·Cirtuo 기술 기반 AI 소싱 고도화 추진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Contracts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계약 작성·검토·갱신 등 계약 전 주기 관리 및 컴플라이언스 지원하는 계약 관리 플랫폼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Expense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임직원 경비 정산, 정책 준수·법인카드 연계 자동화 비용 관리 솔루션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Supply Chain Design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공급망 네트워크 설계, 시나리오 분석·리스크 시뮬레이션 지원하는 공급망 최적화 솔루션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Navi (AI Agent)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약 $10T 지출 데이터 기반 자연어 질의응답·이상 탐지·비용 절감 추천·업무 자동화 AI Agent. 인수 4개사 기술 통합하는 AI 허브 역할 수행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4개사(Cirtuo, Scoutbee, Rossum, Tonkean)는 인수 후 위 제품군에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순차 통합 추진 중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3-way 매칭: 구매주문서·입고내역·인보이스 자동 대조하여 지급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정확성 검증하는 프로세스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재무 현황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6"/>
        </w:rPr>
        <w:t xml:space="preserve">'22년(FY2023), GAAP 순이익 -$259M 적자, FCF +$174M으로 현금창출력 양호</w:t>
      </w:r>
      <w:r>
        <w:drawing xmlns:a="http://schemas.openxmlformats.org/drawingml/2006/main">
          <wp:anchor distT="0" distB="0" distL="0" distR="0" simplePos="0" relativeHeight="251660004" behindDoc="0" locked="0" layoutInCell="1" allowOverlap="1">
            <wp:simplePos x="0" y="0"/>
            <wp:positionH relativeFrom="column">
              <wp:posOffset>3716020</wp:posOffset>
            </wp:positionH>
            <wp:positionV relativeFrom="paragraph">
              <wp:posOffset>190500</wp:posOffset>
            </wp:positionV>
            <wp:extent cx="1761490" cy="165100"/>
            <wp:effectExtent l="0" t="0" r="0" b="0"/>
            <wp:wrapNone/>
            <wp:docPr id="1004" name="Annotation 1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149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Free Cash Flow, 잉여현금흐름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순이익 적자는 SBC·무형자산 상각 등 비현금 비용 영향 — 실제</w:t>
      </w:r>
      <w:r>
        <w:drawing xmlns:a="http://schemas.openxmlformats.org/drawingml/2006/main">
          <wp:anchor distT="0" distB="0" distL="0" distR="0" simplePos="0" relativeHeight="251660005" behindDoc="0" locked="0" layoutInCell="1" allowOverlap="1">
            <wp:simplePos x="0" y="0"/>
            <wp:positionH relativeFrom="column">
              <wp:posOffset>1689100</wp:posOffset>
            </wp:positionH>
            <wp:positionV relativeFrom="paragraph">
              <wp:posOffset>190500</wp:posOffset>
            </wp:positionV>
            <wp:extent cx="887730" cy="165100"/>
            <wp:effectExtent l="0" t="0" r="0" b="0"/>
            <wp:wrapNone/>
            <wp:docPr id="1005" name="Annotation 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773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주식기반보상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현금창출력(FCF)은 인수 전까지 흑자 지속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'23년 2월, TB가 Coupa를 약 $8.0B에 인수하며 비상장 전환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'24년, 비용 효율화 중심 Value-Up 전략 추진 → 수익성 개선, AI 중심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성장 투자 기반 마련</w:t>
      </w:r>
    </w:p>
    <w:p>
      <w:pPr>
        <w:autoSpaceDE w:val="0"/>
        <w:autoSpaceDN w:val="0"/>
        <w:spacing w:line="240" w:lineRule="auto" w:after="32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인력 구조조정, 영업/마케팅 비용 최적화, SBC 축소 등</w:t>
      </w:r>
    </w:p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GAAP 공시 구간 (SEC Form 10-K 기준) &gt;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208"/>
        <w:gridCol w:w="1300"/>
        <w:gridCol w:w="1300"/>
        <w:gridCol w:w="1300"/>
        <w:gridCol w:w="931"/>
        <w:gridCol w:w="1577"/>
      </w:tblGrid>
      <w:tr>
        <w:trPr>
          <w:cantSplit/>
        </w:trPr>
        <w:tc>
          <w:tcPr>
            <w:tcW w:w="148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연도</w:t>
            </w:r>
          </w:p>
        </w:tc>
        <w:tc>
          <w:tcPr>
            <w:tcW w:w="120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매출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순이익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OCF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FCF (세후)</w:t>
            </w:r>
          </w:p>
        </w:tc>
        <w:tc>
          <w:tcPr>
            <w:tcW w:w="93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FCF 마진</w:t>
            </w:r>
          </w:p>
        </w:tc>
        <w:tc>
          <w:tcPr>
            <w:tcW w:w="1577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출처</w:t>
            </w:r>
          </w:p>
        </w:tc>
      </w:tr>
      <w:tr>
        <w:trPr>
          <w:cantSplit/>
        </w:trPr>
        <w:tc>
          <w:tcPr>
            <w:tcW w:w="148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'20년 (FY2021)</w:t>
            </w:r>
          </w:p>
        </w:tc>
        <w:tc>
          <w:tcPr>
            <w:tcW w:w="120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$542M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-$180.1M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$78.2M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+$113.5M</w:t>
            </w:r>
          </w:p>
        </w:tc>
        <w:tc>
          <w:tcPr>
            <w:tcW w:w="9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21.6%</w:t>
            </w:r>
          </w:p>
        </w:tc>
        <w:tc>
          <w:tcPr>
            <w:tcW w:w="157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10-K GAAP</w:t>
            </w:r>
          </w:p>
        </w:tc>
      </w:tr>
      <w:tr>
        <w:trPr>
          <w:cantSplit/>
        </w:trPr>
        <w:tc>
          <w:tcPr>
            <w:tcW w:w="148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'21년 (FY2022)</w:t>
            </w:r>
          </w:p>
        </w:tc>
        <w:tc>
          <w:tcPr>
            <w:tcW w:w="120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$725M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-$379.1M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$168.1M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+$155.6M</w:t>
            </w:r>
          </w:p>
        </w:tc>
        <w:tc>
          <w:tcPr>
            <w:tcW w:w="9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21.5%</w:t>
            </w:r>
          </w:p>
        </w:tc>
        <w:tc>
          <w:tcPr>
            <w:tcW w:w="157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10-K GAAP</w:t>
            </w:r>
          </w:p>
        </w:tc>
      </w:tr>
      <w:tr>
        <w:trPr>
          <w:cantSplit/>
        </w:trPr>
        <w:tc>
          <w:tcPr>
            <w:tcW w:w="148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'22년 (FY2023)</w:t>
            </w:r>
          </w:p>
        </w:tc>
        <w:tc>
          <w:tcPr>
            <w:tcW w:w="120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$849M(추정)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-$320M(추정)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~$190M(추정)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+$174M(추정)</w:t>
            </w:r>
          </w:p>
        </w:tc>
        <w:tc>
          <w:tcPr>
            <w:tcW w:w="9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20∼21%</w:t>
            </w:r>
          </w:p>
        </w:tc>
        <w:tc>
          <w:tcPr>
            <w:tcW w:w="157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Q1~Q3 누적 기반</w:t>
            </w:r>
          </w:p>
        </w:tc>
      </w:tr>
    </w:tbl>
    <w:p>
      <w:pPr>
        <w:autoSpaceDE w:val="0"/>
        <w:autoSpaceDN w:val="0"/>
        <w:spacing w:line="40" w:lineRule="exact" w:before="0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'23년 2월 TB 인수·상장폐지 — 이후 SEC GAAP 공시 없음</w:t>
      </w:r>
    </w:p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Management P&amp;L 구간 (Evercore 내부 자료 기준, 비GAAP·대외비) &gt;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3"/>
        <w:gridCol w:w="678"/>
        <w:gridCol w:w="3016"/>
        <w:gridCol w:w="1010"/>
        <w:gridCol w:w="1010"/>
        <w:gridCol w:w="723"/>
        <w:gridCol w:w="1512"/>
      </w:tblGrid>
      <w:tr>
        <w:trPr>
          <w:cantSplit/>
        </w:trPr>
        <w:tc>
          <w:tcPr>
            <w:tcW w:w="115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연도</w:t>
            </w:r>
          </w:p>
        </w:tc>
        <w:tc>
          <w:tcPr>
            <w:tcW w:w="67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매출</w:t>
            </w:r>
          </w:p>
        </w:tc>
        <w:tc>
          <w:tcPr>
            <w:tcW w:w="301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순이익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OCF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FCF (세후)</w:t>
            </w:r>
          </w:p>
        </w:tc>
        <w:tc>
          <w:tcPr>
            <w:tcW w:w="72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FCF 마진</w:t>
            </w:r>
          </w:p>
        </w:tc>
        <w:tc>
          <w:tcPr>
            <w:tcW w:w="1512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출처</w:t>
            </w:r>
          </w:p>
        </w:tc>
      </w:tr>
      <w:tr>
        <w:trPr>
          <w:cantSplit/>
        </w:trPr>
        <w:tc>
          <w:tcPr>
            <w:tcW w:w="11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'23년 (FY2024)</w:t>
            </w:r>
          </w:p>
        </w:tc>
        <w:tc>
          <w:tcPr>
            <w:tcW w:w="67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$993M</w:t>
            </w:r>
          </w:p>
        </w:tc>
        <w:tc>
          <w:tcPr>
            <w:tcW w:w="301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-$588.4M (Successor 누적, PPA 상각 포함)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~$172M(추정)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~$150M(추정)</w:t>
            </w:r>
          </w:p>
        </w:tc>
        <w:tc>
          <w:tcPr>
            <w:tcW w:w="7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~15%</w:t>
            </w:r>
          </w:p>
        </w:tc>
        <w:tc>
          <w:tcPr>
            <w:tcW w:w="15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Evercore B/S</w:t>
            </w:r>
          </w:p>
        </w:tc>
      </w:tr>
      <w:tr>
        <w:trPr>
          <w:cantSplit/>
        </w:trPr>
        <w:tc>
          <w:tcPr>
            <w:tcW w:w="11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'24년 (FY2025)</w:t>
            </w:r>
          </w:p>
        </w:tc>
        <w:tc>
          <w:tcPr>
            <w:tcW w:w="67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$1,134M</w:t>
            </w:r>
          </w:p>
        </w:tc>
        <w:tc>
          <w:tcPr>
            <w:tcW w:w="301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-$190∼250M(추정)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~$164M(추정)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~$140M(추정)</w:t>
            </w:r>
          </w:p>
        </w:tc>
        <w:tc>
          <w:tcPr>
            <w:tcW w:w="7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~12%</w:t>
            </w:r>
          </w:p>
        </w:tc>
        <w:tc>
          <w:tcPr>
            <w:tcW w:w="15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Evercore P&amp;L</w:t>
            </w:r>
          </w:p>
        </w:tc>
      </w:tr>
      <w:tr>
        <w:trPr>
          <w:cantSplit/>
        </w:trPr>
        <w:tc>
          <w:tcPr>
            <w:tcW w:w="11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'25년 (FY2026)</w:t>
            </w:r>
          </w:p>
        </w:tc>
        <w:tc>
          <w:tcPr>
            <w:tcW w:w="67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$1,300M</w:t>
            </w:r>
          </w:p>
        </w:tc>
        <w:tc>
          <w:tcPr>
            <w:tcW w:w="301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+$81M(추정)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~$232M(추정)</w:t>
            </w:r>
          </w:p>
        </w:tc>
        <w:tc>
          <w:tcPr>
            <w:tcW w:w="10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~$205M(추정)</w:t>
            </w:r>
          </w:p>
        </w:tc>
        <w:tc>
          <w:tcPr>
            <w:tcW w:w="7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~16%</w:t>
            </w:r>
          </w:p>
        </w:tc>
        <w:tc>
          <w:tcPr>
            <w:tcW w:w="15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성장 추세 기반 추정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Evercore 표시: Evercore 경유 Coupa 내부 제공 자료 기준 (대외비 —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외부 공유 금지)</w:t>
      </w:r>
      <w:r>
        <w:drawing xmlns:a="http://schemas.openxmlformats.org/drawingml/2006/main">
          <wp:anchor distT="0" distB="0" distL="0" distR="0" simplePos="0" relativeHeight="25166000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4590415" cy="165100"/>
            <wp:effectExtent l="0" t="0" r="0" b="0"/>
            <wp:wrapNone/>
            <wp:docPr id="1006" name="Annotation 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9041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Purchase Price Allocation, 인수 시 무형자산 등을 공정가치로 재평가하는 회계 처리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'20∼'22년(FY2021∼FY2023)은 나스닥 상장사 시기 SEC GAAP 공시 기준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순이익 적자(SBC·무형자산 상각 등 비현금 비용 영향)와 무관하게,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현금 기준 이자 상환 여력 확보 — 순이익 적자 ≠ 현금창출력 부진</w:t>
      </w:r>
    </w:p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FCF 흐름 도식 (FY25 Evercore 기준) &gt;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5706"/>
        <w:gridCol w:w="1599"/>
        <w:gridCol w:w="900"/>
      </w:tblGrid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단계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금액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비율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Billings (청구액)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$1,138.5M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100%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매출원가 (Cost of Revenue)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$230.0M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20.2%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①-b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= Cash Gross Profit (현금 매출총이익)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$908.5M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79.8%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S&amp;M 비용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$209.7M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R&amp;D 비용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$132.9M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G&amp;A 비용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$95.0M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②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Cash Adj. EBITDA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$470.9M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41.4%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자본화 SW 개발비 (CapSW)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$12.2M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자본화 커미션 (Cap.Comm)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$24.3M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③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성장투자 차감 후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~$434M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~38%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이자비용 (Term Loan ~$2.2B × 11%)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~$240M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④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세전 FCF (이자 차감 후)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~$194M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~17%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↓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− 현금 법인세 (추정)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~$30∼70M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⑤</w:t>
            </w:r>
          </w:p>
        </w:tc>
        <w:tc>
          <w:tcPr>
            <w:tcW w:w="570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FCF (세후, 추정)</w:t>
            </w:r>
          </w:p>
        </w:tc>
        <w:tc>
          <w:tcPr>
            <w:tcW w:w="1599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~$140M</w:t>
            </w:r>
          </w:p>
        </w:tc>
        <w:tc>
          <w:tcPr>
            <w:tcW w:w="9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~12%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FCF = Cash Adj. EBITDA − CapSW − Net Cap. Commissions − 이자 −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현금 법인세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매출원가 $230.0M(20.2%)·Cash Gross Profit $908.5M(79.8%)은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Evercore P&amp;L FY25F 실제치</w:t>
      </w:r>
    </w:p>
    <w:p>
      <w:pPr>
        <w:autoSpaceDE w:val="0"/>
        <w:autoSpaceDN w:val="0"/>
        <w:spacing w:line="240" w:lineRule="auto" w:after="32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EBITDA Coverage (EBITDA ÷ 이자) = 1.96x — 이자 상환 여력 양호</w:t>
      </w:r>
    </w:p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이자 상환 가능 구조 &gt;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인수 전 FCF +$174M은 이자비용 차감 이전(Before Interest) 기준 —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TB는 인수 직후 아래 구조로 이자 충당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0"/>
        <w:gridCol w:w="3035"/>
      </w:tblGrid>
      <w:tr>
        <w:trPr>
          <w:cantSplit/>
        </w:trPr>
        <w:tc>
          <w:tcPr>
            <w:tcW w:w="6070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금액</w:t>
            </w:r>
          </w:p>
        </w:tc>
      </w:tr>
      <w:tr>
        <w:trPr>
          <w:cantSplit/>
        </w:trPr>
        <w:tc>
          <w:tcPr>
            <w:tcW w:w="607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전 FCF (이자 차감 전)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+$174M</w:t>
            </w:r>
          </w:p>
        </w:tc>
      </w:tr>
      <w:tr>
        <w:trPr>
          <w:cantSplit/>
        </w:trPr>
        <w:tc>
          <w:tcPr>
            <w:tcW w:w="607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현금성 비용 절감 (S&amp;M·G&amp;A·인력 최적화, 비현금 SBC 제외)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+$100∼150M</w:t>
            </w:r>
          </w:p>
        </w:tc>
      </w:tr>
      <w:tr>
        <w:trPr>
          <w:cantSplit/>
        </w:trPr>
        <w:tc>
          <w:tcPr>
            <w:tcW w:w="607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합산 가용 현금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$274∼324M</w:t>
            </w:r>
          </w:p>
        </w:tc>
      </w:tr>
      <w:tr>
        <w:trPr>
          <w:cantSplit/>
        </w:trPr>
        <w:tc>
          <w:tcPr>
            <w:tcW w:w="607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연간 이자비용 (Term Loan ~$2.2B × ~11%)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~$240M</w:t>
            </w:r>
          </w:p>
        </w:tc>
      </w:tr>
      <w:tr>
        <w:trPr>
          <w:cantSplit/>
        </w:trPr>
        <w:tc>
          <w:tcPr>
            <w:tcW w:w="607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이자 충당 후 잔여 현금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+$34∼84M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SBC는 비현금이라 현금절감에서 제외. 이자 $240M($2.2B×11%) 기준, 부채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∼$2.8B 가정 시 잔여현금 마이너스 전환 → 가정 민감(보수적 기준 +$16M)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TB의 Coupa Vs. Medallia 인수 성과 비교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고금리 기조 하 현금창출능력·AI 기술 대응 능력 차이로 Medallia와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Coupa의 인수 성과 상이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Coupa: 안정적 FCF 기반 이자 상환 및 Value-up 전략 추진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Medallia: FCF 적자 + 비용절감 여지 부족 → 이자 상환 불가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Coupa: 워크플로우·데이터·네트워크 결합 플랫폼 SaaS → AI 대체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가능성 낮음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Medallia: 고객 피드백 분석 중심 기능형 SaaS → AI 대체 위험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상대적으로 높음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1"/>
        <w:gridCol w:w="3642"/>
        <w:gridCol w:w="3642"/>
      </w:tblGrid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구분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Medallia ('21년 인수)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Coupa ('23년 인수)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구조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금액: $6.4B / LBO · 부채 $1.8B + 자기자본 $4.6B / EV/NTM Revenue: 약 11.3배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금액: $8.0B / LBO · Term Loan $2,187.1M + 자기자본 $5,373.7M / EV/Revenue: 약 8배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당시 매출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$477M (FY2021) / NTM $565M / EV/NTM = 11.3배 (고평가)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$849M (FY2023) / NTM $993M (FY2024 실현) / EV/NTM = 8.1배 (보수적 평가)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당시 재무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ARR 성장률 약 20∼23% / 순이익 및 FCF 모두 적자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ARR 성장률 약 20% / 순이익 적자, FCF +$174M 흑자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이자 상환 능력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연이자 '21년 $135M → '23년 $300M 급증 / FCF 적자 + 비용절감 여지 부족 → 이자 상환 불가 / EBITDA Coverage: 산정 불가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연이자 ~$241M (Term Loan $2,187.1M × 11%) / 비용절감 ~$200M으로 갭 해소 / FY25 EBITDA Coverage: 1.96x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시장 환경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저금리·SaaS 밸류에이션 고점 구간 인수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고금리·SaaS 밸류에이션 하향 조정 국면 인수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상품 특성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CX 데이터 분석 중심 기능형 SaaS / Front-end 기능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워크플로우·데이터·네트워크 기반 플랫폼 SaaS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후 전략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고금리·밸류에이션 급락 → 신규 투자 축소 → 상품 경쟁력 약화 → Value-up 실패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비용 효율화 → Cash Adj. EBITDA $470.9M (41.4%) / Tuck-in M&amp;A 4건으로 AI 기능 내재화 및 플랫폼 고도화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현재 결과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Exit 실패, 채권단으로 경영권 이전 ($4.6B 투자금 전액 손실 처리)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플랫폼 가치 극대화 추진 중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차입매수(LBO): 차입금을 활용해 기업을 인수하는 거래 구조 /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EV/Revenue 멀티플: 기업가치를 매출 몇 배로 평가하는 지표</w:t>
      </w:r>
      <w:r>
        <w:br w:type="page"/>
      </w:r>
    </w:p>
    <w:p>
      <w:pPr>
        <w:autoSpaceDE w:val="0"/>
        <w:autoSpaceDN w:val="0"/>
        <w:spacing w:line="240" w:lineRule="auto" w:after="40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32"/>
          <w:szCs w:val="32"/>
          <w:w w:val="95"/>
        </w:rPr>
        <w:t xml:space="preserve">Ⅱ. Coupa의 Rossum 인수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Coupa 사업 전략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TB 인수 후 비용 효율화 중심 Value-Up 전략으로 수익성 개선 — 확보된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현금흐름 기반 전략적 Tuck-in M&amp;A 지속 추진, AI 네이티브 기업 연속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인수로 AI 기반 S2P 플랫폼 구축 및 기업가치 극대화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8"/>
        <w:gridCol w:w="3414"/>
        <w:gridCol w:w="4553"/>
      </w:tblGrid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시기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목적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'23년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조정 영업이익(Non-GAAP) 흑자 전환 (연 이자비용 ~$240M 대응)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인력 15% 감축, SBC 35% 축소, S&amp;M 비용 약 $100M 절감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'24∼'25년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M&amp;A 투자 재원 확보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수익성 개선 및 현금창출력 강화 — FY25 Cash Adj. EBITDA $470.9M (41.4%)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'25∼'26년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기반 BSM 플랫폼 완성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네이티브 기업 4개사 Tuck-in M&amp;A (Cirtuo, Scoutbee, Rossum, Tonkean)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Coupa 인수 기업 (4건)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최근 1년 동안 기존 S2P 제품군 AI 경쟁력 강화 위해 AI Native 기업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4개사 Tuck-in 방식 인수 — 기술·제품 적합성 검증 기업(Scoutbee,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4"/>
        </w:rPr>
        <w:t xml:space="preserve">Tonkean) 또는 기존 파트너십으로 사업적 검증 완료 기업(Rossum)을 인수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8"/>
        <w:gridCol w:w="844"/>
        <w:gridCol w:w="3494"/>
        <w:gridCol w:w="2074"/>
        <w:gridCol w:w="938"/>
        <w:gridCol w:w="815"/>
      </w:tblGrid>
      <w:tr>
        <w:trPr>
          <w:cantSplit/>
        </w:trPr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기업</w:t>
            </w:r>
          </w:p>
        </w:tc>
        <w:tc>
          <w:tcPr>
            <w:tcW w:w="84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인수월</w:t>
            </w:r>
          </w:p>
        </w:tc>
        <w:tc>
          <w:tcPr>
            <w:tcW w:w="349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보완 기능</w:t>
            </w:r>
          </w:p>
        </w:tc>
        <w:tc>
          <w:tcPr>
            <w:tcW w:w="207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투자 단계</w:t>
            </w:r>
          </w:p>
        </w:tc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누적펀딩</w:t>
            </w:r>
          </w:p>
        </w:tc>
        <w:tc>
          <w:tcPr>
            <w:tcW w:w="81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인수가</w:t>
            </w:r>
          </w:p>
        </w:tc>
      </w:tr>
      <w:tr>
        <w:trPr>
          <w:cantSplit/>
        </w:trPr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Cirtuo</w:t>
            </w:r>
          </w:p>
        </w:tc>
        <w:tc>
          <w:tcPr>
            <w:tcW w:w="84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'25. 5</w:t>
            </w:r>
          </w:p>
        </w:tc>
        <w:tc>
          <w:tcPr>
            <w:tcW w:w="349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기반 구매 카테고리 전략 수립</w:t>
            </w:r>
          </w:p>
        </w:tc>
        <w:tc>
          <w:tcPr>
            <w:tcW w:w="207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Bootstrap (VC 없음)</w:t>
            </w:r>
          </w:p>
        </w:tc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  <w:tc>
          <w:tcPr>
            <w:tcW w:w="81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미공개</w:t>
            </w:r>
          </w:p>
        </w:tc>
      </w:tr>
      <w:tr>
        <w:trPr>
          <w:cantSplit/>
        </w:trPr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Scoutbee</w:t>
            </w:r>
          </w:p>
        </w:tc>
        <w:tc>
          <w:tcPr>
            <w:tcW w:w="84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'25. 10</w:t>
            </w:r>
          </w:p>
        </w:tc>
        <w:tc>
          <w:tcPr>
            <w:tcW w:w="349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공급업체 탐색·리스크 관리</w:t>
            </w:r>
          </w:p>
        </w:tc>
        <w:tc>
          <w:tcPr>
            <w:tcW w:w="207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B 후 5년 공백</w:t>
            </w:r>
          </w:p>
        </w:tc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$76M</w:t>
            </w:r>
          </w:p>
        </w:tc>
        <w:tc>
          <w:tcPr>
            <w:tcW w:w="81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미공개</w:t>
            </w:r>
          </w:p>
        </w:tc>
      </w:tr>
      <w:tr>
        <w:trPr>
          <w:cantSplit/>
        </w:trPr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</w:t>
            </w:r>
          </w:p>
        </w:tc>
        <w:tc>
          <w:tcPr>
            <w:tcW w:w="84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'26. 5</w:t>
            </w:r>
          </w:p>
        </w:tc>
        <w:tc>
          <w:tcPr>
            <w:tcW w:w="349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문서처리 IDP</w:t>
            </w:r>
          </w:p>
        </w:tc>
        <w:tc>
          <w:tcPr>
            <w:tcW w:w="207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A 후 3년</w:t>
            </w:r>
          </w:p>
        </w:tc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$104M</w:t>
            </w:r>
          </w:p>
        </w:tc>
        <w:tc>
          <w:tcPr>
            <w:tcW w:w="81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미공개</w:t>
            </w:r>
          </w:p>
        </w:tc>
      </w:tr>
      <w:tr>
        <w:trPr>
          <w:cantSplit/>
        </w:trPr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Tonkean</w:t>
            </w:r>
          </w:p>
        </w:tc>
        <w:tc>
          <w:tcPr>
            <w:tcW w:w="84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'26. 5</w:t>
            </w:r>
          </w:p>
        </w:tc>
        <w:tc>
          <w:tcPr>
            <w:tcW w:w="349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에이전틱 인테이크 오케스트레이션</w:t>
            </w:r>
          </w:p>
        </w:tc>
        <w:tc>
          <w:tcPr>
            <w:tcW w:w="207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B 후 5년 공백</w:t>
            </w:r>
          </w:p>
        </w:tc>
        <w:tc>
          <w:tcPr>
            <w:tcW w:w="9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$83M</w:t>
            </w:r>
          </w:p>
        </w:tc>
        <w:tc>
          <w:tcPr>
            <w:tcW w:w="81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미공개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Scoutbee·Tonkean: Series B 이후 약 5년간 추가 투자 라운드 미달성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→ IPO 가능성 낮아지며 M&amp;A가 주요 회수 경로로 부상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Rossum: '24년 매출 $44.9M(YoY 약 +60%) 고성장 기업, Coupa 파트너십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통해 검증된 AI 문서처리 기술 조기 내재화. 인수가 비공개 —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매출($44.9M)·누적투자유치($104M)·성장률·SaaS EV/Revenue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멀티플(4∼8배) 고려 시 약 $200∼400M 추정 가능</w:t>
      </w:r>
      <w:r>
        <w:drawing xmlns:a="http://schemas.openxmlformats.org/drawingml/2006/main">
          <wp:anchor distT="0" distB="0" distL="0" distR="0" simplePos="0" relativeHeight="25166000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2853055" cy="165100"/>
            <wp:effectExtent l="0" t="0" r="0" b="0"/>
            <wp:wrapNone/>
            <wp:docPr id="1007" name="Annotation 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305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Intelligent Document Processing, 지능형 문서처리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Rossum 인수</w:t>
      </w:r>
    </w:p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1) 기업 개요 (상세 별첨 7 참조) &gt;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'17년 체코 설립, IDP 전문 스타트업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T-LLM 「Rossum Aurora」 기반 인보이스·구매주문서 등 거래 문서 자동</w:t>
      </w:r>
      <w:r>
        <w:drawing xmlns:a="http://schemas.openxmlformats.org/drawingml/2006/main">
          <wp:anchor distT="0" distB="0" distL="0" distR="0" simplePos="0" relativeHeight="251660008" behindDoc="0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190500</wp:posOffset>
            </wp:positionV>
            <wp:extent cx="2414270" cy="165100"/>
            <wp:effectExtent l="0" t="0" r="0" b="0"/>
            <wp:wrapNone/>
            <wp:docPr id="1008" name="Annotation 1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427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Transactional LLM, 거래특화 대형언어모델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인식·추출 기능 제공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매출: '24년 약 $44.9M (YoY 성장률 약 +60%, '23년 $27.9M → '24년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$44.9M 기준)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누적 투자 유치: $104M (General Catalyst 주도, '21년 Series A)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Coupa-Rossum 전략적 파트너십 체결 ('24년 4월) → '26년 인수로 기술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내재화</w:t>
      </w:r>
    </w:p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2) 인수 방식 &gt;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AI 기반 문서처리(IDP) 역량 내재화 위해 Rossum을 전략적 인수 —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파트너십으로 검증된 기술을 Tuck-in M&amp;A 방식으로 확보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인수가 비공개, 자금 조달은 Coupa 현금(인수 전 FCF $174M, 이후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비공개) 또는 TB 추가 지원 활용으로 추정</w:t>
      </w:r>
    </w:p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3) 인수 목적 및 기대효과 &gt;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[상품] 거래 문서 특화 T-LLM 확보 — 인보이스·구매주문서 처리 등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문서처리 자동화 역량 강화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기존 OCR 기반 방식 대비 처리 시간 최대 95% 단축, 정확도 98% 달성</w:t>
      </w:r>
      <w:r>
        <w:drawing xmlns:a="http://schemas.openxmlformats.org/drawingml/2006/main">
          <wp:anchor distT="0" distB="0" distL="0" distR="0" simplePos="0" relativeHeight="251660009" behindDoc="0" locked="0" layoutInCell="1" allowOverlap="1">
            <wp:simplePos x="0" y="0"/>
            <wp:positionH relativeFrom="column">
              <wp:posOffset>929005</wp:posOffset>
            </wp:positionH>
            <wp:positionV relativeFrom="paragraph">
              <wp:posOffset>190500</wp:posOffset>
            </wp:positionV>
            <wp:extent cx="2580640" cy="165100"/>
            <wp:effectExtent l="0" t="0" r="0" b="0"/>
            <wp:wrapNone/>
            <wp:docPr id="1009" name="Annotation 10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064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Optical Character Recognition, 광학문자인식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(Rossum 발표 기준)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 Aurora: 거래 문서 특화 T-LLM으로 276개 언어 및 30개 언어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손글씨 인식 지원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단순 데이터 추출 넘어 문서 이해·추론·업무 실행 기반 AI Agent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방식 문서 자동화 제공 (상세 별첨 4 참조)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[사업] 고객 생산성 향상 및 경쟁사 대비 기술 우위 확보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인보이스 처리 자동화로 업무량 90%+ 절감, '06년 이후 누적 $300B 절감에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이어 향후 5년간 추가 $300B 고객 비용 절감 목표 제시 (Coupa 발표 기준)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SAP Ariba 등 주요 S2P 경쟁사 대비 IDP 기술 선제 확보 → 차세대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조달 AI 시장 경쟁 우위 확보</w:t>
      </w:r>
      <w:r>
        <w:br w:type="page"/>
      </w:r>
    </w:p>
    <w:p>
      <w:pPr>
        <w:autoSpaceDE w:val="0"/>
        <w:autoSpaceDN w:val="0"/>
        <w:spacing w:line="240" w:lineRule="auto" w:after="40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32"/>
          <w:szCs w:val="32"/>
          <w:w w:val="95"/>
        </w:rPr>
        <w:t xml:space="preserve">Ⅲ. 시사점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SaaS/AI 기업 M&amp;A 평가 3대 기준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 Vs. Medallia 사례에서 도출한 M&amp;A 평가 핵심 기준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3"/>
        <w:gridCol w:w="3035"/>
        <w:gridCol w:w="4047"/>
      </w:tblGrid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평가 기준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핵심 확인 항목</w:t>
            </w:r>
          </w:p>
        </w:tc>
        <w:tc>
          <w:tcPr>
            <w:tcW w:w="4047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Coupa 사례 적용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① 이자상환능력 (FCF Coverage)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FCF vs 연이자비용 비교 / EBITDA Coverage ≥ 1.5x 권고 / 비용절감 가능 규모 확인</w:t>
            </w:r>
          </w:p>
        </w:tc>
        <w:tc>
          <w:tcPr>
            <w:tcW w:w="404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전 FCF $174M vs 이자 ~$241M / 비용절감 ~$200M으로 커버 / FY25 EBITDA/이자 = 1.96x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② 반복 매출 안정성 (사업구조 Lock-in)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플랫폼 고착도 / 전환 비용 / 시장 지속성 / NRR ≥ 100%, Churn Rate &lt; 5%</w:t>
            </w:r>
          </w:p>
        </w:tc>
        <w:tc>
          <w:tcPr>
            <w:tcW w:w="404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S2P/BSM 조달 프로세스 → 시장 영속 / 워크플로우·데이터·네트워크 결합 → 높음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③ AI 대체 가능성 (사업 내구성)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단기능 SaaS vs 플랫폼 SaaS 구분 / 독점 데이터 / 네트워크 효과 여부</w:t>
            </w:r>
          </w:p>
        </w:tc>
        <w:tc>
          <w:tcPr>
            <w:tcW w:w="404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조달 데이터 $10T → 독점적 데이터 자산 / Rossum·Tonkean 인수로 AI 내재화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40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세부 체크리스트는 별첨 8 참조 / NRR: Net Revenue Retention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주요 PE 투자 포트폴리오 모니터링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PE 인수기업 발굴, Value-up, Exit 플레이북 확보 — TB의</w:t>
      </w:r>
      <w:r>
        <w:drawing xmlns:a="http://schemas.openxmlformats.org/drawingml/2006/main">
          <wp:anchor distT="0" distB="0" distL="0" distR="0" simplePos="0" relativeHeight="251660010" behindDoc="0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190500</wp:posOffset>
            </wp:positionV>
            <wp:extent cx="1000760" cy="165100"/>
            <wp:effectExtent l="0" t="0" r="0" b="0"/>
            <wp:wrapNone/>
            <wp:docPr id="1010" name="Annotation 1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076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3333FF"/>
                            <w:sz w:val="18"/>
                            <w:szCs w:val="18"/>
                            <w:w w:val="95"/>
                          </w:rPr>
                          <w:t xml:space="preserve">* Private Equity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'Buy-Improve-Exit' 전략 참조</w:t>
      </w:r>
    </w:p>
    <w:p>
      <w:pPr>
        <w:autoSpaceDE w:val="0"/>
        <w:autoSpaceDN w:val="0"/>
        <w:spacing w:line="240" w:lineRule="auto" w:after="40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SaaS 시장 기업 매수·매도, 투자 현황 지속 파악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자사 솔루션 AI 경쟁력 강화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Caidentia/EMRO 내 AI 적용 가능 영역 식별 — 기능 내재화 또는 외부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솔루션 Tuck-in 검토 필요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도메인 특화 LLM, AI Agent 등 차별화된 AI 기술 역량 확보 필요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 IDP 기술 수준 및 경쟁사(Ariba/UiPath/ABBYY) 비교 검증 진행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중 → 별첨 9 참조</w:t>
      </w:r>
    </w:p>
    <w:p>
      <w:pPr>
        <w:autoSpaceDE w:val="0"/>
        <w:autoSpaceDN w:val="0"/>
        <w:jc w:val="right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- 이  상 -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#별첨1. Thoma Bravo의 Coupa 인수 사례 분석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Thoma Bravo 개요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2008년 'Thoma Bravo' 출범 (전신 Golder Thoma 1980년) / 미국 시카고 본사 (샌프란시스코·마이애미·뉴욕·런던 등 거점)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AUM (자산운용규모)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$183B ('25년 기준), 소프트웨어·사이버보안 분야 세계 최대 PE 중 하나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투자 전략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'Buy-Improve-Exit', 비효율 SaaS 인수 후 비용 최적화 → GAAP(미국 일반회계기준) 흑자 → 5∼7년 내 재매각/IPO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펀드 구조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Flagship(대형), Discover(중형), Explore(소형) 3개 펀드 병행. Coupa는 Flagship 딜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주요 포트폴리오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Proofpoint, Barracuda Networks, SolarWinds, SailPoint 등 90개 이상 소프트웨어 기업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TB의 Coupa 인수 구조 및 논리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발표 / 완료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'22년 12월 합의 발표 → '23년 2월 완료 (규제 심사·주주 승인 포함)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인수가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$8.0B (전액 현금, 주당 $81) — 나스닥 종가 대비 약 77% 프리미엄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당시 재무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매출 $725M, GAAP 순손실 -$379.1M, Adj. FCF +$155.6M (FY2022 기준) / NTM 기준 EV/Revenue 약 8배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구조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LBO, TB 에쿼티와 부채 혼합 구조. ADIA(아부다비투자청) 소수 지분 공동 참여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핵심 논리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GAAP 순손실(-$379.1M)이 부실을 의미하지 않음. Adj. FCF +$174M(FY2023 추정)·ARR 고성장 → 비용 최적화로 현금창출력 강화, ARR $1B 달성 목표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인수 후 경영 개선 및 성과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8"/>
        <w:gridCol w:w="3414"/>
        <w:gridCol w:w="4553"/>
      </w:tblGrid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시기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주요 조치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결과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'23년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인력 15% 감축, SBC 대폭 삭감, S&amp;M(영업·마케팅) 합리화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GAAP 대규모 적자 (D&amp;A $420.2M, 무형자산 상각 $406.7M)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'24년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R&amp;D·G&amp;A 추가 합리화, 플랫폼 통합 가속, ARR $1B 공표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Cash Adj. EBITDA $470.9M (41.4%) / Successor 누적 순손실 -$588.4M (PPA 상각 $406.7M 등 비현금 비용 포함)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'25년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Cirtuo·Scoutbee 인수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'26년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Rossum·Tonkean 인수, 에이전틱 스택 완성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Navi AI 고도화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#별첨2. 주요 기업 개요 (Tonkean, Scoutbee)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Tonkean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'15년 / 미국 샌프란시스코 (Sagi Eliyahu·Offir Talmor 공동 창업, R&amp;D 텔아비브)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영역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인테이크 오케스트레이션 — No-code 조달 프로세스 자동화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핵심 기술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프로세스 오케스트레이터 + AI 에이전트 — 구매 요청·결재·발주 자율 처리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누적 $83M (Series B, '21년). 이후 5년 추가 라운드 미유치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금액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"수억 달러" 추정 (CTech 보도, 미공식)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통합 역할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스택 4단계 [요청·실행] 레이어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Scoutbee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'15년 / 독일 뷔르츠부르크 (Gregor Stühler·Fabian Heinrich·Christian Heinrich·Lee Galbraith 공동 창업)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영역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기반 공급업체 탐색·스크리닝·리스크 평가 플랫폼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핵심 기술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NLP + 공급업체 데이터 AI — 재무·ESG·지정학적 리스크 자동 평가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고객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Audi, Siemens, Airbus (Bosch Rexroth·Unilever 등) 유럽 대형 제조업체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누적 $76M (Series B, '20년). 이후 5년 추가 라운드 미유치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통합 역할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스택 2단계 [공급업체 탐색] 레이어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Coupa 에이전틱 스택 전체 구조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[전략 수립] Cirtuo → [공급업체 탐색] Scoutbee → [문서 처리]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 (T-LLM) → [요청·실행 오케스트레이션] Tonkean</w:t>
      </w:r>
    </w:p>
    <w:p>
      <w:pPr>
        <w:autoSpaceDE w:val="0"/>
        <w:autoSpaceDN w:val="0"/>
        <w:spacing w:line="240" w:lineRule="auto" w:after="24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→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[지출 분석·인사이트] Coupa Core + Navi AI ($10조 데이터)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#별첨3. SAP Ariba vs. Coupa 비교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항목별 비교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비교 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SAP Ariba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Coupa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설립 / 기원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'96년 설립 → SAP SE '12년 $4.3B 인수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'06년 설립 → TB $8.0B PE 인수 ('23년)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소유 구조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SAP SE 100% 자회사 (상장사)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Thoma Bravo PE 보유 비상장사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ARR / 규모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$3B 추정 (SAP 클라우드 내 포함)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약 $1.3B ('25년 기준, 추정)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플랫폼 성격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SAP ERP 생태계 내 통합 모듈. ERP 의존 구조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독립형 클라우드 BSM. ERP 독립 구현 가능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공급업체 네트워크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700만+ 개사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1,000만+ 개사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주요 고객층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SAP ERP 기사용 대형 제조·공공. 전환 비용 매우 높음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복합 산업 대기업. Ariba 대체 수요 흡수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전략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SAP Business AI(Joule) 기반. AI 전환 속도 상대적 지연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Navi AI + 4건 Tuck-in으로 에이전틱 스택 구축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IDP 기술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SAP Doc Info Extraction (서드파티 연동, 독립 IDP 모듈 미보유)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Rossum T-LLM 인수. 276개 언어·할루시네이션 차단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강점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ERP 고착력, 최대 고객 수, 공공·규제 레퍼런스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속도, 독립 구현, 데이터 규모, 스택 선점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약점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속도 지연, ERP 미사용 기업 진입 어려움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SAP ERP 연동 부족, ARR 규모 격차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Coupa의 경쟁사 포지션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2276"/>
        <w:gridCol w:w="4553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경쟁사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본거지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포지션 및 특성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Ariba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독일 (SAP SE)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글로벌 최대 시장 점유율. SAP ERP 고착력, Coupa 최대 경쟁자. AI 전환 지연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Oracle Procurement Cloud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미국 (Oracle)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Oracle ERP 연동 구매 모듈. 대형 제조·공공 강세. ERP 번들로 전환 유인 낮음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Ivalua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프랑스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유럽 기반 전략 조달 플랫폼. 직접구매 특화. 커스터마이징 유연성 강점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Jaggaer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미국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공공·연구기관·제조업 특화. R&amp;D 조달 강점. Coupa 대비 소형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#별첨4. 기존 OCR 대비 Rossum AI Agent 차별성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Rossum의 IDP 시장 내 위상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Rossum은 Everest Group의 「IDP PEAK Matrix® 2026」 32개 공급업체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평가 중 Leader 기업 선정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거래 문서 특화 T-LLM인 Aurora 기반 문서 분할·분류·데이터 추출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등 핵심 IDP 기능 제공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276개 언어 지원, 직관적 UI·AI 학습 기능·보고 기능에서 높은 평가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확보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기존 OCR 대비 AI Agent 차별성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기존 OCR: 문서 내 텍스트 인식 후 정해진 규칙에 따라 데이터 이관하는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방식 — 문맥 이해 및 예외 상황 대응에 한계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AI Agent: 문서 유형과 거래 맥락 이해, 기업 정책·업무 기준에 따라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판단·검증·후속 처리 수행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예) 인보이스 금액·지급 조건·조기결제 할인 여부 등 해석하여 처리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방안 제시</w:t>
      </w:r>
    </w:p>
    <w:p>
      <w:pPr>
        <w:autoSpaceDE w:val="0"/>
        <w:autoSpaceDN w:val="0"/>
        <w:spacing w:line="240" w:lineRule="auto" w:after="40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예) 공급업체·PO·중복 결제 여부 등 검증, 이상 거래는 검토 요청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AI Agent 핵심 역량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[문서 이해] 복잡한 송장·손글씨·금융 문서·업계별 용어 등 다양한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문서 형식과 맥락 이해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[지능적 판단] 중복 결제·PO 불일치·가격 차이·비정상 거래 등 자동 식별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[지속 학습] 공급업체별 문서 양식 학습, 데이터 추출 정확도·예외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처리 역량 지속 개선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문서 자동화는 기존 '텍스트 추출' 중심에서 '문맥 이해 → 판단·검증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→ 업무 실행' 중심으로 진화 중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#별첨5. M&amp;A 대상 기업 후보군 발굴 기준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① 투자 단계 기반 스크리닝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1138"/>
        <w:gridCol w:w="5691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투자 단계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M&amp;A 적합성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특성 및 유의사항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Bootstrap / Pre-Seed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협상력 최대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VC 없음, 창업자가 유일한 협상 상대. 밸류에이션 낮음, Exit 유인 높음. 제품 검증 실사 필요 (Cirtuo 유형)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A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선별 적합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PMF 검증 단계. AI 기술 조기 확보 시 유효. 고성장 중 조기 인수는 프리미엄 불가피 (Rossum 유형)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 후 3∼5년 공백 (성장 정체기)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최적 타겟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 검증 완료 + 프리미엄 미형성 + Exit 유인 극대. 인수자 협상력 최대 (Scoutbee·Tonkean 유형)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C 이후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프리미엄 주의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추가 VC 유입으로 밸류에이션 급등. 전략 당위성 매우 높아야 정당화 가능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PE 보유 / 성숙기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특수 목적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전략 매각·카브아웃 형태만 접근 가능. 협상 복잡도 최고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② 파트너십·PoC 2단계 접근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단계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주요 활동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검증 항목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1단계 파트너십·PoC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공동 개발·SI 협력·파일럿 운영. 기술 API 연동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 기술 적합성 ② 고객 반응 ③ 운영 연동 가능성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2단계 M&amp;A 내재화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파트너십 성과 기반 인수 결정. 통합 PM·로드맵 사전 수립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실사 신뢰도 제고, 통합 마찰 비용 절감, 통합 기간 단축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현 당사 협력 SaaS 파트너 중 Series B 이후 3년+ 공백 기업 우선 식별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필요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③ PE 발굴 기준 참고 (Thoma Bravo 방식)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구독 매출 비중 70%+, 예측 가능 현금 흐름이 전제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Churn(이탈률) 연 10% 이하, 고객 유지율이 성장 레버 효과 결정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FCF 개선 여지 — SBC·S&amp;M·R&amp;D 비효율 클수록 최적화 효과 큼</w:t>
      </w:r>
    </w:p>
    <w:p>
      <w:pPr>
        <w:autoSpaceDE w:val="0"/>
        <w:autoSpaceDN w:val="0"/>
        <w:spacing w:line="240" w:lineRule="auto" w:after="40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기술 독점성: 도메인 데이터·알고리즘·네트워크 효과 보유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④ AI 기술 M&amp;A 검증 기준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도메인 특화 독점 데이터 보유 여부 — 데이터 자체가 경쟁력인 구조</w:t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범용 LLM 대체 불가 구조적 기술 경쟁력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플랫폼·컴플라이언스·보안 등 포함 고착력이 장기 가치 결정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#별첨6. M&amp;A 투자 단계 개요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단계별 특성 및 M&amp;A 관점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1138"/>
        <w:gridCol w:w="2276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단계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투자 규모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기업 상태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M&amp;A 관점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Pre-Seed / Bootstrap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$0∼$500K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아이디어·MVP. 창업자 자체 자금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기술·팀 인수(Acqui-hire). 밸류에이션 낮음. 제품 검증 리스크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Seed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$500K∼$3M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초기 제품 완성, 소규모 고객 테스트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 조기 확보 가능. 시장 검증 미완 리스크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A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$3M∼$15M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PMF 검증, ARR $1∼5M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핵심 기술 조기 확보 유효. 고성장 시 프리미엄 급등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$15M∼$50M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시장 확장, ARR $10∼30M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기술·고객 검증 완료 + 프리미엄 미형성 — 효율 우수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 후 3∼5년 공백 (성장 정체기)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추가 VC 없음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검증 완료, 수익화 집중. ARR $20∼80M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최적 타겟 구간. 프리미엄 없음 + Exit 유인 극대 + 협상력 최대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C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$50M∼$150M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대규모 확장, ARR $50M+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밸류에이션 급등. 전략 시너지 매우 명확해야 정당화 가능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D+ / Pre-IPO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$150M+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IPO 준비, ARR $100M+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수 조원대 인수가. 이사회·VC 전원 동의 필요. 복잡도 최고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PE LBO 보유사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N/A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비상장, 비용 최적화 중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Secondary 매각·카브아웃만 가능. PE Exit 시나리오 종속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대기업 자회사 / 카브아웃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N/A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대기업 비핵심 사업부 분리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검증 자산 확보 가능. 문화 통합 리스크 높음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M&amp;A 전략 적용 관점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u w:val="single"/>
          <w:color w:val="000000"/>
          <w:sz w:val="28"/>
          <w:szCs w:val="28"/>
          <w:w w:val="95"/>
        </w:rPr>
        <w:t xml:space="preserve">최적 타겟 구간: 'Series B 후 3∼5년 공백' 성장 정체기 기업</w:t>
      </w:r>
    </w:p>
    <w:p>
      <w:pPr>
        <w:autoSpaceDE w:val="0"/>
        <w:autoSpaceDN w:val="0"/>
        <w:spacing w:line="240" w:lineRule="auto" w:after="32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기술 검증 완료 + 프리미엄 미형성 → 협상력 극대화 시점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AI 핵심 기술 경쟁사 선점 우려 → Series A 조기 인수 검토 가능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파트너십·PoC 선행으로 기술 검증 후 내재화 필수 (2단계 접근)</w:t>
      </w:r>
    </w:p>
    <w:p>
      <w:pPr>
        <w:autoSpaceDE w:val="0"/>
        <w:autoSpaceDN w:val="0"/>
        <w:spacing w:line="240" w:lineRule="auto" w:after="24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  <w:spacing w:val="-6"/>
        </w:rPr>
        <w:t xml:space="preserve">두 경로 모두 '파트너십 선행 검증 → 타이밍 포착 후 내재화' 원칙 동일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#별첨7. Rossum 기업 개요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기본 현황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공식 명칭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 s.r.o.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'17년 / 체코 프라하 (Prague, Czech Republic)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공동 창업자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Tomáš Gogár (CEO) · Petr Baudiš · Tomáš Tunys (체코기술대학교(CTU Prague) AI 연구 출신)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 현황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매출 $44.9M ('24년 기준, YoY 약 +60%, '23년 $27.9M → '24년 $44.9M)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직원 수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약 450명 (추정, '25년 기준)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처리 실적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연간 $700B+ 규모 거래 문서 처리, 누적 $1.3조 달러 처리 실적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누적 투자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$104M (General Catalyst 주도, '21년 Series A)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상장 이력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비상장 스타트업 → '26년 5월 Coupa Software에 피인수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최근 이력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'24년 4월 Coupa와 전략적 파트너십 체결 → '26년 5월 인수로 기술 내재화 완료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사명 유래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체코 극작가 Karel Čapek의 희곡 「R.U.R.(Rossum's Universal Robots, 1920년)」에서 차용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사업 영역 및 업계 위상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IDP 전문 SaaS 스타트업 — B2B 거래 문서(인보이스·구매주문서·선하증권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등 비정형 문서) AI 자동 판독·추출·검증에 특화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거래 문서 특화 T-LLM 「Rossum Aurora」 기반 기존 OCR 대비 처리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시간 최대 95% 단축, 정확도 98% 달성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Everest Group 「IDP PEAK Matrix® 2026」 32개 공급업체 평가 중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Leader 기업 선정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주요 경쟁사 현황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ABBYY: IDP 전통 강자. 범용 OCR 역량에 AI 결합한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FlexiCapture·Vantage 제품 보유. 비정형 거래 문서 특화 T-LLM 미보유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→ Rossum 대비 정확도 열위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Hyperscience: 뉴욕 기반 IDP 스타트업 (누적 $190M+ 조달).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공공·금융·보험 분야 특화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AWS Textract: Amazon 클라우드 기반 범용 문서 추출 서비스. 비용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효율적이나 거래 맥락 이해 부족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Google Document AI: Gemini 기반 고도화 추진 중. 범용 생성형 LLM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방식으로 할루시네이션 리스크 존재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UiPath Document Understanding: RPA(Robotic Process Automation)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워크플로우와의 통합 강점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제품 포트폴리오 / 핵심 기술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제품 / 기능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주요 기능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Rossum Aurora (T-LLM)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거래 문서 특화 Transactional LLM. 1,100만 건 이상 실거래 문서 학습 데이터 기반. Discriminative Decoder 방식으로 할루시네이션 원천 차단. 276개 언어 지원 (손글씨 30개 언어)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Agent (에이전트 워크플로우)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단순 데이터 추출 넘어 문서 이해→판단→검증→업무 실행 자동화. 중복 결제·PO 불일치·가격 차이·비정상 거래 자동 탐지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Human-in-the-Loop 검증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자동화와 인간 검토 결합한 하이브리드 처리 방식. 고객 평균 92.5% 데이터 추출 정확도 달성. 수작업 대비 90%+ 작업량 절감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Trainer (자기 학습)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공급업체별 문서 양식 자동 학습. 목표 정확도 도달 필요 문서 수를 기존 대비 1/10로 절감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ERP 통합 API / SDK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SAP·Oracle NetSuite·Coupa·Microsoft Dynamics 등 주요 ERP·구매 시스템 네이티브 통합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재무 현황 및 자금 조달 이력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8"/>
        <w:gridCol w:w="2276"/>
        <w:gridCol w:w="1138"/>
        <w:gridCol w:w="4553"/>
      </w:tblGrid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시기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라운드 / 이벤트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조달액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주요 내용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'17∼'20년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시드·Pre-Series A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~$4M (추정)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프라하 창업 직후 초기 투자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'21년 10월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A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$100M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General Catalyst 주도. 동유럽 역대 최대 Series A 중 하나. 이후 5년간 추가 라운드 미진행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누계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총 조달액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$104M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'24년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성과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매출 $44.9M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YoY +60% 고성장 유지. '24년 4월 Coupa와 전략적 파트너십 체결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'25년 (추정)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성과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~$55∼65M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성장세 유지 추정. Coupa 인수 가시화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'26년 5월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피인수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미공개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Guggenheim Securities 독점 매각 자문. 약 $200∼400M 추정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#별첨8. SaaS/AI 기업 M&amp;A 검토 체크리스트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개요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사업부 관점에서 SaaS/AI 기업 M&amp;A 시 무엇을 봐야 하는가 —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Coupa·Medallia 사례 기반 도출 초안</w:t>
      </w:r>
    </w:p>
    <w:p>
      <w:pPr>
        <w:autoSpaceDE w:val="0"/>
        <w:autoSpaceDN w:val="0"/>
        <w:spacing w:line="240" w:lineRule="auto" w:after="40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지표별 기준치는 추후 지원팀 검토 후 확정 예정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① Financial Metrics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지표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확인 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SaaS 우량 기준치 (참고)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매출 성장률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YoY ARR / Revenue 성장률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20% (성장 단계 기준)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Gross Margin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매출총이익률 (소프트웨어 특성 반영)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70%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EBITDA Margin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Cash Adj. EBITDA / Billings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20% (성숙 SaaS)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Rule of 40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ARR 성장률 + EBITDA 마진 합산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40 (우량 SaaS 기준)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FCF / FCF Margin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FCF = EBITDA − CapEx − 이자 (이자 차감 전·후 구분)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양수 전환 여부 + 마진 추세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이자상환능력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EBITDA ÷ 연이자비용 (EBITDA Coverage)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1.5x (LBO 딜 안정 기준)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현금보유 / 부채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Cash + Cash Equiv. / Net Debt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후 12개월 운영 가능 현금 확인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멀티플 (EV/ARR)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인수가격 ÷ ARR or Revenue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시장 평균 대비 프리미엄 합리성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Rule Of 40: ARR 성장률(%) + FCF 마진(%) ≥ 40이면 우량 SaaS 분류.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 FY25 기준 EBITDA 마진 41.4% 확인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② Operational Metrics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지표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확인 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SaaS 우량 기준치 (참고)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NRR (Net Revenue Retention)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기존 고객 매출 유지 + 확장 비율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110% (Coupa 수준)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GRR (Gross Revenue Retention)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해지 제외 후 유지 비율 (확장 미포함)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90%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Churn Rate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연간 고객 이탈률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≤ 5% (엔터프라이즈 기준)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고객 집중도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상위 10개 고객 비중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≤ 30% (집중도 리스크 평가)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CAC Payback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고객 획득 비용 회수 기간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≤ 24개월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LTV : CAC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고객 생애가치 ÷ 획득 비용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≥ 3x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③ Business Quality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확인 관점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Coupa vs. Medallia 사례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반복 매출 안정성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구독 비중 / 계약 구조 (다년 계약 여부)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Coupa 구독 비중 ≥ 90% vs Medallia 서베이 단위 계약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시장 지속성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수요가 사라질 수 있는 시장인지 평가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조달·결제는 영속 시장 vs CX 피드백은 AI 대체 가능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대체 가능성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플랫폼형 vs 단기능 SaaS 구분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Coupa: 워크플로우+데이터+네트워크 결합 → 낮음 / Medallia: 단기능 → 높음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플랫폼 고착도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전환 비용 / 데이터 이동성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Coupa ERP 연동·공급사 네트워크 → 높음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독점 데이터 자산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경쟁자가 복제 불가한 데이터 보유 여부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Coupa $10T 지출 데이터 → AI 학습 기반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네트워크 효과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사용자 증가 시 가치 증대 구조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Coupa BSM 네트워크(공급사 1,000만+)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④ M&amp;A 관점 체크포인트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확인 관점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인수 후 비용절감 가능성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S&amp;M 중복, 인력 최적화, G&amp;A 통합 등 — 절감 규모가 이자 갭을 커버하는지 수치로 검증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PMI 통합 난이도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 스택 호환성 / 고객 데이터 이전 / 팀 통합 기간 추정 (PMI: Post-Merger Integration)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기존 솔루션과 시너지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자사 제품 포트폴리오와 기능 중복 or 보완 여부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Tuck-in 적합성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독립 사업부로 운영 vs 기존 플랫폼 내 통합 여부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공급사 주장 검증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IDP·AI 기능 등 공급사 주장 → 경쟁사 비교 및 독립 검증 필수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Exit 전략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PE 인수 시: IPO / Secondary / Tuck-in 가능성 평가 / 전략 인수 시: 통합 후 시너지 수치화 가능 여부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⑤ Top Line / ARR 검증 (Evercore 실사 기반 실전 DD 항목)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⑤∼⑦은 Evercore 주관 Coupa 실사('24년 10월) 과정에서 실제 제기된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DD 질문 구조 기반 실전형 검증 항목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확인 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세부 질문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판단 기준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Bookings vs ARR 정의 분리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Subscription Bookings에 Contracted ACV Increase·Renewal Price Increase 포함 여부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포함/미포함 여부에 따라 성장률 수치 달라짐 — 정의 통일 후 비교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ARR Build 구조 이해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① Non-Renewal Bookings (신규) ② Contracted ACV Increase from Existing ③ from New Bookings 구분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③이 0으로 수렴하는 경우 기존 계약 포화 신호 — 신규 계약 파이프라인 별도 확인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Proration 조정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ARR Bridge 내 Proration Impact 항목 존재 여부 및 규모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연간화(Annualized) 조정 항목 — 없으면 ARR이 과소·과대 계상될 수 있음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Go-Live 시점 괴리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Booking 계약일 vs Go-Live(효력 발생일) 차이로 인한 ARR 인식 시차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시차가 클수록 단기 ARR 성장률 왜곡 가능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고객 세그먼트 정의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Enterprise / Mid-Market / Corporate 분류 기준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Coupa 기준: Corporate &lt;$250M, MM $250M∼$1B, Enterprise &gt;$1B (매출 기준)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Alliance 채널 정의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Alliance 매출이 파트너 채널 매출인지, 파트너 구독 매출인지 구분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리셀러 셀스루(sell-through) 매출과 혼재 시 채널 믹스 분석 불가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⑥ P&amp;L 검증 — 헤드카운트·비용 항목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확인 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세부 질문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판단 기준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HC 비용 vs 관리발표자료 괴리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재무 모델 HC 비용과 IR/관리발표자료 인당 비용×인원수 불일치 시 원인 분석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① Census 기준일 차이 ② 컨트랙터 포함 여부 ③ CapSW 반영 방식 ④ 커미션 현금 vs GAAP 처리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컨트랙터 비용 처리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외주(contractor) 비용이 HC 비용 포함인지 non-HC 비용으로 분리인지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모델에서 non-HC로 분리된 경우 → 발표자료 대비 HC 비용 낮게 표시됨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CapSW 처리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R&amp;D 비용 내 CapSW 포함·제외 여부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발표자료는 CapSW 포함, 모델은 FCF 탭에서 별도 처리하는 경우 多. Coupa FY24 $10M, FY25 $12M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커미션 처리 방식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S&amp;M 비용 내 커미션을 현금 기준(cash) vs GAAP(ASC 606 이연 후 상각) 중 어느 기준으로 표시하는지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현금 기준은 당기 달성 목표 100% 가정 → GAAP 모델 대비 과대 계상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⑦ FCF · B/S · 채널 검증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확인 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세부 질문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판단 기준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D&amp;A 분해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D&amp;A를 ① 유형자산 감가상각 ② 무형자산 상각 ③ CapSW 상각 ④ Net Capitalized Commissions 상각으로 분리 요청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D&amp;A 전체 묶어 제공하는 경우 FCF 역산 불가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OpEx D&amp;A 버든 여부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COGS·OpEx에 D&amp;A 포함되어 있는지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혼재 시 EBITDA 과소 계상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SBC 처리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P&amp;L에 SBC 반영 여부 및 규모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SBC 미반영 P&amp;L은 비용 과소 계상 → Adj. EBITDA에서 SBC Add-back 항목 별도 확인 필수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NWC 정의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운전자본(NWC) 산정 시 이연매출·미청구채권·이연수수료 포함 여부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조정 항목 리스트 요청 필수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B/S 최신성 확인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제공된 B/S의 기준일 확인 (감사 완료 연간 vs 분기 잠정치)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PE 보유 비상장사의 경우 감사 완료 연간 재무제표 제공 여부 확인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직접 vs 간접 조달 매출 비중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간접조달(Indirect) vs 직접조달(Direct Procurement) 매출 비중 요청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대부분의 S2P 플랫폼은 간접조달 중심 — 직접조달 확장 전략 여부가 TAM 확장성 판단 기준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영업 채널 믹스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직접영업(Direct) vs 파트너/리셀러(Indirect) 매출 비중 및 리셀러 활성화 로드맵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직접영업 비중이 높을수록 단기 안정성 높음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⑤∼⑦ 항목은 '24년 10월 Evercore 주관 하에 삼성SDS·Thoma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Bravo(Coupa) 간 실제 교환된 재무 실사(Financial DD) 질의응답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내용을 기반으로 재구성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본 체크리스트는 초안이며, 지원팀 검토 후 사업부 공통 M&amp;A 검토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기준으로 확정 예정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#별첨9. IDP 경쟁사 비교 — Rossum vs. Ariba vs. UiPath vs. ABBYY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주요 IDP 솔루션 비교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5"/>
        <w:gridCol w:w="2483"/>
        <w:gridCol w:w="1655"/>
        <w:gridCol w:w="1655"/>
        <w:gridCol w:w="1655"/>
      </w:tblGrid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18"/>
                <w:szCs w:val="18"/>
                <w:w w:val="95"/>
              </w:rPr>
              <w:t xml:space="preserve">구분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18"/>
                <w:szCs w:val="18"/>
                <w:w w:val="95"/>
              </w:rPr>
              <w:t xml:space="preserve">Rossum (Aurora)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18"/>
                <w:szCs w:val="18"/>
                <w:w w:val="95"/>
              </w:rPr>
              <w:t xml:space="preserve">SAP Ariba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18"/>
                <w:szCs w:val="18"/>
                <w:w w:val="95"/>
              </w:rPr>
              <w:t xml:space="preserve">UiPath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18"/>
                <w:szCs w:val="18"/>
                <w:w w:val="95"/>
              </w:rPr>
              <w:t xml:space="preserve">ABBYY (Vantage)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포지션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AI-native IDP 전문 스타트업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E2E 조달 플랫폼 (IDP는 파트너 경유)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RPA 기반 확장 IDP 내재화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전통 OCR 기반 AI 전환 중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AI 방식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T-LLM (Discriminative Decoder) — 할루시네이션 구조 제거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OpenText 파트너십 기반 OCR·ML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Document Understanding — ML + GPT 연동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ABBYY Vantage — Low-code ML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IDP 자체 보유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자체 (Aurora T-LLM)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미보유 (서드파티 연동)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자체 보유 (Document Understanding)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자체 보유 (Vantage)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강점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거래 문서 특화 / 무코드 설정 / 사전 학습 모델 / Coupa 워크플로 통합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조달 E2E 커버 / SAP ERP 네이티브 / 글로벌 고객망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RPA 연계 자동화 / 다양한 문서 유형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OCR 정확도 / 레거시 연동 / 다국어 지원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약점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규모 소형 / 거래 문서 외 범용성 제한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IDP 독립 모듈 없음 / 파트너 의존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RPA 플랫폼 종속 / 단독 IDP 포지셔닝 약함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AI 전환 과도기 / 구 UI/UX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Coupa 관점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인수로 플랫폼 내재화 / BSM 전체에 AI 적용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SAP 생태계 내 제한 / Coupa 고객 전환 유인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RPA 중심 → S2P 통합 약함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18"/>
                <w:szCs w:val="18"/>
                <w:w w:val="95"/>
              </w:rPr>
              <w:t xml:space="preserve">거래 문서 이외 범용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검토 의견 및 한계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SAP Ariba IDP 자체 미보유 확인 — Ariba는 OpenText 파트너십으로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문서 처리 제공하나 독립 IDP 모듈 없음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 선제 확보 Vs. 따라잡기 논쟁 — Coupa는 기존에 IDP를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서드파티(ABBYY 등) 연계로 제공. Rossum 인수는 ① AI 품질 향상 + ②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플랫폼 내재화 + ③ 경쟁사 대비 IDP 격차 해소의 복합 목적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Aurora T-LLM 검증 필요 항목 — 'T-LLM'이 독립 사전학습 LLM인지,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OCR+ML 고도화 모델인지 정확한 기술 규격 별도 확인 필요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0"/>
        </w:rPr>
        <w:t xml:space="preserve">현장 검증 미완료 — 안대영 상무(물류사업부) 검토 의견 수렴 후 보완 예정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본 비교표는 공개 자료(벤더 공식 홈페이지, Gartner MQ, Forrester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Wave, SEC 공시) 기반 초안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#별첨10. FY2024 vs FY2025 순손실 추정 방법론 비교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개요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Coupa는 TB 인수('23년 2월) 이후 비상장사로 전환되어 GAAP 재무제표</w:t>
      </w:r>
    </w:p>
    <w:p>
      <w:pPr>
        <w:autoSpaceDE w:val="0"/>
        <w:autoSpaceDN w:val="0"/>
        <w:spacing w:line="240" w:lineRule="auto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미공개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FY2024·FY2025 GAAP 순손실은 보유 자료에 따라 추정 방향이 반대이며,</w:t>
      </w:r>
    </w:p>
    <w:p>
      <w:pPr>
        <w:autoSpaceDE w:val="0"/>
        <w:autoSpaceDN w:val="0"/>
        <w:spacing w:line="240" w:lineRule="auto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두 연도의 신뢰도도 상이</w:t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① 추정 방향 — FY2024 Vs FY2025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1"/>
        <w:gridCol w:w="3642"/>
        <w:gridCol w:w="3642"/>
      </w:tblGrid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구분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FY2024 ('23년, ~Jan 31, 2024)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FY2025 ('24년, ~Jan 31, 2025)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알고 있는 것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GAAP 순손실 -$588.4M (Evercore B/S Accumulated Deficit)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Cash Adj. EBITDA +$470.9M (Evercore Management P&amp;L FY25F 직접 제공)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모르는 것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Cash Adj. EBITDA (비GAAP, 미제공)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GAAP 순손실 (재무제표 미공개)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추정 방향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역산: 순손실 → EBITDA (Bottom-up: 결과에서 원인으로)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추산: EBITDA → 순손실 (Top-down: 원인에서 결과로)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출발점 신뢰도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낮음 — EBITDA 자체가 역산 추정치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상대적으로 높음 — EBITDA는 Evercore 제공값</w:t>
            </w:r>
          </w:p>
        </w:tc>
      </w:tr>
      <w:tr>
        <w:trPr>
          <w:cantSplit/>
        </w:trPr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추정 결과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Cash Adj. EBITDA ≈ +$320∼350M (역산)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GAAP 순손실 ≈ -$190∼250M (추산)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② 공통 조정 항목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3"/>
        <w:gridCol w:w="2023"/>
        <w:gridCol w:w="2023"/>
        <w:gridCol w:w="3035"/>
      </w:tblGrid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항목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FY2024 실적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FY2025 추정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변화 이유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PPA 무형자산 상각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$406.7M (Evercore)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$370∼400M (추정)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일부 무형자산 내용연수 완료로 소폭 감소 추정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기타 D&amp;A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$13.5M (Evercore)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$15∼20M (추정)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FY24 이연 커미션 잔액 일시 상각 후 FY25 재적립 정상화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이자비용 (Term Loan)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~$241M (추정)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~$241M (추정)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Term Loan $2,187M 잔액 동일 가정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이연법인세비용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~$171M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$20∼40M (추정)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FY2024 대규모 일시 인식 후 FY2025부터 정상화</w:t>
            </w:r>
          </w:p>
        </w:tc>
      </w:tr>
      <w:tr>
        <w:trPr>
          <w:cantSplit/>
        </w:trPr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SBC (경영진 인센티브)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~$80∼100M (역산)</w:t>
            </w:r>
          </w:p>
        </w:tc>
        <w:tc>
          <w:tcPr>
            <w:tcW w:w="202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$50∼80M (추정)</w:t>
            </w:r>
          </w:p>
        </w:tc>
        <w:tc>
          <w:tcPr>
            <w:tcW w:w="303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MIP 베스팅 진행에 따라 점진적 감소 추정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③ 이연법인세 — FY2024 대규모 인식, FY2025 정상화 이유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4553"/>
        <w:gridCol w:w="2276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시점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발생 메커니즘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이연세금 규모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FY2024 (인수 직후)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PPA로 무형자산 $3.3B 신규 인식 → 장부-세무 차이 일시에 대규모 발생 → 이연법인세부채 $15M → $187M으로 급증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~$171M (일시적 대규모 인식, 비현금)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FY2025∼ (이후 연도)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무형자산 상각이 진행될수록 장부가치 하락 → 장부-세무 차이 축소 → 이연법인세부채 감소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$20∼40M (정상화 구간, 비용 대폭 축소)</w:t>
            </w:r>
          </w:p>
        </w:tc>
      </w:tr>
    </w:tbl>
    <w:p>
      <w:pPr>
        <w:autoSpaceDE w:val="0"/>
        <w:autoSpaceDN w:val="0"/>
        <w:spacing w:line="40" w:lineRule="exact" w:before="0" w:after="40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④ 신뢰도 비교 및 한계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FY2024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FY2025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확인된 수치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순손실 -$588.4M (B/S), D&amp;A $420.2M (Evercore)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Cash Adj. EBITDA $470.9M, CapSW $12.2M, Net Cap. Commissions $24.3M (Evercore)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추정 수치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Cash Adj. EBITDA $320∼350M (역산 — 신뢰도 낮음)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GAAP 순손실 -$190∼250M (추산 — 상대적으로 신뢰도 높음)</w:t>
            </w:r>
          </w:p>
        </w:tc>
      </w:tr>
    </w:tbl>
    <w:p>
      <w:pPr>
        <w:autoSpaceDE w:val="0"/>
        <w:autoSpaceDN w:val="0"/>
        <w:spacing w:line="40" w:lineRule="exact" w:before="0" w:after="32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32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u w:val="single"/>
          <w:color w:val="000000"/>
          <w:sz w:val="28"/>
          <w:szCs w:val="28"/>
          <w:w w:val="95"/>
          <w:spacing w:val="-4"/>
        </w:rPr>
        <w:t xml:space="preserve">FY2024: '결과(순손실 -$588.4M)는 알지만 과정(EBITDA)을 역산'하는 구조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u w:val="single"/>
          <w:color w:val="000000"/>
          <w:sz w:val="28"/>
          <w:szCs w:val="28"/>
          <w:w w:val="95"/>
          <w:spacing w:val="-4"/>
        </w:rPr>
        <w:t xml:space="preserve">FY2025: '과정(EBITDA $470.9M)은 알지만 결과(순손실)를 추산'하는 구조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GAAP 재무제표 미공개(비상장). 두 연도 모두 확인값이 아닌 추정값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포함. 실사(FDD) 시 반드시 GAAP P&amp;L 원본 요청 필요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본 별첨은 재무 데이터 해석 시 추정 한계를 명시적으로 인식하고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의사결정에 활용하기 위한 참고 자료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851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- </w:t>
    </w:r>
    <w:fldSimple w:instr="PAGE"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>1</w:t>
      </w:r>
    </w:fldSimple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바탕체" w:eastAsia="바탕체" w:hAnsi="바탕체" w:cs="바탕체"/>
        <w:sz w:val="28"/>
        <w:szCs w:val="28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