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40" w:lineRule="auto"/>
        <w:jc w:val="center"/>
      </w:pPr>
      <w:r>
        <w:rPr>
          <w:rFonts w:ascii="바탕체" w:hAnsi="바탕체" w:eastAsia="바탕체" w:cs="바탕체"/>
          <w:b/>
          <w:i w:val="0"/>
          <w:sz w:val="40"/>
          <w:u w:val="single"/>
        </w:rPr>
        <w:t>Medallia 사례로 본 SaaS 기업 가치 평가 기준</w:t>
      </w:r>
    </w:p>
    <w:p>
      <w:pPr>
        <w:spacing w:before="0" w:after="180" w:line="240" w:lineRule="auto"/>
        <w:jc w:val="righ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>'26.05.08  솔루션전략그룹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213"/>
        <w:gridCol w:w="3213"/>
        <w:gridCol w:w="3213"/>
      </w:tblGrid>
      <w:tr>
        <w:tc>
          <w:tcPr>
            <w:tcW w:type="dxa" w:w="3213"/>
            <w:tcW w:w="140" w:type="dxa"/>
            <w:tcMar>
              <w:left w:w="0" w:type="dxa"/>
              <w:right w:w="0" w:type="dxa"/>
              <w:top w:w="0" w:type="dxa"/>
              <w:bottom w:w="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nil"/>
            </w:tcBorders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3213"/>
            <w:tcW w:w="9353" w:type="dxa"/>
            <w:tcMar>
              <w:left w:w="28" w:type="dxa"/>
              <w:right w:w="28" w:type="dxa"/>
              <w:top w:w="0" w:type="dxa"/>
              <w:bottom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18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8"/>
                <w:u w:val="none"/>
              </w:rPr>
              <w:t xml:space="preserve"> '21.7月 Thoma Bravo의 Medallia 인수($6.4B)는 고배수 LBO·변동금리·성장률 과대 추정이 복합 작용하여 '26年 에쿼티 $5B 전액 손실로 귀결됨</w:t>
            </w:r>
          </w:p>
          <w:p>
            <w:pPr>
              <w:spacing w:before="0" w:after="18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8"/>
                <w:u w:val="none"/>
              </w:rPr>
              <w:t xml:space="preserve"> 이자비용($300M)의 EBITDA($200M) 초과 및 FCF 전액 이자 투입으로 인한 제품 혁신 중단이 핵심 실패 원인으로 판단됨</w:t>
            </w:r>
          </w:p>
          <w:p>
            <w:pPr>
              <w:spacing w:before="0" w:after="18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8"/>
                <w:u w:val="none"/>
              </w:rPr>
              <w:t xml:space="preserve"> 표면 지표(매출·EBITDA) 중심 평가 한계 보완을 위해 FCF 및 EV/Par Coverage 지표를 사업건전성 대시보드에 추가 검토 필요</w:t>
            </w:r>
          </w:p>
        </w:tc>
        <w:tc>
          <w:tcPr>
            <w:tcW w:type="dxa" w:w="3213"/>
            <w:tcW w:w="140" w:type="dxa"/>
            <w:tcMar>
              <w:left w:w="0" w:type="dxa"/>
              <w:right w:w="0" w:type="dxa"/>
              <w:top w:w="0" w:type="dxa"/>
              <w:bottom w:w="0" w:type="dxa"/>
            </w:tcMar>
            <w:tcBorders>
              <w:top w:val="single" w:sz="4" w:color="000000"/>
              <w:right w:val="single" w:sz="4" w:color="000000"/>
              <w:bottom w:val="single" w:sz="4" w:color="000000"/>
              <w:left w:val="nil"/>
            </w:tcBorders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before="320" w:after="240" w:line="240" w:lineRule="auto"/>
        <w:jc w:val="left"/>
      </w:pPr>
      <w:r>
        <w:rPr>
          <w:rFonts w:ascii="바탕체" w:hAnsi="바탕체" w:eastAsia="바탕체" w:cs="바탕체"/>
          <w:b/>
          <w:i w:val="0"/>
          <w:sz w:val="28"/>
          <w:u w:val="none"/>
        </w:rPr>
        <w:t>1. 보고 개요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/>
          <w:i w:val="0"/>
          <w:sz w:val="28"/>
          <w:u w:val="none"/>
        </w:rPr>
        <w:t xml:space="preserve"> □ 분석 배경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'21.7月 Thoma Bravo, Medallia를 $6.4B(매출 9배)에 인수·상장폐지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'22~'23年 美 연준 금리 인상(SOFR 5.4%)으로 이자부담 급증 — 연이자 $135M → $300M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'26年 채권단(Blackstone 等)에 경영권 이전 결정 → 에쿼티 $5B 전액 손실 확정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/>
          <w:i w:val="0"/>
          <w:sz w:val="28"/>
          <w:u w:val="none"/>
        </w:rPr>
        <w:t xml:space="preserve"> □ 분석 목적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PE·LBO 구조의 구조적 실패 원인 진단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성장률·EBITDA 중심 평가의 한계 확인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Rule of 40·FCF·NRR 기반 건전성 평가 체계 도출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사업건전성 대시보드 운영 방향 시사점 제시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/>
          <w:i w:val="0"/>
          <w:sz w:val="28"/>
          <w:u w:val="none"/>
        </w:rPr>
        <w:t xml:space="preserve"> □ 분석 범위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분석 대상: Medallia, Inc. / Thoma Bravo, LP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분석 기간: '01年 설립 ~ '26年 경영권 이전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재무 수치 출처: OnlyCFO('26.5月), Bloomberg('26.4月) 분석 기반 추정치</w:t>
      </w:r>
    </w:p>
    <w:p>
      <w:pPr>
        <w:spacing w:before="320" w:after="240" w:line="240" w:lineRule="auto"/>
        <w:jc w:val="left"/>
      </w:pPr>
      <w:r>
        <w:rPr>
          <w:rFonts w:ascii="바탕체" w:hAnsi="바탕체" w:eastAsia="바탕체" w:cs="바탕체"/>
          <w:b/>
          <w:i w:val="0"/>
          <w:sz w:val="28"/>
          <w:u w:val="none"/>
        </w:rPr>
        <w:t>2. 주요 발견사항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/>
          <w:i w:val="0"/>
          <w:sz w:val="28"/>
          <w:u w:val="none"/>
        </w:rPr>
        <w:t xml:space="preserve"> □ 핵심 판단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이자비용($300M)이 EBITDA($200M)를 초과하는 구조적 적자 — 표면 지표만으로는 실패 감지 불가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변동금리 LBO 구조에서 금리 상승 리스크 미반영이 핵심 취약점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FCF 전액 이자 투입으로 AI 시대 제품 혁신 불가 → 고객 이탈 가속화 악순환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/>
          <w:i w:val="0"/>
          <w:sz w:val="28"/>
          <w:u w:val="none"/>
        </w:rPr>
        <w:t>→ 고배수 LBO + 변동금리 + 성장 과대 추정의 3중 실패 구조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/>
          <w:i w:val="0"/>
          <w:sz w:val="28"/>
          <w:u w:val="none"/>
        </w:rPr>
        <w:t xml:space="preserve"> □ 주요 발견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PIK 조항 발동으로 부채 $1.8B → $2.8B 복리 팽창 (약 $1B 누적)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EBITDA 양호($200M)에도 이자조차 감당 불가 — 전통적 재무 건전성 기준의 중요성 확인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M&amp;A·IPO 시장 동결로 PE 통상 회수 수단 전면 차단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/>
          <w:i w:val="0"/>
          <w:sz w:val="28"/>
          <w:u w:val="none"/>
        </w:rPr>
        <w:t xml:space="preserve"> □ 의사결정 포인트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SaaS 기업가치 평가 時 SaaS 특화 지표와 전통 재무 지표 병행 관리 필요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변동금리 조달 구조 채택 時 금리 시나리오 분석 의무화 검토 필요</w:t>
      </w:r>
    </w:p>
    <w:p>
      <w:pPr>
        <w:spacing w:before="320" w:after="240" w:line="240" w:lineRule="auto"/>
        <w:jc w:val="left"/>
      </w:pPr>
      <w:r>
        <w:rPr>
          <w:rFonts w:ascii="바탕체" w:hAnsi="바탕체" w:eastAsia="바탕체" w:cs="바탕체"/>
          <w:b/>
          <w:i w:val="0"/>
          <w:sz w:val="28"/>
          <w:u w:val="none"/>
        </w:rPr>
        <w:t>3. 분석 내용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/>
          <w:i w:val="0"/>
          <w:sz w:val="28"/>
          <w:u w:val="none"/>
        </w:rPr>
        <w:t xml:space="preserve"> □ Medallia 기업 현황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설립: '01年, 미국 샌프란시스코 소재 CX(고객경험) 관리 플랫폼 전문기업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주요 오퍼링: 고객 피드백 수집·분석, NPS(고객순추천지수) 측정, EX(직원경험) 플랫폼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고객군: 금융·항공·호텔·통신 글로벌 대기업(Fortune 500 다수)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'19.7月 NYSE 상장(MDLA) → '21.10月 Thoma Bravo 인수로 상장폐지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/>
          <w:i w:val="0"/>
          <w:sz w:val="28"/>
          <w:u w:val="none"/>
        </w:rPr>
        <w:t xml:space="preserve"> □ 주요 재무 현황 (비상장 전환 후)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1E1E"/>
          </w:tcPr>
          <w:p>
            <w:pPr>
              <w:spacing w:before="20" w:after="2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i w:val="0"/>
                <w:color w:val="FFFFFF"/>
                <w:sz w:val="26"/>
                <w:u w:val="none"/>
              </w:rPr>
              <w:t>항목</w:t>
            </w:r>
          </w:p>
        </w:tc>
        <w:tc>
          <w:tcPr>
            <w:tcW w:type="dxa" w:w="3213"/>
            <w:shd w:val="clear" w:color="auto" w:fill="1E1E1E"/>
          </w:tcPr>
          <w:p>
            <w:pPr>
              <w:spacing w:before="20" w:after="2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i w:val="0"/>
                <w:color w:val="FFFFFF"/>
                <w:sz w:val="26"/>
                <w:u w:val="none"/>
              </w:rPr>
              <w:t>수치</w:t>
            </w:r>
          </w:p>
        </w:tc>
        <w:tc>
          <w:tcPr>
            <w:tcW w:type="dxa" w:w="3213"/>
            <w:shd w:val="clear" w:color="auto" w:fill="1E1E1E"/>
          </w:tcPr>
          <w:p>
            <w:pPr>
              <w:spacing w:before="20" w:after="2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i w:val="0"/>
                <w:color w:val="FFFFFF"/>
                <w:sz w:val="26"/>
                <w:u w:val="none"/>
              </w:rPr>
              <w:t>비고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연간 매출(추정)</w:t>
            </w:r>
          </w:p>
        </w:tc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약 $700M</w:t>
            </w:r>
          </w:p>
        </w:tc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인수 당시 기준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연간 EBITDA</w:t>
            </w:r>
          </w:p>
        </w:tc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약 $200M</w:t>
            </w:r>
          </w:p>
        </w:tc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표면상 양호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부채 잔액</w:t>
            </w:r>
          </w:p>
        </w:tc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약 $2.8B</w:t>
            </w:r>
          </w:p>
        </w:tc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PIK 이자 누적 ($1.8B → 팽창)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연간 이자비용</w:t>
            </w:r>
          </w:p>
        </w:tc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약 $300M</w:t>
            </w:r>
          </w:p>
        </w:tc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EBITDA 초과 — 구조적 적자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인수 Valuation</w:t>
            </w:r>
          </w:p>
        </w:tc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$6.4B (매출 9배)</w:t>
            </w:r>
          </w:p>
        </w:tc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'21年 저금리 환경 기준</w:t>
            </w:r>
          </w:p>
        </w:tc>
      </w:tr>
    </w:tbl>
    <w:p>
      <w:pPr>
        <w:spacing w:before="0" w:after="120" w:line="240" w:lineRule="auto"/>
        <w:jc w:val="left"/>
      </w:pP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※ 이자비용($300M) &gt; EBITDA($200M) — EBITDA 기준으로는 건전해 보이나 실제 구조적 파산 진행 中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※ PIK(Payment-in-Kind): 현금 이자 대신 미납 이자를 원금에 가산하는 방식 (원금 복리 팽창 구조)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/>
          <w:i w:val="0"/>
          <w:sz w:val="28"/>
          <w:u w:val="none"/>
        </w:rPr>
        <w:t xml:space="preserve"> □ 인수·투자 주요 이력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'01年: 美 샌프란시스코 설립, CX 피드백 관리 솔루션으로 엔터프라이즈 시장 진입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'15~'18年: VC·성장단계 PE로부터 복수 투자 유치, Fortune 500 고객 확보로 시장 지위 강화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'19.7月: NYSE 상장(MDLA), 공모가 $21. FY2020 연매출 $477M, 순손실 -$149M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'21.7月: Thoma Bravo, $6.4B에 주식 100% 인수·상장폐지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  · 인수배수: 연매출 약 9배 (고성장 SaaS 프리미엄 적용)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  · 조달구조: 에쿼티 약 $4.6B + 변동금리 부채 $1.8B (당시 LIBOR 0.75%)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  · 내재 취약점: 변동금리 구조 — 금리 상승 時 이자부담 LIBOR/SOFR 연동으로 자동 급증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'22~'23年: 美 연준 금리 인상(SOFR 5.4%)으로 이자부담 급증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  · 연이자 $135M → $300M으로 2배 이상 급등 (SOFR 연동 변동금리 직격)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  · PIK 조항 발동: 현금 이자 납부 불가 → 미납 이자를 원금에 가산하는 방식 전환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  · 부채 팽창: $1.8B → 약 $2.8B (약 $1B이 이자로 원금에 누적 편입)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'24~'25年: M&amp;A 시장 동결·IPO 시장 폐쇄로 회수 경로 차단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  · 전략적 매각·레버리지 리캡·IPO 재추진 검토 → 고부채($2.8B) 구조로 협상 결렬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  · FCF 전액 이자 상환 투입 → 제품 로드맵 사실상 동결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'26年: TB, 채권단(Blackstone 等)에 경영권 이전 결정 → $5B 투자 전액 손실 확정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  · Debt-to-Equity Swap: 채권단 보유 $2.8B 채권을 지분으로 전환, 구(舊) 에쿼티 전액 소멸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  · Blackstone 주도 채권단 → 실질 최대주주 전환. PE 투자 역사상 최대 규모 SaaS LBO 실패 사례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/>
          <w:i w:val="0"/>
          <w:sz w:val="28"/>
          <w:u w:val="none"/>
        </w:rPr>
        <w:t xml:space="preserve"> □ 구조적 실패 요인 진단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4819"/>
        <w:gridCol w:w="4819"/>
      </w:tblGrid>
      <w:tr>
        <w:tc>
          <w:tcPr>
            <w:tcW w:type="dxa" w:w="4819"/>
            <w:shd w:val="clear" w:color="auto" w:fill="1E1E1E"/>
          </w:tcPr>
          <w:p>
            <w:pPr>
              <w:spacing w:before="20" w:after="2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i w:val="0"/>
                <w:color w:val="FFFFFF"/>
                <w:sz w:val="26"/>
                <w:u w:val="none"/>
              </w:rPr>
              <w:t>실패 요인</w:t>
            </w:r>
          </w:p>
        </w:tc>
        <w:tc>
          <w:tcPr>
            <w:tcW w:type="dxa" w:w="4819"/>
            <w:shd w:val="clear" w:color="auto" w:fill="1E1E1E"/>
          </w:tcPr>
          <w:p>
            <w:pPr>
              <w:spacing w:before="20" w:after="2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i w:val="0"/>
                <w:color w:val="FFFFFF"/>
                <w:sz w:val="26"/>
                <w:u w:val="none"/>
              </w:rPr>
              <w:t>내용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① 부채구조 취약성</w:t>
            </w:r>
          </w:p>
        </w:tc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변동금리 대출 → 금리 인상으로 이자 $135M → $300M. PIK 이자 누적으로 원금 $1.8B → $2.8B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② 성장률 과대 추정</w:t>
            </w:r>
          </w:p>
        </w:tc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고성장 지속 전제로 매출 9배 밸류에이션 적용. 경기 둔화·AI 경쟁 심화로 성장 정체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③ 출구 경로 차단</w:t>
            </w:r>
          </w:p>
        </w:tc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M&amp;A 시장 동결, IPO 시장 폐쇄. $2.8B 부채 구조가 잠재 인수자 협상 결렬 야기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④ 혁신 투자 소진</w:t>
            </w:r>
          </w:p>
        </w:tc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FCF 전액 이자 상환 투입 → AI 시대 신제품 개발 불가. NRR 하락 → FCF 악화 악순환</w:t>
            </w:r>
          </w:p>
        </w:tc>
      </w:tr>
    </w:tbl>
    <w:p>
      <w:pPr>
        <w:spacing w:before="0" w:after="120" w:line="240" w:lineRule="auto"/>
        <w:jc w:val="left"/>
      </w:pP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/>
          <w:i w:val="0"/>
          <w:sz w:val="28"/>
          <w:u w:val="none"/>
        </w:rPr>
        <w:t xml:space="preserve"> □ 예상 파급 효과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Medallia 고객사: 투자·개발 축소로 서비스 품질 저하 및 로드맵 불확실성 증가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  · Qualtrics·Salesforce 等 경쟁사의 Medallia 고객 유치 공세 강화 — 이탈 가속화 우려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PE 업계: 유사 구조(고배수 LBO + 변동금리) 소프트웨어 기업 연쇄 부실화 시그널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민간 신용 시장: Blackstone 等 채권자도 원금 전액 회수 불확실 → Private Credit 시장 리스크 현실화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소프트웨어 M&amp;A 시장: 고부채 매물 디스카운트 딜 증가, 전략적 인수자(Strategic Buyer)에게 유리한 시장 형성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/>
          <w:i w:val="0"/>
          <w:sz w:val="28"/>
          <w:u w:val="none"/>
        </w:rPr>
        <w:t xml:space="preserve"> □ 동일 구조 위험 노출 대표 사례 ('21~'22年 고배수 LBO 인수 기업)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E1E1E"/>
          </w:tcPr>
          <w:p>
            <w:pPr>
              <w:spacing w:before="20" w:after="2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i w:val="0"/>
                <w:color w:val="FFFFFF"/>
                <w:sz w:val="26"/>
                <w:u w:val="none"/>
              </w:rPr>
              <w:t>기업명</w:t>
            </w:r>
          </w:p>
        </w:tc>
        <w:tc>
          <w:tcPr>
            <w:tcW w:type="dxa" w:w="1928"/>
            <w:shd w:val="clear" w:color="auto" w:fill="1E1E1E"/>
          </w:tcPr>
          <w:p>
            <w:pPr>
              <w:spacing w:before="20" w:after="2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i w:val="0"/>
                <w:color w:val="FFFFFF"/>
                <w:sz w:val="26"/>
                <w:u w:val="none"/>
              </w:rPr>
              <w:t>PE 인수사</w:t>
            </w:r>
          </w:p>
        </w:tc>
        <w:tc>
          <w:tcPr>
            <w:tcW w:type="dxa" w:w="1928"/>
            <w:shd w:val="clear" w:color="auto" w:fill="1E1E1E"/>
          </w:tcPr>
          <w:p>
            <w:pPr>
              <w:spacing w:before="20" w:after="2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i w:val="0"/>
                <w:color w:val="FFFFFF"/>
                <w:sz w:val="26"/>
                <w:u w:val="none"/>
              </w:rPr>
              <w:t>인수 시기</w:t>
            </w:r>
          </w:p>
        </w:tc>
        <w:tc>
          <w:tcPr>
            <w:tcW w:type="dxa" w:w="1928"/>
            <w:shd w:val="clear" w:color="auto" w:fill="1E1E1E"/>
          </w:tcPr>
          <w:p>
            <w:pPr>
              <w:spacing w:before="20" w:after="2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i w:val="0"/>
                <w:color w:val="FFFFFF"/>
                <w:sz w:val="26"/>
                <w:u w:val="none"/>
              </w:rPr>
              <w:t>인수금액</w:t>
            </w:r>
          </w:p>
        </w:tc>
        <w:tc>
          <w:tcPr>
            <w:tcW w:type="dxa" w:w="1928"/>
            <w:shd w:val="clear" w:color="auto" w:fill="1E1E1E"/>
          </w:tcPr>
          <w:p>
            <w:pPr>
              <w:spacing w:before="20" w:after="2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i w:val="0"/>
                <w:color w:val="FFFFFF"/>
                <w:sz w:val="26"/>
                <w:u w:val="none"/>
              </w:rPr>
              <w:t>사업 영역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Proofpoint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Thoma Bravo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'21.4月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$12.3B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사이버보안 SaaS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RealPage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Thoma Bravo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'21.4月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$10.2B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부동산 관리 SaaS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Stamps.com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Thoma Bravo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'21.10月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$6.6B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우편·배송 SaaS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Zendesk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Permira·H&amp;F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'22.11月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$10.2B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CX SaaS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Avalara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Vista Equity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'22.10月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$8.4B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세금 자동화 SaaS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SailPoint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Thoma Bravo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'22.4月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$6.9B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ID 보안 SaaS</w:t>
            </w:r>
          </w:p>
        </w:tc>
      </w:tr>
    </w:tbl>
    <w:p>
      <w:pPr>
        <w:spacing w:before="0" w:after="120" w:line="240" w:lineRule="auto"/>
        <w:jc w:val="left"/>
      </w:pP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※ '21~'22年 저금리 환경에서 9~10배 이상 배수로 인수된 소프트웨어 기업 상당수가 동일한 구조적 문제(고부채 + 변동금리)에 직면할 것으로 전망 (OnlyCFO 추산)</w:t>
      </w:r>
    </w:p>
    <w:p>
      <w:pPr>
        <w:spacing w:before="320" w:after="240" w:line="240" w:lineRule="auto"/>
        <w:jc w:val="left"/>
      </w:pPr>
      <w:r>
        <w:rPr>
          <w:rFonts w:ascii="바탕체" w:hAnsi="바탕체" w:eastAsia="바탕체" w:cs="바탕체"/>
          <w:b/>
          <w:i w:val="0"/>
          <w:sz w:val="28"/>
          <w:u w:val="none"/>
        </w:rPr>
        <w:t>4. 리스크 및 제약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/>
          <w:i w:val="0"/>
          <w:sz w:val="28"/>
          <w:u w:val="none"/>
        </w:rPr>
        <w:t xml:space="preserve"> □ 불확실성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'21年 비상장 전환 후 재무 정보 비공개 — 이자비용·EBITDA·FCF 등 핵심 수치는 추정치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채권단 원금 회수율, Medallia 현재 매출·고객 이탈 규모 미확인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/>
          <w:i w:val="0"/>
          <w:sz w:val="28"/>
          <w:u w:val="none"/>
        </w:rPr>
        <w:t xml:space="preserve"> □ 미확인 정보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PIK 이자 적용 이후 확정 부채 규모 (약 $2.8B는 추정값)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채권단 구조조정 이후 Medallia 사업 지속 여부 및 매각 일정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'26.04.30 Bloomberg 보도 이후 추가 협상 경과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/>
          <w:i w:val="0"/>
          <w:sz w:val="28"/>
          <w:u w:val="none"/>
        </w:rPr>
        <w:t xml:space="preserve"> □ 실행상 유의사항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사업건전성 대시보드 적용 時 산식·멀티플 기준을 내부 사업부와 협의 후 확정 필요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국내 B2B SaaS 시장 멀티플(5~8배 예상)은 시범 산출 후 검증 필요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Medallia 사례는 외부 PE 투자 구조 기반 — 내부 SaaS 운영 기준 적용 時 조정 필요</w:t>
      </w:r>
    </w:p>
    <w:p>
      <w:pPr>
        <w:spacing w:before="320" w:after="240" w:line="240" w:lineRule="auto"/>
        <w:jc w:val="left"/>
      </w:pPr>
      <w:r>
        <w:rPr>
          <w:rFonts w:ascii="바탕체" w:hAnsi="바탕체" w:eastAsia="바탕체" w:cs="바탕체"/>
          <w:b/>
          <w:i w:val="0"/>
          <w:sz w:val="28"/>
          <w:u w:val="none"/>
        </w:rPr>
        <w:t>5. 시사점 및 권고안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/>
          <w:i w:val="0"/>
          <w:sz w:val="28"/>
          <w:u w:val="none"/>
        </w:rPr>
        <w:t xml:space="preserve"> □ SaaS 기업가치 평가 기준 확장 필요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1E1E"/>
          </w:tcPr>
          <w:p>
            <w:pPr>
              <w:spacing w:before="20" w:after="2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i w:val="0"/>
                <w:color w:val="FFFFFF"/>
                <w:sz w:val="26"/>
                <w:u w:val="none"/>
              </w:rPr>
              <w:t>평가 기준 유형</w:t>
            </w:r>
          </w:p>
        </w:tc>
        <w:tc>
          <w:tcPr>
            <w:tcW w:type="dxa" w:w="3213"/>
            <w:shd w:val="clear" w:color="auto" w:fill="1E1E1E"/>
          </w:tcPr>
          <w:p>
            <w:pPr>
              <w:spacing w:before="20" w:after="2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i w:val="0"/>
                <w:color w:val="FFFFFF"/>
                <w:sz w:val="26"/>
                <w:u w:val="none"/>
              </w:rPr>
              <w:t>주요 지표</w:t>
            </w:r>
          </w:p>
        </w:tc>
        <w:tc>
          <w:tcPr>
            <w:tcW w:type="dxa" w:w="3213"/>
            <w:shd w:val="clear" w:color="auto" w:fill="1E1E1E"/>
          </w:tcPr>
          <w:p>
            <w:pPr>
              <w:spacing w:before="20" w:after="2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i w:val="0"/>
                <w:color w:val="FFFFFF"/>
                <w:sz w:val="26"/>
                <w:u w:val="none"/>
              </w:rPr>
              <w:t>Medallia 사례에서의 의미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SaaS 특화 기준</w:t>
            </w:r>
          </w:p>
        </w:tc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ARR 성장률, Rule of 40, NRR</w:t>
            </w:r>
          </w:p>
        </w:tc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성장·수익·고객유지 균형 측정 — 세 지표 모두에서 사전 경고 신호 有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전통적 기준</w:t>
            </w:r>
          </w:p>
        </w:tc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누적 차입금액, 누적 적자금액, FCF</w:t>
            </w:r>
          </w:p>
        </w:tc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$2.8B 부채 팽창·EBITDA 초과 이자는 전통 기준으로만 가시화 가능한 구조적 위험</w:t>
            </w:r>
          </w:p>
        </w:tc>
      </w:tr>
    </w:tbl>
    <w:p>
      <w:pPr>
        <w:spacing w:before="0" w:after="120" w:line="240" w:lineRule="auto"/>
        <w:jc w:val="left"/>
      </w:pP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/>
          <w:i w:val="0"/>
          <w:sz w:val="28"/>
          <w:u w:val="none"/>
        </w:rPr>
        <w:t xml:space="preserve"> □ 사업건전성 대시보드 현금흐름 지표 관리 검토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FCF = 영업이익(영업현금흐름) − CAPEX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EV(Enterprise Value) = Annual FCF × Multiple(시장 평균 멀티플 × 할인률)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EV/Par Coverage Ratio = EV ÷ Loan Par(누적 차입금/적자금액) → 1 이상 유지 필요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  · 1 미만 時: 기업가치가 누적 부채를 커버하지 못하는 구조적 위험 신호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  · Medallia의 경우 EV 급락 + Loan Par $2.8B 팽창으로 임계치 이하 하락 → 경영권 상실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※ 내부 적용 기준(안): Annual FCF = 영업현금흐름 기준 / Multiple = 국내 B2B SaaS 시장 평균(5~8배 예상) / Loan Par = 누적 차입금 또는 누적 적자 금액 — 시범 산출 후 사업부 협의를 통해 기준 확정 필요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/>
          <w:i w:val="0"/>
          <w:sz w:val="28"/>
          <w:u w:val="none"/>
        </w:rPr>
        <w:t>→ FCF 및 EV/Par Coverage 지표를 대시보드에 추가함으로써 표면 지표(매출·EBITDA) 중심 평가 한계 보완 및 구조적 재무 리스크 조기 감지 체계 구축 가능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/>
          <w:i w:val="0"/>
          <w:sz w:val="28"/>
          <w:u w:val="none"/>
        </w:rPr>
        <w:t xml:space="preserve"> □ 후속 조치 권고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FCF 지표 시범 산출 → 사업부 협의 → 대시보드 적용 기준 확정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변동금리 조달 구조 채택 時 금리 시나리오 분석 프로세스 신설 검토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Rule of 40·NRR·FCF 3대 지표 통합 건전성 모니터링 체계 수립</w:t>
      </w:r>
    </w:p>
    <w:p>
      <w:pPr>
        <w:spacing w:before="0" w:after="0" w:line="240" w:lineRule="auto"/>
        <w:jc w:val="left"/>
      </w:pPr>
      <w:r>
        <w:br w:type="page"/>
      </w:r>
    </w:p>
    <w:p>
      <w:pPr>
        <w:spacing w:before="320" w:after="240" w:line="240" w:lineRule="auto"/>
        <w:jc w:val="left"/>
      </w:pPr>
      <w:r>
        <w:rPr>
          <w:rFonts w:ascii="바탕체" w:hAnsi="바탕체" w:eastAsia="바탕체" w:cs="바탕체"/>
          <w:b/>
          <w:i w:val="0"/>
          <w:sz w:val="28"/>
          <w:u w:val="none"/>
        </w:rPr>
        <w:t>별첨 1. Medallia 상세 프로필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/>
          <w:i w:val="0"/>
          <w:sz w:val="28"/>
          <w:u w:val="none"/>
        </w:rPr>
        <w:t xml:space="preserve"> □ 기업 기본 정보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4819"/>
        <w:gridCol w:w="4819"/>
      </w:tblGrid>
      <w:tr>
        <w:tc>
          <w:tcPr>
            <w:tcW w:type="dxa" w:w="4819"/>
            <w:shd w:val="clear" w:color="auto" w:fill="1E1E1E"/>
          </w:tcPr>
          <w:p>
            <w:pPr>
              <w:spacing w:before="20" w:after="2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i w:val="0"/>
                <w:color w:val="FFFFFF"/>
                <w:sz w:val="26"/>
                <w:u w:val="none"/>
              </w:rPr>
              <w:t>항목</w:t>
            </w:r>
          </w:p>
        </w:tc>
        <w:tc>
          <w:tcPr>
            <w:tcW w:type="dxa" w:w="4819"/>
            <w:shd w:val="clear" w:color="auto" w:fill="1E1E1E"/>
          </w:tcPr>
          <w:p>
            <w:pPr>
              <w:spacing w:before="20" w:after="2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i w:val="0"/>
                <w:color w:val="FFFFFF"/>
                <w:sz w:val="26"/>
                <w:u w:val="none"/>
              </w:rPr>
              <w:t>내용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기업명</w:t>
            </w:r>
          </w:p>
        </w:tc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Medallia, Inc.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설립</w:t>
            </w:r>
          </w:p>
        </w:tc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'01年 (미국 캘리포니아)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창립자</w:t>
            </w:r>
          </w:p>
        </w:tc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Borge Hald, Amy Pressman (Fortune 500 기업 임원 컨설팅 경험 기반 창업)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본사</w:t>
            </w:r>
          </w:p>
        </w:tc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San Francisco, CA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임직원 수</w:t>
            </w:r>
          </w:p>
        </w:tc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약 2,037명 ('21.1月 기준)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상장 이력</w:t>
            </w:r>
          </w:p>
        </w:tc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'19.7月 NYSE 상장 (MDLA, 공모가 $21) → '21.10月 Thoma Bravo 인수로 상장폐지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현재 상태</w:t>
            </w:r>
          </w:p>
        </w:tc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채권단(Blackstone 等) 관리하 구조조정 中 ('26年)</w:t>
            </w:r>
          </w:p>
        </w:tc>
      </w:tr>
    </w:tbl>
    <w:p>
      <w:pPr>
        <w:spacing w:before="0" w:after="120" w:line="240" w:lineRule="auto"/>
        <w:jc w:val="left"/>
      </w:pP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/>
          <w:i w:val="0"/>
          <w:sz w:val="28"/>
          <w:u w:val="none"/>
        </w:rPr>
        <w:t xml:space="preserve"> □ 제품·솔루션 구성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4819"/>
        <w:gridCol w:w="4819"/>
      </w:tblGrid>
      <w:tr>
        <w:tc>
          <w:tcPr>
            <w:tcW w:type="dxa" w:w="4819"/>
            <w:shd w:val="clear" w:color="auto" w:fill="1E1E1E"/>
          </w:tcPr>
          <w:p>
            <w:pPr>
              <w:spacing w:before="20" w:after="2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i w:val="0"/>
                <w:color w:val="FFFFFF"/>
                <w:sz w:val="26"/>
                <w:u w:val="none"/>
              </w:rPr>
              <w:t>카테고리</w:t>
            </w:r>
          </w:p>
        </w:tc>
        <w:tc>
          <w:tcPr>
            <w:tcW w:type="dxa" w:w="4819"/>
            <w:shd w:val="clear" w:color="auto" w:fill="1E1E1E"/>
          </w:tcPr>
          <w:p>
            <w:pPr>
              <w:spacing w:before="20" w:after="2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i w:val="0"/>
                <w:color w:val="FFFFFF"/>
                <w:sz w:val="26"/>
                <w:u w:val="none"/>
              </w:rPr>
              <w:t>주요 솔루션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고객경험(CX)</w:t>
            </w:r>
          </w:p>
        </w:tc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고객경험 관리(CEM), 디지털 경험 분석, 경험 오케스트레이션, 개인화 메시징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직원경험(EX)</w:t>
            </w:r>
          </w:p>
        </w:tc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직원 리스닝(Listening), 직원 활성화(Activation) 플랫폼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컨택센터</w:t>
            </w:r>
          </w:p>
        </w:tc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대화형 인텔리전스, 상담원 코칭, 품질 관리, 지능형 콜백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AI·분석</w:t>
            </w:r>
          </w:p>
        </w:tc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Frontline-Ready AI™ — 별도 교육 없이 현장 즉시 활용 가능한 내장형 AI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시장조사</w:t>
            </w:r>
          </w:p>
        </w:tc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애자일 리서치(Agile Research), 비디오 조사</w:t>
            </w:r>
          </w:p>
        </w:tc>
      </w:tr>
    </w:tbl>
    <w:p>
      <w:pPr>
        <w:spacing w:before="0" w:after="120" w:line="240" w:lineRule="auto"/>
        <w:jc w:val="left"/>
      </w:pP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/>
          <w:i w:val="0"/>
          <w:sz w:val="28"/>
          <w:u w:val="none"/>
        </w:rPr>
        <w:t xml:space="preserve"> □ 주요 고객 및 시장 지위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주요 글로벌 고객: Airbnb, Volvo Cars, 3M, Johnson &amp; Johnson, MetLife, PetSmart 等 Fortune 500 다수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주요 산업군: 금융 서비스, 항공, 호텔·숙박, 통신, 소매, B2B 기업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Gartner Magic Quadrant '26年 'Leader' 선정 (CX 관리 플랫폼 부문)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주요 경쟁사: Qualtrics(SAP 계열), NICE Satmetrix, Salesforce Experience Cloud, Sprinklr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/>
          <w:i w:val="0"/>
          <w:sz w:val="28"/>
          <w:u w:val="none"/>
        </w:rPr>
        <w:t xml:space="preserve"> □ 재무 현황 (상장폐지 직전 공개 기준)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1E1E"/>
          </w:tcPr>
          <w:p>
            <w:pPr>
              <w:spacing w:before="20" w:after="2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i w:val="0"/>
                <w:color w:val="FFFFFF"/>
                <w:sz w:val="26"/>
                <w:u w:val="none"/>
              </w:rPr>
              <w:t>항목</w:t>
            </w:r>
          </w:p>
        </w:tc>
        <w:tc>
          <w:tcPr>
            <w:tcW w:type="dxa" w:w="3213"/>
            <w:shd w:val="clear" w:color="auto" w:fill="1E1E1E"/>
          </w:tcPr>
          <w:p>
            <w:pPr>
              <w:spacing w:before="20" w:after="2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i w:val="0"/>
                <w:color w:val="FFFFFF"/>
                <w:sz w:val="26"/>
                <w:u w:val="none"/>
              </w:rPr>
              <w:t>수치</w:t>
            </w:r>
          </w:p>
        </w:tc>
        <w:tc>
          <w:tcPr>
            <w:tcW w:type="dxa" w:w="3213"/>
            <w:shd w:val="clear" w:color="auto" w:fill="1E1E1E"/>
          </w:tcPr>
          <w:p>
            <w:pPr>
              <w:spacing w:before="20" w:after="2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i w:val="0"/>
                <w:color w:val="FFFFFF"/>
                <w:sz w:val="26"/>
                <w:u w:val="none"/>
              </w:rPr>
              <w:t>기준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연간 매출</w:t>
            </w:r>
          </w:p>
        </w:tc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$477M</w:t>
            </w:r>
          </w:p>
        </w:tc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FY2020 (상장 당시 공개)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순손실</w:t>
            </w:r>
          </w:p>
        </w:tc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-$149M</w:t>
            </w:r>
          </w:p>
        </w:tc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FY2020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인수 후 추정 매출</w:t>
            </w:r>
          </w:p>
        </w:tc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약 $700M대</w:t>
            </w:r>
          </w:p>
        </w:tc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'21年 인수 당시 기준 (추정)</w:t>
            </w:r>
          </w:p>
        </w:tc>
      </w:tr>
    </w:tbl>
    <w:p>
      <w:pPr>
        <w:spacing w:before="0" w:after="120" w:line="240" w:lineRule="auto"/>
        <w:jc w:val="left"/>
      </w:pP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※ '21年 상장폐지 후 재무 정보 비공개. 이자비용 급증으로 인한 FCF 악화는 기사(OnlyCFO, '26.5月) 분석 기반</w:t>
      </w:r>
    </w:p>
    <w:p>
      <w:pPr>
        <w:spacing w:before="0" w:after="0" w:line="240" w:lineRule="auto"/>
        <w:jc w:val="left"/>
      </w:pPr>
      <w:r>
        <w:br w:type="page"/>
      </w:r>
    </w:p>
    <w:p>
      <w:pPr>
        <w:spacing w:before="320" w:after="240" w:line="240" w:lineRule="auto"/>
        <w:jc w:val="left"/>
      </w:pPr>
      <w:r>
        <w:rPr>
          <w:rFonts w:ascii="바탕체" w:hAnsi="바탕체" w:eastAsia="바탕체" w:cs="바탕체"/>
          <w:b/>
          <w:i w:val="0"/>
          <w:sz w:val="28"/>
          <w:u w:val="none"/>
        </w:rPr>
        <w:t>별첨 2. Thoma Bravo 상세 프로필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/>
          <w:i w:val="0"/>
          <w:sz w:val="28"/>
          <w:u w:val="none"/>
        </w:rPr>
        <w:t xml:space="preserve"> □ 기업 기본 정보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4819"/>
        <w:gridCol w:w="4819"/>
      </w:tblGrid>
      <w:tr>
        <w:tc>
          <w:tcPr>
            <w:tcW w:type="dxa" w:w="4819"/>
            <w:shd w:val="clear" w:color="auto" w:fill="1E1E1E"/>
          </w:tcPr>
          <w:p>
            <w:pPr>
              <w:spacing w:before="20" w:after="2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i w:val="0"/>
                <w:color w:val="FFFFFF"/>
                <w:sz w:val="26"/>
                <w:u w:val="none"/>
              </w:rPr>
              <w:t>항목</w:t>
            </w:r>
          </w:p>
        </w:tc>
        <w:tc>
          <w:tcPr>
            <w:tcW w:type="dxa" w:w="4819"/>
            <w:shd w:val="clear" w:color="auto" w:fill="1E1E1E"/>
          </w:tcPr>
          <w:p>
            <w:pPr>
              <w:spacing w:before="20" w:after="2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i w:val="0"/>
                <w:color w:val="FFFFFF"/>
                <w:sz w:val="26"/>
                <w:u w:val="none"/>
              </w:rPr>
              <w:t>내용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기업명</w:t>
            </w:r>
          </w:p>
        </w:tc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Thoma Bravo, LP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설립</w:t>
            </w:r>
          </w:p>
        </w:tc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'08年 공식 설립 (전신: '80年 설립된 Golder Thoma &amp; Co.)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본사</w:t>
            </w:r>
          </w:p>
        </w:tc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San Francisco, CA / Chicago, IL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운용자산(AUM)</w:t>
            </w:r>
          </w:p>
        </w:tc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$183B 이상 ('25.12.31 기준)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누적 거래 건수</w:t>
            </w:r>
          </w:p>
        </w:tc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565건 이상 완료, 누적 대표 가치 $305B 이상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특화 분야</w:t>
            </w:r>
          </w:p>
        </w:tc>
        <w:tc>
          <w:tcPr>
            <w:tcW w:type="dxa" w:w="4819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엔터프라이즈 소프트웨어, 인프라 소프트웨어, 사이버보안, 기술 서비스</w:t>
            </w:r>
          </w:p>
        </w:tc>
      </w:tr>
    </w:tbl>
    <w:p>
      <w:pPr>
        <w:spacing w:before="0" w:after="120" w:line="240" w:lineRule="auto"/>
        <w:jc w:val="left"/>
      </w:pP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/>
          <w:i w:val="0"/>
          <w:sz w:val="28"/>
          <w:u w:val="none"/>
        </w:rPr>
        <w:t xml:space="preserve"> □ 주요 포트폴리오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1E1E"/>
          </w:tcPr>
          <w:p>
            <w:pPr>
              <w:spacing w:before="20" w:after="2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i w:val="0"/>
                <w:color w:val="FFFFFF"/>
                <w:sz w:val="26"/>
                <w:u w:val="none"/>
              </w:rPr>
              <w:t>기업명</w:t>
            </w:r>
          </w:p>
        </w:tc>
        <w:tc>
          <w:tcPr>
            <w:tcW w:type="dxa" w:w="3213"/>
            <w:shd w:val="clear" w:color="auto" w:fill="1E1E1E"/>
          </w:tcPr>
          <w:p>
            <w:pPr>
              <w:spacing w:before="20" w:after="2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i w:val="0"/>
                <w:color w:val="FFFFFF"/>
                <w:sz w:val="26"/>
                <w:u w:val="none"/>
              </w:rPr>
              <w:t>분야</w:t>
            </w:r>
          </w:p>
        </w:tc>
        <w:tc>
          <w:tcPr>
            <w:tcW w:type="dxa" w:w="3213"/>
            <w:shd w:val="clear" w:color="auto" w:fill="1E1E1E"/>
          </w:tcPr>
          <w:p>
            <w:pPr>
              <w:spacing w:before="20" w:after="2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i w:val="0"/>
                <w:color w:val="FFFFFF"/>
                <w:sz w:val="26"/>
                <w:u w:val="none"/>
              </w:rPr>
              <w:t>인수금액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Proofpoint</w:t>
            </w:r>
          </w:p>
        </w:tc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엔터프라이즈 사이버보안</w:t>
            </w:r>
          </w:p>
        </w:tc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$12.3B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Anaplan</w:t>
            </w:r>
          </w:p>
        </w:tc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기업 계획(Planning) 플랫폼</w:t>
            </w:r>
          </w:p>
        </w:tc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$10.7B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Stamps.com</w:t>
            </w:r>
          </w:p>
        </w:tc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우편·배송 SaaS</w:t>
            </w:r>
          </w:p>
        </w:tc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$6.6B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Medallia</w:t>
            </w:r>
          </w:p>
        </w:tc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CX 관리 플랫폼</w:t>
            </w:r>
          </w:p>
        </w:tc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$6.4B (손실 확정)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Coupa Software</w:t>
            </w:r>
          </w:p>
        </w:tc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조달 자동화</w:t>
            </w:r>
          </w:p>
        </w:tc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$6.15B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Sophos</w:t>
            </w:r>
          </w:p>
        </w:tc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엔드포인트 보안</w:t>
            </w:r>
          </w:p>
        </w:tc>
        <w:tc>
          <w:tcPr>
            <w:tcW w:type="dxa" w:w="3213"/>
          </w:tcPr>
          <w:p>
            <w:pPr>
              <w:spacing w:before="20" w:after="2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i w:val="0"/>
                <w:sz w:val="26"/>
                <w:u w:val="none"/>
              </w:rPr>
              <w:t>$3.9B</w:t>
            </w:r>
          </w:p>
        </w:tc>
      </w:tr>
    </w:tbl>
    <w:p>
      <w:pPr>
        <w:spacing w:before="0" w:after="120" w:line="240" w:lineRule="auto"/>
        <w:jc w:val="left"/>
      </w:pP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/>
          <w:i w:val="0"/>
          <w:sz w:val="28"/>
          <w:u w:val="none"/>
        </w:rPr>
        <w:t xml:space="preserve"> □ 인수 실패 메커니즘 요약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인수 時 변동금리 $1.8B 조달 (LIBOR 0.75%) → 연준 인상으로 SOFR 5.4% 도달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연이자 $135M → $300M 급등 → PIK 이자 누적으로 원금 $1.8B → $2.8B (복리 방식, 약 $1B 누적)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EBITDA $200M으로 이자조차 충당 불가 → 채무불이행(Default) → 경영권 상실</w:t>
      </w:r>
    </w:p>
    <w:p>
      <w:pPr>
        <w:spacing w:before="0" w:after="0" w:line="240" w:lineRule="auto"/>
        <w:jc w:val="left"/>
      </w:pPr>
      <w:r>
        <w:br w:type="page"/>
      </w:r>
    </w:p>
    <w:p>
      <w:pPr>
        <w:spacing w:before="320" w:after="240" w:line="240" w:lineRule="auto"/>
        <w:jc w:val="left"/>
      </w:pPr>
      <w:r>
        <w:rPr>
          <w:rFonts w:ascii="바탕체" w:hAnsi="바탕체" w:eastAsia="바탕체" w:cs="바탕체"/>
          <w:b/>
          <w:i w:val="0"/>
          <w:sz w:val="28"/>
          <w:u w:val="none"/>
        </w:rPr>
        <w:t>별첨 3. 참고문헌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/>
          <w:i w:val="0"/>
          <w:sz w:val="28"/>
          <w:u w:val="none"/>
        </w:rPr>
        <w:t xml:space="preserve"> □ 분석 기사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OnlyCFO, "Thoma Bravo's $5B Medallia Loss | The PE Reckoning is Coming..." ('26.5月) — onlycfo.io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Bloomberg, "Thoma Bravo Declines to Invest More in Troubled Medallia" ('26.4月) — bloomberg.com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/>
          <w:i w:val="0"/>
          <w:sz w:val="28"/>
          <w:u w:val="none"/>
        </w:rPr>
        <w:t xml:space="preserve"> □ 기업 공식 자료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Medallia 공식 홈페이지 — medallia.com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Thoma Bravo 공식 홈페이지 — thomabravo.com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Thoma Bravo, "Medallia to be Acquired by Thoma Bravo for $6.4 Billion" (보도자료, '21.7月)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PR Newswire, "Medallia Announces Pricing of Initial Public Offering" ('19.7月)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/>
          <w:i w:val="0"/>
          <w:sz w:val="28"/>
          <w:u w:val="none"/>
        </w:rPr>
        <w:t xml:space="preserve"> □ 개념 참고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Wikipedia, "Medallia" — en.wikipedia.org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Wikipedia, "Thoma Bravo" — en.wikipedia.org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Wikipedia, "Rule of 40" — en.wikipedia.org</w:t>
      </w:r>
    </w:p>
    <w:p>
      <w:pPr>
        <w:spacing w:before="0" w:after="180" w:line="240" w:lineRule="auto"/>
        <w:jc w:val="lef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 xml:space="preserve">   - McKinsey, "SaaS and the Rule of 40" — mckinsey.com</w:t>
      </w:r>
    </w:p>
    <w:p>
      <w:pPr>
        <w:spacing w:before="240" w:after="0" w:line="240" w:lineRule="auto"/>
        <w:jc w:val="right"/>
      </w:pPr>
      <w:r>
        <w:rPr>
          <w:rFonts w:ascii="바탕체" w:hAnsi="바탕체" w:eastAsia="바탕체" w:cs="바탕체"/>
          <w:b w:val="0"/>
          <w:i w:val="0"/>
          <w:sz w:val="28"/>
          <w:u w:val="none"/>
        </w:rPr>
        <w:t>- 以 上 -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center"/>
    </w:pPr>
    <w:r>
      <w:rPr>
        <w:rFonts w:ascii="바탕체" w:hAnsi="바탕체" w:eastAsia="바탕체" w:cs="바탕체"/>
        <w:b w:val="0"/>
        <w:i w:val="0"/>
        <w:sz w:val="24"/>
        <w:u w:val="none"/>
      </w:rPr>
      <w:t xml:space="preserve">- </w:t>
    </w:r>
    <w:r>
      <w:rPr>
        <w:rFonts w:ascii="바탕체" w:hAnsi="바탕체" w:eastAsia="바탕체" w:cs="바탕체"/>
        <w:b w:val="0"/>
        <w:i w:val="0"/>
        <w:sz w:val="24"/>
        <w:u w:val="none"/>
      </w:rPr>
      <w:fldChar w:fldCharType="begin"/>
    </w:r>
    <w:r>
      <w:rPr>
        <w:rFonts w:ascii="바탕체" w:hAnsi="바탕체" w:eastAsia="바탕체" w:cs="바탕체"/>
        <w:b w:val="0"/>
        <w:i w:val="0"/>
        <w:sz w:val="24"/>
        <w:u w:val="none"/>
      </w:rPr>
      <w:instrText xml:space="preserve"> PAGE </w:instrText>
    </w:r>
    <w:r>
      <w:rPr>
        <w:rFonts w:ascii="바탕체" w:hAnsi="바탕체" w:eastAsia="바탕체" w:cs="바탕체"/>
        <w:b w:val="0"/>
        <w:i w:val="0"/>
        <w:sz w:val="24"/>
        <w:u w:val="none"/>
      </w:rPr>
      <w:fldChar w:fldCharType="end"/>
    </w:r>
    <w:r>
      <w:rPr>
        <w:rFonts w:ascii="바탕체" w:hAnsi="바탕체" w:eastAsia="바탕체" w:cs="바탕체"/>
        <w:b w:val="0"/>
        <w:i w:val="0"/>
        <w:sz w:val="24"/>
        <w:u w:val="none"/>
      </w:rPr>
      <w:t xml:space="preserve">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