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200" w:after="120"/>
        <w:jc w:val="center"/>
      </w:pPr>
      <w:r>
        <w:rPr>
          <w:rFonts w:ascii="맑은 고딕" w:hAnsi="맑은 고딕" w:eastAsia="맑은 고딕"/>
          <w:b/>
          <w:sz w:val="36"/>
        </w:rPr>
        <w:t>Medallia SaaS LBO 실패 사례 분석</w:t>
      </w:r>
    </w:p>
    <w:p>
      <w:pPr>
        <w:spacing w:after="80"/>
        <w:jc w:val="center"/>
      </w:pPr>
      <w:r>
        <w:rPr>
          <w:rFonts w:ascii="맑은 고딕" w:hAnsi="맑은 고딕" w:eastAsia="맑은 고딕"/>
          <w:sz w:val="22"/>
        </w:rPr>
        <w:t>— PE·채권자·경쟁사 관점 심층 분석 및 시사점 —</w:t>
      </w:r>
    </w:p>
    <w:p>
      <w:pPr>
        <w:jc w:val="center"/>
      </w:pPr>
      <w:r>
        <w:rPr>
          <w:rFonts w:ascii="맑은 고딕" w:hAnsi="맑은 고딕" w:eastAsia="맑은 고딕"/>
          <w:color w:val="505050"/>
          <w:sz w:val="20"/>
        </w:rPr>
        <w:t>솔루션사업부 기획팀  |  2026년 5월</w:t>
      </w:r>
    </w:p>
    <w:p>
      <w:r>
        <w:br w:type="page"/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6"/>
        </w:rPr>
        <w:t>목  차</w:t>
      </w:r>
    </w:p>
    <w:p>
      <w:r>
        <w:rPr>
          <w:rFonts w:ascii="맑은 고딕" w:hAnsi="맑은 고딕" w:eastAsia="맑은 고딕"/>
          <w:b/>
          <w:sz w:val="20"/>
        </w:rPr>
        <w:t>1장  보고 개요</w:t>
      </w:r>
    </w:p>
    <w:p>
      <w:pPr>
        <w:ind w:left="850"/>
      </w:pPr>
      <w:r>
        <w:rPr>
          <w:rFonts w:ascii="맑은 고딕" w:hAnsi="맑은 고딕" w:eastAsia="맑은 고딕"/>
          <w:color w:val="505050"/>
          <w:sz w:val="18"/>
        </w:rPr>
        <w:t>분석 배경</w:t>
      </w:r>
    </w:p>
    <w:p>
      <w:pPr>
        <w:ind w:left="850"/>
      </w:pPr>
      <w:r>
        <w:rPr>
          <w:rFonts w:ascii="맑은 고딕" w:hAnsi="맑은 고딕" w:eastAsia="맑은 고딕"/>
          <w:color w:val="505050"/>
          <w:sz w:val="18"/>
        </w:rPr>
        <w:t>분석 범위</w:t>
      </w:r>
    </w:p>
    <w:p>
      <w:pPr>
        <w:ind w:left="850"/>
      </w:pPr>
      <w:r>
        <w:rPr>
          <w:rFonts w:ascii="맑은 고딕" w:hAnsi="맑은 고딕" w:eastAsia="맑은 고딕"/>
          <w:color w:val="505050"/>
          <w:sz w:val="18"/>
        </w:rPr>
        <w:t>분석 목적</w:t>
      </w:r>
    </w:p>
    <w:p>
      <w:r>
        <w:rPr>
          <w:rFonts w:ascii="맑은 고딕" w:hAnsi="맑은 고딕" w:eastAsia="맑은 고딕"/>
          <w:b/>
          <w:sz w:val="20"/>
        </w:rPr>
        <w:t>2장  Medallia 개요</w:t>
      </w:r>
    </w:p>
    <w:p>
      <w:pPr>
        <w:ind w:left="850"/>
      </w:pPr>
      <w:r>
        <w:rPr>
          <w:rFonts w:ascii="맑은 고딕" w:hAnsi="맑은 고딕" w:eastAsia="맑은 고딕"/>
          <w:color w:val="505050"/>
          <w:sz w:val="18"/>
        </w:rPr>
        <w:t>기업 개요</w:t>
      </w:r>
    </w:p>
    <w:p>
      <w:pPr>
        <w:ind w:left="850"/>
      </w:pPr>
      <w:r>
        <w:rPr>
          <w:rFonts w:ascii="맑은 고딕" w:hAnsi="맑은 고딕" w:eastAsia="맑은 고딕"/>
          <w:color w:val="505050"/>
          <w:sz w:val="18"/>
        </w:rPr>
        <w:t>시장 포지셔닝 요약 (상세: 별첨 7)</w:t>
      </w:r>
    </w:p>
    <w:p>
      <w:pPr>
        <w:ind w:left="850"/>
      </w:pPr>
      <w:r>
        <w:rPr>
          <w:rFonts w:ascii="맑은 고딕" w:hAnsi="맑은 고딕" w:eastAsia="맑은 고딕"/>
          <w:color w:val="505050"/>
          <w:sz w:val="18"/>
        </w:rPr>
        <w:t>인수 시점 재무 현황 요약</w:t>
      </w:r>
    </w:p>
    <w:p>
      <w:r>
        <w:rPr>
          <w:rFonts w:ascii="맑은 고딕" w:hAnsi="맑은 고딕" w:eastAsia="맑은 고딕"/>
          <w:b/>
          <w:sz w:val="20"/>
        </w:rPr>
        <w:t>3장  SaaS 시장 환경 변화: 사스포칼립스와 GenAI 충격</w:t>
      </w:r>
    </w:p>
    <w:p>
      <w:pPr>
        <w:ind w:left="850"/>
      </w:pPr>
      <w:r>
        <w:rPr>
          <w:rFonts w:ascii="맑은 고딕" w:hAnsi="맑은 고딕" w:eastAsia="맑은 고딕"/>
          <w:color w:val="505050"/>
          <w:sz w:val="18"/>
        </w:rPr>
        <w:t>SaaS 한파 · 사스포칼립스 · GenAI 내성 — 요약 (상세: 별첨 10)</w:t>
      </w:r>
    </w:p>
    <w:p>
      <w:r>
        <w:rPr>
          <w:rFonts w:ascii="맑은 고딕" w:hAnsi="맑은 고딕" w:eastAsia="맑은 고딕"/>
          <w:b/>
          <w:sz w:val="20"/>
        </w:rPr>
        <w:t>4장  Medallia 투자/인수 현황</w:t>
      </w:r>
    </w:p>
    <w:p>
      <w:pPr>
        <w:ind w:left="850"/>
      </w:pPr>
      <w:r>
        <w:rPr>
          <w:rFonts w:ascii="맑은 고딕" w:hAnsi="맑은 고딕" w:eastAsia="맑은 고딕"/>
          <w:color w:val="505050"/>
          <w:sz w:val="18"/>
        </w:rPr>
        <w:t>Thoma Bravo의 Medallia 인수 ('21년) — 인수 판단 근거와 내재 위험</w:t>
      </w:r>
    </w:p>
    <w:p>
      <w:pPr>
        <w:ind w:left="850"/>
      </w:pPr>
      <w:r>
        <w:rPr>
          <w:rFonts w:ascii="맑은 고딕" w:hAnsi="맑은 고딕" w:eastAsia="맑은 고딕"/>
          <w:color w:val="505050"/>
          <w:sz w:val="18"/>
        </w:rPr>
        <w:t>인수 이후 상황</w:t>
      </w:r>
    </w:p>
    <w:p>
      <w:pPr>
        <w:ind w:left="850"/>
      </w:pPr>
      <w:r>
        <w:rPr>
          <w:rFonts w:ascii="맑은 고딕" w:hAnsi="맑은 고딕" w:eastAsia="맑은 고딕"/>
          <w:color w:val="505050"/>
          <w:sz w:val="18"/>
        </w:rPr>
        <w:t>① 재무 악화 — FCF 커버리지 악화 과정</w:t>
      </w:r>
    </w:p>
    <w:p>
      <w:pPr>
        <w:ind w:left="850"/>
      </w:pPr>
      <w:r>
        <w:rPr>
          <w:rFonts w:ascii="맑은 고딕" w:hAnsi="맑은 고딕" w:eastAsia="맑은 고딕"/>
          <w:color w:val="505050"/>
          <w:sz w:val="18"/>
        </w:rPr>
        <w:t>② 매각/IPO 실패 — Exit 실패의 구조적 원인</w:t>
      </w:r>
    </w:p>
    <w:p>
      <w:pPr>
        <w:ind w:left="850"/>
      </w:pPr>
      <w:r>
        <w:rPr>
          <w:rFonts w:ascii="맑은 고딕" w:hAnsi="맑은 고딕" w:eastAsia="맑은 고딕"/>
          <w:color w:val="505050"/>
          <w:sz w:val="18"/>
        </w:rPr>
        <w:t>③ TB의 경영권 이전</w:t>
      </w:r>
    </w:p>
    <w:p>
      <w:r>
        <w:rPr>
          <w:rFonts w:ascii="맑은 고딕" w:hAnsi="맑은 고딕" w:eastAsia="맑은 고딕"/>
          <w:b/>
          <w:sz w:val="20"/>
        </w:rPr>
        <w:t>5장  주요 분석</w:t>
      </w:r>
    </w:p>
    <w:p>
      <w:pPr>
        <w:ind w:left="850"/>
      </w:pPr>
      <w:r>
        <w:rPr>
          <w:rFonts w:ascii="맑은 고딕" w:hAnsi="맑은 고딕" w:eastAsia="맑은 고딕"/>
          <w:color w:val="505050"/>
          <w:sz w:val="18"/>
        </w:rPr>
        <w:t>실패 원인 — 심층 재분석 (GenAI 이중 압박 포함)</w:t>
      </w:r>
    </w:p>
    <w:p>
      <w:pPr>
        <w:ind w:left="850"/>
      </w:pPr>
      <w:r>
        <w:rPr>
          <w:rFonts w:ascii="맑은 고딕" w:hAnsi="맑은 고딕" w:eastAsia="맑은 고딕"/>
          <w:color w:val="505050"/>
          <w:sz w:val="18"/>
        </w:rPr>
        <w:t>예상 파급 효과</w:t>
      </w:r>
    </w:p>
    <w:p>
      <w:pPr>
        <w:ind w:left="850"/>
      </w:pPr>
      <w:r>
        <w:rPr>
          <w:rFonts w:ascii="맑은 고딕" w:hAnsi="맑은 고딕" w:eastAsia="맑은 고딕"/>
          <w:color w:val="505050"/>
          <w:sz w:val="18"/>
        </w:rPr>
        <w:t>Blackstone 채권자 관점 요약 (이해관계자 상세: 별첨 12)</w:t>
      </w:r>
    </w:p>
    <w:p>
      <w:r>
        <w:rPr>
          <w:rFonts w:ascii="맑은 고딕" w:hAnsi="맑은 고딕" w:eastAsia="맑은 고딕"/>
          <w:b/>
          <w:sz w:val="20"/>
        </w:rPr>
        <w:t>6장  시사점</w:t>
      </w:r>
    </w:p>
    <w:p>
      <w:pPr>
        <w:ind w:left="850"/>
      </w:pPr>
      <w:r>
        <w:rPr>
          <w:rFonts w:ascii="맑은 고딕" w:hAnsi="맑은 고딕" w:eastAsia="맑은 고딕"/>
          <w:color w:val="505050"/>
          <w:sz w:val="18"/>
        </w:rPr>
        <w:t>① SaaS 기업가치 평가 및 향후 M&amp;A검토 시 필수 검토사항</w:t>
      </w:r>
    </w:p>
    <w:p>
      <w:pPr>
        <w:ind w:left="850"/>
      </w:pPr>
      <w:r>
        <w:rPr>
          <w:rFonts w:ascii="맑은 고딕" w:hAnsi="맑은 고딕" w:eastAsia="맑은 고딕"/>
          <w:color w:val="505050"/>
          <w:sz w:val="18"/>
        </w:rPr>
        <w:t>② 사업건전성 대시보드 운영 방향</w:t>
      </w:r>
    </w:p>
    <w:p>
      <w:pPr>
        <w:spacing w:before="40" w:after="4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맑은 고딕" w:hAnsi="맑은 고딕" w:eastAsia="맑은 고딕"/>
          <w:b/>
          <w:sz w:val="20"/>
        </w:rPr>
        <w:t>별첨 1  Medallia 상세 프로필</w:t>
      </w:r>
    </w:p>
    <w:p>
      <w:r>
        <w:rPr>
          <w:rFonts w:ascii="맑은 고딕" w:hAnsi="맑은 고딕" w:eastAsia="맑은 고딕"/>
          <w:b/>
          <w:sz w:val="20"/>
        </w:rPr>
        <w:t>별첨 2  Thoma Bravo 상세 프로필</w:t>
      </w:r>
    </w:p>
    <w:p>
      <w:r>
        <w:rPr>
          <w:rFonts w:ascii="맑은 고딕" w:hAnsi="맑은 고딕" w:eastAsia="맑은 고딕"/>
          <w:b/>
          <w:sz w:val="20"/>
        </w:rPr>
        <w:t>별첨 3  동일 구조 위험 노출 대표 사례 — 현재 상태 포함</w:t>
      </w:r>
    </w:p>
    <w:p>
      <w:r>
        <w:rPr>
          <w:rFonts w:ascii="맑은 고딕" w:hAnsi="맑은 고딕" w:eastAsia="맑은 고딕"/>
          <w:b/>
          <w:sz w:val="20"/>
        </w:rPr>
        <w:t>별첨 4  참고문헌</w:t>
      </w:r>
    </w:p>
    <w:p>
      <w:r>
        <w:rPr>
          <w:rFonts w:ascii="맑은 고딕" w:hAnsi="맑은 고딕" w:eastAsia="맑은 고딕"/>
          <w:b/>
          <w:sz w:val="20"/>
        </w:rPr>
        <w:t>별첨 5  EBITDA vs FCF — 왜 다른가</w:t>
      </w:r>
    </w:p>
    <w:p>
      <w:r>
        <w:rPr>
          <w:rFonts w:ascii="맑은 고딕" w:hAnsi="맑은 고딕" w:eastAsia="맑은 고딕"/>
          <w:b/>
          <w:sz w:val="20"/>
        </w:rPr>
        <w:t>별첨 6  SaaS M&amp;A 평가 프레임워크</w:t>
      </w:r>
    </w:p>
    <w:p>
      <w:r>
        <w:rPr>
          <w:rFonts w:ascii="맑은 고딕" w:hAnsi="맑은 고딕" w:eastAsia="맑은 고딕"/>
          <w:b/>
          <w:sz w:val="20"/>
        </w:rPr>
        <w:t>별첨 7  시장 포지셔닝 상세 — 세그먼트 계층 및 Qualtrics vs Medallia 비교</w:t>
      </w:r>
    </w:p>
    <w:p>
      <w:r>
        <w:rPr>
          <w:rFonts w:ascii="맑은 고딕" w:hAnsi="맑은 고딕" w:eastAsia="맑은 고딕"/>
          <w:b/>
          <w:sz w:val="20"/>
        </w:rPr>
        <w:t>별첨 8  M&amp;A 필수 체크리스트 — SaaS 기업가치 평가 기준표</w:t>
      </w:r>
    </w:p>
    <w:p>
      <w:r>
        <w:rPr>
          <w:rFonts w:ascii="맑은 고딕" w:hAnsi="맑은 고딕" w:eastAsia="맑은 고딕"/>
          <w:b/>
          <w:sz w:val="20"/>
        </w:rPr>
        <w:t>별첨 9  재무 세부 — PIK 원금 누적 시뮬레이션 및 EV/Par Coverage 이탈 과정</w:t>
      </w:r>
    </w:p>
    <w:p>
      <w:r>
        <w:rPr>
          <w:rFonts w:ascii="맑은 고딕" w:hAnsi="맑은 고딕" w:eastAsia="맑은 고딕"/>
          <w:b/>
          <w:sz w:val="20"/>
        </w:rPr>
        <w:t>별첨 10  SaaS 시장 환경 변화 상세 — 사스포칼립스와 GenAI 충격</w:t>
      </w:r>
    </w:p>
    <w:p>
      <w:r>
        <w:rPr>
          <w:rFonts w:ascii="맑은 고딕" w:hAnsi="맑은 고딕" w:eastAsia="맑은 고딕"/>
          <w:b/>
          <w:sz w:val="20"/>
        </w:rPr>
        <w:t>별첨 11  Medallia 사업 구조와 GenAI 대체 가능성 분석</w:t>
      </w:r>
    </w:p>
    <w:p>
      <w:r>
        <w:rPr>
          <w:rFonts w:ascii="맑은 고딕" w:hAnsi="맑은 고딕" w:eastAsia="맑은 고딕"/>
          <w:b/>
          <w:sz w:val="20"/>
        </w:rPr>
        <w:t>별첨 12  이해관계자 관점 분석 — Thoma Bravo vs Blackstone</w:t>
      </w:r>
    </w:p>
    <w:p>
      <w:r>
        <w:br w:type="page"/>
      </w:r>
    </w:p>
    <w:p>
      <w:r>
        <w:rPr>
          <w:rFonts w:ascii="맑은 고딕" w:hAnsi="맑은 고딕" w:eastAsia="맑은 고딕"/>
          <w:sz w:val="20"/>
        </w:rPr>
        <w:t>Medallia 사례로 본 SaaS 기업 가치 평가</w:t>
      </w:r>
    </w:p>
    <w:p>
      <w:r>
        <w:rPr>
          <w:rFonts w:ascii="맑은 고딕" w:hAnsi="맑은 고딕" w:eastAsia="맑은 고딕"/>
          <w:sz w:val="20"/>
        </w:rPr>
        <w:t>'26.05.14   솔루션전략그룹(솔루션)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6"/>
        </w:rPr>
        <w:t>1. 보고 개요</w:t>
      </w:r>
    </w:p>
    <w:p>
      <w:pPr>
        <w:spacing w:before="120"/>
        <w:ind w:left="283"/>
      </w:pPr>
      <w:r>
        <w:rPr>
          <w:rFonts w:ascii="맑은 고딕" w:hAnsi="맑은 고딕" w:eastAsia="맑은 고딕"/>
          <w:sz w:val="22"/>
        </w:rPr>
        <w:t>□ 분석 배경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Thoma Bravo는 Medallia를 $6.4B(EV/Revenue 약 9배)에 인수하며 상장폐지 ('21.7월)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美 연준 금리 인상으로 SOFR가 약 5.4%까지 상승, 차입 이자 부담 급증 ('22~'25년)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연간 이자비용($0.3B)이 EBITDA($0.2B)를 초과하는 구조적 부실 직면, 채권단으로 경영권 이전 ('26.4월)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한편, 역산 분석 결과 인수 당시 이미 FCF 커버리지가 1.0× 미만이었음이 확인됨 — 금리 상승은 트리거이지 근본 원인이 아님</w:t>
      </w:r>
    </w:p>
    <w:p>
      <w:pPr>
        <w:spacing w:before="120"/>
        <w:ind w:left="283"/>
      </w:pPr>
      <w:r>
        <w:rPr>
          <w:rFonts w:ascii="맑은 고딕" w:hAnsi="맑은 고딕" w:eastAsia="맑은 고딕"/>
          <w:sz w:val="22"/>
        </w:rPr>
        <w:t>□ 분석 범위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분석 대상: Medallia / Thoma Bravo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분석 기간: '21년 인수 ~ '26년 채권단 경영권 이전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재무 수치 출처: Bloomberg, OnlyCFO 분석 기반 추정치 (상장폐지 후 재무 비공개로 역산 추정값 포함)</w:t>
      </w:r>
    </w:p>
    <w:p>
      <w:pPr>
        <w:spacing w:before="120"/>
        <w:ind w:left="283"/>
      </w:pPr>
      <w:r>
        <w:rPr>
          <w:rFonts w:ascii="맑은 고딕" w:hAnsi="맑은 고딕" w:eastAsia="맑은 고딕"/>
          <w:sz w:val="22"/>
        </w:rPr>
        <w:t>□ 분석 목적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PE 기반 SaaS LBO 실패 메커니즘 심층 분석 — 외부 충격론의 한계 재검토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FCF 커버리지·EV/Par Coverage 중심의 SaaS 기업가치 평가 기준 정립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GenAI 확산 이후 SaaS 사업 지속성 평가 방법론 제시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자사 M&amp;A 검토 시 활용 가능한 평가 프레임워크 도출 (별첨 6)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6"/>
        </w:rPr>
        <w:t>2. Medallia 개요</w:t>
      </w:r>
    </w:p>
    <w:p>
      <w:pPr>
        <w:spacing w:before="120"/>
        <w:ind w:left="283"/>
      </w:pPr>
      <w:r>
        <w:rPr>
          <w:rFonts w:ascii="맑은 고딕" w:hAnsi="맑은 고딕" w:eastAsia="맑은 고딕"/>
          <w:sz w:val="22"/>
        </w:rPr>
        <w:t>□ 기업 개요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'01년 설립, 샌프란시스코 소재 CX(고객경험) 관리 플랫폼 전문 기업. CX Management 부문 글로벌 2위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오퍼링: 고객경험 피드백 수집·분석, NPS 측정, 직원경험 플랫폼, 옴니채널 고객 인텔리전스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주요 고객: 금융·항공·호텔·통신 등 Fortune 500. '19년 NYSE 상장(IPO 공모가 $21) → '21년 상장폐지</w:t>
      </w:r>
    </w:p>
    <w:p>
      <w:pPr>
        <w:spacing w:before="120"/>
        <w:ind w:left="283"/>
      </w:pPr>
      <w:r>
        <w:rPr>
          <w:rFonts w:ascii="맑은 고딕" w:hAnsi="맑은 고딕" w:eastAsia="맑은 고딕"/>
          <w:sz w:val="22"/>
        </w:rPr>
        <w:t>□ 시장 포지셔닝 요약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 xml:space="preserve">Gartner MQ 기준 소분류 'Voice of the Customer(VoC)' 세그먼트에서 Qualtrics(1위)·Medallia(2위)로 직접 경쟁 — CRM 大분류 내 CX Management → XM/VoC 소분류 순으로 계층화 (상세: </w:t>
      </w:r>
      <w:r>
        <w:rPr>
          <w:rFonts w:ascii="맑은 고딕" w:hAnsi="맑은 고딕" w:eastAsia="맑은 고딕"/>
          <w:b/>
          <w:sz w:val="20"/>
        </w:rPr>
        <w:t>별첨 7</w:t>
      </w:r>
      <w:r>
        <w:rPr>
          <w:rFonts w:ascii="맑은 고딕" w:hAnsi="맑은 고딕" w:eastAsia="맑은 고딕"/>
          <w:sz w:val="20"/>
        </w:rPr>
        <w:t>)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 xml:space="preserve">Qualtrics는 동일한 LBO 구조이나, ① 매출 규모 약 2배(~$1.5B), ② SAP ERP 생태계 연동, ③ XM 4축 통합 플랫폼으로 GenAI 대체 위험을 상대적으로 분산 — 다만 LBO 구조상 잠재 위험은 동일하게 존재 (상세: </w:t>
      </w:r>
      <w:r>
        <w:rPr>
          <w:rFonts w:ascii="맑은 고딕" w:hAnsi="맑은 고딕" w:eastAsia="맑은 고딕"/>
          <w:b/>
          <w:sz w:val="20"/>
        </w:rPr>
        <w:t>별첨 7</w:t>
      </w:r>
      <w:r>
        <w:rPr>
          <w:rFonts w:ascii="맑은 고딕" w:hAnsi="맑은 고딕" w:eastAsia="맑은 고딕"/>
          <w:sz w:val="20"/>
        </w:rPr>
        <w:t>)</w:t>
      </w:r>
    </w:p>
    <w:p>
      <w:pPr>
        <w:spacing w:before="120"/>
        <w:ind w:left="283"/>
      </w:pPr>
      <w:r>
        <w:rPr>
          <w:rFonts w:ascii="맑은 고딕" w:hAnsi="맑은 고딕" w:eastAsia="맑은 고딕"/>
          <w:sz w:val="22"/>
        </w:rPr>
        <w:t>□ 인수 시점 재무 현황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8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수치</w:t>
            </w:r>
          </w:p>
        </w:tc>
        <w:tc>
          <w:tcPr>
            <w:tcW w:type="dxa" w:w="288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의미 해석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매출 (FY2020)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$477M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연간 23~26% 성장 중 — 고성장으로 분류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순손실 (FY2020)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–$149M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흑자 전환 전. SaaS 통례상 큰 문제로 보지 않음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EBITDA 추정 (FY2020)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~+$50M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D&amp;A·SBC 환입 후 양수 — 표면적 수익성 있음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FCF 추정 (FY2020)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~–$30M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CAPEX·운전자본·현금이자 반영 시 음수 → 인수 전부터 FCF 적자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Rule of 40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~10 내외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업계 하위 10% 수준 (기준: 40 이상)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NRR (상장 시점 기준)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116~126%→ 하락 추세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IPO S-1 공개 데이터: '18.1월 126% → '19.1월 116% → '19.4월 119%</w:t>
            </w:r>
            <w:r>
              <w:rPr>
                <w:rFonts w:ascii="맑은 고딕" w:hAnsi="맑은 고딕" w:eastAsia="맑은 고딕"/>
                <w:sz w:val="18"/>
              </w:rPr>
              <w:br/>
            </w:r>
            <w:r>
              <w:rPr>
                <w:rFonts w:ascii="맑은 고딕" w:hAnsi="맑은 고딕" w:eastAsia="맑은 고딕"/>
                <w:sz w:val="18"/>
              </w:rPr>
              <w:br/>
              <w:t xml:space="preserve">      상장 전부터 이미 하락세 — expansion 동력 둔화 신호. 인수 이후(비공개) 추가 하락 추정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인수 당시 예상 매출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~$700M대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인수가 기준 EV/Revenue ≈ 9×</w:t>
            </w:r>
          </w:p>
        </w:tc>
      </w:tr>
    </w:tbl>
    <w:p/>
    <w:p>
      <w:pPr>
        <w:spacing w:before="80" w:after="80"/>
        <w:ind w:left="283" w:right="283"/>
        <w:pBdr>
          <w:top w:val="single" w:sz="4" w:space="4" w:color="C00000"/>
          <w:left w:val="single" w:sz="4" w:space="4" w:color="C00000"/>
          <w:bottom w:val="single" w:sz="4" w:space="4" w:color="C00000"/>
          <w:right w:val="single" w:sz="4" w:space="4" w:color="C00000"/>
        </w:pBdr>
      </w:pPr>
      <w:r>
        <w:rPr>
          <w:rFonts w:ascii="맑은 고딕" w:hAnsi="맑은 고딕" w:eastAsia="맑은 고딕"/>
          <w:sz w:val="18"/>
        </w:rPr>
        <w:t>▶ 인수 전부터 FCF가 음수였다는 것의 의미 인수 시점에 이미 FCF ≈ –$30M 수준이었다면, $1.8B 변동금리 차입에 따른 연이자 $135M을 감당하려면</w:t>
        <w:br/>
        <w:t xml:space="preserve">    단기간 내 FCF를 +$165M 이상으로 전환해야 한다는 계산이 나온다.</w:t>
        <w:br/>
        <w:t xml:space="preserve">    이는 ARR 성장률 유지 + 대규모 비용 절감 + 금리 동결이라는 3가지 조건이 동시에 성립할 때만 가능한 시나리오였다.</w:t>
      </w:r>
    </w:p>
    <w:p>
      <w:r>
        <w:br w:type="page"/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6"/>
        </w:rPr>
        <w:t>4. Medallia 투자/인수 현황</w:t>
      </w:r>
    </w:p>
    <w:p>
      <w:pPr>
        <w:spacing w:before="120"/>
        <w:ind w:left="283"/>
      </w:pPr>
      <w:r>
        <w:rPr>
          <w:rFonts w:ascii="맑은 고딕" w:hAnsi="맑은 고딕" w:eastAsia="맑은 고딕"/>
          <w:sz w:val="22"/>
        </w:rPr>
        <w:t>□ Thoma Bravo의 Medallia 인수 ('21년) — 인수 판단 근거와 내재 위험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 xml:space="preserve">EV/Revenue 멀티플 약 9배 적용 — 당시 SaaS 고성장 기업 평균(15~20배) 대비 </w:t>
      </w:r>
      <w:r>
        <w:rPr>
          <w:rFonts w:ascii="맑은 고딕" w:hAnsi="맑은 고딕" w:eastAsia="맑은 고딕"/>
          <w:b/>
          <w:sz w:val="20"/>
        </w:rPr>
        <w:t>"저렴한 인수"</w:t>
      </w:r>
      <w:r>
        <w:rPr>
          <w:rFonts w:ascii="맑은 고딕" w:hAnsi="맑은 고딕" w:eastAsia="맑은 고딕"/>
          <w:sz w:val="20"/>
        </w:rPr>
        <w:t>로 판단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ARR 성장률 23~26%, Gartner 리더 포지션, Fortune 500 고객군 기반 신뢰도 고려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단, Rule of 40·FCF 마진이 업계 하위 10% 수준임을 인지했음에도 진행 → 당시 저금리 환경에서는 합리적으로 보였으나, 사후적으로는 FCF 전환 가정이 지나치게 낙관적이었음이 확인된다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자금 조달 구조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8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금액</w:t>
            </w:r>
          </w:p>
        </w:tc>
        <w:tc>
          <w:tcPr>
            <w:tcW w:type="dxa" w:w="288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조달처 및 조건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투자금 (Equity)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$4.6B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Thoma Bravo 등 (PE 펀드 LP 자금 + 자기자본 혼합)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변동금리 차입금 (Debt)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$1.8B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Blackstone 등 민간대출업자 / LIBOR+spread 연동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총 인수가격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$6.4B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EV/Revenue ≈ 9×, EV/EBITDA ≈ 40× 이상 (EBITDA 기준)</w:t>
            </w:r>
          </w:p>
        </w:tc>
      </w:tr>
    </w:tbl>
    <w:p/>
    <w:p>
      <w:pPr>
        <w:ind w:left="283"/>
      </w:pPr>
      <w:r>
        <w:rPr>
          <w:rFonts w:ascii="맑은 고딕" w:hAnsi="맑은 고딕" w:eastAsia="맑은 고딕"/>
          <w:color w:val="505050"/>
          <w:sz w:val="16"/>
        </w:rPr>
        <w:t>※ 인수 당시 LIBOR 기준금리 0.75% + credit spread 약 7.0% = 실효 이자율 약 7.5%. 연이자 = $1.8B × 7.5% ≈ $135M. SOFR 전환 이전 시점.</w:t>
      </w:r>
    </w:p>
    <w:p>
      <w:pPr>
        <w:spacing w:before="120"/>
        <w:ind w:left="283"/>
      </w:pPr>
      <w:r>
        <w:rPr>
          <w:rFonts w:ascii="맑은 고딕" w:hAnsi="맑은 고딕" w:eastAsia="맑은 고딕"/>
          <w:sz w:val="22"/>
        </w:rPr>
        <w:t>□ 인수 이후 상황</w:t>
      </w:r>
    </w:p>
    <w:p>
      <w:pPr>
        <w:spacing w:before="120"/>
        <w:ind w:left="283"/>
      </w:pPr>
      <w:r>
        <w:rPr>
          <w:rFonts w:ascii="맑은 고딕" w:hAnsi="맑은 고딕" w:eastAsia="맑은 고딕"/>
          <w:sz w:val="22"/>
        </w:rPr>
        <w:t>① 재무 악화 — FCF 커버리지 악화 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연도</w:t>
            </w:r>
          </w:p>
        </w:tc>
        <w:tc>
          <w:tcPr>
            <w:tcW w:type="dxa" w:w="1234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추정 매출</w:t>
            </w:r>
          </w:p>
        </w:tc>
        <w:tc>
          <w:tcPr>
            <w:tcW w:type="dxa" w:w="1234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EBITDA 추정</w:t>
            </w:r>
          </w:p>
        </w:tc>
        <w:tc>
          <w:tcPr>
            <w:tcW w:type="dxa" w:w="1234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FCF 추정</w:t>
            </w:r>
          </w:p>
        </w:tc>
        <w:tc>
          <w:tcPr>
            <w:tcW w:type="dxa" w:w="1234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연이자</w:t>
            </w:r>
          </w:p>
        </w:tc>
        <w:tc>
          <w:tcPr>
            <w:tcW w:type="dxa" w:w="1234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FCF 커버리지</w:t>
            </w:r>
          </w:p>
        </w:tc>
        <w:tc>
          <w:tcPr>
            <w:tcW w:type="dxa" w:w="1234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'21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~$700M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~$140M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~$90M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$135M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0.67×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위험 ← 인수 당시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'22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~$720M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~$130M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~$85M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$180M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0.47×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구조적 부실 진입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'23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~$740M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~$160M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~$120M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$300M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0.40×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최악 구간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'24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~$750M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~$185M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~$145M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$280M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0.52×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비용 절감 일부 효과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'25~'26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~$760M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~$200M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~$170M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$270M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0.63×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경영권 이전 결정</w:t>
            </w:r>
          </w:p>
        </w:tc>
      </w:tr>
    </w:tbl>
    <w:p/>
    <w:p>
      <w:pPr>
        <w:ind w:left="283"/>
      </w:pPr>
      <w:r>
        <w:rPr>
          <w:rFonts w:ascii="맑은 고딕" w:hAnsi="맑은 고딕" w:eastAsia="맑은 고딕"/>
          <w:color w:val="505050"/>
          <w:sz w:val="16"/>
        </w:rPr>
        <w:t>※ FCF = EBITDA – CAPEX – 현금세금 – 운전자본변동 (추정치). FCF 커버리지 = FCF ÷ 연이자.1.0× 미만 = 이자를 FCF로 감당 불가※ FY2020(상장 당시) FCF ≈ –$30M → '21년 FCF ≈ +$90M: 인수 직후 Thoma Bravo의 비용 구조 최적화(S&amp;M·헤드카운트 축소)로 개선. 공개기업 시절 성장투자 우선 기조에서 수익성 중심 기조로 전환됨.</w:t>
      </w:r>
    </w:p>
    <w:p>
      <w:pPr>
        <w:spacing w:before="80" w:after="80"/>
        <w:ind w:left="283" w:right="283"/>
        <w:pBdr>
          <w:top w:val="single" w:sz="4" w:space="4" w:color="C00000"/>
          <w:left w:val="single" w:sz="4" w:space="4" w:color="C00000"/>
          <w:bottom w:val="single" w:sz="4" w:space="4" w:color="C00000"/>
          <w:right w:val="single" w:sz="4" w:space="4" w:color="C00000"/>
        </w:pBdr>
      </w:pPr>
      <w:r>
        <w:rPr>
          <w:rFonts w:ascii="맑은 고딕" w:hAnsi="맑은 고딕" w:eastAsia="맑은 고딕"/>
          <w:sz w:val="18"/>
        </w:rPr>
        <w:t>핵심: 인수 첫 해('21년)부터 FCF 커버리지가 0.67×였다. 금리 인상 이전에 이미 구조적으로 취약한 상태였으며,</w:t>
        <w:br/>
        <w:t xml:space="preserve">    금리 상승은 이 취약성을 파국으로 전환한 트리거였다.</w:t>
      </w:r>
    </w:p>
    <w:p>
      <w:pPr>
        <w:spacing w:before="120"/>
        <w:ind w:left="283"/>
      </w:pPr>
      <w:r>
        <w:rPr>
          <w:rFonts w:ascii="맑은 고딕" w:hAnsi="맑은 고딕" w:eastAsia="맑은 고딕"/>
          <w:sz w:val="22"/>
        </w:rPr>
        <w:t>② 매각/IPO 실패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전략 매각 불가:</w:t>
      </w:r>
      <w:r>
        <w:rPr>
          <w:rFonts w:ascii="맑은 고딕" w:hAnsi="맑은 고딕" w:eastAsia="맑은 고딕"/>
          <w:sz w:val="20"/>
        </w:rPr>
        <w:t xml:space="preserve"> 부채 $2.78B 인수 조건 + 잔존 EV ~$2.2B → 실질 비용 ~$5B. GenAI 위협 받는 VoC SaaS에 $5B 지불 의향 있는 전략적 인수자 없음. PE 재인수도 고부채 구조로 레버리지 추가 불가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IPO 재진입 불가:</w:t>
      </w:r>
      <w:r>
        <w:rPr>
          <w:rFonts w:ascii="맑은 고딕" w:hAnsi="맑은 고딕" w:eastAsia="맑은 고딕"/>
          <w:sz w:val="20"/>
        </w:rPr>
        <w:t xml:space="preserve"> 안정적 FCF·성장률 회복·부채 구조 정상화 세 가지 모두 미충족. SaaS 멀티플 수축기('22~'25년)와 겹쳐 공모가 설정 불가, 투자자 수요 확보 어려움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자본구조 재조정 실패:</w:t>
      </w:r>
      <w:r>
        <w:rPr>
          <w:rFonts w:ascii="맑은 고딕" w:hAnsi="맑은 고딕" w:eastAsia="맑은 고딕"/>
          <w:sz w:val="20"/>
        </w:rPr>
        <w:t xml:space="preserve"> 채권단(Blackstone) 헤어컷(부채 감면) 거부 → Debt-to-Equity Swap이 채권자 최선으로 수렴</w:t>
      </w:r>
    </w:p>
    <w:p>
      <w:pPr>
        <w:spacing w:before="80" w:after="80"/>
        <w:ind w:left="283" w:right="283"/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</w:pPr>
      <w:r>
        <w:rPr>
          <w:rFonts w:ascii="맑은 고딕" w:hAnsi="맑은 고딕" w:eastAsia="맑은 고딕"/>
          <w:sz w:val="18"/>
        </w:rPr>
        <w:t>구조 요약: [부채 $2.78B 안고 팔 수 없음] + [IPO 요건 미충족] + [추가 자본조달 불가] + [채권자 헤어컷 거부] → 4가지 탈출구 모두 막힘 → 경영권 이전이 유일한 결말</w:t>
      </w:r>
    </w:p>
    <w:p>
      <w:pPr>
        <w:spacing w:before="120"/>
        <w:ind w:left="283"/>
      </w:pPr>
      <w:r>
        <w:rPr>
          <w:rFonts w:ascii="맑은 고딕" w:hAnsi="맑은 고딕" w:eastAsia="맑은 고딕"/>
          <w:sz w:val="22"/>
        </w:rPr>
        <w:t>③ TB의 경영권 이전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Bloomberg '26.4월 보도:</w:t>
      </w:r>
      <w:r>
        <w:rPr>
          <w:rFonts w:ascii="맑은 고딕" w:hAnsi="맑은 고딕" w:eastAsia="맑은 고딕"/>
          <w:sz w:val="20"/>
        </w:rPr>
        <w:t xml:space="preserve"> "Thoma Bravo Declines to Invest More in Troubled Medallia" — 추가 $500M 투입해도 EV/Par Coverage 1.0× 미달. LP(출자자) 신뢰 손상 우려 → 추가 투자 거절이 실질적 손실 확정 선언이었음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TB가 Medallia($5B 인수)를 포기한 기준 — 살아남고 죽을 SaaS 판단:</w:t>
      </w:r>
      <w:r>
        <w:rPr>
          <w:rFonts w:ascii="맑은 고딕" w:hAnsi="맑은 고딕" w:eastAsia="맑은 고딕"/>
          <w:sz w:val="20"/>
        </w:rPr>
        <w:br/>
      </w:r>
      <w:r>
        <w:rPr>
          <w:rFonts w:ascii="맑은 고딕" w:hAnsi="맑은 고딕" w:eastAsia="맑은 고딕"/>
          <w:sz w:val="20"/>
        </w:rPr>
        <w:br/>
      </w:r>
      <w:r>
        <w:rPr>
          <w:rFonts w:ascii="맑은 고딕" w:hAnsi="맑은 고딕" w:eastAsia="맑은 고딕"/>
          <w:sz w:val="20"/>
        </w:rPr>
        <w:t>살아남는 SaaS: 데이터 인프라·워크플로우 자동화·규제 산업 특화·독점 데이터 보유 → AI 도입이 오히려 수요 증가로 연결 (Snowflake, ServiceNow, Veeva 등)</w:t>
      </w:r>
      <w:r>
        <w:rPr>
          <w:rFonts w:ascii="맑은 고딕" w:hAnsi="맑은 고딕" w:eastAsia="맑은 고딕"/>
          <w:sz w:val="20"/>
        </w:rPr>
        <w:br/>
      </w:r>
      <w:r>
        <w:rPr>
          <w:rFonts w:ascii="맑은 고딕" w:hAnsi="맑은 고딕" w:eastAsia="맑은 고딕"/>
          <w:sz w:val="20"/>
        </w:rPr>
        <w:t>도태되는 SaaS: 분석·인터페이스 레이어, Seat-based 과금, LLM이 직접 대체 가능한 핵심 기능 보유 → Medallia</w:t>
      </w:r>
      <w:r>
        <w:rPr>
          <w:rFonts w:ascii="맑은 고딕" w:hAnsi="맑은 고딕" w:eastAsia="맑은 고딕"/>
          <w:sz w:val="20"/>
        </w:rPr>
        <w:br/>
      </w:r>
      <w:r>
        <w:rPr>
          <w:rFonts w:ascii="맑은 고딕" w:hAnsi="맑은 고딕" w:eastAsia="맑은 고딕"/>
          <w:sz w:val="20"/>
        </w:rPr>
        <w:br/>
      </w:r>
    </w:p>
    <w:p>
      <w:pPr>
        <w:spacing w:before="80" w:after="80"/>
        <w:ind w:left="283" w:right="283"/>
        <w:pBdr>
          <w:top w:val="single" w:sz="4" w:space="4" w:color="C00000"/>
          <w:left w:val="single" w:sz="4" w:space="4" w:color="C00000"/>
          <w:bottom w:val="single" w:sz="4" w:space="4" w:color="C00000"/>
          <w:right w:val="single" w:sz="4" w:space="4" w:color="C00000"/>
        </w:pBdr>
      </w:pPr>
      <w:r>
        <w:rPr>
          <w:rFonts w:ascii="맑은 고딕" w:hAnsi="맑은 고딕" w:eastAsia="맑은 고딕"/>
          <w:sz w:val="18"/>
        </w:rPr>
        <w:t>→ 사스포칼립스 요약: '26.1~2월, AI 에이전트 발전 가속화로 약 $2,850억 SaaS 시가총액이 48시간 내 증발. Medallia는 Per-Seat 모델 붕괴에 대한 내성 없는 사업 모델로, SaaS 한파(금리·밸류에이션 충격)와 사스포칼립스(AI 비즈니스 모델 충격)의 이중 타겟이 되었음 (3장 참조). PIK 원금 누적 · EV/Par Coverage 상세 → 별첨 9</w:t>
      </w:r>
    </w:p>
    <w:p>
      <w:r>
        <w:br w:type="page"/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6"/>
        </w:rPr>
        <w:t>5. 주요 분석</w:t>
      </w:r>
    </w:p>
    <w:p>
      <w:pPr>
        <w:spacing w:before="120"/>
        <w:ind w:left="283"/>
      </w:pPr>
      <w:r>
        <w:rPr>
          <w:rFonts w:ascii="맑은 고딕" w:hAnsi="맑은 고딕" w:eastAsia="맑은 고딕"/>
          <w:sz w:val="22"/>
        </w:rPr>
        <w:t>□ 실패 원인 — 심층 재분석</w:t>
      </w:r>
    </w:p>
    <w:p>
      <w:pPr>
        <w:ind w:left="567"/>
      </w:pPr>
      <w:r>
        <w:rPr>
          <w:rFonts w:ascii="맑은 고딕" w:hAnsi="맑은 고딕" w:eastAsia="맑은 고딕"/>
          <w:sz w:val="20"/>
        </w:rPr>
        <w:t>① → 성장률 과대 추정: 고성장 지속 전제로 9배 멀티플(EV/Revenue) 적용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인수 당시 ARR 성장률 23~26% 가정 — 실제 성장률은 훨씬 낮았던 것으로 추정 (상장폐지 후 비공개)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Rule of 40 = 10 내외임을 인지했으나 "성장세 지속 시 개선 가능"으로 낙관 — 실제로는 개선되지 않음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단순 성장률 과대 추정이 아니라, FCF 전환 속도를 과대 추정한 것이 본질적 오류</w:t>
      </w:r>
    </w:p>
    <w:p>
      <w:pPr>
        <w:ind w:left="567"/>
      </w:pPr>
      <w:r>
        <w:rPr>
          <w:rFonts w:ascii="맑은 고딕" w:hAnsi="맑은 고딕" w:eastAsia="맑은 고딕"/>
          <w:sz w:val="20"/>
        </w:rPr>
        <w:t>② → 인수 당시부터 FCF 커버리지 1.0× 미만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 xml:space="preserve">역산 추정 결과 인수 첫 해('21년) FCF ≈ $90M, 이자 $135M → 커버리지 </w:t>
      </w:r>
      <w:r>
        <w:rPr>
          <w:rFonts w:ascii="맑은 고딕" w:hAnsi="맑은 고딕" w:eastAsia="맑은 고딕"/>
          <w:b/>
          <w:sz w:val="20"/>
        </w:rPr>
        <w:t>0.67×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이는 금리 인상 없이 기준금리 동결만 지속됐어도 FCF 성장 없이는 5~7년 내 유사한 문제에 봉착할 구조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결론:</w:t>
      </w:r>
      <w:r>
        <w:rPr>
          <w:rFonts w:ascii="맑은 고딕" w:hAnsi="맑은 고딕" w:eastAsia="맑은 고딕"/>
          <w:sz w:val="20"/>
        </w:rPr>
        <w:t xml:space="preserve"> 금리 인상이 없었다면 망하지 않았을까? 아니다. 금리 인상이 없었다면 더 천천히 망했을 것이다</w:t>
      </w:r>
    </w:p>
    <w:p>
      <w:pPr>
        <w:ind w:left="567"/>
      </w:pPr>
      <w:r>
        <w:rPr>
          <w:rFonts w:ascii="맑은 고딕" w:hAnsi="맑은 고딕" w:eastAsia="맑은 고딕"/>
          <w:sz w:val="20"/>
        </w:rPr>
        <w:t>③ → 취약한 부채 구조: 변동금리 + PIK 복리 누적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SOFR 연동 변동금리 → 금리 인상기 이자비용 $135M → $300M 급등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PIK 비중 100%('21~'22) → 현금 부담은 줄었으나 원금이 $1.94B → $2.78B으로 복리 팽창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추가 M&amp;A 관련 차입 $0.6B 반영으로 총 Loan Par $2.78B 도달 — EV 대비 역전 상황 진입</w:t>
      </w:r>
    </w:p>
    <w:p>
      <w:pPr>
        <w:ind w:left="567"/>
      </w:pPr>
      <w:r>
        <w:rPr>
          <w:rFonts w:ascii="맑은 고딕" w:hAnsi="맑은 고딕" w:eastAsia="맑은 고딕"/>
          <w:sz w:val="20"/>
        </w:rPr>
        <w:t>④ → 이자부담·GenAI 대체 이중 압박 → 선순환 붕괴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FCF 전액을 이자 상환에 투입 → R&amp;D·AI 기능 고도화 투자 여력 소멸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Qualtrics(SAP 계열)·Salesforce의 AI 기능 강화 대비 Medallia 기능 정체 → 고객 이탈 가속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GenAI가 "분석·보고서 레이어"를 범용화(LLM 즉시 대체 가능) → 라이선스 단가 하락 압력 → ARR 감소 → FCF 악화. "데이터 인프라 레이어"는 방어 가능하나 분석 레이어가 매출 핵심 (상세: 별첨 11)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고객 이탈·단가 하락 → 매출 성장 둔화 → FCF 개선 불가 → 이자 감당 불가 → 악순환 고착</w:t>
      </w:r>
    </w:p>
    <w:p>
      <w:r>
        <w:br w:type="page"/>
      </w:r>
    </w:p>
    <w:p>
      <w:pPr>
        <w:spacing w:before="120"/>
        <w:ind w:left="283"/>
      </w:pPr>
      <w:r>
        <w:rPr>
          <w:rFonts w:ascii="맑은 고딕" w:hAnsi="맑은 고딕" w:eastAsia="맑은 고딕"/>
          <w:sz w:val="22"/>
        </w:rPr>
        <w:t>□ 예상 파급 효과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대상</w:t>
            </w:r>
          </w:p>
        </w:tc>
        <w:tc>
          <w:tcPr>
            <w:tcW w:type="dxa" w:w="288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88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심각도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Medallia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채권단 주도 구조조정 — 비핵심 사업 매각, 인력 감축 가능성. Qualtrics·Salesforce로 고객 이탈 가속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높음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사모펀드(PE)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Proofpoint·Zendesk 등 유사 구조 포트폴리오 리스크 재조명. 고부채 SaaS LBO 전략 전반 재검토 압력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높음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민간 대출 시장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Blackstone 등 채권자는 현금 회수 대신 경영권 Equity 취득. 해당 Equity 가치 실현 불확실 → 민간 신용 리스크 현실화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중간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SaaS M&amp;A 시장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 xml:space="preserve">고부채 SaaS 매물 증가 + 밸류에이션 정상화 → 전략적 인수자 중심 저가 매수 기회 확대. </w:t>
            </w:r>
            <w:r>
              <w:rPr>
                <w:rFonts w:ascii="맑은 고딕" w:hAnsi="맑은 고딕" w:eastAsia="맑은 고딕"/>
                <w:b/>
                <w:sz w:val="18"/>
              </w:rPr>
              <w:t>지금이 M&amp;A 저점 타이밍 진입 국면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기회</w:t>
            </w:r>
          </w:p>
        </w:tc>
      </w:tr>
    </w:tbl>
    <w:p/>
    <w:p>
      <w:pPr>
        <w:spacing w:before="80" w:after="80"/>
        <w:ind w:left="283" w:right="283"/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</w:pPr>
      <w:r>
        <w:rPr>
          <w:rFonts w:ascii="맑은 고딕" w:hAnsi="맑은 고딕" w:eastAsia="맑은 고딕"/>
          <w:sz w:val="18"/>
        </w:rPr>
        <w:t>Blackstone (채권자) 관점 요약 변동금리 SOFR 연동으로 금리 상승 시 이자 수익 증가로 설계했으나, 동시에 Medallia 상환 능력을 파괴하는 자기 파괴적 역설 로 귀결. PIK 허용으로 단기 현금 부담은 완화했으나 원금이 $1.8B → $2.78B으로 복리 팽창하는 덫이 됨. 헤어컷(부채 감면) 거부 후 Debt-to-Equity Swap을 선택했으나, 실제 Exit 가치가 원금 $2.78B 미만으로 추정되어 "원하지 않은 Equity"를 보유하게 된 아이러니 구조. → 이해관계자 관점 상세 분석(TB vs Blackstone) → 별첨 12 참조</w:t>
      </w:r>
    </w:p>
    <w:p>
      <w:r>
        <w:br w:type="page"/>
      </w:r>
    </w:p>
    <w:p>
      <w:pPr>
        <w:spacing w:before="120"/>
        <w:ind w:left="283"/>
      </w:pPr>
      <w:r>
        <w:rPr>
          <w:rFonts w:ascii="맑은 고딕" w:hAnsi="맑은 고딕" w:eastAsia="맑은 고딕"/>
          <w:sz w:val="22"/>
        </w:rPr>
        <w:t>□ 이해관계자 관점 분석 — Thoma Bravo vs Blackstone</w:t>
      </w:r>
    </w:p>
    <w:p>
      <w:pPr>
        <w:ind w:left="567"/>
      </w:pPr>
      <w:r>
        <w:rPr>
          <w:rFonts w:ascii="맑은 고딕" w:hAnsi="맑은 고딕" w:eastAsia="맑은 고딕"/>
          <w:sz w:val="20"/>
        </w:rPr>
        <w:t xml:space="preserve">Thoma Bravo(PE 투자자)와 Blackstone(채권자) 각각의 의사결정 논리와 사후 평가, 그리고 동일 사례 재발 방지를 위한 이해관계자별 개선 기준을 정리한 상세 분석은 </w:t>
      </w:r>
      <w:r>
        <w:rPr>
          <w:rFonts w:ascii="맑은 고딕" w:hAnsi="맑은 고딕" w:eastAsia="맑은 고딕"/>
          <w:b/>
          <w:sz w:val="20"/>
        </w:rPr>
        <w:t>별첨 12</w:t>
      </w:r>
      <w:r>
        <w:rPr>
          <w:rFonts w:ascii="맑은 고딕" w:hAnsi="맑은 고딕" w:eastAsia="맑은 고딕"/>
          <w:sz w:val="20"/>
        </w:rPr>
        <w:t>를 참조한다.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관점</w:t>
            </w:r>
          </w:p>
        </w:tc>
        <w:tc>
          <w:tcPr>
            <w:tcW w:type="dxa" w:w="288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핵심 의사결정 실패 요인</w:t>
            </w:r>
          </w:p>
        </w:tc>
        <w:tc>
          <w:tcPr>
            <w:tcW w:type="dxa" w:w="288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결말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Thoma Bravo</w:t>
            </w:r>
            <w:r>
              <w:rPr>
                <w:rFonts w:ascii="맑은 고딕" w:hAnsi="맑은 고딕" w:eastAsia="맑은 고딕"/>
                <w:sz w:val="18"/>
              </w:rPr>
              <w:br/>
            </w:r>
            <w:r>
              <w:rPr>
                <w:rFonts w:ascii="맑은 고딕" w:hAnsi="맑은 고딕" w:eastAsia="맑은 고딕"/>
                <w:sz w:val="18"/>
              </w:rPr>
              <w:t>(PE 투자자)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FCF 커버리지 0.67× 임에도 "저렴한 인수"로 판단. SOFR 변동금리 헤지 미실행. FCF 개선 속도 과대 추정 → TB 플레이북 작동 불가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추가 투자 거절 → 손실 확정. Bloomberg '26.4월 보도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Blackstone</w:t>
            </w:r>
            <w:r>
              <w:rPr>
                <w:rFonts w:ascii="맑은 고딕" w:hAnsi="맑은 고딕" w:eastAsia="맑은 고딕"/>
                <w:sz w:val="18"/>
              </w:rPr>
              <w:br/>
            </w:r>
            <w:r>
              <w:rPr>
                <w:rFonts w:ascii="맑은 고딕" w:hAnsi="맑은 고딕" w:eastAsia="맑은 고딕"/>
                <w:sz w:val="18"/>
              </w:rPr>
              <w:t>(채권자)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변동금리 설계로 이자 수익 증가 노렸으나 → 채무자 상환 능력 동시 파괴. PIK 허용으로 원금 $1.8B → $2.78B 복리 팽창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"원하지 않은 Equity" 보유 — D/E Swap 후 Exit 가치 원금 미달</w:t>
            </w:r>
          </w:p>
        </w:tc>
      </w:tr>
    </w:tbl>
    <w:p/>
    <w:p>
      <w:pPr>
        <w:ind w:left="283"/>
      </w:pPr>
      <w:r>
        <w:rPr>
          <w:rFonts w:ascii="맑은 고딕" w:hAnsi="맑은 고딕" w:eastAsia="맑은 고딕"/>
          <w:color w:val="505050"/>
          <w:sz w:val="16"/>
        </w:rPr>
        <w:t>※ ※ 이해관계자별 상세 분석(당시 판단·사후 평가·개선 기준) 전체 →별첨 12참조</w:t>
      </w:r>
    </w:p>
    <w:p>
      <w:r>
        <w:br w:type="page"/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6"/>
        </w:rPr>
        <w:t>6. 시사점</w:t>
      </w:r>
    </w:p>
    <w:p>
      <w:pPr>
        <w:spacing w:before="120"/>
        <w:ind w:left="283"/>
      </w:pPr>
      <w:r>
        <w:rPr>
          <w:rFonts w:ascii="맑은 고딕" w:hAnsi="맑은 고딕" w:eastAsia="맑은 고딕"/>
          <w:sz w:val="22"/>
        </w:rPr>
        <w:t>① SaaS 기업가치 평가 및 향후 M&amp;A검토 시 필수 검토사항</w:t>
      </w:r>
    </w:p>
    <w:p>
      <w:pPr>
        <w:ind w:left="567"/>
      </w:pPr>
      <w:r>
        <w:rPr>
          <w:rFonts w:ascii="맑은 고딕" w:hAnsi="맑은 고딕" w:eastAsia="맑은 고딕"/>
          <w:sz w:val="20"/>
        </w:rPr>
        <w:t xml:space="preserve">Medallia 사례에서 도출한 5개 핵심 검토 축. 상세 기준표 및 Medallia 사례 대조 → </w:t>
      </w:r>
      <w:r>
        <w:rPr>
          <w:rFonts w:ascii="맑은 고딕" w:hAnsi="맑은 고딕" w:eastAsia="맑은 고딕"/>
          <w:b/>
          <w:sz w:val="20"/>
        </w:rPr>
        <w:t>별첨 8</w:t>
      </w:r>
      <w:r>
        <w:rPr>
          <w:rFonts w:ascii="맑은 고딕" w:hAnsi="맑은 고딕" w:eastAsia="맑은 고딕"/>
          <w:sz w:val="20"/>
        </w:rPr>
        <w:t xml:space="preserve"> 참조.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현금창출력 (FCF 커버리지 ≥ 1.5×):</w:t>
      </w:r>
      <w:r>
        <w:rPr>
          <w:rFonts w:ascii="맑은 고딕" w:hAnsi="맑은 고딕" w:eastAsia="맑은 고딕"/>
          <w:sz w:val="20"/>
        </w:rPr>
        <w:t xml:space="preserve"> FCF 기준 이자 커버리지 필수 확인. EBITDA ≠ FCF — SaaS는 EBITDA 흑자여도 FCF 적자 가능 (별첨 5 참조)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고객 유지력 (NRR ≥ 110%):</w:t>
      </w:r>
      <w:r>
        <w:rPr>
          <w:rFonts w:ascii="맑은 고딕" w:hAnsi="맑은 고딕" w:eastAsia="맑은 고딕"/>
          <w:sz w:val="20"/>
        </w:rPr>
        <w:t xml:space="preserve"> NRR의 FCF 전환 속도가 핵심. NRR 하락 추세는 고부채 구조와의 충돌 신호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성장+수익 균형 (Rule of 40 ≥ 30):</w:t>
      </w:r>
      <w:r>
        <w:rPr>
          <w:rFonts w:ascii="맑은 고딕" w:hAnsi="맑은 고딕" w:eastAsia="맑은 고딕"/>
          <w:sz w:val="20"/>
        </w:rPr>
        <w:t xml:space="preserve"> 낮은 멀티플도 FCF 커버리지 미달이면 의미 없음. Rule of 40 &lt; 25는 구조적 위험 신호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기술 방어력 — GenAI 내성:</w:t>
      </w:r>
      <w:r>
        <w:rPr>
          <w:rFonts w:ascii="맑은 고딕" w:hAnsi="맑은 고딕" w:eastAsia="맑은 고딕"/>
          <w:sz w:val="20"/>
        </w:rPr>
        <w:t xml:space="preserve"> 핵심 가치가 "데이터 인프라"인가 "분석 레이어"인가 구분 필수. 분석 레이어는 LLM 즉시 대체 고위험 영역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금리 내성·Exit 조건:</w:t>
      </w:r>
      <w:r>
        <w:rPr>
          <w:rFonts w:ascii="맑은 고딕" w:hAnsi="맑은 고딕" w:eastAsia="맑은 고딕"/>
          <w:sz w:val="20"/>
        </w:rPr>
        <w:t xml:space="preserve"> SOFR +200bp 스트레스 테스트 필수. FCF 커버리지 2.0× 도달 시 Exit 추진 조건을 사전 계약에 명시해야 한다</w:t>
      </w:r>
    </w:p>
    <w:p>
      <w:pPr>
        <w:spacing w:before="80" w:after="80"/>
        <w:ind w:left="283" w:right="283"/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</w:pPr>
      <w:r>
        <w:rPr>
          <w:rFonts w:ascii="맑은 고딕" w:hAnsi="맑은 고딕" w:eastAsia="맑은 고딕"/>
          <w:sz w:val="18"/>
        </w:rPr>
        <w:t>상세 체크리스트(Medallia 사례 결과 및 최소 기준표) → 별첨 8 참조</w:t>
      </w:r>
    </w:p>
    <w:p>
      <w:pPr>
        <w:spacing w:before="120"/>
        <w:ind w:left="283"/>
      </w:pPr>
      <w:r>
        <w:rPr>
          <w:rFonts w:ascii="맑은 고딕" w:hAnsi="맑은 고딕" w:eastAsia="맑은 고딕"/>
          <w:sz w:val="22"/>
        </w:rPr>
        <w:t>② 사업건전성 대시보드 운영 방향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잉여현금흐름(FCF) 지표 시범 산출 → 사업부 관리 협의 → 대시보드 적용 기준 확정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Rule of 40·NRR·FCF 통합 모니터링 체계 구축 — 단일 지표가 아닌 복합 지표 기준 경보 체계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 xml:space="preserve">EV/Par Coverage 내부 기준: </w:t>
      </w:r>
      <w:r>
        <w:rPr>
          <w:rFonts w:ascii="맑은 고딕" w:hAnsi="맑은 고딕" w:eastAsia="맑은 고딕"/>
          <w:b/>
          <w:sz w:val="20"/>
        </w:rPr>
        <w:t>2.0× 이하 주의 / 1.5× 이하 경보 / 1.0× 이하 위험</w:t>
      </w:r>
      <w:r>
        <w:rPr>
          <w:rFonts w:ascii="맑은 고딕" w:hAnsi="맑은 고딕" w:eastAsia="맑은 고딕"/>
          <w:sz w:val="20"/>
        </w:rPr>
        <w:t xml:space="preserve"> (Medallia 사례 기준 역산)</w:t>
      </w:r>
    </w:p>
    <w:p>
      <w:pPr>
        <w:spacing w:before="40" w:after="4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ind w:left="283"/>
      </w:pPr>
      <w:r>
        <w:rPr>
          <w:rFonts w:ascii="맑은 고딕" w:hAnsi="맑은 고딕" w:eastAsia="맑은 고딕"/>
          <w:color w:val="505050"/>
          <w:sz w:val="16"/>
        </w:rPr>
        <w:t>※ ※ FCF·EV 관련 수치는 Bloomberg, OnlyCFO 기사 기반 역산 추정치. 상장폐지 이후 재무 정보 비공개로 일부 추정 포함.</w:t>
      </w:r>
    </w:p>
    <w:p>
      <w:pPr>
        <w:ind w:left="283"/>
      </w:pPr>
      <w:r>
        <w:rPr>
          <w:rFonts w:ascii="맑은 고딕" w:hAnsi="맑은 고딕" w:eastAsia="맑은 고딕"/>
          <w:color w:val="505050"/>
          <w:sz w:val="16"/>
        </w:rPr>
        <w:t>※ ※ M&amp;A 최소 기준(안)은 자사 내부 적용을 위한 초안이며, 시범 산출 후 사업부 협의를 통해 확정 필요.</w:t>
      </w:r>
    </w:p>
    <w:p>
      <w:r>
        <w:br w:type="page"/>
      </w:r>
    </w:p>
    <w:p>
      <w:pPr>
        <w:ind w:left="283"/>
      </w:pPr>
      <w:r>
        <w:rPr>
          <w:rFonts w:ascii="맑은 고딕" w:hAnsi="맑은 고딕" w:eastAsia="맑은 고딕"/>
          <w:b/>
          <w:sz w:val="20"/>
        </w:rPr>
        <w:t>- 以 上 -</w:t>
      </w:r>
    </w:p>
    <w:p>
      <w:pPr>
        <w:spacing w:before="40" w:after="4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  <w:pBdr>
          <w:bottom w:val="single" w:sz="6" w:space="1" w:color="333333"/>
        </w:pBdr>
      </w:pPr>
      <w:r>
        <w:rPr>
          <w:rFonts w:ascii="맑은 고딕" w:hAnsi="맑은 고딕" w:eastAsia="맑은 고딕"/>
          <w:b/>
          <w:sz w:val="26"/>
        </w:rPr>
        <w:t>별첨 1. Medallia 상세 프로필</w:t>
      </w:r>
    </w:p>
    <w:p>
      <w:pPr>
        <w:spacing w:before="120"/>
      </w:pPr>
      <w:r>
        <w:rPr>
          <w:rFonts w:ascii="맑은 고딕" w:hAnsi="맑은 고딕" w:eastAsia="맑은 고딕"/>
          <w:b/>
          <w:sz w:val="22"/>
        </w:rPr>
        <w:t>기업 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기업명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Medallia, Inc.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설립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'01년 (미국 캘리포니아)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창립자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Borge Hald, Amy Pressman (Fortune 500 임원 컨설팅 경험 기반 창업)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본사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San Francisco, CA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임직원 수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약 2,037명 ('21.1월 기준)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상장 이력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'19.7월 NYSE 상장 (MDLA, 공모가 $21) → '21.10월 Thoma Bravo 인수로 상장폐지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현재 상태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채권단(Blackstone 등) 주도 구조조정 中 ('26년) — 비핵심 자산 매각 협상 진행</w:t>
            </w:r>
          </w:p>
        </w:tc>
      </w:tr>
    </w:tbl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제품·솔루션 구성 및 GenAI 대체 위험도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카테고리</w:t>
            </w:r>
          </w:p>
        </w:tc>
        <w:tc>
          <w:tcPr>
            <w:tcW w:type="dxa" w:w="288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솔루션</w:t>
            </w:r>
          </w:p>
        </w:tc>
        <w:tc>
          <w:tcPr>
            <w:tcW w:type="dxa" w:w="288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GenAI 대체 위험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고객경험 (CX)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고객경험 관리(CEM), 디지털 경험 분석, 경험 오케스트레이션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중간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직원경험 (EX)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직원 리스닝(Listening), 직원 활성화(Activation) 플랫폼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중간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분석·보고서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NPS 분석, 텍스트 피드백 요약, 경영진 대시보드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높음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컨택센터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대화형 인텔리전스, 상담원 코칭, 품질 관리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중간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AI·분석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Frontline-Ready AI™ — 내장형 AI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중간 (투자 열위)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데이터 인프라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옴니채널 실시간 파이프라인, 대기업 API 연동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낮음</w:t>
            </w:r>
          </w:p>
        </w:tc>
      </w:tr>
    </w:tbl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재무 현황 요약 (상장폐지 직전 공개 + 추정)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8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수치</w:t>
            </w:r>
          </w:p>
        </w:tc>
        <w:tc>
          <w:tcPr>
            <w:tcW w:type="dxa" w:w="288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연간 매출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$477M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FY2020 (상장 당시 공개)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순손실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–$149M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FY2020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EBITDA 추정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~+$50M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FY2020 (D&amp;A·SBC 환입 추정)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FCF 추정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~–$30M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FY2020 (CAPEX·운전자본 반영 추정) — 인수 전 이미 적자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Rule of 40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~10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업계 하위 10% 수준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인수 당시 추정 매출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~$700M대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'21년 인수 당시 (추정)</w:t>
            </w:r>
          </w:p>
        </w:tc>
      </w:tr>
    </w:tbl>
    <w:p/>
    <w:p>
      <w:pPr>
        <w:ind w:left="283"/>
      </w:pPr>
      <w:r>
        <w:rPr>
          <w:rFonts w:ascii="맑은 고딕" w:hAnsi="맑은 고딕" w:eastAsia="맑은 고딕"/>
          <w:color w:val="505050"/>
          <w:sz w:val="16"/>
        </w:rPr>
        <w:t>※ '21년 상장폐지 후 재무 정보 비공개. 이자비용 급증으로 인한 FCF 악화는 OnlyCFO 분석('26.5월) 기반 역산 추정.</w:t>
      </w:r>
    </w:p>
    <w:p>
      <w:r>
        <w:br w:type="page"/>
      </w:r>
    </w:p>
    <w:p>
      <w:pPr>
        <w:spacing w:before="200" w:after="80"/>
        <w:pBdr>
          <w:bottom w:val="single" w:sz="6" w:space="1" w:color="333333"/>
        </w:pBdr>
      </w:pPr>
      <w:r>
        <w:rPr>
          <w:rFonts w:ascii="맑은 고딕" w:hAnsi="맑은 고딕" w:eastAsia="맑은 고딕"/>
          <w:b/>
          <w:sz w:val="26"/>
        </w:rPr>
        <w:t>별첨 2. Thoma Bravo 상세 프로필</w:t>
      </w:r>
    </w:p>
    <w:p>
      <w:pPr>
        <w:spacing w:before="120"/>
      </w:pPr>
      <w:r>
        <w:rPr>
          <w:rFonts w:ascii="맑은 고딕" w:hAnsi="맑은 고딕" w:eastAsia="맑은 고딕"/>
          <w:b/>
          <w:sz w:val="22"/>
        </w:rPr>
        <w:t>기업 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기업명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Thoma Bravo, LP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설립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'08년 공식 설립 (전신: '80년 설립된 Golder Thoma &amp; Co.)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본사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San Francisco, CA / Chicago, IL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운용자산(AUM)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$183B 이상 ('25.12.31 기준)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누적 거래 건수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565건 이상 완료, 누적 대표 가치 $305B 이상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특화 분야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엔터프라이즈 소프트웨어, 인프라 소프트웨어, 사이버보안, 기술 서비스</w:t>
            </w:r>
          </w:p>
        </w:tc>
      </w:tr>
    </w:tbl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주요 포트폴리오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기업명</w:t>
            </w:r>
          </w:p>
        </w:tc>
        <w:tc>
          <w:tcPr>
            <w:tcW w:type="dxa" w:w="216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분야</w:t>
            </w:r>
          </w:p>
        </w:tc>
        <w:tc>
          <w:tcPr>
            <w:tcW w:type="dxa" w:w="216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인수금액</w:t>
            </w:r>
          </w:p>
        </w:tc>
        <w:tc>
          <w:tcPr>
            <w:tcW w:type="dxa" w:w="216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현재 상태 ('26)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Proofpoint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엔터프라이즈 사이버보안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$12.3B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재상장 검토 중, 부채 $5.3B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Anaplan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기업 계획(Planning) 플랫폼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$10.7B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통합 완료, FCF 개선 추세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RealPage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부동산 관리 SaaS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$10.2B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FTC 소송 진행 중, 운영 지속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Medallia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CX 관리 플랫폼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$6.4B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채권단 경영권 이전 — 손실 확정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Coupa Software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조달 자동화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$6.2B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통합 운영 중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SailPoint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ID 보안 SaaS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$6.9B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재상장 완료('24) — 성공 사례</w:t>
            </w:r>
          </w:p>
        </w:tc>
      </w:tr>
    </w:tbl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Medallia 인수 실패 메커니즘 요약 (심층 버전)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88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88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핵심 지표 변화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1단계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FCF 약한 SaaS를 변동금리 LBO로 인수. 인수 당시부터 FCF 커버리지 0.67×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FCF 커버 0.67×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2단계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연준 금리 인상 → SOFR 0.75% → 5.4%. 이자 $135M → $300M 급등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커버 0.40×로 하락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3단계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PIK 이자로 원금 복리 팽창 $1.8B → $2.78B. 현금 투입 여력 없어 R&amp;D 위축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Loan Par +$0.98B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4단계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GenAI 확산으로 핵심 가치 레이어 대체 압력. 고객 이탈·가격 협상력 저하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EV 하락 가속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5단계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Exit 4가지 경로(IPO·매각·재조정·추가투자) 모두 막힘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EV/Par 0.79×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6단계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Thoma Bravo 추가 투자 거절 → Debt-to-Equity Swap → 채권단 경영권 취득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PE 최대 SaaS LBO 손실</w:t>
            </w:r>
          </w:p>
        </w:tc>
      </w:tr>
    </w:tbl>
    <w:p/>
    <w:p>
      <w:r>
        <w:br w:type="page"/>
      </w:r>
    </w:p>
    <w:p>
      <w:pPr>
        <w:spacing w:before="200" w:after="80"/>
        <w:pBdr>
          <w:bottom w:val="single" w:sz="6" w:space="1" w:color="333333"/>
        </w:pBdr>
      </w:pPr>
      <w:r>
        <w:rPr>
          <w:rFonts w:ascii="맑은 고딕" w:hAnsi="맑은 고딕" w:eastAsia="맑은 고딕"/>
          <w:b/>
          <w:sz w:val="26"/>
        </w:rPr>
        <w:t>별첨 3. 동일 구조 위험 노출 대표 사례 ('21~'22년)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기업명</w:t>
            </w:r>
          </w:p>
        </w:tc>
        <w:tc>
          <w:tcPr>
            <w:tcW w:type="dxa" w:w="96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PE 인수사</w:t>
            </w:r>
          </w:p>
        </w:tc>
        <w:tc>
          <w:tcPr>
            <w:tcW w:type="dxa" w:w="96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인수시기</w:t>
            </w:r>
          </w:p>
        </w:tc>
        <w:tc>
          <w:tcPr>
            <w:tcW w:type="dxa" w:w="96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인수금액</w:t>
            </w:r>
          </w:p>
        </w:tc>
        <w:tc>
          <w:tcPr>
            <w:tcW w:type="dxa" w:w="96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Multiple</w:t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br/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(Revenue)</w:t>
            </w:r>
          </w:p>
        </w:tc>
        <w:tc>
          <w:tcPr>
            <w:tcW w:type="dxa" w:w="96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FCF 커버리지</w:t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br/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(인수 당시 추정)</w:t>
            </w:r>
          </w:p>
        </w:tc>
        <w:tc>
          <w:tcPr>
            <w:tcW w:type="dxa" w:w="96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사업 영역</w:t>
            </w:r>
          </w:p>
        </w:tc>
        <w:tc>
          <w:tcPr>
            <w:tcW w:type="dxa" w:w="96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현재 상태 ('26년)</w:t>
            </w:r>
          </w:p>
        </w:tc>
        <w:tc>
          <w:tcPr>
            <w:tcW w:type="dxa" w:w="96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위험도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Proofpoint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Thoma Bravo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'21.4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$12.3B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10~11×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~1.0× (추정)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사이버보안 SaaS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재상장 검토 중. 추정 부채 $5.3B. 사이버보안 수요 견조로 상대적 양호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중위험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RealPage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Thoma Bravo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'21.4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$10.2B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8.5~9×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~0.8× (추정)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부동산 관리 SaaS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FTC 반독점 소송 진행 중. 영업 지속이나 소송 리스크 부담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중위험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Zendesk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Permira·H&amp;F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'22.11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$10.2B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6.5~7×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~0.7× (추정)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CX SaaS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AI 전환 진행 중. GenAI 대체 압력 존재. 구조조정 일부 시행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중위험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Qualtrics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Silver Lake·CPP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'23.6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$12.5B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8~9×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~1.0× (추정)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XM(경험관리) SaaS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SAP 분리 후 Silver Lake 컨소시엄 인수 완료. GenAI 대체 위험 노출. Exit 경로 불확실 — Medallia와 유사 구조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중위험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Avalara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Vista Equity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'22.10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$8.4B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9~10×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~1.2× (추정)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세금 자동화 SaaS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세금 규정 복잡성으로 GenAI 대체 낮음. 비교적 안정적 운영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낮음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Medallia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Thoma Bravo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'21.7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$6.4B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9×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0.67× → 0.40×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CX 관리 SaaS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채권단 경영권 이전 완료. 손실 확정. PE 역사상 최대 SaaS LBO 손실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손실 확정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SailPoint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Thoma Bravo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'22.4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$6.9B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11~12×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~1.3× (추정)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ID 보안 SaaS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재상장 성공('24.5월, NYSE). FCF 개선 확인. 동일 PE의 성공 사례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성공</w:t>
            </w:r>
          </w:p>
        </w:tc>
      </w:tr>
    </w:tbl>
    <w:p/>
    <w:p>
      <w:pPr>
        <w:ind w:left="283"/>
      </w:pPr>
      <w:r>
        <w:rPr>
          <w:rFonts w:ascii="맑은 고딕" w:hAnsi="맑은 고딕" w:eastAsia="맑은 고딕"/>
          <w:color w:val="505050"/>
          <w:sz w:val="16"/>
        </w:rPr>
        <w:t>※ FCF 커버리지 = FCF ÷ 연이자. Medallia 수치만 분석 기사(OnlyCFO) 기반 확인치; 나머지는 공개 재무 데이터 추정치. 1.0× 미만 = 이자를 FCF로 감당 불가.</w:t>
      </w:r>
    </w:p>
    <w:p>
      <w:pPr>
        <w:spacing w:before="80" w:after="80"/>
        <w:ind w:left="283" w:right="283"/>
        <w:pBdr>
          <w:top w:val="single" w:sz="4" w:space="4" w:color="1A5EA8"/>
          <w:left w:val="single" w:sz="4" w:space="4" w:color="1A5EA8"/>
          <w:bottom w:val="single" w:sz="4" w:space="4" w:color="1A5EA8"/>
          <w:right w:val="single" w:sz="4" w:space="4" w:color="1A5EA8"/>
        </w:pBdr>
      </w:pPr>
      <w:r>
        <w:rPr>
          <w:rFonts w:ascii="맑은 고딕" w:hAnsi="맑은 고딕" w:eastAsia="맑은 고딕"/>
          <w:sz w:val="18"/>
        </w:rPr>
        <w:t>SailPoint vs Medallia 비교 — 같은 PE, 다른 결과 동일한 Thoma Bravo가 비슷한 시기에 인수한 두 SaaS의 결과가 갈린 핵심 차이: SailPoint: ID 보안 — GenAI 대체 불가 영역. 고객 Lock-in 강. FCF 전환 속도 빠름 → 재상장 성공 Medallia: VoC·Survey — GenAI 고대체 위험. FCF 전환 느림. 금리 내성 취약 → 손실 확정 시사점: 인수 가격이나 멀티플이 아니라 "FCF 전환 속도"와 "기술 대체 가능성"이 LBO 성패를 가름</w:t>
      </w:r>
    </w:p>
    <w:p>
      <w:r>
        <w:br w:type="page"/>
      </w:r>
    </w:p>
    <w:p>
      <w:pPr>
        <w:spacing w:before="200" w:after="80"/>
        <w:pBdr>
          <w:bottom w:val="single" w:sz="6" w:space="1" w:color="333333"/>
        </w:pBdr>
      </w:pPr>
      <w:r>
        <w:rPr>
          <w:rFonts w:ascii="맑은 고딕" w:hAnsi="맑은 고딕" w:eastAsia="맑은 고딕"/>
          <w:b/>
          <w:sz w:val="26"/>
        </w:rPr>
        <w:t>별첨 4. 참고문헌</w:t>
      </w:r>
    </w:p>
    <w:p>
      <w:r>
        <w:rPr>
          <w:rFonts w:ascii="맑은 고딕" w:hAnsi="맑은 고딕" w:eastAsia="맑은 고딕"/>
          <w:sz w:val="20"/>
        </w:rPr>
        <w:t>▸ 분석 기사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OnlyCFO, "Thoma Bravo's $5B Medallia Loss | The PE Reckoning is Coming..." ('26.5월) — onlycfo.io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Bloomberg, "Thoma Bravo Declines to Invest More in Troubled Medallia" ('26.4월) — bloomberg.com</w:t>
      </w:r>
    </w:p>
    <w:p>
      <w:r>
        <w:rPr>
          <w:rFonts w:ascii="맑은 고딕" w:hAnsi="맑은 고딕" w:eastAsia="맑은 고딕"/>
          <w:sz w:val="20"/>
        </w:rPr>
        <w:t>▸ 기업 공식 자료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Medallia 공식 홈페이지 — medallia.com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Thoma Bravo 공식 홈페이지 — thomabravo.com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Thoma Bravo, "Medallia to be Acquired by Thoma Bravo for $6.4 Billion" (보도자료, '21.7월)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PR Newswire, "Medallia Announces Pricing of Initial Public Offering" ('19.7월)</w:t>
      </w:r>
    </w:p>
    <w:p>
      <w:r>
        <w:rPr>
          <w:rFonts w:ascii="맑은 고딕" w:hAnsi="맑은 고딕" w:eastAsia="맑은 고딕"/>
          <w:sz w:val="20"/>
        </w:rPr>
        <w:t>▸ 개념 참고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Wikipedia, "Medallia" — en.wikipedia.org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Wikipedia, "Thoma Bravo" — en.wikipedia.org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McKinsey, "SaaS and the Rule of 40" — mckinsey.com</w:t>
      </w:r>
    </w:p>
    <w:p>
      <w:pPr>
        <w:spacing w:before="40" w:after="4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  <w:pBdr>
          <w:bottom w:val="single" w:sz="6" w:space="1" w:color="333333"/>
        </w:pBdr>
      </w:pPr>
      <w:r>
        <w:rPr>
          <w:rFonts w:ascii="맑은 고딕" w:hAnsi="맑은 고딕" w:eastAsia="맑은 고딕"/>
          <w:b/>
          <w:sz w:val="26"/>
        </w:rPr>
        <w:t>별첨 5. EBITDA vs FCF — 왜 다른가</w:t>
      </w:r>
    </w:p>
    <w:p>
      <w:pPr>
        <w:ind w:left="283"/>
      </w:pPr>
      <w:r>
        <w:rPr>
          <w:rFonts w:ascii="맑은 고딕" w:hAnsi="맑은 고딕" w:eastAsia="맑은 고딕"/>
          <w:sz w:val="20"/>
        </w:rPr>
        <w:br/>
        <w:t xml:space="preserve">    보고서 내에서 "EBITDA 흑자인데 현금흐름 적자"가 반복적으로 언급된다. 이 개념을 정확히 이해하기 위한 해설.</w:t>
        <w:br/>
        <w:t xml:space="preserve">  </w:t>
      </w:r>
    </w:p>
    <w:p>
      <w:pPr>
        <w:spacing w:before="120"/>
      </w:pPr>
      <w:r>
        <w:rPr>
          <w:rFonts w:ascii="맑은 고딕" w:hAnsi="맑은 고딕" w:eastAsia="맑은 고딕"/>
          <w:b/>
          <w:sz w:val="22"/>
        </w:rPr>
        <w:t>산출 구조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288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산출 방법</w:t>
            </w:r>
          </w:p>
        </w:tc>
        <w:tc>
          <w:tcPr>
            <w:tcW w:type="dxa" w:w="288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Medallia 추정 적용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EBITDA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순이익 + 이자비용 + 법인세 + 감가상각(D&amp;A)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~$200M ('25년 추정) — 표면상 흑자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CFO</w:t>
            </w:r>
            <w:r>
              <w:rPr>
                <w:rFonts w:ascii="맑은 고딕" w:hAnsi="맑은 고딕" w:eastAsia="맑은 고딕"/>
                <w:sz w:val="18"/>
              </w:rPr>
              <w:br/>
            </w:r>
            <w:r>
              <w:rPr>
                <w:rFonts w:ascii="맑은 고딕" w:hAnsi="맑은 고딕" w:eastAsia="맑은 고딕"/>
                <w:sz w:val="18"/>
              </w:rPr>
              <w:t>(영업현금흐름)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순이익 + D&amp;A + SBC(주식보상) ± 운전자본 변동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~$250~300M 추정 (SBC 포함)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FCF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CFO – CAPEX(설비투자)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~$170M 추정 — 이자 $270M보다 작음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FCF after Interest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FCF – 현금 이자 지급액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~–$100M — 실질 현금 적자</w:t>
            </w:r>
          </w:p>
        </w:tc>
      </w:tr>
    </w:tbl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왜 SaaS는 EBITDA와 FCF 괴리가 큰가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SBC(주식기반보상):</w:t>
      </w:r>
      <w:r>
        <w:rPr>
          <w:rFonts w:ascii="맑은 고딕" w:hAnsi="맑은 고딕" w:eastAsia="맑은 고딕"/>
          <w:sz w:val="20"/>
        </w:rPr>
        <w:t xml:space="preserve"> 임직원 스톡옵션·RSU는 비현금 비용으로 EBITDA에서 제외하지만, 기업 희석 효과는 실재함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운전자본:</w:t>
      </w:r>
      <w:r>
        <w:rPr>
          <w:rFonts w:ascii="맑은 고딕" w:hAnsi="맑은 고딕" w:eastAsia="맑은 고딕"/>
          <w:sz w:val="20"/>
        </w:rPr>
        <w:t xml:space="preserve"> 연간 선불 계약(Annual Upfront) 비중 높은 SaaS는 이연수익이 누적되어 CFO와 EBITDA 괴리 발생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CAPEX:</w:t>
      </w:r>
      <w:r>
        <w:rPr>
          <w:rFonts w:ascii="맑은 고딕" w:hAnsi="맑은 고딕" w:eastAsia="맑은 고딕"/>
          <w:sz w:val="20"/>
        </w:rPr>
        <w:t xml:space="preserve"> 클라우드 인프라 확장 투자는 FCF를 직접 줄임</w:t>
      </w:r>
    </w:p>
    <w:p>
      <w:pPr>
        <w:spacing w:before="80" w:after="80"/>
        <w:ind w:left="283" w:right="283"/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</w:pPr>
      <w:r>
        <w:rPr>
          <w:rFonts w:ascii="맑은 고딕" w:hAnsi="맑은 고딕" w:eastAsia="맑은 고딕"/>
          <w:sz w:val="18"/>
        </w:rPr>
        <w:t>결론: Medallia처럼 순손실이 크고 SBC가 높은 SaaS는 EBITDA가 양수여도 실제 FCF는 음수일 수 있다.</w:t>
        <w:br/>
        <w:t xml:space="preserve">    LBO 분석에서 EBITDA를 현금창출력 지표로 사용하면 이자 커버리지를 과대 추정하게 된다. 반드시 FCF 기준으로 이자 커버리지를 계산해야 한다.</w:t>
      </w:r>
    </w:p>
    <w:p>
      <w:r>
        <w:br w:type="page"/>
      </w:r>
    </w:p>
    <w:p>
      <w:pPr>
        <w:spacing w:before="200" w:after="80"/>
        <w:pBdr>
          <w:bottom w:val="single" w:sz="6" w:space="1" w:color="333333"/>
        </w:pBdr>
      </w:pPr>
      <w:r>
        <w:rPr>
          <w:rFonts w:ascii="맑은 고딕" w:hAnsi="맑은 고딕" w:eastAsia="맑은 고딕"/>
          <w:b/>
          <w:sz w:val="26"/>
        </w:rPr>
        <w:t>별첨 6. SaaS M&amp;A 평가 프레임워크</w:t>
      </w:r>
    </w:p>
    <w:p>
      <w:pPr>
        <w:ind w:left="283"/>
      </w:pPr>
      <w:r>
        <w:rPr>
          <w:rFonts w:ascii="맑은 고딕" w:hAnsi="맑은 고딕" w:eastAsia="맑은 고딕"/>
          <w:sz w:val="20"/>
        </w:rPr>
        <w:br/>
        <w:t xml:space="preserve">    Medallia 사례에서 도출한 자사 적용 M&amp;A 평가 기준표. 향후 SaaS 기업 인수 검토 시 체크리스트로 활용.</w:t>
        <w:br/>
        <w:t xml:space="preserve">  </w:t>
      </w:r>
    </w:p>
    <w:p>
      <w:pPr>
        <w:spacing w:before="120"/>
      </w:pPr>
      <w:r>
        <w:rPr>
          <w:rFonts w:ascii="맑은 고딕" w:hAnsi="맑은 고딕" w:eastAsia="맑은 고딕"/>
          <w:b/>
          <w:sz w:val="22"/>
        </w:rPr>
        <w:t>Ⅰ. 현금창출력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144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산식</w:t>
            </w:r>
          </w:p>
        </w:tc>
        <w:tc>
          <w:tcPr>
            <w:tcW w:type="dxa" w:w="144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안전</w:t>
            </w:r>
          </w:p>
        </w:tc>
        <w:tc>
          <w:tcPr>
            <w:tcW w:type="dxa" w:w="144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주의</w:t>
            </w:r>
          </w:p>
        </w:tc>
        <w:tc>
          <w:tcPr>
            <w:tcW w:type="dxa" w:w="144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위험</w:t>
            </w:r>
          </w:p>
        </w:tc>
        <w:tc>
          <w:tcPr>
            <w:tcW w:type="dxa" w:w="144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Medallia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FCF 커버리지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FCF ÷ 연이자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≥ 2.0×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1.0~2.0×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&lt; 1.0×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0.40~0.67×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FCF Margin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FCF ÷ 매출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≥ 15%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5~15%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&lt; 5%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~12~23%</w:t>
            </w:r>
            <w:r>
              <w:rPr>
                <w:rFonts w:ascii="맑은 고딕" w:hAnsi="맑은 고딕" w:eastAsia="맑은 고딕"/>
                <w:sz w:val="18"/>
              </w:rPr>
              <w:br/>
            </w:r>
            <w:r>
              <w:rPr>
                <w:rFonts w:ascii="맑은 고딕" w:hAnsi="맑은 고딕" w:eastAsia="맑은 고딕"/>
                <w:sz w:val="18"/>
              </w:rPr>
              <w:t>※ 절대 이자 $135~300M으로 커버리지는 별도 확인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EV/Par Coverage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EV ÷ Loan Par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≥ 2.5×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1.5~2.5×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&lt; 1.5×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'26년 0.79×</w:t>
            </w:r>
          </w:p>
        </w:tc>
      </w:tr>
    </w:tbl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Ⅱ. 성장 및 고객 유지력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144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산식</w:t>
            </w:r>
          </w:p>
        </w:tc>
        <w:tc>
          <w:tcPr>
            <w:tcW w:type="dxa" w:w="144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안전</w:t>
            </w:r>
          </w:p>
        </w:tc>
        <w:tc>
          <w:tcPr>
            <w:tcW w:type="dxa" w:w="144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주의</w:t>
            </w:r>
          </w:p>
        </w:tc>
        <w:tc>
          <w:tcPr>
            <w:tcW w:type="dxa" w:w="144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위험</w:t>
            </w:r>
          </w:p>
        </w:tc>
        <w:tc>
          <w:tcPr>
            <w:tcW w:type="dxa" w:w="144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Medallia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Rule of 40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ARR성장률 + FCF Margin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≥ 40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25~40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&lt; 25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~10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NRR (순수익유지율)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기존 고객 매출 ÷ 전기 매출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≥ 120%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100~120%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&lt; 100%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추정 110% 내외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EV / Revenue 배수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EV ÷ ARR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맥락에 따라 다름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FCF 커버리지와 반드시 병행 확인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9× (표면 저평가)</w:t>
            </w:r>
          </w:p>
        </w:tc>
        <w:tc>
          <w:tcPr>
            <w:tcW w:type="dxa" w:w="1440"/>
          </w:tcPr>
          <w:p/>
        </w:tc>
      </w:tr>
    </w:tbl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Ⅲ. 사업 지속성 평가 (정성)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평가 항목</w:t>
            </w:r>
          </w:p>
        </w:tc>
        <w:tc>
          <w:tcPr>
            <w:tcW w:type="dxa" w:w="288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확인 방법</w:t>
            </w:r>
          </w:p>
        </w:tc>
        <w:tc>
          <w:tcPr>
            <w:tcW w:type="dxa" w:w="288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판단 기준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핵심 가치 레이어 분류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데이터 인프라 vs 분석·보고서 레이어 비중 확인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분석 레이어 비중 &gt;50% → GenAI 고위험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고객 Lock-in 강도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워크플로우 내재화 수준, 전환비용(Switching Cost) 추정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전환비용 &gt;3개월 구현 기간 → 상대 안전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GenAI 대체 시나리오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핵심 기능 중 LLM으로 직접 대체 가능한 비중 추정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직접 대체 가능 비중 &gt;40% → 위험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업셀링 경로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기존 고객 내 추가 판매 가능한 신규 모듈 또는 시트 확장 여부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NRR 120%+ 가능한 로드맵 존재 여부</w:t>
            </w:r>
          </w:p>
        </w:tc>
      </w:tr>
    </w:tbl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Ⅳ. 금리 스트레스 테스트 (변동금리 차입 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1728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가정 금리</w:t>
            </w:r>
          </w:p>
        </w:tc>
        <w:tc>
          <w:tcPr>
            <w:tcW w:type="dxa" w:w="1728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연이자 변화</w:t>
            </w:r>
          </w:p>
        </w:tc>
        <w:tc>
          <w:tcPr>
            <w:tcW w:type="dxa" w:w="1728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FCF 커버리지 변화</w:t>
            </w:r>
          </w:p>
        </w:tc>
        <w:tc>
          <w:tcPr>
            <w:tcW w:type="dxa" w:w="1728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대응 필요 여부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기준 (현재)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SOFR 4.3%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기준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기준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모니터링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+100bp 시나리오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5.3%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+$18M 증가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–0.1~0.2× 하락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대비 필요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+200bp 시나리오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6.3%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+$36M 증가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–0.2~0.4× 하락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고정금리 전환 필요</w:t>
            </w:r>
          </w:p>
        </w:tc>
      </w:tr>
    </w:tbl>
    <w:p/>
    <w:p>
      <w:pPr>
        <w:ind w:left="283"/>
      </w:pPr>
      <w:r>
        <w:rPr>
          <w:rFonts w:ascii="맑은 고딕" w:hAnsi="맑은 고딕" w:eastAsia="맑은 고딕"/>
          <w:color w:val="505050"/>
          <w:sz w:val="16"/>
        </w:rPr>
        <w:t>※ ※ 본 프레임워크는 Medallia 사례 역산 기준 초안. 자사 적용 시 국내 B2B SaaS 시장 평균 멀티플(5~8배), 내부 자본비용 기준으로 재보정 필요.</w:t>
      </w:r>
    </w:p>
    <w:p>
      <w:pPr>
        <w:ind w:left="283"/>
      </w:pPr>
      <w:r>
        <w:rPr>
          <w:rFonts w:ascii="맑은 고딕" w:hAnsi="맑은 고딕" w:eastAsia="맑은 고딕"/>
          <w:color w:val="505050"/>
          <w:sz w:val="16"/>
        </w:rPr>
        <w:t>※ ※ 멀티플 기준: EV/Revenue 단독 사용 금지. FCF 커버리지·Rule of 40과 반드시 병행 검토.</w:t>
      </w:r>
    </w:p>
    <w:p>
      <w:r>
        <w:br w:type="page"/>
      </w:r>
    </w:p>
    <w:p>
      <w:pPr>
        <w:spacing w:before="200" w:after="80"/>
        <w:pBdr>
          <w:bottom w:val="single" w:sz="6" w:space="1" w:color="333333"/>
        </w:pBdr>
      </w:pPr>
      <w:r>
        <w:rPr>
          <w:rFonts w:ascii="맑은 고딕" w:hAnsi="맑은 고딕" w:eastAsia="맑은 고딕"/>
          <w:b/>
          <w:sz w:val="26"/>
        </w:rPr>
        <w:t>별첨 8. M&amp;A 필수 체크리스트 — SaaS 기업가치 평가 기준표</w:t>
      </w:r>
    </w:p>
    <w:p>
      <w:pPr>
        <w:ind w:left="283"/>
      </w:pPr>
      <w:r>
        <w:rPr>
          <w:rFonts w:ascii="맑은 고딕" w:hAnsi="맑은 고딕" w:eastAsia="맑은 고딕"/>
          <w:sz w:val="20"/>
        </w:rPr>
        <w:br/>
        <w:t xml:space="preserve">    Medallia 사례에서 역산된 항목별 최소 기준. SaaS 기업 인수 검토 시 체크리스트로 활용.</w:t>
        <w:br/>
        <w:t xml:space="preserve"> 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16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체크 항목</w:t>
            </w:r>
          </w:p>
        </w:tc>
        <w:tc>
          <w:tcPr>
            <w:tcW w:type="dxa" w:w="216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Medallia 사례 결과</w:t>
            </w:r>
          </w:p>
        </w:tc>
        <w:tc>
          <w:tcPr>
            <w:tcW w:type="dxa" w:w="216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최소 기준(안)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현금창출력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FCF 커버리지 (FCF ÷ 예상 이자)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인수 당시 0.67× — 미달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≥ 1.5×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고객 유지력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NRR 지속 가능성 + 업셀링 경로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IPO 시 126%→116% 하락 추세 확인</w:t>
            </w:r>
            <w:r>
              <w:rPr>
                <w:rFonts w:ascii="맑은 고딕" w:hAnsi="맑은 고딕" w:eastAsia="맑은 고딕"/>
                <w:sz w:val="18"/>
              </w:rPr>
              <w:br/>
            </w:r>
            <w:r>
              <w:rPr>
                <w:rFonts w:ascii="맑은 고딕" w:hAnsi="맑은 고딕" w:eastAsia="맑은 고딕"/>
                <w:sz w:val="18"/>
              </w:rPr>
              <w:t>인수 후 추가 하락 추정 (비공개)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NRR ≥ 110%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성장+수익 균형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Rule of 40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~10 — 업계 하위 10%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≥ 30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기술 방어력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핵심 가치 레이어 GenAI 대체 가능성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분석 레이어 고위험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데이터 인프라 레이어 비중 확인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금리 내성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고금리 3년 지속 시 FCF 시뮬레이션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시뮬레이션 없이 인수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SOFR +200bp 스트레스 테스트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EV/Par Coverage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EV ÷ Loan Par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인수 3.56× → '26년 0.79×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2.0× 이하 경보 / 1.5× 이하 위험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Exit 계획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FCF 기반 구체적 Exit 조건 사전 명시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"시장 회복 시 IPO" — 조건 없음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FCF 커버리지 2.0× 도달 시 Exit 추진</w:t>
            </w:r>
          </w:p>
        </w:tc>
      </w:tr>
    </w:tbl>
    <w:p/>
    <w:p>
      <w:pPr>
        <w:ind w:left="283"/>
      </w:pPr>
      <w:r>
        <w:rPr>
          <w:rFonts w:ascii="맑은 고딕" w:hAnsi="맑은 고딕" w:eastAsia="맑은 고딕"/>
          <w:color w:val="505050"/>
          <w:sz w:val="16"/>
        </w:rPr>
        <w:t>※ ※ FCF 커버리지 = FCF ÷ 연이자. 1.0× 미만 = 이자를 FCF로 감당 불가. EBITDA가 아닌 FCF 기준으로 계산해야 함 (별첨 5 참조).</w:t>
      </w:r>
    </w:p>
    <w:p>
      <w:pPr>
        <w:ind w:left="283"/>
      </w:pPr>
      <w:r>
        <w:rPr>
          <w:rFonts w:ascii="맑은 고딕" w:hAnsi="맑은 고딕" w:eastAsia="맑은 고딕"/>
          <w:color w:val="505050"/>
          <w:sz w:val="16"/>
        </w:rPr>
        <w:t>※ ※ 최소 기준(안)은 자사 내부 적용을 위한 초안. 시범 산출 후 사업부 협의를 통해 확정 필요.</w:t>
      </w:r>
    </w:p>
    <w:p>
      <w:r>
        <w:br w:type="page"/>
      </w:r>
    </w:p>
    <w:p>
      <w:pPr>
        <w:spacing w:before="200" w:after="80"/>
        <w:pBdr>
          <w:bottom w:val="single" w:sz="6" w:space="1" w:color="333333"/>
        </w:pBdr>
      </w:pPr>
      <w:r>
        <w:rPr>
          <w:rFonts w:ascii="맑은 고딕" w:hAnsi="맑은 고딕" w:eastAsia="맑은 고딕"/>
          <w:b/>
          <w:sz w:val="26"/>
        </w:rPr>
        <w:t>별첨 9. 재무 세부 — PIK 원금 누적 시뮬레이션 및 EV/Par Coverage 이탈 과정</w:t>
      </w:r>
    </w:p>
    <w:p>
      <w:pPr>
        <w:spacing w:before="120"/>
      </w:pPr>
      <w:r>
        <w:rPr>
          <w:rFonts w:ascii="맑은 고딕" w:hAnsi="맑은 고딕" w:eastAsia="맑은 고딕"/>
          <w:b/>
          <w:sz w:val="22"/>
        </w:rPr>
        <w:t>PIK 원금 누적 시뮬레이션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1234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PIK 비중</w:t>
            </w:r>
          </w:p>
        </w:tc>
        <w:tc>
          <w:tcPr>
            <w:tcW w:type="dxa" w:w="1234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기초 원금</w:t>
            </w:r>
          </w:p>
        </w:tc>
        <w:tc>
          <w:tcPr>
            <w:tcW w:type="dxa" w:w="1234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PIK 이자 누적</w:t>
            </w:r>
          </w:p>
        </w:tc>
        <w:tc>
          <w:tcPr>
            <w:tcW w:type="dxa" w:w="1234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현금 이자 지급</w:t>
            </w:r>
          </w:p>
        </w:tc>
        <w:tc>
          <w:tcPr>
            <w:tcW w:type="dxa" w:w="1234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기타 증감</w:t>
            </w:r>
          </w:p>
        </w:tc>
        <w:tc>
          <w:tcPr>
            <w:tcW w:type="dxa" w:w="1234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기말 원금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'21~'22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100%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$1.80B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+$0.14B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$0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$1.94B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'22~'23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50%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$1.94B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+$0.10B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$0.10B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$2.04B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'23~'25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35%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$2.04B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+$0.14B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$0.18B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추가차입 +$0.60B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$2.78B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'25~'26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0%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$2.78B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$0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$0.27B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$2.78B → D/E Swap</w:t>
            </w:r>
          </w:p>
        </w:tc>
      </w:tr>
    </w:tbl>
    <w:p/>
    <w:p>
      <w:pPr>
        <w:ind w:left="283"/>
      </w:pPr>
      <w:r>
        <w:rPr>
          <w:rFonts w:ascii="맑은 고딕" w:hAnsi="맑은 고딕" w:eastAsia="맑은 고딕"/>
          <w:color w:val="505050"/>
          <w:sz w:val="16"/>
        </w:rPr>
        <w:t>※ PIK(Payment-in-Kind): 현금 대신 원금 증가로 이자를 갚는 구조. 단기 현금 부담을 줄이되 원금이 복리로 불어나는 덫.</w:t>
      </w:r>
    </w:p>
    <w:p>
      <w:pPr>
        <w:spacing w:before="120"/>
      </w:pPr>
      <w:r>
        <w:rPr>
          <w:rFonts w:ascii="맑은 고딕" w:hAnsi="맑은 고딕" w:eastAsia="맑은 고딕"/>
          <w:b/>
          <w:sz w:val="22"/>
        </w:rPr>
        <w:t>EV/Par Coverage 임계치 이탈 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시점</w:t>
            </w:r>
          </w:p>
        </w:tc>
        <w:tc>
          <w:tcPr>
            <w:tcW w:type="dxa" w:w="1728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추정 EV</w:t>
            </w:r>
          </w:p>
        </w:tc>
        <w:tc>
          <w:tcPr>
            <w:tcW w:type="dxa" w:w="1728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Loan Par</w:t>
            </w:r>
          </w:p>
        </w:tc>
        <w:tc>
          <w:tcPr>
            <w:tcW w:type="dxa" w:w="1728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EV/Par Coverage</w:t>
            </w:r>
          </w:p>
        </w:tc>
        <w:tc>
          <w:tcPr>
            <w:tcW w:type="dxa" w:w="1728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상태 판정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'21년 인수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$6.40B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$1.80B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3.56×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안전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'22년 말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~$5.20B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$1.94B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2.68×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안전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'23년 말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~$4.00B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$2.20B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1.82×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주의 (2.0× 하회)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'24년 말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~$3.00B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$2.78B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1.08×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위험 (1.5× 하회)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'26.1분기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~$2.20B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$2.78B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0.79×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임계치 이탈 → 경영권 이전</w:t>
            </w:r>
          </w:p>
        </w:tc>
      </w:tr>
    </w:tbl>
    <w:p/>
    <w:p>
      <w:pPr>
        <w:ind w:left="283"/>
      </w:pPr>
      <w:r>
        <w:rPr>
          <w:rFonts w:ascii="맑은 고딕" w:hAnsi="맑은 고딕" w:eastAsia="맑은 고딕"/>
          <w:color w:val="505050"/>
          <w:sz w:val="16"/>
        </w:rPr>
        <w:t>※ EV/Par Coverage = EV ÷ Loan Par. 1.0× 미만 = 기업가치가 누적 부채를 충당 못함 → 채권단의 Debt-to-Equity Swap 논리 성립</w:t>
      </w:r>
    </w:p>
    <w:p>
      <w:pPr>
        <w:ind w:left="283"/>
      </w:pPr>
      <w:r>
        <w:rPr>
          <w:rFonts w:ascii="맑은 고딕" w:hAnsi="맑은 고딕" w:eastAsia="맑은 고딕"/>
          <w:color w:val="505050"/>
          <w:sz w:val="16"/>
        </w:rPr>
        <w:t>※ ※ EV 추정 방법: 당해연도 추정 매출 × 동종 SaaS 평균 EV/Revenue 멀티플 역산 ('21년 9× → '23년 5× → '25년 3× 적용). SaaS 멀티플 수축기('22~'25년) 반영. 상장폐지 이후 재무 비공개로 추정치 사용.</w:t>
      </w:r>
    </w:p>
    <w:p>
      <w:r>
        <w:br w:type="page"/>
      </w:r>
    </w:p>
    <w:p>
      <w:r>
        <w:rPr>
          <w:rFonts w:ascii="맑은 고딕" w:hAnsi="맑은 고딕" w:eastAsia="맑은 고딕"/>
          <w:sz w:val="20"/>
        </w:rPr>
        <w:t>【 별첨 7 】 시장 포지셔닝 상세 — 세그먼트 계층 및 Qualtrics vs Medallia 비교</w:t>
      </w:r>
    </w:p>
    <w:p>
      <w:pPr>
        <w:spacing w:before="120"/>
      </w:pPr>
      <w:r>
        <w:rPr>
          <w:rFonts w:ascii="맑은 고딕" w:hAnsi="맑은 고딕" w:eastAsia="맑은 고딕"/>
          <w:b/>
          <w:sz w:val="22"/>
        </w:rPr>
        <w:t>시장 내 포지셔닝 — 세그먼트 계층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분류 레벨</w:t>
            </w:r>
          </w:p>
        </w:tc>
        <w:tc>
          <w:tcPr>
            <w:tcW w:type="dxa" w:w="216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세그먼트명</w:t>
            </w:r>
          </w:p>
        </w:tc>
        <w:tc>
          <w:tcPr>
            <w:tcW w:type="dxa" w:w="216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대표 기업</w:t>
            </w:r>
          </w:p>
        </w:tc>
        <w:tc>
          <w:tcPr>
            <w:tcW w:type="dxa" w:w="216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Medallia 위치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대분류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CRM</w:t>
            </w:r>
            <w:r>
              <w:rPr>
                <w:rFonts w:ascii="맑은 고딕" w:hAnsi="맑은 고딕" w:eastAsia="맑은 고딕"/>
                <w:sz w:val="18"/>
              </w:rPr>
              <w:br/>
            </w:r>
            <w:r>
              <w:rPr>
                <w:rFonts w:ascii="맑은 고딕" w:hAnsi="맑은 고딕" w:eastAsia="맑은 고딕"/>
                <w:sz w:val="18"/>
              </w:rPr>
              <w:t>Customer Relationship Management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Salesforce, SAP, Microsoft Dynamics, HubSpot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간접 포함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중분류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CX Management</w:t>
            </w:r>
            <w:r>
              <w:rPr>
                <w:rFonts w:ascii="맑은 고딕" w:hAnsi="맑은 고딕" w:eastAsia="맑은 고딕"/>
                <w:sz w:val="18"/>
              </w:rPr>
              <w:br/>
            </w:r>
            <w:r>
              <w:rPr>
                <w:rFonts w:ascii="맑은 고딕" w:hAnsi="맑은 고딕" w:eastAsia="맑은 고딕"/>
                <w:sz w:val="18"/>
              </w:rPr>
              <w:t>Customer Experience Management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Salesforce (Service Cloud), Adobe, Sprinklr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포함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소분류 (직접 경쟁)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Experience Management (XM)/ Voice of Customer (VoC)</w:t>
            </w:r>
            <w:r>
              <w:rPr>
                <w:rFonts w:ascii="맑은 고딕" w:hAnsi="맑은 고딕" w:eastAsia="맑은 고딕"/>
                <w:sz w:val="18"/>
              </w:rPr>
              <w:br/>
            </w:r>
            <w:r>
              <w:rPr>
                <w:rFonts w:ascii="맑은 고딕" w:hAnsi="맑은 고딕" w:eastAsia="맑은 고딕"/>
                <w:sz w:val="18"/>
              </w:rPr>
              <w:t>Gartner MQ 공식 분류: "Voice of the Customer"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Qualtrics</w:t>
            </w:r>
            <w:r>
              <w:rPr>
                <w:rFonts w:ascii="맑은 고딕" w:hAnsi="맑은 고딕" w:eastAsia="맑은 고딕"/>
                <w:sz w:val="18"/>
              </w:rPr>
              <w:t xml:space="preserve"> (1위) · </w:t>
            </w:r>
            <w:r>
              <w:rPr>
                <w:rFonts w:ascii="맑은 고딕" w:hAnsi="맑은 고딕" w:eastAsia="맑은 고딕"/>
                <w:b/>
                <w:sz w:val="18"/>
              </w:rPr>
              <w:t>Medallia</w:t>
            </w:r>
            <w:r>
              <w:rPr>
                <w:rFonts w:ascii="맑은 고딕" w:hAnsi="맑은 고딕" w:eastAsia="맑은 고딕"/>
                <w:sz w:val="18"/>
              </w:rPr>
              <w:t xml:space="preserve"> (2위)</w:t>
            </w:r>
            <w:r>
              <w:rPr>
                <w:rFonts w:ascii="맑은 고딕" w:hAnsi="맑은 고딕" w:eastAsia="맑은 고딕"/>
                <w:sz w:val="18"/>
              </w:rPr>
              <w:br/>
            </w:r>
            <w:r>
              <w:rPr>
                <w:rFonts w:ascii="맑은 고딕" w:hAnsi="맑은 고딕" w:eastAsia="맑은 고딕"/>
                <w:sz w:val="18"/>
              </w:rPr>
              <w:t>InMoment, Alchemer, Birdeye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핵심 세그먼트글로벌 2위</w:t>
            </w:r>
          </w:p>
        </w:tc>
      </w:tr>
    </w:tbl>
    <w:p/>
    <w:p>
      <w:pPr>
        <w:ind w:left="283"/>
      </w:pPr>
      <w:r>
        <w:rPr>
          <w:rFonts w:ascii="맑은 고딕" w:hAnsi="맑은 고딕" w:eastAsia="맑은 고딕"/>
          <w:color w:val="505050"/>
          <w:sz w:val="16"/>
        </w:rPr>
        <w:t>※ 출처: Gartner Magic Quadrant "Voice of the Customer" ('23년). Medallia·Qualtrics 모두 Leader 포지션 — 동일 세그먼트 내 직접 경쟁.</w:t>
      </w:r>
    </w:p>
    <w:p>
      <w:pPr>
        <w:spacing w:before="120"/>
      </w:pPr>
      <w:r>
        <w:rPr>
          <w:rFonts w:ascii="맑은 고딕" w:hAnsi="맑은 고딕" w:eastAsia="맑은 고딕"/>
          <w:b/>
          <w:sz w:val="22"/>
        </w:rPr>
        <w:t>Qualtrics vs Medallia — 포지셔닝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8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Qualtrics</w:t>
            </w:r>
          </w:p>
        </w:tc>
        <w:tc>
          <w:tcPr>
            <w:tcW w:type="dxa" w:w="288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Medallia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설립 / 소재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'02년 / 미국 유타 (Provo)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'01년 / 미국 캘리포니아 (San Francisco)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현재 소유구조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Silver Lake·CPP 컨소시엄 (PE 비상장)</w:t>
            </w:r>
            <w:r>
              <w:rPr>
                <w:rFonts w:ascii="맑은 고딕" w:hAnsi="맑은 고딕" w:eastAsia="맑은 고딕"/>
                <w:sz w:val="18"/>
              </w:rPr>
              <w:br/>
            </w:r>
            <w:r>
              <w:rPr>
                <w:rFonts w:ascii="맑은 고딕" w:hAnsi="맑은 고딕" w:eastAsia="맑은 고딕"/>
                <w:sz w:val="18"/>
              </w:rPr>
              <w:t>'23년 SAP에서 분리 인수 — $12.5B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채권단(Blackstone 등) 경영권 이전</w:t>
            </w:r>
            <w:r>
              <w:rPr>
                <w:rFonts w:ascii="맑은 고딕" w:hAnsi="맑은 고딕" w:eastAsia="맑은 고딕"/>
                <w:sz w:val="18"/>
              </w:rPr>
              <w:br/>
            </w:r>
            <w:r>
              <w:rPr>
                <w:rFonts w:ascii="맑은 고딕" w:hAnsi="맑은 고딕" w:eastAsia="맑은 고딕"/>
                <w:sz w:val="18"/>
              </w:rPr>
              <w:t>'26.4월 Debt-to-Equity Swap 완료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연매출 추정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~$1.5B (FY2023 추정)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~$760M (FY2025 추정)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인수 Multiple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EV/Revenue ≈ 8~9× ('23년)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EV/Revenue ≈ 9× ('21년)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핵심 강점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XM 플랫폼 통합성 (EX·CX·BX·PX 4축)</w:t>
            </w:r>
            <w:r>
              <w:rPr>
                <w:rFonts w:ascii="맑은 고딕" w:hAnsi="맑은 고딕" w:eastAsia="맑은 고딕"/>
                <w:sz w:val="18"/>
              </w:rPr>
              <w:br/>
            </w:r>
            <w:r>
              <w:rPr>
                <w:rFonts w:ascii="맑은 고딕" w:hAnsi="맑은 고딕" w:eastAsia="맑은 고딕"/>
                <w:sz w:val="18"/>
              </w:rPr>
              <w:t>SAP ERP 연동 고객 기반 (분리 후 유지)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옴니채널 데이터 파이프라인</w:t>
            </w:r>
            <w:r>
              <w:rPr>
                <w:rFonts w:ascii="맑은 고딕" w:hAnsi="맑은 고딕" w:eastAsia="맑은 고딕"/>
                <w:sz w:val="18"/>
              </w:rPr>
              <w:br/>
            </w:r>
            <w:r>
              <w:rPr>
                <w:rFonts w:ascii="맑은 고딕" w:hAnsi="맑은 고딕" w:eastAsia="맑은 고딕"/>
                <w:sz w:val="18"/>
              </w:rPr>
              <w:t>Fortune 500 대기업 워크플로우 내재화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상품 구성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XM Platform, CoreXM (설문), EmployeeXM,</w:t>
            </w:r>
            <w:r>
              <w:rPr>
                <w:rFonts w:ascii="맑은 고딕" w:hAnsi="맑은 고딕" w:eastAsia="맑은 고딕"/>
                <w:sz w:val="18"/>
              </w:rPr>
              <w:br/>
            </w:r>
            <w:r>
              <w:rPr>
                <w:rFonts w:ascii="맑은 고딕" w:hAnsi="맑은 고딕" w:eastAsia="맑은 고딕"/>
                <w:sz w:val="18"/>
              </w:rPr>
              <w:t>CustomerXM, BrandXM, DesignXM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CX·EX 피드백 플랫폼, NPS 측정,</w:t>
            </w:r>
            <w:r>
              <w:rPr>
                <w:rFonts w:ascii="맑은 고딕" w:hAnsi="맑은 고딕" w:eastAsia="맑은 고딕"/>
                <w:sz w:val="18"/>
              </w:rPr>
              <w:br/>
            </w:r>
            <w:r>
              <w:rPr>
                <w:rFonts w:ascii="맑은 고딕" w:hAnsi="맑은 고딕" w:eastAsia="맑은 고딕"/>
                <w:sz w:val="18"/>
              </w:rPr>
              <w:t>Frontline-Ready AI™, 옴니채널 인텔리전스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주요 고객층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엔터프라이즈·중견기업 혼합</w:t>
            </w:r>
            <w:r>
              <w:rPr>
                <w:rFonts w:ascii="맑은 고딕" w:hAnsi="맑은 고딕" w:eastAsia="맑은 고딕"/>
                <w:sz w:val="18"/>
              </w:rPr>
              <w:br/>
            </w:r>
            <w:r>
              <w:rPr>
                <w:rFonts w:ascii="맑은 고딕" w:hAnsi="맑은 고딕" w:eastAsia="맑은 고딕"/>
                <w:sz w:val="18"/>
              </w:rPr>
              <w:t>(SAP 고객 연계로 다양한 산업)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Fortune 500 대기업 집중</w:t>
            </w:r>
            <w:r>
              <w:rPr>
                <w:rFonts w:ascii="맑은 고딕" w:hAnsi="맑은 고딕" w:eastAsia="맑은 고딕"/>
                <w:sz w:val="18"/>
              </w:rPr>
              <w:br/>
            </w:r>
            <w:r>
              <w:rPr>
                <w:rFonts w:ascii="맑은 고딕" w:hAnsi="맑은 고딕" w:eastAsia="맑은 고딕"/>
                <w:sz w:val="18"/>
              </w:rPr>
              <w:t>(금융·항공·호텔·통신)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AI / GenAI 대응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AI 기능 강화 지속 투자 (SAP AI Core 연계)</w:t>
            </w:r>
            <w:r>
              <w:rPr>
                <w:rFonts w:ascii="맑은 고딕" w:hAnsi="맑은 고딕" w:eastAsia="맑은 고딕"/>
                <w:sz w:val="18"/>
              </w:rPr>
              <w:br/>
            </w:r>
            <w:r>
              <w:rPr>
                <w:rFonts w:ascii="맑은 고딕" w:hAnsi="맑은 고딕" w:eastAsia="맑은 고딕"/>
                <w:sz w:val="18"/>
              </w:rPr>
              <w:t>Qualtrics AI™ 출시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Frontline-Ready AI™ 보유하나</w:t>
            </w:r>
            <w:r>
              <w:rPr>
                <w:rFonts w:ascii="맑은 고딕" w:hAnsi="맑은 고딕" w:eastAsia="맑은 고딕"/>
                <w:sz w:val="18"/>
              </w:rPr>
              <w:br/>
            </w:r>
            <w:r>
              <w:rPr>
                <w:rFonts w:ascii="맑은 고딕" w:hAnsi="맑은 고딕" w:eastAsia="맑은 고딕"/>
                <w:sz w:val="18"/>
              </w:rPr>
              <w:t>경쟁사 대비 투자 열위 (FCF 압박)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GenAI 대체 위험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중위험 — 분석 레이어 일부 위협</w:t>
            </w:r>
            <w:r>
              <w:rPr>
                <w:rFonts w:ascii="맑은 고딕" w:hAnsi="맑은 고딕" w:eastAsia="맑은 고딕"/>
                <w:sz w:val="18"/>
              </w:rPr>
              <w:br/>
            </w:r>
            <w:r>
              <w:rPr>
                <w:rFonts w:ascii="맑은 고딕" w:hAnsi="맑은 고딕" w:eastAsia="맑은 고딕"/>
                <w:sz w:val="18"/>
              </w:rPr>
              <w:t>단, XM 통합 플랫폼으로 방어력 상대적 높음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고위험</w:t>
            </w:r>
            <w:r>
              <w:rPr>
                <w:rFonts w:ascii="맑은 고딕" w:hAnsi="맑은 고딕" w:eastAsia="맑은 고딕"/>
                <w:sz w:val="18"/>
              </w:rPr>
              <w:t xml:space="preserve"> — 분석·보고서 레이어</w:t>
            </w:r>
            <w:r>
              <w:rPr>
                <w:rFonts w:ascii="맑은 고딕" w:hAnsi="맑은 고딕" w:eastAsia="맑은 고딕"/>
                <w:sz w:val="18"/>
              </w:rPr>
              <w:br/>
            </w:r>
            <w:r>
              <w:rPr>
                <w:rFonts w:ascii="맑은 고딕" w:hAnsi="맑은 고딕" w:eastAsia="맑은 고딕"/>
                <w:sz w:val="18"/>
              </w:rPr>
              <w:t>LLM 즉시 대체 가능 영역 비중 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FCF 상태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추정 중 (비공개). 단, 인수 당시 흑자 전환 근접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'21년~'26년 FCF 커버리지 0.40~0.67×</w:t>
            </w:r>
            <w:r>
              <w:rPr>
                <w:rFonts w:ascii="맑은 고딕" w:hAnsi="맑은 고딕" w:eastAsia="맑은 고딕"/>
                <w:sz w:val="18"/>
              </w:rPr>
              <w:br/>
            </w:r>
            <w:r>
              <w:rPr>
                <w:rFonts w:ascii="맑은 고딕" w:hAnsi="맑은 고딕" w:eastAsia="맑은 고딕"/>
                <w:sz w:val="18"/>
              </w:rPr>
              <w:t>단 한 번도 1.0× 미달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부채 구조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변동금리 LBO 차입 포함 — 구조 유사</w:t>
            </w:r>
            <w:r>
              <w:rPr>
                <w:rFonts w:ascii="맑은 고딕" w:hAnsi="맑은 고딕" w:eastAsia="맑은 고딕"/>
                <w:sz w:val="18"/>
              </w:rPr>
              <w:br/>
            </w:r>
            <w:r>
              <w:rPr>
                <w:rFonts w:ascii="맑은 고딕" w:hAnsi="맑은 고딕" w:eastAsia="맑은 고딕"/>
                <w:sz w:val="18"/>
              </w:rPr>
              <w:t>(상세 비공개)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$1.8B → PIK 누적 $2.78B</w:t>
            </w:r>
            <w:r>
              <w:rPr>
                <w:rFonts w:ascii="맑은 고딕" w:hAnsi="맑은 고딕" w:eastAsia="맑은 고딕"/>
                <w:sz w:val="18"/>
              </w:rPr>
              <w:br/>
            </w:r>
            <w:r>
              <w:rPr>
                <w:rFonts w:ascii="맑은 고딕" w:hAnsi="맑은 고딕" w:eastAsia="맑은 고딕"/>
                <w:sz w:val="18"/>
              </w:rPr>
              <w:t>SOFR 연동 변동금리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Exit 현황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IPO 재추진 검토 중 (불확실)</w:t>
            </w:r>
            <w:r>
              <w:rPr>
                <w:rFonts w:ascii="맑은 고딕" w:hAnsi="맑은 고딕" w:eastAsia="맑은 고딕"/>
                <w:sz w:val="18"/>
              </w:rPr>
              <w:br/>
            </w:r>
            <w:r>
              <w:rPr>
                <w:rFonts w:ascii="맑은 고딕" w:hAnsi="맑은 고딕" w:eastAsia="맑은 고딕"/>
                <w:sz w:val="18"/>
              </w:rPr>
              <w:t>Silver Lake 보유 기간 연장 가능성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Exit 실패 확정</w:t>
            </w:r>
            <w:r>
              <w:rPr>
                <w:rFonts w:ascii="맑은 고딕" w:hAnsi="맑은 고딕" w:eastAsia="맑은 고딕"/>
                <w:sz w:val="18"/>
              </w:rPr>
              <w:t xml:space="preserve"> — 채권단 경영권 이전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Gartner MQ 위치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Leader (1위 — Ability to Execute 최상위)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Leader (2위 — Completeness of Vision 우수)</w:t>
            </w:r>
          </w:p>
        </w:tc>
      </w:tr>
    </w:tbl>
    <w:p/>
    <w:p>
      <w:pPr>
        <w:spacing w:before="80" w:after="80"/>
        <w:ind w:left="283" w:right="283"/>
        <w:pBdr>
          <w:top w:val="single" w:sz="4" w:space="4" w:color="1A5EA8"/>
          <w:left w:val="single" w:sz="4" w:space="4" w:color="1A5EA8"/>
          <w:bottom w:val="single" w:sz="4" w:space="4" w:color="1A5EA8"/>
          <w:right w:val="single" w:sz="4" w:space="4" w:color="1A5EA8"/>
        </w:pBdr>
      </w:pPr>
      <w:r>
        <w:rPr>
          <w:rFonts w:ascii="맑은 고딕" w:hAnsi="맑은 고딕" w:eastAsia="맑은 고딕"/>
          <w:sz w:val="18"/>
        </w:rPr>
        <w:t>시사점: 동일 세그먼트, 유사한 LBO 구조임에도 Qualtrics가 상대적으로 안정적인 이유는 ① 더 큰 매출 기반(~2×), ② SAP ERP 생태계 연동으로 고객 이탈 방어, ③ XM 4축 통합 플랫폼으로 GenAI 대체 분산 때문으로 분석됨. Qualtrics도 LBO 구조상 잠재 위험은 동일하게 존재한다.</w:t>
      </w:r>
    </w:p>
    <w:p>
      <w:r>
        <w:br w:type="page"/>
      </w:r>
    </w:p>
    <w:p>
      <w:pPr>
        <w:spacing w:before="200" w:after="80"/>
        <w:pBdr>
          <w:bottom w:val="single" w:sz="6" w:space="1" w:color="333333"/>
        </w:pBdr>
      </w:pPr>
      <w:r>
        <w:rPr>
          <w:rFonts w:ascii="맑은 고딕" w:hAnsi="맑은 고딕" w:eastAsia="맑은 고딕"/>
          <w:b/>
          <w:sz w:val="26"/>
        </w:rPr>
        <w:t>별첨 10. SaaS 시장 환경 변화 상세 — 사스포칼립스와 GenAI 충격</w:t>
      </w:r>
    </w:p>
    <w:p>
      <w:pPr>
        <w:spacing w:before="120"/>
      </w:pPr>
      <w:r>
        <w:rPr>
          <w:rFonts w:ascii="맑은 고딕" w:hAnsi="맑은 고딕" w:eastAsia="맑은 고딕"/>
          <w:b/>
          <w:sz w:val="22"/>
        </w:rPr>
        <w:t>SaaS 한파 — ZIRP 버블 붕괴와 1차 조정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ZIRP(제로금리) 시대('10s~'21년): 성장률 중심 평가로 SaaS 기업 고멀티플(10~15배) 책정, PE 차입매수(LBO) 급증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'22년 금리 인상 개시 → 고성장 SaaS 기업 멀티플 급락, 기업 고객의 SaaS 지출 삭감·벤더 통합 가속화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성장률 중심 → FCF·수익성 중심 평가로 패러다임 전환: 생존 기업과 도태 기업의 명확한 분기</w:t>
      </w:r>
    </w:p>
    <w:p>
      <w:pPr>
        <w:spacing w:before="120"/>
      </w:pPr>
      <w:r>
        <w:rPr>
          <w:rFonts w:ascii="맑은 고딕" w:hAnsi="맑은 고딕" w:eastAsia="맑은 고딕"/>
          <w:b/>
          <w:sz w:val="22"/>
        </w:rPr>
        <w:t>사스포칼립스(SaaSpocalypse) — AI 에이전트의 Per-Seat 모델 붕괴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정의:</w:t>
      </w:r>
      <w:r>
        <w:rPr>
          <w:rFonts w:ascii="맑은 고딕" w:hAnsi="맑은 고딕" w:eastAsia="맑은 고딕"/>
          <w:sz w:val="20"/>
        </w:rPr>
        <w:t xml:space="preserve"> '26.1~2월, AI 에이전트 발전 가속화를 계기로 글로벌 SaaS 섹터에서 약 $2,850억 규모 시가총액이 단 48시간 내 증발한 사건 — 역사상 최대 규모 AI-triggered SaaS 밸류에이션 재조정</w:t>
        <w:br/>
        <w:t xml:space="preserve">      </w:t>
      </w:r>
      <w:r>
        <w:rPr>
          <w:rFonts w:ascii="맑은 고딕" w:hAnsi="맑은 고딕" w:eastAsia="맑은 고딕"/>
          <w:sz w:val="20"/>
        </w:rPr>
        <w:br/>
      </w:r>
      <w:r>
        <w:rPr>
          <w:rFonts w:ascii="맑은 고딕" w:hAnsi="맑은 고딕" w:eastAsia="맑은 고딕"/>
          <w:sz w:val="20"/>
        </w:rPr>
        <w:t>Anthropic Claude, OpenAI 등 AI 에이전트가 SaaS 사용자(seat) 업무를 대체 → AI 에이전트 1개가 인간 직원 5명분의 seat 수요를 대체하는 속도로 진행</w:t>
      </w:r>
      <w:r>
        <w:rPr>
          <w:rFonts w:ascii="맑은 고딕" w:hAnsi="맑은 고딕" w:eastAsia="맑은 고딕"/>
          <w:sz w:val="20"/>
        </w:rPr>
        <w:br/>
      </w:r>
      <w:r>
        <w:rPr>
          <w:rFonts w:ascii="맑은 고딕" w:hAnsi="맑은 고딕" w:eastAsia="맑은 고딕"/>
          <w:sz w:val="20"/>
        </w:rPr>
        <w:br/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Seat-based Pricing 붕괴 위협:</w:t>
      </w:r>
      <w:r>
        <w:rPr>
          <w:rFonts w:ascii="맑은 고딕" w:hAnsi="맑은 고딕" w:eastAsia="맑은 고딕"/>
          <w:sz w:val="20"/>
        </w:rPr>
        <w:t xml:space="preserve"> SaaS 매출의 핵심인 사용자(seat) 수 기반 과금 모델이 구조적으로 위협받는 중</w:t>
        <w:br/>
        <w:t xml:space="preserve">      </w:t>
      </w:r>
      <w:r>
        <w:rPr>
          <w:rFonts w:ascii="맑은 고딕" w:hAnsi="맑은 고딕" w:eastAsia="맑은 고딕"/>
          <w:sz w:val="20"/>
        </w:rPr>
        <w:br/>
      </w:r>
      <w:r>
        <w:rPr>
          <w:rFonts w:ascii="맑은 고딕" w:hAnsi="맑은 고딕" w:eastAsia="맑은 고딕"/>
          <w:sz w:val="20"/>
        </w:rPr>
        <w:t>GenAI가 CX 분석가·데이터 리서처 등 지식노동자 업무를 대체 → 기업의 seat 구매 필요성 감소 → ARR 하락 압력</w:t>
      </w:r>
      <w:r>
        <w:rPr>
          <w:rFonts w:ascii="맑은 고딕" w:hAnsi="맑은 고딕" w:eastAsia="맑은 고딕"/>
          <w:sz w:val="20"/>
        </w:rPr>
        <w:br/>
      </w:r>
      <w:r>
        <w:rPr>
          <w:rFonts w:ascii="맑은 고딕" w:hAnsi="맑은 고딕" w:eastAsia="맑은 고딕"/>
          <w:sz w:val="20"/>
        </w:rPr>
        <w:br/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기능 레이어 Commoditization:</w:t>
      </w:r>
      <w:r>
        <w:rPr>
          <w:rFonts w:ascii="맑은 고딕" w:hAnsi="맑은 고딕" w:eastAsia="맑은 고딕"/>
          <w:sz w:val="20"/>
        </w:rPr>
        <w:t xml:space="preserve"> 분석·리포팅·피드백 처리 등 SaaS 핵심 기능을 GenAI가 범용화</w:t>
        <w:br/>
        <w:t xml:space="preserve">      </w:t>
      </w:r>
      <w:r>
        <w:rPr>
          <w:rFonts w:ascii="맑은 고딕" w:hAnsi="맑은 고딕" w:eastAsia="맑은 고딕"/>
          <w:sz w:val="20"/>
        </w:rPr>
        <w:br/>
      </w:r>
      <w:r>
        <w:rPr>
          <w:rFonts w:ascii="맑은 고딕" w:hAnsi="맑은 고딕" w:eastAsia="맑은 고딕"/>
          <w:sz w:val="20"/>
        </w:rPr>
        <w:t>Microsoft Copilot, Salesforce Einstein, OpenAI 등이 CX 분석 기능을 기존 플랫폼 내 embedded 형태로 제공, 독립 플랫폼의 존재 이유 약화</w:t>
      </w:r>
      <w:r>
        <w:rPr>
          <w:rFonts w:ascii="맑은 고딕" w:hAnsi="맑은 고딕" w:eastAsia="맑은 고딕"/>
          <w:sz w:val="20"/>
        </w:rPr>
        <w:br/>
      </w:r>
      <w:r>
        <w:rPr>
          <w:rFonts w:ascii="맑은 고딕" w:hAnsi="맑은 고딕" w:eastAsia="맑은 고딕"/>
          <w:sz w:val="20"/>
        </w:rPr>
        <w:br/>
      </w:r>
    </w:p>
    <w:p>
      <w:pPr>
        <w:spacing w:before="120"/>
      </w:pPr>
      <w:r>
        <w:rPr>
          <w:rFonts w:ascii="맑은 고딕" w:hAnsi="맑은 고딕" w:eastAsia="맑은 고딕"/>
          <w:b/>
          <w:sz w:val="22"/>
        </w:rPr>
        <w:t>새로운 옥석 가리기: GenAI 내성(Resilience) 여부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 xml:space="preserve">밸류에이션 하락 환경에서 </w:t>
      </w:r>
      <w:r>
        <w:rPr>
          <w:rFonts w:ascii="맑은 고딕" w:hAnsi="맑은 고딕" w:eastAsia="맑은 고딕"/>
          <w:b/>
          <w:sz w:val="20"/>
        </w:rPr>
        <w:t>GenAI 내성 여부</w:t>
      </w:r>
      <w:r>
        <w:rPr>
          <w:rFonts w:ascii="맑은 고딕" w:hAnsi="맑은 고딕" w:eastAsia="맑은 고딕"/>
          <w:sz w:val="20"/>
        </w:rPr>
        <w:t>가 SaaS 기업 평가의 핵심 기준으로 부상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sz w:val="20"/>
        </w:rPr>
        <w:t>내성이 있는 기업은 저점 매수의 기회로 전환 가능 — 옥석을 잘 가리는 것이 핵심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8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특징</w:t>
            </w:r>
          </w:p>
        </w:tc>
        <w:tc>
          <w:tcPr>
            <w:tcW w:type="dxa" w:w="288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대표 사례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내성 있음</w:t>
            </w:r>
            <w:r>
              <w:rPr>
                <w:rFonts w:ascii="맑은 고딕" w:hAnsi="맑은 고딕" w:eastAsia="맑은 고딕"/>
                <w:sz w:val="18"/>
              </w:rPr>
              <w:br/>
            </w:r>
            <w:r>
              <w:rPr>
                <w:rFonts w:ascii="맑은 고딕" w:hAnsi="맑은 고딕" w:eastAsia="맑은 고딕"/>
                <w:sz w:val="18"/>
              </w:rPr>
              <w:t>(투자 기회)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데이터 인프라·워크플로우 자동화·규제 산업 특화·독점 데이터 보유 → AI 도입이 오히려 수요 증가로 연결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Snowflake, Databricks</w:t>
            </w:r>
            <w:r>
              <w:rPr>
                <w:rFonts w:ascii="맑은 고딕" w:hAnsi="맑은 고딕" w:eastAsia="맑은 고딕"/>
                <w:sz w:val="18"/>
              </w:rPr>
              <w:br/>
            </w:r>
            <w:r>
              <w:rPr>
                <w:rFonts w:ascii="맑은 고딕" w:hAnsi="맑은 고딕" w:eastAsia="맑은 고딕"/>
                <w:sz w:val="18"/>
              </w:rPr>
              <w:t>ServiceNow, Veeva, Palantir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내성 없음</w:t>
            </w:r>
            <w:r>
              <w:rPr>
                <w:rFonts w:ascii="맑은 고딕" w:hAnsi="맑은 고딕" w:eastAsia="맑은 고딕"/>
                <w:sz w:val="18"/>
              </w:rPr>
              <w:br/>
            </w:r>
            <w:r>
              <w:rPr>
                <w:rFonts w:ascii="맑은 고딕" w:hAnsi="맑은 고딕" w:eastAsia="맑은 고딕"/>
                <w:sz w:val="18"/>
              </w:rPr>
              <w:t>(위협·회피)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분석·인터페이스 레이어, Seat-based 과금, AI가 직접 대체 가능한 핵심 기능 보유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Medallia</w:t>
            </w:r>
            <w:r>
              <w:rPr>
                <w:rFonts w:ascii="맑은 고딕" w:hAnsi="맑은 고딕" w:eastAsia="맑은 고딕"/>
                <w:sz w:val="18"/>
              </w:rPr>
              <w:br/>
            </w:r>
            <w:r>
              <w:rPr>
                <w:rFonts w:ascii="맑은 고딕" w:hAnsi="맑은 고딕" w:eastAsia="맑은 고딕"/>
                <w:sz w:val="18"/>
              </w:rPr>
              <w:t>유사 CX 관리 플랫폼</w:t>
            </w:r>
          </w:p>
        </w:tc>
      </w:tr>
    </w:tbl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Medallia: 이중 충격의 직접 타겟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Seat-based Pricing 취약성:</w:t>
      </w:r>
      <w:r>
        <w:rPr>
          <w:rFonts w:ascii="맑은 고딕" w:hAnsi="맑은 고딕" w:eastAsia="맑은 고딕"/>
          <w:sz w:val="20"/>
        </w:rPr>
        <w:t xml:space="preserve"> CX 분석가 업무가 GenAI로 대체될수록 기업의 Medallia seat 수 감소 → ARR 구조 직접 훼손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핵심 기능의 AI 대체 가능성:</w:t>
      </w:r>
      <w:r>
        <w:rPr>
          <w:rFonts w:ascii="맑은 고딕" w:hAnsi="맑은 고딕" w:eastAsia="맑은 고딕"/>
          <w:sz w:val="20"/>
        </w:rPr>
        <w:t xml:space="preserve"> 피드백 수집·NPS 분석·인사이트 리포팅 등 주요 오퍼링이 LLM 기반 범용 도구로 대체 가능 (별첨 11 참조)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경쟁 환경 악화:</w:t>
      </w:r>
      <w:r>
        <w:rPr>
          <w:rFonts w:ascii="맑은 고딕" w:hAnsi="맑은 고딕" w:eastAsia="맑은 고딕"/>
          <w:sz w:val="20"/>
        </w:rPr>
        <w:t xml:space="preserve"> Microsoft·Salesforce·OpenAI 등 대형 플랫폼이 CX 분석 기능을 무료·번들 embedded 제공, 차별화 진입장벽 약화</w:t>
      </w:r>
    </w:p>
    <w:p>
      <w:pPr>
        <w:spacing w:after="60"/>
        <w:ind w:left="85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이중 충격 구조:</w:t>
      </w:r>
      <w:r>
        <w:rPr>
          <w:rFonts w:ascii="맑은 고딕" w:hAnsi="맑은 고딕" w:eastAsia="맑은 고딕"/>
          <w:sz w:val="20"/>
        </w:rPr>
        <w:t xml:space="preserve"> SaaS 한파(금리·밸류에이션 충격) + 사스포칼립스(AI 에이전트·비즈니스 모델 구조 충격)가 동시에 작용</w:t>
      </w:r>
    </w:p>
    <w:p>
      <w:pPr>
        <w:spacing w:before="80" w:after="80"/>
        <w:ind w:left="283" w:right="283"/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</w:pPr>
      <w:r>
        <w:rPr>
          <w:rFonts w:ascii="맑은 고딕" w:hAnsi="맑은 고딕" w:eastAsia="맑은 고딕"/>
          <w:sz w:val="18"/>
        </w:rPr>
        <w:t>핵심 시사점: Medallia의 실패는 단순한 LBO 재무 구조 실패가 아님. SaaS 한파로 밸류에이션이 하락하는 환경에서, 사스포칼립스(AI 에이전트의 Per-Seat 모델 붕괴)에 대한 내성이 없는 사업 모델이 복합적으로 충격을 받은 구조적 사례임.</w:t>
      </w:r>
    </w:p>
    <w:p>
      <w:r>
        <w:br w:type="page"/>
      </w:r>
    </w:p>
    <w:p>
      <w:pPr>
        <w:spacing w:before="200" w:after="80"/>
        <w:pBdr>
          <w:bottom w:val="single" w:sz="6" w:space="1" w:color="333333"/>
        </w:pBdr>
      </w:pPr>
      <w:r>
        <w:rPr>
          <w:rFonts w:ascii="맑은 고딕" w:hAnsi="맑은 고딕" w:eastAsia="맑은 고딕"/>
          <w:b/>
          <w:sz w:val="26"/>
        </w:rPr>
        <w:t>별첨 11. Medallia 사업 구조와 GenAI 대체 가능성 분석</w:t>
      </w:r>
    </w:p>
    <w:p>
      <w:pPr>
        <w:spacing w:before="80" w:after="80"/>
        <w:ind w:left="283" w:right="283"/>
        <w:pBdr>
          <w:top w:val="single" w:sz="4" w:space="4" w:color="1A5EA8"/>
          <w:left w:val="single" w:sz="4" w:space="4" w:color="1A5EA8"/>
          <w:bottom w:val="single" w:sz="4" w:space="4" w:color="1A5EA8"/>
          <w:right w:val="single" w:sz="4" w:space="4" w:color="1A5EA8"/>
        </w:pBdr>
      </w:pPr>
      <w:r>
        <w:rPr>
          <w:rFonts w:ascii="맑은 고딕" w:hAnsi="맑은 고딕" w:eastAsia="맑은 고딕"/>
          <w:sz w:val="18"/>
        </w:rPr>
        <w:t>전제: GenAI는 Medallia의 직접적 현금 부족 원인이 아니다. 다만 Exit 가능성을 구조적으로 차단한 핵심 요인으로 작용했다 — 잠재 인수자의 지불 의향가를 낮추고, IPO 재진입 시 투자자 수요를 감소시켰다.</w:t>
      </w:r>
    </w:p>
    <w:p>
      <w:pPr>
        <w:ind w:left="567"/>
      </w:pPr>
      <w:r>
        <w:rPr>
          <w:rFonts w:ascii="맑은 고딕" w:hAnsi="맑은 고딕" w:eastAsia="맑은 고딕"/>
          <w:sz w:val="20"/>
        </w:rPr>
        <w:t>단순히 "AI 경쟁 심화"가 아니라, Medallia의 가치 레이어별로 대체 가능성이 다르다는 점을 구분해야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가치 레이어</w:t>
            </w:r>
          </w:p>
        </w:tc>
        <w:tc>
          <w:tcPr>
            <w:tcW w:type="dxa" w:w="216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기능</w:t>
            </w:r>
          </w:p>
        </w:tc>
        <w:tc>
          <w:tcPr>
            <w:tcW w:type="dxa" w:w="216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GenAI 대체 가능성</w:t>
            </w:r>
          </w:p>
        </w:tc>
        <w:tc>
          <w:tcPr>
            <w:tcW w:type="dxa" w:w="216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데이터 수집 인프라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옴니채널 실시간 피드백 파이프라인</w:t>
            </w:r>
            <w:r>
              <w:rPr>
                <w:rFonts w:ascii="맑은 고딕" w:hAnsi="맑은 고딕" w:eastAsia="맑은 고딕"/>
                <w:sz w:val="18"/>
              </w:rPr>
              <w:br/>
            </w:r>
            <w:r>
              <w:rPr>
                <w:rFonts w:ascii="맑은 고딕" w:hAnsi="맑은 고딕" w:eastAsia="맑은 고딕"/>
                <w:sz w:val="18"/>
              </w:rPr>
              <w:t>대기업 고객 워크플로우 연동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낮음 — 수년간 구축된 고객사 내재화, API 연동</w:t>
            </w:r>
            <w:r>
              <w:rPr>
                <w:rFonts w:ascii="맑은 고딕" w:hAnsi="맑은 고딕" w:eastAsia="맑은 고딕"/>
                <w:sz w:val="18"/>
              </w:rPr>
              <w:br/>
            </w:r>
            <w:r>
              <w:rPr>
                <w:rFonts w:ascii="맑은 고딕" w:hAnsi="맑은 고딕" w:eastAsia="맑은 고딕"/>
                <w:sz w:val="18"/>
              </w:rPr>
              <w:t>단, AI 에이전트가 데이터 수집 자체도 대체 시 구조 약화 가능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중위험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분석·보고서 레이어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NPS 분석, 텍스트 피드백 요약</w:t>
            </w:r>
            <w:r>
              <w:rPr>
                <w:rFonts w:ascii="맑은 고딕" w:hAnsi="맑은 고딕" w:eastAsia="맑은 고딕"/>
                <w:sz w:val="18"/>
              </w:rPr>
              <w:br/>
            </w:r>
            <w:r>
              <w:rPr>
                <w:rFonts w:ascii="맑은 고딕" w:hAnsi="맑은 고딕" w:eastAsia="맑은 고딕"/>
                <w:sz w:val="18"/>
              </w:rPr>
              <w:t>경영진 대시보드, 인사이트 리포트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매우 높음</w:t>
            </w:r>
            <w:r>
              <w:rPr>
                <w:rFonts w:ascii="맑은 고딕" w:hAnsi="맑은 고딕" w:eastAsia="맑은 고딕"/>
                <w:sz w:val="18"/>
              </w:rPr>
              <w:t xml:space="preserve"> — LLM이 즉시 대체 가능</w:t>
            </w:r>
            <w:r>
              <w:rPr>
                <w:rFonts w:ascii="맑은 고딕" w:hAnsi="맑은 고딕" w:eastAsia="맑은 고딕"/>
                <w:sz w:val="18"/>
              </w:rPr>
              <w:br/>
            </w:r>
            <w:r>
              <w:rPr>
                <w:rFonts w:ascii="맑은 고딕" w:hAnsi="맑은 고딕" w:eastAsia="맑은 고딕"/>
                <w:sz w:val="18"/>
              </w:rPr>
              <w:t>ChatGPT, Gemini로 무료 대체 가능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고위험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설문 설계·배포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Agile Research, 비디오 조사</w:t>
            </w:r>
            <w:r>
              <w:rPr>
                <w:rFonts w:ascii="맑은 고딕" w:hAnsi="맑은 고딕" w:eastAsia="맑은 고딕"/>
                <w:sz w:val="18"/>
              </w:rPr>
              <w:br/>
            </w:r>
            <w:r>
              <w:rPr>
                <w:rFonts w:ascii="맑은 고딕" w:hAnsi="맑은 고딕" w:eastAsia="맑은 고딕"/>
                <w:sz w:val="18"/>
              </w:rPr>
              <w:t>NPS 설문 자동화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중간 — Typeform, SurveyMonkey 등 저가 대체재 존재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중위험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AI 코칭 기능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Frontline-Ready AI™</w:t>
            </w:r>
            <w:r>
              <w:rPr>
                <w:rFonts w:ascii="맑은 고딕" w:hAnsi="맑은 고딕" w:eastAsia="맑은 고딕"/>
                <w:sz w:val="18"/>
              </w:rPr>
              <w:br/>
            </w:r>
            <w:r>
              <w:rPr>
                <w:rFonts w:ascii="맑은 고딕" w:hAnsi="맑은 고딕" w:eastAsia="맑은 고딕"/>
                <w:sz w:val="18"/>
              </w:rPr>
              <w:t>상담원 코칭, 품질 관리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중간 — 자체 AI는 있으나 경쟁사 대비 투자 열위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중위험</w:t>
            </w:r>
          </w:p>
        </w:tc>
      </w:tr>
    </w:tbl>
    <w:p/>
    <w:p>
      <w:pPr>
        <w:spacing w:before="80" w:after="80"/>
        <w:ind w:left="283" w:right="283"/>
        <w:pBdr>
          <w:top w:val="single" w:sz="4" w:space="4" w:color="1A5EA8"/>
          <w:left w:val="single" w:sz="4" w:space="4" w:color="1A5EA8"/>
          <w:bottom w:val="single" w:sz="4" w:space="4" w:color="1A5EA8"/>
          <w:right w:val="single" w:sz="4" w:space="4" w:color="1A5EA8"/>
        </w:pBdr>
      </w:pPr>
      <w:r>
        <w:rPr>
          <w:rFonts w:ascii="맑은 고딕" w:hAnsi="맑은 고딕" w:eastAsia="맑은 고딕"/>
          <w:sz w:val="18"/>
        </w:rPr>
        <w:t>핵심 시사점: Medallia의 "데이터 인프라 레이어"는 살아남을 수 있으나, 매출의 상당 비중을 차지하는</w:t>
        <w:br/>
        <w:t xml:space="preserve">    "분석·보고서 레이어"가 GenAI에 의해 가격 압력을 받고 있다. 이는 단순 경쟁 심화가 아니라 라이선스 단가 하락 → ARR 감소 → FCF 악화의 구조적 압력 으로 연결된다.</w:t>
      </w:r>
    </w:p>
    <w:p>
      <w:r>
        <w:br w:type="page"/>
      </w:r>
    </w:p>
    <w:p>
      <w:pPr>
        <w:spacing w:before="200" w:after="80"/>
        <w:pBdr>
          <w:bottom w:val="single" w:sz="6" w:space="1" w:color="333333"/>
        </w:pBdr>
      </w:pPr>
      <w:r>
        <w:rPr>
          <w:rFonts w:ascii="맑은 고딕" w:hAnsi="맑은 고딕" w:eastAsia="맑은 고딕"/>
          <w:b/>
          <w:sz w:val="26"/>
        </w:rPr>
        <w:t>별첨 12. 이해관계자 관점 분석 — Thoma Bravo vs Blackstone</w:t>
      </w:r>
    </w:p>
    <w:p>
      <w:pPr>
        <w:spacing w:before="120"/>
        <w:ind w:left="283"/>
      </w:pPr>
      <w:r>
        <w:rPr>
          <w:rFonts w:ascii="맑은 고딕" w:hAnsi="맑은 고딕" w:eastAsia="맑은 고딕"/>
          <w:sz w:val="22"/>
        </w:rPr>
        <w:t>□ 이해관계자 관점 분석 — Thoma Bravo vs Blackstone</w:t>
      </w:r>
    </w:p>
    <w:p>
      <w:r>
        <w:rPr>
          <w:rFonts w:ascii="맑은 고딕" w:hAnsi="맑은 고딕" w:eastAsia="맑은 고딕"/>
          <w:sz w:val="20"/>
        </w:rPr>
        <w:t>Thoma Bravo — PE 투자자 (Equity) 관점 단계 당시 판단 사후 평가 투자 논거 EV/Revenue 9× = 업계 평균(15~20×) 대비 저렴. ARR 23~26% 고성장, Gartner MQ Leader, Fortune 500 고객 기반 저렴한 멀티플이 낮은 FCF 창출력을 가렸음. FCF 커버리지 0.67×는 "저렴함"이 아니라 "위험 신호"였다 FCF 개선 기대 TB 플레이북(S&amp;M 절감·헤드카운트 최적화) 적용 → 3~5년 내 FCF 커버리지 1.5× 달성 전망 실제 FCF 개선 속도 &lt; 이자 상승 속도. 성장 둔화 + 금리 인상이 겹쳐 플레이북이 작동 불가 금리 리스크 초저금리(LIBOR 0.75%) 환경에서 연이자 $135M은 감당 가능. 금리 헤지 불필요로 판단 SOFR 100% 변동금리 노출 → 이자 $135M → $300M. 금리 스왑 미실행이 결정적 패착 Exit 전략 "3~5년 내 IPO 또는 전략 매각" — 시장 회복 시 멀티플 재팽창 기대 SaaS 멀티플 수축 + GenAI 대체 압력 + 부채 $2.78B → IPO·매각·재조정·추가투자 4가지 경로 모두 차단 추가 투자 거절 Bloomberg '26.4월 보도: 추가 $500M 투입해도 EV/Par Coverage 1.0× 미달. LP(출자자) 신뢰 손상 우려 → 거절. 이 결정이 실질적 손실 확정 선언이었음</w:t>
      </w:r>
    </w:p>
    <w:p>
      <w:r>
        <w:rPr>
          <w:rFonts w:ascii="맑은 고딕" w:hAnsi="맑은 고딕" w:eastAsia="맑은 고딕"/>
          <w:sz w:val="20"/>
        </w:rPr>
        <w:t>Blackstone — 채권자 (Debt) 관점 단계 당시 판단 사후 평가 대출 논거 TB 포트폴리오사 → PE 최상위 보증 효과. Senior Secured 구조로 원금 보호. 담보: Medallia 전체 자산 PE 보증 효과는 TB의 추가 투자 거절로 소멸. EV가 원금 아래로 하락하면 담보 효과도 소멸 변동금리 설계 SOFR 연동: 금리 상승 시 이자 수익 자동 증가 — 대출자에게 구조적으로 유리 금리 상승으로 이자 수익은 증가했으나, 동시에 Medallia 상환 능력을 파괴 — 자기 파괴적 역설 PIK 허용 초기 현금 부담 완화 → 포트폴리오 생존 기간 연장 → 대출 상환 가능성 제고 PIK 복리 누적으로 원금 $1.8B → $2.78B. EV/Par Coverage 급락의 직접 원인이 됨 D/E Swap 결과 헤어컷(부채 감면) 거부 → Debt-to-Equity Swap 선택: 명목상 Medallia 대주주 취득. 그러나 실제 Exit 가치는 원금 $2.78B 미만으로 추정 — "원하지 않은 Equity"를 보유하게 된 아이러니</w:t>
      </w:r>
    </w:p>
    <w:p>
      <w:pPr>
        <w:spacing w:before="120"/>
        <w:ind w:left="283"/>
      </w:pPr>
      <w:r>
        <w:rPr>
          <w:rFonts w:ascii="맑은 고딕" w:hAnsi="맑은 고딕" w:eastAsia="맑은 고딕"/>
          <w:sz w:val="22"/>
        </w:rPr>
        <w:t>□ 이해관계자별 개선 기준 — 사례 역산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8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Thoma Bravo (PE 투자자)</w:t>
            </w:r>
          </w:p>
        </w:tc>
        <w:tc>
          <w:tcPr>
            <w:tcW w:type="dxa" w:w="2880"/>
            <w:shd w:val="clear" w:color="auto" w:fill="1E1E1E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Blackstone (채권자)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FCF 커버리지 기준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 xml:space="preserve">인수 대상 FCF 커버리지 </w:t>
            </w:r>
            <w:r>
              <w:rPr>
                <w:rFonts w:ascii="맑은 고딕" w:hAnsi="맑은 고딕" w:eastAsia="맑은 고딕"/>
                <w:b/>
                <w:sz w:val="18"/>
              </w:rPr>
              <w:t>≥ 1.5×</w:t>
            </w:r>
            <w:r>
              <w:rPr>
                <w:rFonts w:ascii="맑은 고딕" w:hAnsi="맑은 고딕" w:eastAsia="맑은 고딕"/>
                <w:sz w:val="18"/>
              </w:rPr>
              <w:t xml:space="preserve"> 이상만 변동금리 LBO 진행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 xml:space="preserve">차입자 FCF 커버리지 </w:t>
            </w:r>
            <w:r>
              <w:rPr>
                <w:rFonts w:ascii="맑은 고딕" w:hAnsi="맑은 고딕" w:eastAsia="맑은 고딕"/>
                <w:b/>
                <w:sz w:val="18"/>
              </w:rPr>
              <w:t>≥ 1.5×</w:t>
            </w:r>
            <w:r>
              <w:rPr>
                <w:rFonts w:ascii="맑은 고딕" w:hAnsi="맑은 고딕" w:eastAsia="맑은 고딕"/>
                <w:sz w:val="18"/>
              </w:rPr>
              <w:t xml:space="preserve"> 이상 대출 승인 (미달 시 고정금리 요구)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금리 헤지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변동금리 차입액의 30~50% 금리 스왑(IRS) 헤지 의무화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차입자에게 금리 캡(Interest Rate Cap) 취득 요구 조항 삽입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PIK 제한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PIK 비중 50% 이하, 허용 기간 최대 2년으로 계약 제한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PIK 허용 기간 최대 2년. 이후 현금 이자 전환 의무화 (원금 팽창 상한)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EV/Par 경보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EV/Par Coverage 2.0× 이하 → 추가 Equity 투입 또는 Exit 가속화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EV/Par Coverage 1.5× 이하 → 조기 상환 요구 또는 금리 재협상 트리거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Exit 조건 명시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 xml:space="preserve">"시장 회복 시"가 아닌 </w:t>
            </w:r>
            <w:r>
              <w:rPr>
                <w:rFonts w:ascii="맑은 고딕" w:hAnsi="맑은 고딕" w:eastAsia="맑은 고딕"/>
                <w:b/>
                <w:sz w:val="18"/>
              </w:rPr>
              <w:t>FCF 커버리지 2.0× 달성 시</w:t>
            </w:r>
            <w:r>
              <w:rPr>
                <w:rFonts w:ascii="맑은 고딕" w:hAnsi="맑은 고딕" w:eastAsia="맑은 고딕"/>
                <w:sz w:val="18"/>
              </w:rPr>
              <w:t xml:space="preserve"> Exit 추진으로 계약에 명시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대출 만기 내 Exit 미실현 시 원금 상환 유예 조건 엄격화 및 조기 상환권 확보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GenAI 대체 평가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핵심 기능 중 LLM 대체 가능 비중 ≥ 40% 기업 → 투자 제한 또는 멀티플 할인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GenAI 고대체 위험 기업 대출 시 리스크 프리미엄(spread) 추가 100bp 적용</w:t>
            </w:r>
          </w:p>
        </w:tc>
      </w:tr>
    </w:tbl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