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바탕체" w:hAnsi="바탕체" w:eastAsia="바탕체" w:cs="바탕체"/>
          <w:b/>
          <w:i w:val="0"/>
          <w:sz w:val="40"/>
          <w:u w:val="single"/>
        </w:rPr>
        <w:t>Medallia 사례로 본 SaaS 기업 가치 평가 기준</w:t>
      </w:r>
    </w:p>
    <w:p>
      <w:pPr>
        <w:spacing w:before="0" w:after="180" w:line="240" w:lineRule="auto"/>
        <w:jc w:val="righ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'26.05.14  솔루션전략그룹(솔루션)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1. 보고 개요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배경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Thoma Bravo는 Medallia를 $6.4B(멀티플 약 9배)에 인수하며 상장폐지 ('21.7月)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이후 美 연준 금리 인상에 따라 SOFR가 약 5.4%까지 상승하며 차입 이자 부담 급증 ('22~'25年)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EBITDA를 초과하는 이자 비용 발생으로 구조적 부실 상태에 직면, 채권단으로 경영권 이전 및 투자금 손실 발생 ('26.4月)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범위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분석 대상: Medallia / Thoma Bravo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분석 기간: '21年 Thoma Bravo의 Medallia 인수 ~ '26年 채권단으로 경영권 이전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재무 수치 출처: Bloomberg, OnlyCFO 분석 기반 추정치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목적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PE 기반 SaaS 차입매수(LBO) 방식의 실패 원인 분석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SaaS 기업가치 평가 기준 재점검 — ARR성장률 중심 평가 방식의 한계점 확인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2. Medallia 개요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기업 개요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'01年 설립, 미국 샌프란시스코 소재 CX 관리 플랫폼 전문 기업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CRM 솔루션 영역 중 CX Management(고객경험 분석 관리) 부문 內 2위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CRM은 Pre-Sales, Sales, Post-sales(Service/Support)로 구분되며, CX Management는 Post-sales 시장과 연관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오퍼링: 고객경험 피드백 수집/분석, NPS 측정, 직원경험 플랫폼, 옴니채널 고객 인텔리전스 제공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고객군: 금융, 항공, 호텔, 통신 등 글로벌 대기업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'15~'18年: VC, PE로부터 복수의 투자 유치, 기업가치 급성장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'19年: NYSE 상장, IPO 공모가 $21 → 상장 이후 $30~$40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'20年: 매출 $477M, 순손실 –$149M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'21年: Thoma Bravo에 인수되며 상장폐지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3. Medallia 투자/인수 현황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Thoma Bravo의 Medallia 인수 ('21年)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당시 고성장 SaaS 프리미엄을 고려, EV/Revenue 멀티플을 약 9배로 적용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멀티플: 기업가치(EV)를 특정 재무지표로 나눈 값으로, 시장이 해당 기업 실적에 부여하는 가치 수준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자금 조달 구조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구분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금액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조달처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투자금 (Equity)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$4.6B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 등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변동금리 차입금 (Debt)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$1.8B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민간대출업자 (Blackstone 등)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총 인수가격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$6.4B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LIBOR: 런던 은행 간 단기 대출 금리 (글로벌 금융 계약 기준금리, '23年 SOFR로 대체). 당시 0.75%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인수 당시 계획: 저금리 환경에서 낮은 비용으로 차입 매수, 영업현금흐름으로 이자 감당, 3~5년 내 매각 또는 IPO 재상장으로 투자금 회수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인수 판단 기준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Medallia는 ARR 성장률 23~26%의 고성장 기업으로 SaaS 차입매수(LBO)가 가능한 기업으로 판단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단, Rule of 40·잉여현금흐름 마진은 동종업계 하위 10% 수준임을 인지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당시 초저금리 환경으로 낮은 이자 부담, PIK 활용 가능하다고 판단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인수 이후 상황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- 1) 美 연준 금리 인상으로 이자부담 급증 ('22年 이후)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구분</w:t>
            </w:r>
          </w:p>
        </w:tc>
        <w:tc>
          <w:tcPr>
            <w:tcW w:type="dxa" w:w="240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'21年</w:t>
            </w:r>
          </w:p>
        </w:tc>
        <w:tc>
          <w:tcPr>
            <w:tcW w:type="dxa" w:w="240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'23年</w:t>
            </w:r>
          </w:p>
        </w:tc>
        <w:tc>
          <w:tcPr>
            <w:tcW w:type="dxa" w:w="240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'26年(예상)</w:t>
            </w:r>
          </w:p>
        </w:tc>
      </w:tr>
      <w:tr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기준금리(SOFR)</w:t>
            </w:r>
          </w:p>
        </w:tc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0.75%</w:t>
            </w:r>
          </w:p>
        </w:tc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5.4%</w:t>
            </w:r>
          </w:p>
        </w:tc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3.7%</w:t>
            </w:r>
          </w:p>
        </w:tc>
      </w:tr>
      <w:tr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연이자</w:t>
            </w:r>
          </w:p>
        </w:tc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$135M</w:t>
            </w:r>
          </w:p>
        </w:tc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$300M</w:t>
            </w:r>
          </w:p>
        </w:tc>
        <w:tc>
          <w:tcPr>
            <w:tcW w:type="dxa" w:w="240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$270M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부채 규모 확대: PIK 적용으로 원금 $1.8B → 약 $2.2B (현금 미지급 이자가 원금에 누적 반영)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PIK 비중 점진 축소 ('21~'22年 100% → '22~'23年 50% → '23~'25年 35% → '25~'26年 0%)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Medallia를 통한 추가 M&amp;A 관련 차입금($0.6B) 반영 시 총부채 약 $2.8B 수준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- 2) 매각, IPO 재진입 실패로 투자금 회수 무산 ('24~'25年)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전략적 매각·자본구조 재조정·IPO 재추진 등 검토하였으나 성과 부재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AI 기반 경쟁 심화: Qualtrics 등 경쟁사의 AI 기능 강화로 고객 이탈 가속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성장률 둔화: 이자 부담 증가로 현금흐름 악화 → 혁신 투자 축소 → 상품 경쟁력 저하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- 3) 연간 이자비용($0.3B)이 EBITDA($0.2B)를 초과 (직전 1년 기준)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EBITDA만 보면 흑자 구조처럼 보이나, 실제 현금흐름 기준으로는 구조적 부실 상태에 진입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- 4) 경영권 채권단 이전 및 투자 손실 확정 ('26.4月)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Debt-to-Equity Swap: 채권단 보유 $2.8B 채권을 지분 전환하여 채권단이 최대주주가 됨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PE 투자 역사상 최대 규모 SaaS 차입매수(LBO) 실패 사례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4. 주요 분석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실패 원인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① 성장률 과대 추정: 고성장 지속을 전제로 9배 멀티플(EV/Revenue) 적용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② 취약한 부채 구조: 변동금리 인상, PIK 누적으로 부채 급증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③ 이자비용 부담으로 인한 상품 경쟁력 저하: 잉여현금흐름(FCF) 전액을 이자 상환에 투입하여 투자 여력 부족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④ 투자금 회수 무산: M&amp;A 매각 및 IPO 재진입 실패 — 과도한 부채 구조로 잠재 인수자 협상 난항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예상 파급 효과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Medallia: 투자 축소로 서비스 경쟁력 저하 우려, 상품 로드맵 불확실, 경쟁사로 이탈 가능성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사모펀드(PE): 유사한 구조로 인수된 SaaS 기업 리스크 재조명 (별첨 3 참조)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민간 대출 시장: Blackstone 등 채권자도 원금 회수 불확실성 확대 → 민간 대출 시장 리스크 현실화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SaaS M&amp;A 시장: 고부채 SaaS 매물 증가 가능성, 전략적 인수자 중심 저가 인수 기회 확대</w:t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5. 시사점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SaaS 기업가치 평가시, 성장과 현금창출능력을 함께 고려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ARR성장률, Rule of 40, NRR 등 SaaS 특화 지표 뿐만 아니라 잉여현금흐름(FCF) 및 부채상환능력(EV/Par Coverage) 지표 병행관리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향후 M&amp;A 검토 시 현금흐름, 부채상환능력 지표도 병행 검토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사업건전성 대시보드 운영 시, 현금흐름 관리 체계 강화 검토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잉여현금흐름(FCF) 지표 시범 산출 → 사업부 관리 협의 → 대시보드 적용 기준 확정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Rule of 40·NRR·잉여현금흐름(FCF) 등 통합 모니터링 체계 검토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(1) FCF = 영업현금흐름 − CAPEX(유무형자산취득액)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(2) EV/Par Coverage Ratio = EV ÷ Loan Par(누적 차입금·적자금액) → 1 이상 유지 필요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1 미만 하락 시, 기업가치가 누적 부채를 충분히 커버하지 못하는 구조적 위험 신호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  · Medallia: EV 급락 + Loan Par $2.8B 팽창으로 임계치 이하 하락 → 경영권 이전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내부 적용 기준(안): Annual FCF = 영업현금흐름 / Multiple = 국내 B2B SaaS 시장 평균(5~8배 예상) / Loan Par = 누적 차입금 또는 누적 적자 금액 — 시범 산출 후 사업부 협의 후 확정</w:t>
      </w:r>
    </w:p>
    <w:p>
      <w:pPr>
        <w:spacing w:before="0" w:after="0" w:line="240" w:lineRule="auto"/>
        <w:jc w:val="left"/>
      </w:pPr>
      <w:r>
        <w:br w:type="page"/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별첨 1. Medallia 상세 프로필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기업 기본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기업명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Medallia, Inc.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설립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'01年 (미국 캘리포니아)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창립자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Borge Hald, Amy Pressman (Fortune 500 기업 임원 컨설팅 경험 기반 창업)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본사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San Francisco, CA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임직원 수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2,037명 ('21.1月 기준)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상장 이력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'19.7月 NYSE 상장 (MDLA, 공모가 $21) → '21.10月 Thoma Bravo 인수로 상장폐지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현재 상태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채권단(Blackstone 等) 관리하 구조조정 中 ('26年)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제품·솔루션 구성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카테고리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주요 솔루션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고객경험(CX)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고객경험 관리(CEM), 디지털 경험 분석, 경험 오케스트레이션, 개인화 메시징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직원경험(EX)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직원 리스닝(Listening), 직원 활성화(Activation) 플랫폼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컨택센터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대화형 인텔리전스, 상담원 코칭, 품질 관리, 지능형 콜백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AI·분석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Frontline-Ready AI™ — 별도 교육 없이 현장 즉시 활용 가능한 내장형 AI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시장조사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애자일 리서치(Agile Research), 비디오 조사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주요 고객 및 시장 지위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주요 글로벌 고객: Airbnb, Volvo Cars, 3M, Johnson &amp; Johnson, MetLife, PetSmart 等 Fortune 500 다수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주요 산업군: 금융 서비스, 항공, 호텔·숙박, 통신, 소매, B2B 기업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Gartner Magic Quadrant '26年 'Leader' 선정 (CX 관리 플랫폼 부문)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주요 경쟁사: Qualtrics(SAP 계열), NICE Satmetrix, Salesforce Experience Cloud, Sprinklr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재무 현황 (상장폐지 직전 공개 기준)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수치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기준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연간 매출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$477M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FY2020 (상장 당시 공개)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순손실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-$149M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FY2020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인수 후 추정 매출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약 $700M대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'21年 인수 당시 기준 (추정)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※ '21年 상장폐지 후 재무 정보 비공개. 이자비용 급증으로 인한 FCF 악화는 기사(OnlyCFO, '26.5月) 분석 기반</w:t>
      </w:r>
    </w:p>
    <w:p>
      <w:pPr>
        <w:spacing w:before="0" w:after="0" w:line="240" w:lineRule="auto"/>
        <w:jc w:val="left"/>
      </w:pPr>
      <w:r>
        <w:br w:type="page"/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별첨 2. Thoma Bravo 상세 프로필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기업 기본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4819"/>
        <w:gridCol w:w="4819"/>
      </w:tblGrid>
      <w:tr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항목</w:t>
            </w:r>
          </w:p>
        </w:tc>
        <w:tc>
          <w:tcPr>
            <w:tcW w:type="dxa" w:w="4819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내용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기업명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Bravo, LP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설립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'08年 공식 설립 (전신: '80年 설립된 Golder Thoma &amp; Co.)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본사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San Francisco, CA / Chicago, IL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운용자산(AUM)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$183B 이상 ('25.12.31 기준)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누적 거래 건수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565건 이상 완료, 누적 대표 가치 $305B 이상</w:t>
            </w:r>
          </w:p>
        </w:tc>
      </w:tr>
      <w:tr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특화 분야</w:t>
            </w:r>
          </w:p>
        </w:tc>
        <w:tc>
          <w:tcPr>
            <w:tcW w:type="dxa" w:w="4819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엔터프라이즈 소프트웨어, 인프라 소프트웨어, 사이버보안, 기술 서비스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주요 포트폴리오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기업명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분야</w:t>
            </w:r>
          </w:p>
        </w:tc>
        <w:tc>
          <w:tcPr>
            <w:tcW w:type="dxa" w:w="3213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인수금액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Proofpoint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엔터프라이즈 사이버보안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$12.3B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Anaplan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기업 계획(Planning) 플랫폼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$10.7B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Stamps.com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우편·배송 SaaS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$6.6B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Medallia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CX 관리 플랫폼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$6.4B (손실 확정)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Coupa Software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조달 자동화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$6.2B</w:t>
            </w:r>
          </w:p>
        </w:tc>
      </w:tr>
      <w:tr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Sophos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엔드포인트 보안</w:t>
            </w:r>
          </w:p>
        </w:tc>
        <w:tc>
          <w:tcPr>
            <w:tcW w:type="dxa" w:w="3213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$3.9B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인수 실패 메커니즘 요약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인수 時 LIBOR 0.75% 변동금리로 $1.8B 조달 → 연준 금리 인상으로 SOFR 5.4% 도달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연이자 $135M → $300M 급등 → PIK 이자 누적으로 원금 $1.8B → $2.2B (추가 차입 포함 $2.8B)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EBITDA $200M으로 이자($300M)조차 충당 불가 → 채무불이행(Default) → 경영권 상실</w:t>
      </w:r>
    </w:p>
    <w:p>
      <w:pPr>
        <w:spacing w:before="0" w:after="0" w:line="240" w:lineRule="auto"/>
        <w:jc w:val="left"/>
      </w:pPr>
      <w:r>
        <w:br w:type="page"/>
      </w: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별첨 3. 동일 구조 위험 노출 대표 사례 ('21~'22年)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W w:w="5000" w:type="pct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기업명</w:t>
            </w:r>
          </w:p>
        </w:tc>
        <w:tc>
          <w:tcPr>
            <w:tcW w:type="dxa" w:w="1606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PE 인수사</w:t>
            </w:r>
          </w:p>
        </w:tc>
        <w:tc>
          <w:tcPr>
            <w:tcW w:type="dxa" w:w="1606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 시기</w:t>
            </w:r>
          </w:p>
        </w:tc>
        <w:tc>
          <w:tcPr>
            <w:tcW w:type="dxa" w:w="1606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인수금액</w:t>
            </w:r>
          </w:p>
        </w:tc>
        <w:tc>
          <w:tcPr>
            <w:tcW w:type="dxa" w:w="1606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Multiple(Revenue 기준)</w:t>
            </w:r>
          </w:p>
        </w:tc>
        <w:tc>
          <w:tcPr>
            <w:tcW w:type="dxa" w:w="1606"/>
            <w:shd w:val="clear" w:color="auto" w:fill="1E1E1E"/>
          </w:tcPr>
          <w:p>
            <w:pPr>
              <w:spacing w:before="20" w:after="20" w:line="240" w:lineRule="auto"/>
              <w:jc w:val="center"/>
            </w:pPr>
            <w:r>
              <w:rPr>
                <w:rFonts w:ascii="바탕체" w:hAnsi="바탕체" w:eastAsia="바탕체" w:cs="바탕체"/>
                <w:b/>
                <w:i w:val="0"/>
                <w:color w:val="FFFFFF"/>
                <w:sz w:val="26"/>
                <w:u w:val="none"/>
              </w:rPr>
              <w:t>사업 영역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Proofpoint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'21.4月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$12.3B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10.0~11.0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사이버보안 SaaS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RealPage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'21.4月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$10.2B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8.5~9.0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부동산 관리 SaaS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Zendesk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Permira·H&amp;F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'22.11月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$10.2B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6.5~7.0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CX SaaS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Avalara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Vista Equity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'22.10月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$8.4B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9.0~10.0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세금 자동화 SaaS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SailPoint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'22.4月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$6.9B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11.0~12.0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ID 보안 SaaS</w:t>
            </w:r>
          </w:p>
        </w:tc>
      </w:tr>
      <w:tr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Stamps.com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Thoma Bravo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'21.10月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$6.6B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8.5~9.0</w:t>
            </w:r>
          </w:p>
        </w:tc>
        <w:tc>
          <w:tcPr>
            <w:tcW w:type="dxa" w:w="1606"/>
          </w:tcPr>
          <w:p>
            <w:pPr>
              <w:spacing w:before="20" w:after="20" w:line="240" w:lineRule="auto"/>
              <w:jc w:val="left"/>
            </w:pPr>
            <w:r>
              <w:rPr>
                <w:rFonts w:ascii="바탕체" w:hAnsi="바탕체" w:eastAsia="바탕체" w:cs="바탕체"/>
                <w:b w:val="0"/>
                <w:i w:val="0"/>
                <w:sz w:val="26"/>
                <w:u w:val="none"/>
              </w:rPr>
              <w:t>우편·배송 SaaS</w:t>
            </w:r>
          </w:p>
        </w:tc>
      </w:tr>
    </w:tbl>
    <w:p>
      <w:pPr>
        <w:spacing w:before="0" w:after="120" w:line="240" w:lineRule="auto"/>
        <w:jc w:val="left"/>
      </w:pPr>
    </w:p>
    <w:p>
      <w:pPr>
        <w:spacing w:before="320" w:after="24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>별첨 4. 참고문헌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분석 기사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OnlyCFO, "Thoma Bravo's $5B Medallia Loss | The PE Reckoning is Coming..." ('26.5月) — onlycfo.io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Bloomberg, "Thoma Bravo Declines to Invest More in Troubled Medallia" ('26.4月) — bloomberg.com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기업 공식 자료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Medallia 공식 홈페이지 — medallia.com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Thoma Bravo 공식 홈페이지 — thomabravo.com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Thoma Bravo, "Medallia to be Acquired by Thoma Bravo for $6.4 Billion" (보도자료, '21.7月)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PR Newswire, "Medallia Announces Pricing of Initial Public Offering" ('19.7月)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/>
          <w:i w:val="0"/>
          <w:sz w:val="28"/>
          <w:u w:val="none"/>
        </w:rPr>
        <w:t xml:space="preserve"> □ 개념 참고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Wikipedia, "Medallia" — en.wikipedia.org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Wikipedia, "Thoma Bravo" — en.wikipedia.org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Wikipedia, "Rule of 40" — en.wikipedia.org</w:t>
      </w:r>
    </w:p>
    <w:p>
      <w:pPr>
        <w:spacing w:before="0" w:after="180" w:line="240" w:lineRule="auto"/>
        <w:jc w:val="lef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 xml:space="preserve">   - McKinsey, "SaaS and the Rule of 40" — mckinsey.com</w:t>
      </w:r>
    </w:p>
    <w:p>
      <w:pPr>
        <w:spacing w:before="240" w:after="0" w:line="240" w:lineRule="auto"/>
        <w:jc w:val="right"/>
      </w:pPr>
      <w:r>
        <w:rPr>
          <w:rFonts w:ascii="바탕체" w:hAnsi="바탕체" w:eastAsia="바탕체" w:cs="바탕체"/>
          <w:b w:val="0"/>
          <w:i w:val="0"/>
          <w:sz w:val="28"/>
          <w:u w:val="none"/>
        </w:rPr>
        <w:t>- 以 上 -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  <w:jc w:val="center"/>
    </w:pPr>
    <w:r>
      <w:rPr>
        <w:rFonts w:ascii="바탕체" w:hAnsi="바탕체" w:eastAsia="바탕체" w:cs="바탕체"/>
        <w:b w:val="0"/>
        <w:i w:val="0"/>
        <w:sz w:val="24"/>
        <w:u w:val="none"/>
      </w:rPr>
      <w:t xml:space="preserve">- </w:t>
    </w:r>
    <w:r>
      <w:rPr>
        <w:rFonts w:ascii="바탕체" w:hAnsi="바탕체" w:eastAsia="바탕체" w:cs="바탕체"/>
        <w:b w:val="0"/>
        <w:i w:val="0"/>
        <w:sz w:val="24"/>
        <w:u w:val="none"/>
      </w:rPr>
      <w:fldChar w:fldCharType="begin"/>
    </w:r>
    <w:r>
      <w:rPr>
        <w:rFonts w:ascii="바탕체" w:hAnsi="바탕체" w:eastAsia="바탕체" w:cs="바탕체"/>
        <w:b w:val="0"/>
        <w:i w:val="0"/>
        <w:sz w:val="24"/>
        <w:u w:val="none"/>
      </w:rPr>
      <w:instrText xml:space="preserve"> PAGE </w:instrText>
    </w:r>
    <w:r>
      <w:rPr>
        <w:rFonts w:ascii="바탕체" w:hAnsi="바탕체" w:eastAsia="바탕체" w:cs="바탕체"/>
        <w:b w:val="0"/>
        <w:i w:val="0"/>
        <w:sz w:val="24"/>
        <w:u w:val="none"/>
      </w:rPr>
      <w:fldChar w:fldCharType="end"/>
    </w:r>
    <w:r>
      <w:rPr>
        <w:rFonts w:ascii="바탕체" w:hAnsi="바탕체" w:eastAsia="바탕체" w:cs="바탕체"/>
        <w:b w:val="0"/>
        <w:i w:val="0"/>
        <w:sz w:val="24"/>
        <w:u w:val="none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바탕체" w:hAnsi="바탕체" w:eastAsia="바탕체" w:cs="바탕체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